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/>
          <w:b/>
          <w:i w:val="0"/>
          <w:color w:val="0F766E"/>
          <w:sz w:val="19"/>
        </w:rPr>
        <w:t>INFORME DE DECISIÓN</w:t>
      </w:r>
    </w:p>
    <w:p>
      <w:pPr>
        <w:spacing w:after="80"/>
      </w:pPr>
      <w:r>
        <w:rPr>
          <w:rFonts w:ascii="Calibri" w:hAnsi="Calibri"/>
          <w:b/>
          <w:i w:val="0"/>
          <w:color w:val="123047"/>
          <w:sz w:val="50"/>
        </w:rPr>
        <w:t>Pago individual por bultos reales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B6573"/>
          <w:sz w:val="26"/>
        </w:rPr>
        <w:t>Análisis de impacto del nuevo método y propuestas de ajuste sin equivalencias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B6573"/>
          <w:sz w:val="19"/>
        </w:rPr>
        <w:t>Período: 1 al 31 de julio de 2026  |  Universo: Picking  |  Snapshot de cálculo congelado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1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F766E"/>
                <w:sz w:val="21"/>
              </w:rPr>
              <w:t>Premisa de dirección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 pago nuevo debe explicarse con bultos reales. Metros, traslados y equivalencias se utilizan solo para diagnosticar dónde la escala necesita calibración; no se incorporan como componente de pago.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Resumen ejecutivo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El pago actual suma $50.893.571 y el pago individual nuevo, aplicando el multiplicador del día, suma $40.716.715. La diferencia es $-10.176.857 (-20,0%). De los 252 legajos con pago actual positivo, 159 cobran menos y 93 cobran más.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Pago actual total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$50.893.571</w:t>
            </w:r>
          </w:p>
        </w:tc>
      </w:tr>
      <w:tr>
        <w:tc>
          <w:tcPr>
            <w:tcW w:type="dxa" w:w="3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Pago individual nuevo ajustado</w:t>
            </w:r>
          </w:p>
        </w:tc>
        <w:tc>
          <w:tcPr>
            <w:tcW w:type="dxa" w:w="546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$40.716.715</w:t>
            </w:r>
          </w:p>
        </w:tc>
      </w:tr>
      <w:tr>
        <w:tc>
          <w:tcPr>
            <w:tcW w:type="dxa" w:w="3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Diferencia total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$-10.176.857 (-20,0%)</w:t>
            </w:r>
          </w:p>
        </w:tc>
      </w:tr>
      <w:tr>
        <w:tc>
          <w:tcPr>
            <w:tcW w:type="dxa" w:w="3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Legajos con merma</w:t>
            </w:r>
          </w:p>
        </w:tc>
        <w:tc>
          <w:tcPr>
            <w:tcW w:type="dxa" w:w="546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159 de 252 (63,1%)</w:t>
            </w:r>
          </w:p>
        </w:tc>
      </w:tr>
      <w:tr>
        <w:tc>
          <w:tcPr>
            <w:tcW w:type="dxa" w:w="3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Merma de 30% o más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57 legajos (22,6%)</w:t>
            </w:r>
          </w:p>
        </w:tc>
      </w:tr>
      <w:tr>
        <w:tc>
          <w:tcPr>
            <w:tcW w:type="dxa" w:w="3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TNC + errores</w:t>
            </w:r>
          </w:p>
        </w:tc>
        <w:tc>
          <w:tcPr>
            <w:tcW w:type="dxa" w:w="546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$100.922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6400"/>
                <w:sz w:val="21"/>
              </w:rPr>
              <w:t>Mensaje central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 multiplicador corrige una parte de la diferencia, pero queda una merma concentrada en sectores donde el modelo actual reconoce distancia y complejidad mediante bultos equivalentes y la escala nueva observa únicamente bultos reales por hora.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Alcance y método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La comparación es individual contra individual. No incluye premio grupal ni adicionales grupales. El nuevo pago se calcula sobre bultos reales por hora y se ajusta con el multiplicador vigente para cada legajo y día.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F2937"/>
          <w:sz w:val="21"/>
        </w:rPr>
        <w:t>Base actual: pago real Picking con nivel, bultos actuales, total de equivalentes, multiplicador, TNC y errores.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F2937"/>
          <w:sz w:val="21"/>
        </w:rPr>
        <w:t>Base nueva: premio individual de la escala sectorial horaria sobre bultos reales.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F2937"/>
          <w:sz w:val="21"/>
        </w:rPr>
        <w:t>Diagnóstico: diferencia entre bultos actuales y total de equivalentes, separando sector, traslado y consolidación.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F2937"/>
          <w:sz w:val="21"/>
        </w:rPr>
        <w:t>Regla: la equivalencia explica el origen operativo de la brecha, pero no se propone pagarla.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Distribución del impacto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900"/>
        <w:gridCol w:w="1100"/>
        <w:gridCol w:w="2300"/>
        <w:gridCol w:w="23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Segmento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Legajos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legajos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Pago actual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Pago nuevo</w:t>
            </w:r>
          </w:p>
        </w:tc>
      </w:tr>
      <w:tr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60% o más menos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13</w:t>
            </w:r>
          </w:p>
        </w:tc>
        <w:tc>
          <w:tcPr>
            <w:tcW w:type="dxa" w:w="11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5,2%</w:t>
            </w:r>
          </w:p>
        </w:tc>
        <w:tc>
          <w:tcPr>
            <w:tcW w:type="dxa" w:w="23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$4.300.147</w:t>
            </w:r>
          </w:p>
        </w:tc>
        <w:tc>
          <w:tcPr>
            <w:tcW w:type="dxa" w:w="23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$1.407.495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30% a 60% menos</w:t>
            </w:r>
          </w:p>
        </w:tc>
        <w:tc>
          <w:tcPr>
            <w:tcW w:type="dxa" w:w="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44</w:t>
            </w:r>
          </w:p>
        </w:tc>
        <w:tc>
          <w:tcPr>
            <w:tcW w:type="dxa" w:w="11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17,5%</w:t>
            </w:r>
          </w:p>
        </w:tc>
        <w:tc>
          <w:tcPr>
            <w:tcW w:type="dxa" w:w="23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$16.420.042</w:t>
            </w:r>
          </w:p>
        </w:tc>
        <w:tc>
          <w:tcPr>
            <w:tcW w:type="dxa" w:w="236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$10.036.794</w:t>
            </w:r>
          </w:p>
        </w:tc>
      </w:tr>
      <w:tr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10% a 30% menos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69</w:t>
            </w:r>
          </w:p>
        </w:tc>
        <w:tc>
          <w:tcPr>
            <w:tcW w:type="dxa" w:w="11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27,4%</w:t>
            </w:r>
          </w:p>
        </w:tc>
        <w:tc>
          <w:tcPr>
            <w:tcW w:type="dxa" w:w="23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$18.803.656</w:t>
            </w:r>
          </w:p>
        </w:tc>
        <w:tc>
          <w:tcPr>
            <w:tcW w:type="dxa" w:w="23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$14.581.693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Hasta 10% menos</w:t>
            </w:r>
          </w:p>
        </w:tc>
        <w:tc>
          <w:tcPr>
            <w:tcW w:type="dxa" w:w="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33</w:t>
            </w:r>
          </w:p>
        </w:tc>
        <w:tc>
          <w:tcPr>
            <w:tcW w:type="dxa" w:w="11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13,1%</w:t>
            </w:r>
          </w:p>
        </w:tc>
        <w:tc>
          <w:tcPr>
            <w:tcW w:type="dxa" w:w="23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$5.355.670</w:t>
            </w:r>
          </w:p>
        </w:tc>
        <w:tc>
          <w:tcPr>
            <w:tcW w:type="dxa" w:w="236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$5.076.430</w:t>
            </w:r>
          </w:p>
        </w:tc>
      </w:tr>
      <w:tr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Hasta 10% más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17</w:t>
            </w:r>
          </w:p>
        </w:tc>
        <w:tc>
          <w:tcPr>
            <w:tcW w:type="dxa" w:w="11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6,7%</w:t>
            </w:r>
          </w:p>
        </w:tc>
        <w:tc>
          <w:tcPr>
            <w:tcW w:type="dxa" w:w="23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$2.029.350</w:t>
            </w:r>
          </w:p>
        </w:tc>
        <w:tc>
          <w:tcPr>
            <w:tcW w:type="dxa" w:w="23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$2.113.375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10% a 30% más</w:t>
            </w:r>
          </w:p>
        </w:tc>
        <w:tc>
          <w:tcPr>
            <w:tcW w:type="dxa" w:w="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14</w:t>
            </w:r>
          </w:p>
        </w:tc>
        <w:tc>
          <w:tcPr>
            <w:tcW w:type="dxa" w:w="11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5,6%</w:t>
            </w:r>
          </w:p>
        </w:tc>
        <w:tc>
          <w:tcPr>
            <w:tcW w:type="dxa" w:w="23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$975.034</w:t>
            </w:r>
          </w:p>
        </w:tc>
        <w:tc>
          <w:tcPr>
            <w:tcW w:type="dxa" w:w="236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$1.148.086</w:t>
            </w:r>
          </w:p>
        </w:tc>
      </w:tr>
      <w:tr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30% a 60% más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18</w:t>
            </w:r>
          </w:p>
        </w:tc>
        <w:tc>
          <w:tcPr>
            <w:tcW w:type="dxa" w:w="11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7,1%</w:t>
            </w:r>
          </w:p>
        </w:tc>
        <w:tc>
          <w:tcPr>
            <w:tcW w:type="dxa" w:w="23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$1.545.340</w:t>
            </w:r>
          </w:p>
        </w:tc>
        <w:tc>
          <w:tcPr>
            <w:tcW w:type="dxa" w:w="236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$2.221.729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Más de 60% más</w:t>
            </w:r>
          </w:p>
        </w:tc>
        <w:tc>
          <w:tcPr>
            <w:tcW w:type="dxa" w:w="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44</w:t>
            </w:r>
          </w:p>
        </w:tc>
        <w:tc>
          <w:tcPr>
            <w:tcW w:type="dxa" w:w="11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17,5%</w:t>
            </w:r>
          </w:p>
        </w:tc>
        <w:tc>
          <w:tcPr>
            <w:tcW w:type="dxa" w:w="23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$1.464.333</w:t>
            </w:r>
          </w:p>
        </w:tc>
        <w:tc>
          <w:tcPr>
            <w:tcW w:type="dxa" w:w="236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$3.518.405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5B6573"/>
          <w:sz w:val="19"/>
        </w:rPr>
        <w:t>La mayor concentración está en mermas de 10% a 30%, pero 57 legajos presentan una reducción de al menos 30%. El impacto depende de sector, nivel actual, multiplicador y peso de las equivalencias.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Qué explica la brecha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4.1. Multiplicador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Hay 121 jornadas con multiplicador 2. Sin trasladarlo al nuevo pago horario, esas jornadas quedaban aproximadamente 70,2% por debajo del actual. Al incorporarlo, el subconjunto queda 19,1% por encima en promedio. Debe formar parte del nuevo cálculo, con una regla explícita y auditable.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4.2. Equivalencias como diagnóstico de distancia y complejidad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En el cache de pago hay 3,743 registros con equivalencias adicionales positivas. Los bultos actuales suman 3,891,074 y el total equivalente 4,636,569; la diferencia es 745,495 unidades equivalentes. En AM, PI, VA y N1 las equivalencias representan aproximadamente entre 34% y 38% del total equivalente.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50"/>
        <w:gridCol w:w="1000"/>
        <w:gridCol w:w="1900"/>
        <w:gridCol w:w="1400"/>
        <w:gridCol w:w="23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Sector / grupo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Legajos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Perdedores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Equiv. adicionales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equiv.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Merma ajustada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B1 / SECOS + NOA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149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80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$475.956</w:t>
            </w:r>
          </w:p>
        </w:tc>
        <w:tc>
          <w:tcPr>
            <w:tcW w:type="dxa" w:w="14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15,9%</w:t>
            </w:r>
          </w:p>
        </w:tc>
        <w:tc>
          <w:tcPr>
            <w:tcW w:type="dxa" w:w="23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-16,0%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AM / SECOS + NOA</w:t>
            </w:r>
          </w:p>
        </w:tc>
        <w:tc>
          <w:tcPr>
            <w:tcW w:type="dxa" w:w="8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16</w:t>
            </w:r>
          </w:p>
        </w:tc>
        <w:tc>
          <w:tcPr>
            <w:tcW w:type="dxa" w:w="10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15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$131.877</w:t>
            </w:r>
          </w:p>
        </w:tc>
        <w:tc>
          <w:tcPr>
            <w:tcW w:type="dxa" w:w="14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37,4%</w:t>
            </w:r>
          </w:p>
        </w:tc>
        <w:tc>
          <w:tcPr>
            <w:tcW w:type="dxa" w:w="23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-58,6%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F1 / OTRAS CAMARAS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42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33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$54</w:t>
            </w:r>
          </w:p>
        </w:tc>
        <w:tc>
          <w:tcPr>
            <w:tcW w:type="dxa" w:w="14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0,0%</w:t>
            </w:r>
          </w:p>
        </w:tc>
        <w:tc>
          <w:tcPr>
            <w:tcW w:type="dxa" w:w="23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-13,0%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 / SECOS + NOA</w:t>
            </w:r>
          </w:p>
        </w:tc>
        <w:tc>
          <w:tcPr>
            <w:tcW w:type="dxa" w:w="8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0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$31.875</w:t>
            </w:r>
          </w:p>
        </w:tc>
        <w:tc>
          <w:tcPr>
            <w:tcW w:type="dxa" w:w="14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37,9%</w:t>
            </w:r>
          </w:p>
        </w:tc>
        <w:tc>
          <w:tcPr>
            <w:tcW w:type="dxa" w:w="23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-60,2%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N1 / SECOS + NOA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$19.324</w:t>
            </w:r>
          </w:p>
        </w:tc>
        <w:tc>
          <w:tcPr>
            <w:tcW w:type="dxa" w:w="14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33,6%</w:t>
            </w:r>
          </w:p>
        </w:tc>
        <w:tc>
          <w:tcPr>
            <w:tcW w:type="dxa" w:w="23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-56,1%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 / SECOS + NOA</w:t>
            </w:r>
          </w:p>
        </w:tc>
        <w:tc>
          <w:tcPr>
            <w:tcW w:type="dxa" w:w="8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0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$26.386</w:t>
            </w:r>
          </w:p>
        </w:tc>
        <w:tc>
          <w:tcPr>
            <w:tcW w:type="dxa" w:w="14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34,6%</w:t>
            </w:r>
          </w:p>
        </w:tc>
        <w:tc>
          <w:tcPr>
            <w:tcW w:type="dxa" w:w="23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-48,8%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BA / OTRAS CAMARAS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14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</w:t>
            </w:r>
          </w:p>
        </w:tc>
        <w:tc>
          <w:tcPr>
            <w:tcW w:type="dxa" w:w="14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0,0%</w:t>
            </w:r>
          </w:p>
        </w:tc>
        <w:tc>
          <w:tcPr>
            <w:tcW w:type="dxa" w:w="23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-14,0%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NS / SECOS + NOA</w:t>
            </w:r>
          </w:p>
        </w:tc>
        <w:tc>
          <w:tcPr>
            <w:tcW w:type="dxa" w:w="8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0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$9.091</w:t>
            </w:r>
          </w:p>
        </w:tc>
        <w:tc>
          <w:tcPr>
            <w:tcW w:type="dxa" w:w="14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37,5%</w:t>
            </w:r>
          </w:p>
        </w:tc>
        <w:tc>
          <w:tcPr>
            <w:tcW w:type="dxa" w:w="23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-48,6%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EC / SECOS + NOA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$8.225</w:t>
            </w:r>
          </w:p>
        </w:tc>
        <w:tc>
          <w:tcPr>
            <w:tcW w:type="dxa" w:w="14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25,9%</w:t>
            </w:r>
          </w:p>
        </w:tc>
        <w:tc>
          <w:tcPr>
            <w:tcW w:type="dxa" w:w="23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-29,8%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VT / SECOS + NOA</w:t>
            </w:r>
          </w:p>
        </w:tc>
        <w:tc>
          <w:tcPr>
            <w:tcW w:type="dxa" w:w="8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10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$4.879</w:t>
            </w:r>
          </w:p>
        </w:tc>
        <w:tc>
          <w:tcPr>
            <w:tcW w:type="dxa" w:w="14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43,6%</w:t>
            </w:r>
          </w:p>
        </w:tc>
        <w:tc>
          <w:tcPr>
            <w:tcW w:type="dxa" w:w="23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-61,7%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La evidencia permite decir que ciertos sectores tenían una carga operativa reconocida por equivalencias. La solución propuesta no es volver a pagar equivalencias: es ajustar la escala de bultos reales de esos sectores.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4.3. Sectores con mayor impacto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50"/>
        <w:gridCol w:w="900"/>
        <w:gridCol w:w="1900"/>
        <w:gridCol w:w="1900"/>
        <w:gridCol w:w="20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Sector / grupo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Legajos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Perdedores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Nuevo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Diferencia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B1 / SECOS + NOA</w:t>
            </w:r>
          </w:p>
        </w:tc>
        <w:tc>
          <w:tcPr>
            <w:tcW w:type="dxa" w:w="7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149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80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$35.669.791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$29.967.472</w:t>
            </w:r>
          </w:p>
        </w:tc>
        <w:tc>
          <w:tcPr>
            <w:tcW w:type="dxa" w:w="20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-16,0%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AM / SECOS + NOA</w:t>
            </w:r>
          </w:p>
        </w:tc>
        <w:tc>
          <w:tcPr>
            <w:tcW w:type="dxa" w:w="7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16</w:t>
            </w:r>
          </w:p>
        </w:tc>
        <w:tc>
          <w:tcPr>
            <w:tcW w:type="dxa" w:w="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15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$4.364.499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$1.805.768</w:t>
            </w:r>
          </w:p>
        </w:tc>
        <w:tc>
          <w:tcPr>
            <w:tcW w:type="dxa" w:w="20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-58,6%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F1 / OTRAS CAMARAS</w:t>
            </w:r>
          </w:p>
        </w:tc>
        <w:tc>
          <w:tcPr>
            <w:tcW w:type="dxa" w:w="7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42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33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$4.623.009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$4.022.330</w:t>
            </w:r>
          </w:p>
        </w:tc>
        <w:tc>
          <w:tcPr>
            <w:tcW w:type="dxa" w:w="20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-13,0%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 / SECOS + NOA</w:t>
            </w:r>
          </w:p>
        </w:tc>
        <w:tc>
          <w:tcPr>
            <w:tcW w:type="dxa" w:w="7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$993.617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$395.537</w:t>
            </w:r>
          </w:p>
        </w:tc>
        <w:tc>
          <w:tcPr>
            <w:tcW w:type="dxa" w:w="20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-60,2%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N1 / SECOS + NOA</w:t>
            </w:r>
          </w:p>
        </w:tc>
        <w:tc>
          <w:tcPr>
            <w:tcW w:type="dxa" w:w="7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$699.160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$306.620</w:t>
            </w:r>
          </w:p>
        </w:tc>
        <w:tc>
          <w:tcPr>
            <w:tcW w:type="dxa" w:w="20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-56,1%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 / SECOS + NOA</w:t>
            </w:r>
          </w:p>
        </w:tc>
        <w:tc>
          <w:tcPr>
            <w:tcW w:type="dxa" w:w="7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$731.902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$374.429</w:t>
            </w:r>
          </w:p>
        </w:tc>
        <w:tc>
          <w:tcPr>
            <w:tcW w:type="dxa" w:w="20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-48,8%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BA / OTRAS CAMARAS</w:t>
            </w:r>
          </w:p>
        </w:tc>
        <w:tc>
          <w:tcPr>
            <w:tcW w:type="dxa" w:w="7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14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$1.531.871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$1.317.117</w:t>
            </w:r>
          </w:p>
        </w:tc>
        <w:tc>
          <w:tcPr>
            <w:tcW w:type="dxa" w:w="20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-14,0%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NS / SECOS + NOA</w:t>
            </w:r>
          </w:p>
        </w:tc>
        <w:tc>
          <w:tcPr>
            <w:tcW w:type="dxa" w:w="7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$227.193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$116.832</w:t>
            </w:r>
          </w:p>
        </w:tc>
        <w:tc>
          <w:tcPr>
            <w:tcW w:type="dxa" w:w="20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-48,6%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EC / SECOS + NOA</w:t>
            </w:r>
          </w:p>
        </w:tc>
        <w:tc>
          <w:tcPr>
            <w:tcW w:type="dxa" w:w="7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$331.976</w:t>
            </w:r>
          </w:p>
        </w:tc>
        <w:tc>
          <w:tcPr>
            <w:tcW w:type="dxa" w:w="19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$232.887</w:t>
            </w:r>
          </w:p>
        </w:tc>
        <w:tc>
          <w:tcPr>
            <w:tcW w:type="dxa" w:w="201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-29,8%</w:t>
            </w:r>
          </w:p>
        </w:tc>
      </w:tr>
      <w:tr>
        <w:tc>
          <w:tcPr>
            <w:tcW w:type="dxa" w:w="1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VT / SECOS + NOA</w:t>
            </w:r>
          </w:p>
        </w:tc>
        <w:tc>
          <w:tcPr>
            <w:tcW w:type="dxa" w:w="7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9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$142.764</w:t>
            </w:r>
          </w:p>
        </w:tc>
        <w:tc>
          <w:tcPr>
            <w:tcW w:type="dxa" w:w="19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$54.650</w:t>
            </w:r>
          </w:p>
        </w:tc>
        <w:tc>
          <w:tcPr>
            <w:tcW w:type="dxa" w:w="201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-61,7%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5B6573"/>
          <w:sz w:val="19"/>
        </w:rPr>
        <w:t>B1 concentra la mayor pérdida monetaria por volumen. AM concentra la mayor merma relativa. PI, N1 y VA también presentan una brecha elevada con pocos legajos, por lo que requieren revisión específica de la tabla.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Casos reales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700"/>
        <w:gridCol w:w="1300"/>
        <w:gridCol w:w="1350"/>
        <w:gridCol w:w="1350"/>
        <w:gridCol w:w="850"/>
        <w:gridCol w:w="950"/>
        <w:gridCol w:w="1400"/>
        <w:gridCol w:w="6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Legajo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Sector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Nuevo base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Nuevo ajust.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Dif.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Bultos/h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Equiv. adic.</w:t>
            </w:r>
          </w:p>
        </w:tc>
        <w:tc>
          <w:tcPr>
            <w:tcW w:type="dxa" w:w="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Nivel actual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203637</w:t>
            </w:r>
          </w:p>
        </w:tc>
        <w:tc>
          <w:tcPr>
            <w:tcW w:type="dxa" w:w="7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B1</w:t>
            </w:r>
          </w:p>
        </w:tc>
        <w:tc>
          <w:tcPr>
            <w:tcW w:type="dxa" w:w="13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$913.668</w:t>
            </w:r>
          </w:p>
        </w:tc>
        <w:tc>
          <w:tcPr>
            <w:tcW w:type="dxa" w:w="135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$465.140</w:t>
            </w:r>
          </w:p>
        </w:tc>
        <w:tc>
          <w:tcPr>
            <w:tcW w:type="dxa" w:w="135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$501.742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-45,1%</w:t>
            </w:r>
          </w:p>
        </w:tc>
        <w:tc>
          <w:tcPr>
            <w:tcW w:type="dxa" w:w="9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175.5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7.115.2</w:t>
            </w:r>
          </w:p>
        </w:tc>
        <w:tc>
          <w:tcPr>
            <w:tcW w:type="dxa" w:w="6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6.2</w:t>
            </w:r>
          </w:p>
        </w:tc>
      </w:tr>
      <w:tr>
        <w:tc>
          <w:tcPr>
            <w:tcW w:type="dxa" w:w="8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207397</w:t>
            </w:r>
          </w:p>
        </w:tc>
        <w:tc>
          <w:tcPr>
            <w:tcW w:type="dxa" w:w="7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</w:t>
            </w:r>
          </w:p>
        </w:tc>
        <w:tc>
          <w:tcPr>
            <w:tcW w:type="dxa" w:w="13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$560.469</w:t>
            </w:r>
          </w:p>
        </w:tc>
        <w:tc>
          <w:tcPr>
            <w:tcW w:type="dxa" w:w="135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$136.026</w:t>
            </w:r>
          </w:p>
        </w:tc>
        <w:tc>
          <w:tcPr>
            <w:tcW w:type="dxa" w:w="135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$158.258</w:t>
            </w:r>
          </w:p>
        </w:tc>
        <w:tc>
          <w:tcPr>
            <w:tcW w:type="dxa" w:w="85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-71,8%</w:t>
            </w:r>
          </w:p>
        </w:tc>
        <w:tc>
          <w:tcPr>
            <w:tcW w:type="dxa" w:w="9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100.7</w:t>
            </w:r>
          </w:p>
        </w:tc>
        <w:tc>
          <w:tcPr>
            <w:tcW w:type="dxa" w:w="14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13.628.9</w:t>
            </w:r>
          </w:p>
        </w:tc>
        <w:tc>
          <w:tcPr>
            <w:tcW w:type="dxa" w:w="66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5.2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206693</w:t>
            </w:r>
          </w:p>
        </w:tc>
        <w:tc>
          <w:tcPr>
            <w:tcW w:type="dxa" w:w="7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AM</w:t>
            </w:r>
          </w:p>
        </w:tc>
        <w:tc>
          <w:tcPr>
            <w:tcW w:type="dxa" w:w="13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$540.398</w:t>
            </w:r>
          </w:p>
        </w:tc>
        <w:tc>
          <w:tcPr>
            <w:tcW w:type="dxa" w:w="135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$154.066</w:t>
            </w:r>
          </w:p>
        </w:tc>
        <w:tc>
          <w:tcPr>
            <w:tcW w:type="dxa" w:w="135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$168.250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-68,9%</w:t>
            </w:r>
          </w:p>
        </w:tc>
        <w:tc>
          <w:tcPr>
            <w:tcW w:type="dxa" w:w="9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100.6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13.905.5</w:t>
            </w:r>
          </w:p>
        </w:tc>
        <w:tc>
          <w:tcPr>
            <w:tcW w:type="dxa" w:w="6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4.8</w:t>
            </w:r>
          </w:p>
        </w:tc>
      </w:tr>
      <w:tr>
        <w:tc>
          <w:tcPr>
            <w:tcW w:type="dxa" w:w="8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206101</w:t>
            </w:r>
          </w:p>
        </w:tc>
        <w:tc>
          <w:tcPr>
            <w:tcW w:type="dxa" w:w="7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PI</w:t>
            </w:r>
          </w:p>
        </w:tc>
        <w:tc>
          <w:tcPr>
            <w:tcW w:type="dxa" w:w="130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$400.656</w:t>
            </w:r>
          </w:p>
        </w:tc>
        <w:tc>
          <w:tcPr>
            <w:tcW w:type="dxa" w:w="135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$108.720</w:t>
            </w:r>
          </w:p>
        </w:tc>
        <w:tc>
          <w:tcPr>
            <w:tcW w:type="dxa" w:w="135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$108.720</w:t>
            </w:r>
          </w:p>
        </w:tc>
        <w:tc>
          <w:tcPr>
            <w:tcW w:type="dxa" w:w="850"/>
            <w:shd w:fill="F2F4F7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-72,9%</w:t>
            </w:r>
          </w:p>
        </w:tc>
        <w:tc>
          <w:tcPr>
            <w:tcW w:type="dxa" w:w="9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100.9</w:t>
            </w:r>
          </w:p>
        </w:tc>
        <w:tc>
          <w:tcPr>
            <w:tcW w:type="dxa" w:w="14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11.448.8</w:t>
            </w:r>
          </w:p>
        </w:tc>
        <w:tc>
          <w:tcPr>
            <w:tcW w:type="dxa" w:w="66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4.6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735249</w:t>
            </w:r>
          </w:p>
        </w:tc>
        <w:tc>
          <w:tcPr>
            <w:tcW w:type="dxa" w:w="7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B1</w:t>
            </w:r>
          </w:p>
        </w:tc>
        <w:tc>
          <w:tcPr>
            <w:tcW w:type="dxa" w:w="13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$3.404</w:t>
            </w:r>
          </w:p>
        </w:tc>
        <w:tc>
          <w:tcPr>
            <w:tcW w:type="dxa" w:w="135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$73.649</w:t>
            </w:r>
          </w:p>
        </w:tc>
        <w:tc>
          <w:tcPr>
            <w:tcW w:type="dxa" w:w="135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$73.649</w:t>
            </w:r>
          </w:p>
        </w:tc>
        <w:tc>
          <w:tcPr>
            <w:tcW w:type="dxa" w:w="85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2063,6%</w:t>
            </w:r>
          </w:p>
        </w:tc>
        <w:tc>
          <w:tcPr>
            <w:tcW w:type="dxa" w:w="9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93.2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1.169.3</w:t>
            </w:r>
          </w:p>
        </w:tc>
        <w:tc>
          <w:tcPr>
            <w:tcW w:type="dxa" w:w="6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1.3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203637 mejora al aplicar el multiplicador, pero permanece 45,1% debajo del pago actual. 207397 y 206693 mantienen mermas superiores al 68% aun con el ajuste. Estos casos muestran que el multiplicador no resuelve la diferencia de escala.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Propuestas sin equivalencias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1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6B4F"/>
                <w:sz w:val="21"/>
              </w:rPr>
              <w:t>Propuesta recomendada: escala sectorial de bultos reales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Mantener una unidad única y explicable —el bulto real—, pero definir por sector cortes de bultos/hora alcanzables y premios por nivel calibrados con la productividad real observada. El sector no agrega bultos: modifica el umbral y/o el valor porque la operación es distinta.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50"/>
        <w:gridCol w:w="2400"/>
        <w:gridCol w:w="271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Alternativa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cambia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Ventaja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Control necesario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A. Bajar umbrales</w:t>
            </w:r>
          </w:p>
        </w:tc>
        <w:tc>
          <w:tcPr>
            <w:tcW w:type="dxa" w:w="24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Los niveles superiores requieren menos bultos reales/hora en sectores lentos por layout.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Compensa el acceso a premios sin inventar producción.</w:t>
            </w:r>
          </w:p>
        </w:tc>
        <w:tc>
          <w:tcPr>
            <w:tcW w:type="dxa" w:w="271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Validar con percentiles y costo máximo.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B. Subir premios</w:t>
            </w:r>
          </w:p>
        </w:tc>
        <w:tc>
          <w:tcPr>
            <w:tcW w:type="dxa" w:w="24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 mantienen cortes de bultos reales, pero cambia el valor del premio en sectores seleccionados.</w:t>
            </w:r>
          </w:p>
        </w:tc>
        <w:tc>
          <w:tcPr>
            <w:tcW w:type="dxa" w:w="24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Muy simple: mismo bulto real, tarifa sectorial distinta.</w:t>
            </w:r>
          </w:p>
        </w:tc>
        <w:tc>
          <w:tcPr>
            <w:tcW w:type="dxa" w:w="271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Evitar sobrepago y saltos injustificados.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C. Escala híbrida</w:t>
            </w:r>
          </w:p>
        </w:tc>
        <w:tc>
          <w:tcPr>
            <w:tcW w:type="dxa" w:w="245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Baja moderada de umbrales y ajuste moderado del premio.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Reparte la corrección entre acceso y valor.</w:t>
            </w:r>
          </w:p>
        </w:tc>
        <w:tc>
          <w:tcPr>
            <w:tcW w:type="dxa" w:w="271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Simular por legajo y sector.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D. Transición</w:t>
            </w:r>
          </w:p>
        </w:tc>
        <w:tc>
          <w:tcPr>
            <w:tcW w:type="dxa" w:w="245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Piso temporal de merma mientras se valida la tabla nueva.</w:t>
            </w:r>
          </w:p>
        </w:tc>
        <w:tc>
          <w:tcPr>
            <w:tcW w:type="dxa" w:w="24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Reduce conflicto de implementación.</w:t>
            </w:r>
          </w:p>
        </w:tc>
        <w:tc>
          <w:tcPr>
            <w:tcW w:type="dxa" w:w="271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Debe tener fecha de vencimiento.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6.1. Criterio de recomendación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F2937"/>
          <w:sz w:val="21"/>
        </w:rPr>
        <w:t>Ajustar primero AM, PI, N1 y VA, donde la merma relativa es alta y la proporción de equivalencias diagnósticas también.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F2937"/>
          <w:sz w:val="21"/>
        </w:rPr>
        <w:t>Revisar B1 por impacto total: la merma porcentual es menor, pero concentra más personas y pesos.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F2937"/>
          <w:sz w:val="21"/>
        </w:rPr>
        <w:t>Mantener el multiplicador dentro del pago horario nuevo.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F2937"/>
          <w:sz w:val="21"/>
        </w:rPr>
        <w:t>Usar las equivalencias para identificar sectores, nunca para calcular el pago.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1F2937"/>
          <w:sz w:val="21"/>
        </w:rPr>
        <w:t>Simular cada alternativa con monto total, legajos beneficiados, mermas restantes y posibles sobrepagos.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Proceso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1. Diagnóstico</w:t>
            </w:r>
          </w:p>
        </w:tc>
        <w:tc>
          <w:tcPr>
            <w:tcW w:type="dxa" w:w="79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Mapa de sectores donde las equivalencias explican saltos de escala actual.</w:t>
            </w:r>
          </w:p>
        </w:tc>
      </w:tr>
      <w:tr>
        <w:tc>
          <w:tcPr>
            <w:tcW w:type="dxa" w:w="14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2. Calibración</w:t>
            </w:r>
          </w:p>
        </w:tc>
        <w:tc>
          <w:tcPr>
            <w:tcW w:type="dxa" w:w="796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Nueva tabla sectorial basada exclusivamente en bultos reales/hora.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3. Simulación</w:t>
            </w:r>
          </w:p>
        </w:tc>
        <w:tc>
          <w:tcPr>
            <w:tcW w:type="dxa" w:w="79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Comparación actual vs. nuevo ajustado, sin grupal, por legajo y sector.</w:t>
            </w:r>
          </w:p>
        </w:tc>
      </w:tr>
      <w:tr>
        <w:tc>
          <w:tcPr>
            <w:tcW w:type="dxa" w:w="14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4. Control</w:t>
            </w:r>
          </w:p>
        </w:tc>
        <w:tc>
          <w:tcPr>
            <w:tcW w:type="dxa" w:w="796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Mermas mayores a 10%, 30% y 50%; sobrepagos; costo total.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5. Decisión</w:t>
            </w:r>
          </w:p>
        </w:tc>
        <w:tc>
          <w:tcPr>
            <w:tcW w:type="dxa" w:w="79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Elegir umbrales, premios y transición con impacto explícito.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Conclusión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1"/>
        </w:rPr>
        <w:t>El nuevo sistema puede cumplir la premisa de pagar por bultos reales sin ignorar la realidad operativa de los sectores. La distancia y el recorrido no deben convertirse en bultos ficticios ni en equivalencias pagables; deben servir para detectar que algunos sectores necesitan una escala propia de bultos reales. La recomendación es calibrar umbrales y premios por sector, conservar el multiplicador de jornada y validar el resultado por legajo antes de reemplazar el esquema vigente.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Anexo — definiciones y límites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04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Bultos reales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Unidades físicas registradas para el legajo.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Bultos equivalentes</w:t>
            </w:r>
          </w:p>
        </w:tc>
        <w:tc>
          <w:tcPr>
            <w:tcW w:type="dxa" w:w="726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Variable del pago actual que combina bultos y componentes de sector, traslado o consolidación; solo diagnóstico.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Pago nuevo ajustado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Premio individual horario nuevo multiplicado por el factor vigente del día.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Merma</w:t>
            </w:r>
          </w:p>
        </w:tc>
        <w:tc>
          <w:tcPr>
            <w:tcW w:type="dxa" w:w="7260"/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Pago nuevo ajustado menos pago actual, como porcentaje del pago actual.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Límite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Las equivalencias detectan el origen operativo de la brecha, pero no forman parte de la fórmula propuesta.</w:t>
            </w:r>
          </w:p>
        </w:tc>
      </w:tr>
    </w:tbl>
    <w:p>
      <w:pPr>
        <w:spacing w:after="40"/>
      </w:pP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5B6573"/>
          <w:sz w:val="17"/>
        </w:rPr>
        <w:t>Fuente: cache local del módulo de análisis de productividad, snapshot de tablas de premios Picking y tablas de pago/evaluación de julio 2026. Documento preparado como base de decisión; los valores de las alternativas deben cerrarse con una simulación parametrizada antes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7"/>
      </w:rPr>
      <w:t xml:space="preserve">VigIA  ·  Julio 2026  ·  Página </w:t>
    </w:r>
    <w:r>
      <w:rPr>
        <w:rFonts w:ascii="Calibri" w:hAnsi="Calibri"/>
        <w:b w:val="0"/>
        <w:i w:val="0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B6573"/>
        <w:sz w:val="17"/>
      </w:rPr>
      <w:t>ANÁLISIS DE PAGO INDIVIDUAL  |  PICKING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230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final de pago individual por bultos reales</dc:title>
  <dc:subject>Impacto y propuestas sin equivalencias</dc:subject>
  <dc:creator>VigIA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