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50499" w14:textId="77777777" w:rsidR="006C6270" w:rsidRDefault="00000000">
      <w:pPr>
        <w:spacing w:after="40"/>
      </w:pPr>
      <w:r>
        <w:rPr>
          <w:rFonts w:ascii="Aptos Display" w:hAnsi="Aptos Display"/>
          <w:b/>
          <w:color w:val="0B5FAE"/>
          <w:sz w:val="18"/>
        </w:rPr>
        <w:t>GUÍA OPERATIVA</w:t>
      </w:r>
    </w:p>
    <w:p w14:paraId="47CE3C8B" w14:textId="77777777" w:rsidR="006C6270" w:rsidRDefault="00000000">
      <w:pPr>
        <w:pStyle w:val="Ttulo"/>
      </w:pPr>
      <w:r>
        <w:rPr>
          <w:rFonts w:ascii="Aptos Display" w:hAnsi="Aptos Display"/>
          <w:b/>
          <w:sz w:val="54"/>
        </w:rPr>
        <w:t>Monitor de Cargas</w:t>
      </w:r>
    </w:p>
    <w:p w14:paraId="4DF58DF7" w14:textId="77777777" w:rsidR="006C6270" w:rsidRDefault="00000000">
      <w:r>
        <w:rPr>
          <w:rFonts w:ascii="Aptos" w:hAnsi="Aptos"/>
          <w:color w:val="5C6773"/>
          <w:sz w:val="24"/>
        </w:rPr>
        <w:t>Manual de usuario para seguimiento de bultos por dársena antes del cierre del camión</w:t>
      </w:r>
    </w:p>
    <w:tbl>
      <w:tblPr>
        <w:tblStyle w:val="Tablaconcuadrcula"/>
        <w:tblW w:w="9792" w:type="dxa"/>
        <w:tblLayout w:type="fixed"/>
        <w:tblLook w:val="04A0" w:firstRow="1" w:lastRow="0" w:firstColumn="1" w:lastColumn="0" w:noHBand="0" w:noVBand="1"/>
      </w:tblPr>
      <w:tblGrid>
        <w:gridCol w:w="9792"/>
      </w:tblGrid>
      <w:tr w:rsidR="006C6270" w14:paraId="171D77C1" w14:textId="77777777">
        <w:trPr>
          <w:tblHeader/>
        </w:trPr>
        <w:tc>
          <w:tcPr>
            <w:tcW w:w="9792" w:type="dxa"/>
            <w:shd w:val="clear" w:color="auto" w:fill="E5F3E9"/>
            <w:tcMar>
              <w:top w:w="100" w:type="dxa"/>
              <w:left w:w="120" w:type="dxa"/>
              <w:bottom w:w="100" w:type="dxa"/>
              <w:right w:w="120" w:type="dxa"/>
            </w:tcMar>
            <w:vAlign w:val="center"/>
          </w:tcPr>
          <w:p w14:paraId="60542507" w14:textId="77777777" w:rsidR="006C6270" w:rsidRDefault="00000000">
            <w:pPr>
              <w:spacing w:after="0"/>
            </w:pPr>
            <w:r>
              <w:rPr>
                <w:rFonts w:ascii="Aptos Display" w:hAnsi="Aptos Display"/>
                <w:b/>
                <w:color w:val="1F7A4D"/>
                <w:sz w:val="20"/>
              </w:rPr>
              <w:t>Objetivo</w:t>
            </w:r>
            <w:r>
              <w:rPr>
                <w:rFonts w:ascii="Aptos Display" w:hAnsi="Aptos Display"/>
                <w:b/>
                <w:color w:val="1F7A4D"/>
                <w:sz w:val="20"/>
              </w:rPr>
              <w:br/>
            </w:r>
            <w:r>
              <w:rPr>
                <w:rFonts w:ascii="Aptos" w:hAnsi="Aptos"/>
                <w:sz w:val="20"/>
              </w:rPr>
              <w:t>Visualizar en línea qué se está cargando en cada dársena y comparar los bultos efectivos, los bultos planificados estimados y el target operativo antes de cerrar el camión.</w:t>
            </w:r>
          </w:p>
        </w:tc>
      </w:tr>
    </w:tbl>
    <w:p w14:paraId="6087E467" w14:textId="77777777" w:rsidR="006C6270" w:rsidRDefault="006C6270">
      <w:pPr>
        <w:spacing w:after="0"/>
      </w:pPr>
    </w:p>
    <w:p w14:paraId="58523396" w14:textId="77777777" w:rsidR="006C6270" w:rsidRDefault="00000000">
      <w:pPr>
        <w:pStyle w:val="Ttulo1"/>
      </w:pPr>
      <w:r>
        <w:rPr>
          <w:rFonts w:ascii="Aptos" w:hAnsi="Aptos"/>
        </w:rPr>
        <w:t>1. Acceso al módulo</w:t>
      </w:r>
    </w:p>
    <w:p w14:paraId="6491D81B" w14:textId="7D3C7AE8" w:rsidR="006C6270" w:rsidRDefault="00000000">
      <w:pPr>
        <w:rPr>
          <w:rFonts w:ascii="Aptos" w:hAnsi="Aptos"/>
        </w:rPr>
      </w:pPr>
      <w:r>
        <w:rPr>
          <w:rFonts w:ascii="Aptos" w:hAnsi="Aptos"/>
        </w:rPr>
        <w:t>Ingresar al sitio interno de VigIA con el usuario habilitado. Desde el selector de aplicaciones, elegir Monitor Cargas.</w:t>
      </w:r>
      <w:r w:rsidR="00E92549">
        <w:rPr>
          <w:rFonts w:ascii="Aptos" w:hAnsi="Aptos"/>
        </w:rPr>
        <w:t xml:space="preserve"> El módulo es accesible tanto por PC como por Ipad</w:t>
      </w:r>
    </w:p>
    <w:p w14:paraId="4D677A00" w14:textId="20B0C5E8" w:rsidR="00A45E8F" w:rsidRDefault="00A45E8F" w:rsidP="00A45E8F">
      <w:pPr>
        <w:jc w:val="center"/>
        <w:rPr>
          <w:rFonts w:ascii="Aptos" w:hAnsi="Aptos"/>
        </w:rPr>
      </w:pPr>
      <w:r w:rsidRPr="00A45E8F">
        <w:rPr>
          <w:rFonts w:ascii="Aptos" w:hAnsi="Aptos"/>
        </w:rPr>
        <w:drawing>
          <wp:inline distT="0" distB="0" distL="0" distR="0" wp14:anchorId="38A51772" wp14:editId="308132CD">
            <wp:extent cx="4572638" cy="1305107"/>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638" cy="1305107"/>
                    </a:xfrm>
                    <a:prstGeom prst="rect">
                      <a:avLst/>
                    </a:prstGeom>
                  </pic:spPr>
                </pic:pic>
              </a:graphicData>
            </a:graphic>
          </wp:inline>
        </w:drawing>
      </w:r>
    </w:p>
    <w:p w14:paraId="08F701ED" w14:textId="77777777" w:rsidR="00A45E8F" w:rsidRDefault="00A45E8F"/>
    <w:p w14:paraId="4A1C831D" w14:textId="77777777" w:rsidR="006C6270" w:rsidRDefault="00000000">
      <w:r>
        <w:rPr>
          <w:rFonts w:ascii="Aptos" w:hAnsi="Aptos"/>
        </w:rPr>
        <w:t>El módulo muestra los viajes abiertos en preparación y organiza la información por dársena. El acceso requiere una sesión válida de VigIA.</w:t>
      </w:r>
    </w:p>
    <w:p w14:paraId="36915F22" w14:textId="77777777" w:rsidR="00A45E8F" w:rsidRDefault="00A45E8F">
      <w:pPr>
        <w:spacing w:after="200" w:line="276" w:lineRule="auto"/>
        <w:rPr>
          <w:rFonts w:ascii="Aptos" w:eastAsiaTheme="majorEastAsia" w:hAnsi="Aptos" w:cstheme="majorBidi"/>
          <w:b/>
          <w:bCs/>
          <w:color w:val="2E74B5"/>
          <w:sz w:val="32"/>
          <w:szCs w:val="28"/>
        </w:rPr>
      </w:pPr>
      <w:r>
        <w:rPr>
          <w:rFonts w:ascii="Aptos" w:hAnsi="Aptos"/>
        </w:rPr>
        <w:br w:type="page"/>
      </w:r>
    </w:p>
    <w:p w14:paraId="42DEBA50" w14:textId="6786B9C3" w:rsidR="006C6270" w:rsidRDefault="00000000">
      <w:pPr>
        <w:pStyle w:val="Ttulo1"/>
      </w:pPr>
      <w:r>
        <w:rPr>
          <w:rFonts w:ascii="Aptos" w:hAnsi="Aptos"/>
        </w:rPr>
        <w:lastRenderedPageBreak/>
        <w:t>2. Vista general</w:t>
      </w:r>
    </w:p>
    <w:p w14:paraId="24BAC245" w14:textId="3E653954" w:rsidR="00A45E8F" w:rsidRDefault="00A45E8F" w:rsidP="00A45E8F">
      <w:pPr>
        <w:jc w:val="center"/>
        <w:rPr>
          <w:rFonts w:ascii="Aptos" w:hAnsi="Aptos"/>
        </w:rPr>
      </w:pPr>
      <w:r w:rsidRPr="00A45E8F">
        <w:rPr>
          <w:rFonts w:ascii="Aptos" w:hAnsi="Aptos"/>
        </w:rPr>
        <w:drawing>
          <wp:inline distT="0" distB="0" distL="0" distR="0" wp14:anchorId="175B5642" wp14:editId="0DA9D99D">
            <wp:extent cx="6478270" cy="2125682"/>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25223" cy="2141088"/>
                    </a:xfrm>
                    <a:prstGeom prst="rect">
                      <a:avLst/>
                    </a:prstGeom>
                  </pic:spPr>
                </pic:pic>
              </a:graphicData>
            </a:graphic>
          </wp:inline>
        </w:drawing>
      </w:r>
    </w:p>
    <w:p w14:paraId="759E738A" w14:textId="2BBBA178" w:rsidR="006C6270" w:rsidRDefault="00000000">
      <w:r>
        <w:rPr>
          <w:rFonts w:ascii="Aptos" w:hAnsi="Aptos"/>
        </w:rPr>
        <w:t>Al ingresar, el monitor consulta la información disponible y presenta un resumen superior seguido de las tarjetas de las dársenas.</w:t>
      </w:r>
    </w:p>
    <w:tbl>
      <w:tblPr>
        <w:tblStyle w:val="Tablaconcuadrcula"/>
        <w:tblW w:w="9792" w:type="dxa"/>
        <w:tblLayout w:type="fixed"/>
        <w:tblLook w:val="04A0" w:firstRow="1" w:lastRow="0" w:firstColumn="1" w:lastColumn="0" w:noHBand="0" w:noVBand="1"/>
      </w:tblPr>
      <w:tblGrid>
        <w:gridCol w:w="2592"/>
        <w:gridCol w:w="7200"/>
      </w:tblGrid>
      <w:tr w:rsidR="006C6270" w14:paraId="02F33CE9" w14:textId="77777777">
        <w:trPr>
          <w:tblHeader/>
        </w:trPr>
        <w:tc>
          <w:tcPr>
            <w:tcW w:w="2592" w:type="dxa"/>
            <w:shd w:val="clear" w:color="auto" w:fill="0B5FAE"/>
            <w:tcMar>
              <w:top w:w="100" w:type="dxa"/>
              <w:left w:w="120" w:type="dxa"/>
              <w:bottom w:w="100" w:type="dxa"/>
              <w:right w:w="120" w:type="dxa"/>
            </w:tcMar>
            <w:vAlign w:val="center"/>
          </w:tcPr>
          <w:p w14:paraId="5AC36539" w14:textId="77777777" w:rsidR="006C6270" w:rsidRDefault="00000000">
            <w:r>
              <w:rPr>
                <w:rFonts w:ascii="Aptos Display" w:hAnsi="Aptos Display"/>
                <w:b/>
                <w:color w:val="FFFFFF"/>
                <w:sz w:val="18"/>
              </w:rPr>
              <w:t>Elemento</w:t>
            </w:r>
          </w:p>
        </w:tc>
        <w:tc>
          <w:tcPr>
            <w:tcW w:w="7200" w:type="dxa"/>
            <w:shd w:val="clear" w:color="auto" w:fill="0B5FAE"/>
            <w:tcMar>
              <w:top w:w="100" w:type="dxa"/>
              <w:left w:w="120" w:type="dxa"/>
              <w:bottom w:w="100" w:type="dxa"/>
              <w:right w:w="120" w:type="dxa"/>
            </w:tcMar>
            <w:vAlign w:val="center"/>
          </w:tcPr>
          <w:p w14:paraId="150F31B9" w14:textId="77777777" w:rsidR="006C6270" w:rsidRDefault="00000000">
            <w:r>
              <w:rPr>
                <w:rFonts w:ascii="Aptos Display" w:hAnsi="Aptos Display"/>
                <w:b/>
                <w:color w:val="FFFFFF"/>
                <w:sz w:val="18"/>
              </w:rPr>
              <w:t>Qué muestra</w:t>
            </w:r>
          </w:p>
        </w:tc>
      </w:tr>
      <w:tr w:rsidR="006C6270" w14:paraId="370CA3BE" w14:textId="77777777">
        <w:tc>
          <w:tcPr>
            <w:tcW w:w="2592" w:type="dxa"/>
            <w:tcMar>
              <w:top w:w="100" w:type="dxa"/>
              <w:left w:w="120" w:type="dxa"/>
              <w:bottom w:w="100" w:type="dxa"/>
              <w:right w:w="120" w:type="dxa"/>
            </w:tcMar>
          </w:tcPr>
          <w:p w14:paraId="48745AAF" w14:textId="77777777" w:rsidR="006C6270" w:rsidRDefault="00000000">
            <w:r>
              <w:rPr>
                <w:rFonts w:ascii="Aptos" w:hAnsi="Aptos"/>
                <w:sz w:val="18"/>
              </w:rPr>
              <w:t>Bultos cargados</w:t>
            </w:r>
          </w:p>
        </w:tc>
        <w:tc>
          <w:tcPr>
            <w:tcW w:w="7200" w:type="dxa"/>
            <w:tcMar>
              <w:top w:w="100" w:type="dxa"/>
              <w:left w:w="120" w:type="dxa"/>
              <w:bottom w:w="100" w:type="dxa"/>
              <w:right w:w="120" w:type="dxa"/>
            </w:tcMar>
          </w:tcPr>
          <w:p w14:paraId="32C7D394" w14:textId="77777777" w:rsidR="006C6270" w:rsidRDefault="00000000">
            <w:r>
              <w:rPr>
                <w:rFonts w:ascii="Aptos" w:hAnsi="Aptos"/>
                <w:sz w:val="18"/>
              </w:rPr>
              <w:t>Suma de los bultos efectivos registrados en los viajes visibles.</w:t>
            </w:r>
          </w:p>
        </w:tc>
      </w:tr>
      <w:tr w:rsidR="006C6270" w14:paraId="215D4F3B" w14:textId="77777777">
        <w:tc>
          <w:tcPr>
            <w:tcW w:w="2592" w:type="dxa"/>
            <w:tcMar>
              <w:top w:w="100" w:type="dxa"/>
              <w:left w:w="120" w:type="dxa"/>
              <w:bottom w:w="100" w:type="dxa"/>
              <w:right w:w="120" w:type="dxa"/>
            </w:tcMar>
          </w:tcPr>
          <w:p w14:paraId="7AF274BB" w14:textId="77777777" w:rsidR="006C6270" w:rsidRDefault="00000000">
            <w:r>
              <w:rPr>
                <w:rFonts w:ascii="Aptos" w:hAnsi="Aptos"/>
                <w:sz w:val="18"/>
              </w:rPr>
              <w:t>Bultos objetivo</w:t>
            </w:r>
          </w:p>
        </w:tc>
        <w:tc>
          <w:tcPr>
            <w:tcW w:w="7200" w:type="dxa"/>
            <w:tcMar>
              <w:top w:w="100" w:type="dxa"/>
              <w:left w:w="120" w:type="dxa"/>
              <w:bottom w:w="100" w:type="dxa"/>
              <w:right w:w="120" w:type="dxa"/>
            </w:tcMar>
          </w:tcPr>
          <w:p w14:paraId="4275196D" w14:textId="77777777" w:rsidR="006C6270" w:rsidRDefault="00000000">
            <w:r>
              <w:rPr>
                <w:rFonts w:ascii="Aptos" w:hAnsi="Aptos"/>
                <w:sz w:val="18"/>
              </w:rPr>
              <w:t>Referencia operativa calculada para los viajes visibles.</w:t>
            </w:r>
          </w:p>
        </w:tc>
      </w:tr>
      <w:tr w:rsidR="006C6270" w14:paraId="5DB42EFC" w14:textId="77777777">
        <w:tc>
          <w:tcPr>
            <w:tcW w:w="2592" w:type="dxa"/>
            <w:tcMar>
              <w:top w:w="100" w:type="dxa"/>
              <w:left w:w="120" w:type="dxa"/>
              <w:bottom w:w="100" w:type="dxa"/>
              <w:right w:w="120" w:type="dxa"/>
            </w:tcMar>
          </w:tcPr>
          <w:p w14:paraId="13B53BBD" w14:textId="77777777" w:rsidR="006C6270" w:rsidRDefault="00000000">
            <w:r>
              <w:rPr>
                <w:rFonts w:ascii="Aptos" w:hAnsi="Aptos"/>
                <w:sz w:val="18"/>
              </w:rPr>
              <w:t>Cumplimiento de bultos</w:t>
            </w:r>
          </w:p>
        </w:tc>
        <w:tc>
          <w:tcPr>
            <w:tcW w:w="7200" w:type="dxa"/>
            <w:tcMar>
              <w:top w:w="100" w:type="dxa"/>
              <w:left w:w="120" w:type="dxa"/>
              <w:bottom w:w="100" w:type="dxa"/>
              <w:right w:w="120" w:type="dxa"/>
            </w:tcMar>
          </w:tcPr>
          <w:p w14:paraId="2AC18912" w14:textId="77777777" w:rsidR="006C6270" w:rsidRDefault="00000000">
            <w:r>
              <w:rPr>
                <w:rFonts w:ascii="Aptos" w:hAnsi="Aptos"/>
                <w:sz w:val="18"/>
              </w:rPr>
              <w:t>Semáforo general según bultos efectivos sobre el objetivo.</w:t>
            </w:r>
          </w:p>
        </w:tc>
      </w:tr>
      <w:tr w:rsidR="006C6270" w14:paraId="3F65CD6D" w14:textId="77777777">
        <w:tc>
          <w:tcPr>
            <w:tcW w:w="2592" w:type="dxa"/>
            <w:tcMar>
              <w:top w:w="100" w:type="dxa"/>
              <w:left w:w="120" w:type="dxa"/>
              <w:bottom w:w="100" w:type="dxa"/>
              <w:right w:w="120" w:type="dxa"/>
            </w:tcMar>
          </w:tcPr>
          <w:p w14:paraId="647B6345" w14:textId="77777777" w:rsidR="006C6270" w:rsidRDefault="00000000">
            <w:r>
              <w:rPr>
                <w:rFonts w:ascii="Aptos" w:hAnsi="Aptos"/>
                <w:sz w:val="18"/>
              </w:rPr>
              <w:t>Tarjetas de dársena</w:t>
            </w:r>
          </w:p>
        </w:tc>
        <w:tc>
          <w:tcPr>
            <w:tcW w:w="7200" w:type="dxa"/>
            <w:tcMar>
              <w:top w:w="100" w:type="dxa"/>
              <w:left w:w="120" w:type="dxa"/>
              <w:bottom w:w="100" w:type="dxa"/>
              <w:right w:w="120" w:type="dxa"/>
            </w:tcMar>
          </w:tcPr>
          <w:p w14:paraId="6C9C3338" w14:textId="77777777" w:rsidR="006C6270" w:rsidRDefault="00000000">
            <w:r>
              <w:rPr>
                <w:rFonts w:ascii="Aptos" w:hAnsi="Aptos"/>
                <w:sz w:val="18"/>
              </w:rPr>
              <w:t>Una tarjeta por viaje/dársena, ordenada para la lectura operativa.</w:t>
            </w:r>
          </w:p>
        </w:tc>
      </w:tr>
    </w:tbl>
    <w:p w14:paraId="3F869F98" w14:textId="77777777" w:rsidR="006C6270" w:rsidRDefault="006C6270">
      <w:pPr>
        <w:spacing w:after="0"/>
      </w:pPr>
    </w:p>
    <w:p w14:paraId="5FD0B2BA" w14:textId="4979FB3B" w:rsidR="00E92549" w:rsidRDefault="00E92549" w:rsidP="00E92549">
      <w:pPr>
        <w:rPr>
          <w:rFonts w:ascii="Aptos" w:hAnsi="Aptos"/>
        </w:rPr>
      </w:pPr>
      <w:r>
        <w:rPr>
          <w:rFonts w:ascii="Aptos" w:hAnsi="Aptos"/>
        </w:rPr>
        <w:t>El módulo tiene pre seteado el target de bultos por furgón esperado desde la operación</w:t>
      </w:r>
      <w:r>
        <w:rPr>
          <w:rFonts w:ascii="IBM Plex Sans" w:hAnsi="IBM Plex Sans"/>
          <w:color w:val="5C6773"/>
          <w:sz w:val="18"/>
          <w:szCs w:val="18"/>
          <w:shd w:val="clear" w:color="auto" w:fill="FFFFFF"/>
        </w:rPr>
        <w:t>.</w:t>
      </w:r>
      <w:r w:rsidRPr="00E92549">
        <w:rPr>
          <w:rFonts w:ascii="Aptos" w:hAnsi="Aptos"/>
        </w:rPr>
        <w:t>El objetivo base es de 1.100 bultos para camiones de 16 pallets; el semaforo compara bultos actuales contra ese objetivo</w:t>
      </w:r>
      <w:r>
        <w:rPr>
          <w:rFonts w:ascii="Aptos" w:hAnsi="Aptos"/>
        </w:rPr>
        <w:t>, y aplica una relación para camiones de capacidades mayores o menores.</w:t>
      </w:r>
    </w:p>
    <w:p w14:paraId="1C885916" w14:textId="70EDF832" w:rsidR="00E92549" w:rsidRDefault="00E92549" w:rsidP="00E92549">
      <w:r>
        <w:rPr>
          <w:rFonts w:ascii="Aptos" w:hAnsi="Aptos"/>
        </w:rPr>
        <w:t>Se dispone de un check para poder filtrar las cargas que están efectivamente en curso y aquellas que están planificadas.</w:t>
      </w:r>
    </w:p>
    <w:p w14:paraId="2AA5719F" w14:textId="77777777" w:rsidR="006C6270" w:rsidRDefault="00000000">
      <w:pPr>
        <w:pStyle w:val="Ttulo1"/>
      </w:pPr>
      <w:r>
        <w:rPr>
          <w:rFonts w:ascii="Aptos" w:hAnsi="Aptos"/>
        </w:rPr>
        <w:t>3. Interpretar una tarjeta</w:t>
      </w:r>
    </w:p>
    <w:p w14:paraId="2804ADB7" w14:textId="77777777" w:rsidR="006C6270" w:rsidRDefault="00000000">
      <w:r>
        <w:rPr>
          <w:rFonts w:ascii="Aptos" w:hAnsi="Aptos"/>
        </w:rPr>
        <w:t>Cada tarjeta reúne la información necesaria para decidir si la carga está avanzando correctamente.</w:t>
      </w:r>
    </w:p>
    <w:p w14:paraId="56890DDC" w14:textId="77777777" w:rsidR="006C6270" w:rsidRDefault="00000000">
      <w:pPr>
        <w:pStyle w:val="Listaconvietas"/>
      </w:pPr>
      <w:r>
        <w:rPr>
          <w:rFonts w:ascii="Aptos" w:hAnsi="Aptos"/>
        </w:rPr>
        <w:t>Dársena: identificación principal del lugar de carga, mostrada en tamaño grande.</w:t>
      </w:r>
    </w:p>
    <w:p w14:paraId="62E59C98" w14:textId="77777777" w:rsidR="006C6270" w:rsidRDefault="00000000">
      <w:pPr>
        <w:pStyle w:val="Listaconvietas"/>
      </w:pPr>
      <w:r>
        <w:rPr>
          <w:rFonts w:ascii="Aptos" w:hAnsi="Aptos"/>
        </w:rPr>
        <w:t>Viaje y HR: referencias del viaje operativo y de la hoja de ruta.</w:t>
      </w:r>
    </w:p>
    <w:p w14:paraId="1DB54DBC" w14:textId="77777777" w:rsidR="006C6270" w:rsidRDefault="00000000">
      <w:pPr>
        <w:pStyle w:val="Listaconvietas"/>
      </w:pPr>
      <w:r>
        <w:rPr>
          <w:rFonts w:ascii="Aptos" w:hAnsi="Aptos"/>
        </w:rPr>
        <w:t>Bultos efectivos: cantidad de bultos registrados hasta el momento.</w:t>
      </w:r>
    </w:p>
    <w:p w14:paraId="4F73E8F5" w14:textId="48DABA23" w:rsidR="006C6270" w:rsidRDefault="00000000">
      <w:pPr>
        <w:pStyle w:val="Listaconvietas"/>
      </w:pPr>
      <w:r>
        <w:rPr>
          <w:rFonts w:ascii="Aptos" w:hAnsi="Aptos"/>
        </w:rPr>
        <w:t>Bultos planificados: estimación de bultos asociada a la hoja de ruta en el sistema de planificación.</w:t>
      </w:r>
      <w:r w:rsidR="00E92549">
        <w:rPr>
          <w:rFonts w:ascii="Aptos" w:hAnsi="Aptos"/>
        </w:rPr>
        <w:t xml:space="preserve"> Esta información ofrece la oportunidad de solicitar mas palets para optimizar el viaje.</w:t>
      </w:r>
    </w:p>
    <w:p w14:paraId="2CBCD9AB" w14:textId="77777777" w:rsidR="006C6270" w:rsidRDefault="00000000">
      <w:pPr>
        <w:pStyle w:val="Listaconvietas"/>
      </w:pPr>
      <w:r>
        <w:rPr>
          <w:rFonts w:ascii="Aptos" w:hAnsi="Aptos"/>
        </w:rPr>
        <w:t>Bultos target: referencia operativa utilizada para el semáforo de bultos.</w:t>
      </w:r>
    </w:p>
    <w:p w14:paraId="63F746B7" w14:textId="77777777" w:rsidR="006C6270" w:rsidRDefault="00000000">
      <w:pPr>
        <w:pStyle w:val="Listaconvietas"/>
      </w:pPr>
      <w:r>
        <w:rPr>
          <w:rFonts w:ascii="Aptos" w:hAnsi="Aptos"/>
        </w:rPr>
        <w:lastRenderedPageBreak/>
        <w:t>Semáforo: indica el nivel de cumplimiento del objetivo de bultos.</w:t>
      </w:r>
    </w:p>
    <w:p w14:paraId="2060D344" w14:textId="77777777" w:rsidR="006C6270" w:rsidRDefault="00000000">
      <w:pPr>
        <w:pStyle w:val="Listaconvietas"/>
      </w:pPr>
      <w:r>
        <w:rPr>
          <w:rFonts w:ascii="Aptos" w:hAnsi="Aptos"/>
        </w:rPr>
        <w:t>Estado y calidad: informa si hay carga registrada y si existen observaciones de consistencia.</w:t>
      </w:r>
    </w:p>
    <w:p w14:paraId="3D95AA0D" w14:textId="77777777" w:rsidR="006C6270" w:rsidRDefault="00000000">
      <w:pPr>
        <w:pStyle w:val="Ttulo1"/>
      </w:pPr>
      <w:r>
        <w:rPr>
          <w:rFonts w:ascii="Aptos" w:hAnsi="Aptos"/>
        </w:rPr>
        <w:t>4. Semáforo de ocupación</w:t>
      </w:r>
    </w:p>
    <w:p w14:paraId="31A9801A" w14:textId="77777777" w:rsidR="006C6270" w:rsidRDefault="00000000">
      <w:r>
        <w:rPr>
          <w:rFonts w:ascii="Aptos" w:hAnsi="Aptos"/>
        </w:rPr>
        <w:t>El semáforo se calcula con bultos, no con volumetría ni con cantidad de pallets:</w:t>
      </w:r>
    </w:p>
    <w:tbl>
      <w:tblPr>
        <w:tblStyle w:val="Tablaconcuadrcula"/>
        <w:tblW w:w="9792" w:type="dxa"/>
        <w:tblLayout w:type="fixed"/>
        <w:tblLook w:val="04A0" w:firstRow="1" w:lastRow="0" w:firstColumn="1" w:lastColumn="0" w:noHBand="0" w:noVBand="1"/>
      </w:tblPr>
      <w:tblGrid>
        <w:gridCol w:w="1584"/>
        <w:gridCol w:w="2880"/>
        <w:gridCol w:w="5328"/>
      </w:tblGrid>
      <w:tr w:rsidR="006C6270" w14:paraId="7EDB440A" w14:textId="77777777">
        <w:trPr>
          <w:tblHeader/>
        </w:trPr>
        <w:tc>
          <w:tcPr>
            <w:tcW w:w="1584" w:type="dxa"/>
            <w:shd w:val="clear" w:color="auto" w:fill="1F7A4D"/>
            <w:tcMar>
              <w:top w:w="100" w:type="dxa"/>
              <w:left w:w="120" w:type="dxa"/>
              <w:bottom w:w="100" w:type="dxa"/>
              <w:right w:w="120" w:type="dxa"/>
            </w:tcMar>
            <w:vAlign w:val="center"/>
          </w:tcPr>
          <w:p w14:paraId="4EA434F2" w14:textId="77777777" w:rsidR="006C6270" w:rsidRDefault="00000000">
            <w:r>
              <w:rPr>
                <w:rFonts w:ascii="Aptos Display" w:hAnsi="Aptos Display"/>
                <w:b/>
                <w:color w:val="FFFFFF"/>
                <w:sz w:val="18"/>
              </w:rPr>
              <w:t>Color</w:t>
            </w:r>
          </w:p>
        </w:tc>
        <w:tc>
          <w:tcPr>
            <w:tcW w:w="2880" w:type="dxa"/>
            <w:shd w:val="clear" w:color="auto" w:fill="1F7A4D"/>
            <w:tcMar>
              <w:top w:w="100" w:type="dxa"/>
              <w:left w:w="120" w:type="dxa"/>
              <w:bottom w:w="100" w:type="dxa"/>
              <w:right w:w="120" w:type="dxa"/>
            </w:tcMar>
            <w:vAlign w:val="center"/>
          </w:tcPr>
          <w:p w14:paraId="0C8FF70B" w14:textId="77777777" w:rsidR="006C6270" w:rsidRDefault="00000000">
            <w:r>
              <w:rPr>
                <w:rFonts w:ascii="Aptos Display" w:hAnsi="Aptos Display"/>
                <w:b/>
                <w:color w:val="FFFFFF"/>
                <w:sz w:val="18"/>
              </w:rPr>
              <w:t>Regla</w:t>
            </w:r>
          </w:p>
        </w:tc>
        <w:tc>
          <w:tcPr>
            <w:tcW w:w="5328" w:type="dxa"/>
            <w:shd w:val="clear" w:color="auto" w:fill="1F7A4D"/>
            <w:tcMar>
              <w:top w:w="100" w:type="dxa"/>
              <w:left w:w="120" w:type="dxa"/>
              <w:bottom w:w="100" w:type="dxa"/>
              <w:right w:w="120" w:type="dxa"/>
            </w:tcMar>
            <w:vAlign w:val="center"/>
          </w:tcPr>
          <w:p w14:paraId="0A050D48" w14:textId="77777777" w:rsidR="006C6270" w:rsidRDefault="00000000">
            <w:r>
              <w:rPr>
                <w:rFonts w:ascii="Aptos Display" w:hAnsi="Aptos Display"/>
                <w:b/>
                <w:color w:val="FFFFFF"/>
                <w:sz w:val="18"/>
              </w:rPr>
              <w:t>Lectura operativa</w:t>
            </w:r>
          </w:p>
        </w:tc>
      </w:tr>
      <w:tr w:rsidR="006C6270" w14:paraId="4A4417E5" w14:textId="77777777">
        <w:tc>
          <w:tcPr>
            <w:tcW w:w="1584" w:type="dxa"/>
            <w:tcMar>
              <w:top w:w="100" w:type="dxa"/>
              <w:left w:w="120" w:type="dxa"/>
              <w:bottom w:w="100" w:type="dxa"/>
              <w:right w:w="120" w:type="dxa"/>
            </w:tcMar>
          </w:tcPr>
          <w:p w14:paraId="3CCE3F60" w14:textId="77777777" w:rsidR="006C6270" w:rsidRDefault="00000000">
            <w:r>
              <w:rPr>
                <w:rFonts w:ascii="Aptos" w:hAnsi="Aptos"/>
                <w:sz w:val="18"/>
              </w:rPr>
              <w:t>Verde</w:t>
            </w:r>
          </w:p>
        </w:tc>
        <w:tc>
          <w:tcPr>
            <w:tcW w:w="2880" w:type="dxa"/>
            <w:tcMar>
              <w:top w:w="100" w:type="dxa"/>
              <w:left w:w="120" w:type="dxa"/>
              <w:bottom w:w="100" w:type="dxa"/>
              <w:right w:w="120" w:type="dxa"/>
            </w:tcMar>
          </w:tcPr>
          <w:p w14:paraId="4F621692" w14:textId="77777777" w:rsidR="006C6270" w:rsidRDefault="00000000">
            <w:r>
              <w:rPr>
                <w:rFonts w:ascii="Aptos" w:hAnsi="Aptos"/>
                <w:sz w:val="18"/>
              </w:rPr>
              <w:t>Más de 90% del target</w:t>
            </w:r>
          </w:p>
        </w:tc>
        <w:tc>
          <w:tcPr>
            <w:tcW w:w="5328" w:type="dxa"/>
            <w:tcMar>
              <w:top w:w="100" w:type="dxa"/>
              <w:left w:w="120" w:type="dxa"/>
              <w:bottom w:w="100" w:type="dxa"/>
              <w:right w:w="120" w:type="dxa"/>
            </w:tcMar>
          </w:tcPr>
          <w:p w14:paraId="0108D0EF" w14:textId="77777777" w:rsidR="006C6270" w:rsidRDefault="00000000">
            <w:r>
              <w:rPr>
                <w:rFonts w:ascii="Aptos" w:hAnsi="Aptos"/>
                <w:sz w:val="18"/>
              </w:rPr>
              <w:t>Carga próxima o por encima del objetivo.</w:t>
            </w:r>
          </w:p>
        </w:tc>
      </w:tr>
      <w:tr w:rsidR="006C6270" w14:paraId="3471878C" w14:textId="77777777">
        <w:tc>
          <w:tcPr>
            <w:tcW w:w="1584" w:type="dxa"/>
            <w:tcMar>
              <w:top w:w="100" w:type="dxa"/>
              <w:left w:w="120" w:type="dxa"/>
              <w:bottom w:w="100" w:type="dxa"/>
              <w:right w:w="120" w:type="dxa"/>
            </w:tcMar>
          </w:tcPr>
          <w:p w14:paraId="31559970" w14:textId="77777777" w:rsidR="006C6270" w:rsidRDefault="00000000">
            <w:r>
              <w:rPr>
                <w:rFonts w:ascii="Aptos" w:hAnsi="Aptos"/>
                <w:sz w:val="18"/>
              </w:rPr>
              <w:t>Amarillo</w:t>
            </w:r>
          </w:p>
        </w:tc>
        <w:tc>
          <w:tcPr>
            <w:tcW w:w="2880" w:type="dxa"/>
            <w:tcMar>
              <w:top w:w="100" w:type="dxa"/>
              <w:left w:w="120" w:type="dxa"/>
              <w:bottom w:w="100" w:type="dxa"/>
              <w:right w:w="120" w:type="dxa"/>
            </w:tcMar>
          </w:tcPr>
          <w:p w14:paraId="3BEC3C8C" w14:textId="77777777" w:rsidR="006C6270" w:rsidRDefault="00000000">
            <w:r>
              <w:rPr>
                <w:rFonts w:ascii="Aptos" w:hAnsi="Aptos"/>
                <w:sz w:val="18"/>
              </w:rPr>
              <w:t>Entre 60% y 90% inclusive</w:t>
            </w:r>
          </w:p>
        </w:tc>
        <w:tc>
          <w:tcPr>
            <w:tcW w:w="5328" w:type="dxa"/>
            <w:tcMar>
              <w:top w:w="100" w:type="dxa"/>
              <w:left w:w="120" w:type="dxa"/>
              <w:bottom w:w="100" w:type="dxa"/>
              <w:right w:w="120" w:type="dxa"/>
            </w:tcMar>
          </w:tcPr>
          <w:p w14:paraId="70DB9F0C" w14:textId="77777777" w:rsidR="006C6270" w:rsidRDefault="00000000">
            <w:r>
              <w:rPr>
                <w:rFonts w:ascii="Aptos" w:hAnsi="Aptos"/>
                <w:sz w:val="18"/>
              </w:rPr>
              <w:t>Carga intermedia; continuar siguiendo el avance.</w:t>
            </w:r>
          </w:p>
        </w:tc>
      </w:tr>
      <w:tr w:rsidR="006C6270" w14:paraId="169385C9" w14:textId="77777777">
        <w:tc>
          <w:tcPr>
            <w:tcW w:w="1584" w:type="dxa"/>
            <w:tcMar>
              <w:top w:w="100" w:type="dxa"/>
              <w:left w:w="120" w:type="dxa"/>
              <w:bottom w:w="100" w:type="dxa"/>
              <w:right w:w="120" w:type="dxa"/>
            </w:tcMar>
          </w:tcPr>
          <w:p w14:paraId="0269C6D4" w14:textId="77777777" w:rsidR="006C6270" w:rsidRDefault="00000000">
            <w:r>
              <w:rPr>
                <w:rFonts w:ascii="Aptos" w:hAnsi="Aptos"/>
                <w:sz w:val="18"/>
              </w:rPr>
              <w:t>Rojo</w:t>
            </w:r>
          </w:p>
        </w:tc>
        <w:tc>
          <w:tcPr>
            <w:tcW w:w="2880" w:type="dxa"/>
            <w:tcMar>
              <w:top w:w="100" w:type="dxa"/>
              <w:left w:w="120" w:type="dxa"/>
              <w:bottom w:w="100" w:type="dxa"/>
              <w:right w:w="120" w:type="dxa"/>
            </w:tcMar>
          </w:tcPr>
          <w:p w14:paraId="2EFD52A3" w14:textId="77777777" w:rsidR="006C6270" w:rsidRDefault="00000000">
            <w:r>
              <w:rPr>
                <w:rFonts w:ascii="Aptos" w:hAnsi="Aptos"/>
                <w:sz w:val="18"/>
              </w:rPr>
              <w:t>Menos de 60% del target</w:t>
            </w:r>
          </w:p>
        </w:tc>
        <w:tc>
          <w:tcPr>
            <w:tcW w:w="5328" w:type="dxa"/>
            <w:tcMar>
              <w:top w:w="100" w:type="dxa"/>
              <w:left w:w="120" w:type="dxa"/>
              <w:bottom w:w="100" w:type="dxa"/>
              <w:right w:w="120" w:type="dxa"/>
            </w:tcMar>
          </w:tcPr>
          <w:p w14:paraId="475803B8" w14:textId="77777777" w:rsidR="006C6270" w:rsidRDefault="00000000">
            <w:r>
              <w:rPr>
                <w:rFonts w:ascii="Aptos" w:hAnsi="Aptos"/>
                <w:sz w:val="18"/>
              </w:rPr>
              <w:t>Carga baja respecto del objetivo.</w:t>
            </w:r>
          </w:p>
        </w:tc>
      </w:tr>
      <w:tr w:rsidR="006C6270" w14:paraId="57B5C7E6" w14:textId="77777777">
        <w:tc>
          <w:tcPr>
            <w:tcW w:w="1584" w:type="dxa"/>
            <w:tcMar>
              <w:top w:w="100" w:type="dxa"/>
              <w:left w:w="120" w:type="dxa"/>
              <w:bottom w:w="100" w:type="dxa"/>
              <w:right w:w="120" w:type="dxa"/>
            </w:tcMar>
          </w:tcPr>
          <w:p w14:paraId="34801EA0" w14:textId="77777777" w:rsidR="006C6270" w:rsidRDefault="00000000">
            <w:r>
              <w:rPr>
                <w:rFonts w:ascii="Aptos" w:hAnsi="Aptos"/>
                <w:sz w:val="18"/>
              </w:rPr>
              <w:t>Gris</w:t>
            </w:r>
          </w:p>
        </w:tc>
        <w:tc>
          <w:tcPr>
            <w:tcW w:w="2880" w:type="dxa"/>
            <w:tcMar>
              <w:top w:w="100" w:type="dxa"/>
              <w:left w:w="120" w:type="dxa"/>
              <w:bottom w:w="100" w:type="dxa"/>
              <w:right w:w="120" w:type="dxa"/>
            </w:tcMar>
          </w:tcPr>
          <w:p w14:paraId="3223B937" w14:textId="77777777" w:rsidR="006C6270" w:rsidRDefault="00000000">
            <w:r>
              <w:rPr>
                <w:rFonts w:ascii="Aptos" w:hAnsi="Aptos"/>
                <w:sz w:val="18"/>
              </w:rPr>
              <w:t>Sin target disponible</w:t>
            </w:r>
          </w:p>
        </w:tc>
        <w:tc>
          <w:tcPr>
            <w:tcW w:w="5328" w:type="dxa"/>
            <w:tcMar>
              <w:top w:w="100" w:type="dxa"/>
              <w:left w:w="120" w:type="dxa"/>
              <w:bottom w:w="100" w:type="dxa"/>
              <w:right w:w="120" w:type="dxa"/>
            </w:tcMar>
          </w:tcPr>
          <w:p w14:paraId="1F854BB3" w14:textId="77777777" w:rsidR="006C6270" w:rsidRDefault="00000000">
            <w:r>
              <w:rPr>
                <w:rFonts w:ascii="Aptos" w:hAnsi="Aptos"/>
                <w:sz w:val="18"/>
              </w:rPr>
              <w:t>No hay referencia suficiente para calcular el semáforo.</w:t>
            </w:r>
          </w:p>
        </w:tc>
      </w:tr>
    </w:tbl>
    <w:p w14:paraId="73C2B365" w14:textId="77777777" w:rsidR="006C6270" w:rsidRDefault="006C6270">
      <w:pPr>
        <w:spacing w:after="0"/>
      </w:pPr>
    </w:p>
    <w:tbl>
      <w:tblPr>
        <w:tblStyle w:val="Tablaconcuadrcula"/>
        <w:tblW w:w="9792" w:type="dxa"/>
        <w:tblLayout w:type="fixed"/>
        <w:tblLook w:val="04A0" w:firstRow="1" w:lastRow="0" w:firstColumn="1" w:lastColumn="0" w:noHBand="0" w:noVBand="1"/>
      </w:tblPr>
      <w:tblGrid>
        <w:gridCol w:w="9792"/>
      </w:tblGrid>
      <w:tr w:rsidR="006C6270" w14:paraId="4DE3E5AF" w14:textId="77777777">
        <w:trPr>
          <w:tblHeader/>
        </w:trPr>
        <w:tc>
          <w:tcPr>
            <w:tcW w:w="9792" w:type="dxa"/>
            <w:shd w:val="clear" w:color="auto" w:fill="FBE7C8"/>
            <w:tcMar>
              <w:top w:w="100" w:type="dxa"/>
              <w:left w:w="120" w:type="dxa"/>
              <w:bottom w:w="100" w:type="dxa"/>
              <w:right w:w="120" w:type="dxa"/>
            </w:tcMar>
            <w:vAlign w:val="center"/>
          </w:tcPr>
          <w:p w14:paraId="0F6918AA" w14:textId="77777777" w:rsidR="006C6270" w:rsidRDefault="00000000">
            <w:pPr>
              <w:spacing w:after="0"/>
            </w:pPr>
            <w:r>
              <w:rPr>
                <w:rFonts w:ascii="Aptos Display" w:hAnsi="Aptos Display"/>
                <w:b/>
                <w:color w:val="1F7A4D"/>
                <w:sz w:val="20"/>
              </w:rPr>
              <w:t>Importante</w:t>
            </w:r>
            <w:r>
              <w:rPr>
                <w:rFonts w:ascii="Aptos Display" w:hAnsi="Aptos Display"/>
                <w:b/>
                <w:color w:val="1F7A4D"/>
                <w:sz w:val="20"/>
              </w:rPr>
              <w:br/>
            </w:r>
            <w:r>
              <w:rPr>
                <w:rFonts w:ascii="Aptos" w:hAnsi="Aptos"/>
                <w:sz w:val="20"/>
              </w:rPr>
              <w:t>El semáforo es una señal de seguimiento. Antes del cierre, validar también que la carga física y la documentación del viaje correspondan a la operación.</w:t>
            </w:r>
          </w:p>
        </w:tc>
      </w:tr>
    </w:tbl>
    <w:p w14:paraId="3AEF3FB2" w14:textId="77777777" w:rsidR="006C6270" w:rsidRDefault="006C6270">
      <w:pPr>
        <w:spacing w:after="0"/>
      </w:pPr>
    </w:p>
    <w:p w14:paraId="076B5055" w14:textId="77777777" w:rsidR="006C6270" w:rsidRDefault="00000000">
      <w:pPr>
        <w:pStyle w:val="Ttulo1"/>
      </w:pPr>
      <w:r>
        <w:rPr>
          <w:rFonts w:ascii="Aptos" w:hAnsi="Aptos"/>
        </w:rPr>
        <w:t>5. Filtros y actualización</w:t>
      </w:r>
    </w:p>
    <w:p w14:paraId="3AF576FD" w14:textId="77777777" w:rsidR="006C6270" w:rsidRDefault="00000000">
      <w:r>
        <w:rPr>
          <w:rFonts w:ascii="Aptos" w:hAnsi="Aptos"/>
        </w:rPr>
        <w:t>La pantalla permite adaptar la lectura al momento operativo:</w:t>
      </w:r>
    </w:p>
    <w:p w14:paraId="75E2A4E5" w14:textId="77777777" w:rsidR="006C6270" w:rsidRDefault="00000000">
      <w:pPr>
        <w:pStyle w:val="Listaconvietas"/>
      </w:pPr>
      <w:r>
        <w:rPr>
          <w:rFonts w:ascii="Aptos" w:hAnsi="Aptos"/>
        </w:rPr>
        <w:t>Buscar viaje: escribir una dársena, viaje, hoja de ruta, matrícula o cargador.</w:t>
      </w:r>
    </w:p>
    <w:p w14:paraId="12DCCEFE" w14:textId="77777777" w:rsidR="006C6270" w:rsidRDefault="00000000">
      <w:pPr>
        <w:pStyle w:val="Listaconvietas"/>
      </w:pPr>
      <w:r>
        <w:rPr>
          <w:rFonts w:ascii="Aptos" w:hAnsi="Aptos"/>
        </w:rPr>
        <w:t>División: seleccionar una división o dejar Todas.</w:t>
      </w:r>
    </w:p>
    <w:p w14:paraId="3BFDAC08" w14:textId="77777777" w:rsidR="006C6270" w:rsidRDefault="00000000">
      <w:pPr>
        <w:pStyle w:val="Listaconvietas"/>
      </w:pPr>
      <w:r>
        <w:rPr>
          <w:rFonts w:ascii="Aptos" w:hAnsi="Aptos"/>
        </w:rPr>
        <w:t>Mostrar todas las cargas: por defecto está desmarcado y muestra sólo viajes con bultos efectivos. Marcarlo para incluir también viajes sin carga iniciada.</w:t>
      </w:r>
    </w:p>
    <w:p w14:paraId="0DBD8CDF" w14:textId="77777777" w:rsidR="006C6270" w:rsidRDefault="00000000">
      <w:pPr>
        <w:pStyle w:val="Listaconvietas"/>
      </w:pPr>
      <w:r>
        <w:rPr>
          <w:rFonts w:ascii="Aptos" w:hAnsi="Aptos"/>
        </w:rPr>
        <w:t>Refresh automático: por defecto está marcado y consulta cada 1 minuto.</w:t>
      </w:r>
    </w:p>
    <w:p w14:paraId="3BD1F1F2" w14:textId="77777777" w:rsidR="006C6270" w:rsidRDefault="00000000">
      <w:pPr>
        <w:pStyle w:val="Listaconvietas"/>
      </w:pPr>
      <w:r>
        <w:rPr>
          <w:rFonts w:ascii="Aptos" w:hAnsi="Aptos"/>
        </w:rPr>
        <w:t>Minutos: indicar el intervalo deseado entre 1 y 120 minutos. Al modificarlo, el intervalo se reprograma.</w:t>
      </w:r>
    </w:p>
    <w:p w14:paraId="003BADD4" w14:textId="77777777" w:rsidR="006C6270" w:rsidRDefault="00000000">
      <w:pPr>
        <w:pStyle w:val="Listaconvietas"/>
      </w:pPr>
      <w:r>
        <w:rPr>
          <w:rFonts w:ascii="Aptos" w:hAnsi="Aptos"/>
        </w:rPr>
        <w:t>Actualizar: ejecutar una consulta manual inmediata cuando se necesite una lectura puntual.</w:t>
      </w:r>
    </w:p>
    <w:p w14:paraId="0C885A7C" w14:textId="77777777" w:rsidR="006C6270" w:rsidRDefault="00000000">
      <w:pPr>
        <w:pStyle w:val="Ttulo1"/>
      </w:pPr>
      <w:r>
        <w:rPr>
          <w:rFonts w:ascii="Aptos" w:hAnsi="Aptos"/>
        </w:rPr>
        <w:t>6. Ver el detalle de un viaje</w:t>
      </w:r>
    </w:p>
    <w:p w14:paraId="660410ED" w14:textId="77777777" w:rsidR="006C6270" w:rsidRDefault="00000000">
      <w:r>
        <w:rPr>
          <w:rFonts w:ascii="Aptos" w:hAnsi="Aptos"/>
        </w:rPr>
        <w:t>Presionar o seleccionar una tarjeta para expandir el detalle de sus expediciones.</w:t>
      </w:r>
    </w:p>
    <w:p w14:paraId="450A400F" w14:textId="77777777" w:rsidR="006C6270" w:rsidRDefault="00000000">
      <w:pPr>
        <w:pStyle w:val="Listaconnmeros"/>
      </w:pPr>
      <w:r>
        <w:rPr>
          <w:rFonts w:ascii="Aptos" w:hAnsi="Aptos"/>
        </w:rPr>
        <w:t>Ubicar la dársena y verificar viaje, HR y matrícula.</w:t>
      </w:r>
    </w:p>
    <w:p w14:paraId="3548668D" w14:textId="77777777" w:rsidR="006C6270" w:rsidRDefault="00000000">
      <w:pPr>
        <w:pStyle w:val="Listaconnmeros"/>
      </w:pPr>
      <w:r>
        <w:rPr>
          <w:rFonts w:ascii="Aptos" w:hAnsi="Aptos"/>
        </w:rPr>
        <w:t>Comparar bultos efectivos, planificados y target.</w:t>
      </w:r>
    </w:p>
    <w:p w14:paraId="359306AA" w14:textId="77777777" w:rsidR="006C6270" w:rsidRDefault="00000000">
      <w:pPr>
        <w:pStyle w:val="Listaconnmeros"/>
      </w:pPr>
      <w:r>
        <w:rPr>
          <w:rFonts w:ascii="Aptos" w:hAnsi="Aptos"/>
        </w:rPr>
        <w:lastRenderedPageBreak/>
        <w:t>Revisar el semáforo y el estado de calidad.</w:t>
      </w:r>
    </w:p>
    <w:p w14:paraId="6473809F" w14:textId="77777777" w:rsidR="006C6270" w:rsidRDefault="00000000">
      <w:pPr>
        <w:pStyle w:val="Listaconnmeros"/>
      </w:pPr>
      <w:r>
        <w:rPr>
          <w:rFonts w:ascii="Aptos" w:hAnsi="Aptos"/>
        </w:rPr>
        <w:t>Abrir la tarjeta para consultar expediciones, bultos y pallets asociados.</w:t>
      </w:r>
    </w:p>
    <w:p w14:paraId="3E1A3DF0" w14:textId="77777777" w:rsidR="006C6270" w:rsidRDefault="00000000">
      <w:pPr>
        <w:pStyle w:val="Listaconnmeros"/>
      </w:pPr>
      <w:r>
        <w:rPr>
          <w:rFonts w:ascii="Aptos" w:hAnsi="Aptos"/>
        </w:rPr>
        <w:t>Cerrar el detalle volviendo a seleccionar la tarjeta.</w:t>
      </w:r>
    </w:p>
    <w:p w14:paraId="0FC6E26D" w14:textId="77777777" w:rsidR="006C6270" w:rsidRDefault="00000000">
      <w:pPr>
        <w:pStyle w:val="Ttulo1"/>
      </w:pPr>
      <w:r>
        <w:rPr>
          <w:rFonts w:ascii="Aptos" w:hAnsi="Aptos"/>
        </w:rPr>
        <w:t>7. Estado “Observación”</w:t>
      </w:r>
    </w:p>
    <w:p w14:paraId="5BE938F3" w14:textId="77777777" w:rsidR="006C6270" w:rsidRDefault="00000000">
      <w:r>
        <w:rPr>
          <w:rFonts w:ascii="Aptos" w:hAnsi="Aptos"/>
        </w:rPr>
        <w:t>Observación no significa necesariamente que la carga esté mal. Indica que el sistema detectó una diferencia o una inconsistencia en los datos de origen.</w:t>
      </w:r>
    </w:p>
    <w:p w14:paraId="1D3ABBD0" w14:textId="77777777" w:rsidR="006C6270" w:rsidRDefault="00000000">
      <w:pPr>
        <w:pStyle w:val="Listaconvietas"/>
      </w:pPr>
      <w:r>
        <w:rPr>
          <w:rFonts w:ascii="Aptos" w:hAnsi="Aptos"/>
        </w:rPr>
        <w:t>Diferencia de bultos contra la cabecera de la expedición o del pallet.</w:t>
      </w:r>
    </w:p>
    <w:p w14:paraId="7143E5DD" w14:textId="77777777" w:rsidR="006C6270" w:rsidRDefault="00000000">
      <w:pPr>
        <w:pStyle w:val="Listaconvietas"/>
      </w:pPr>
      <w:r>
        <w:rPr>
          <w:rFonts w:ascii="Aptos" w:hAnsi="Aptos"/>
        </w:rPr>
        <w:t>Pallet cargado sin detalle asociado.</w:t>
      </w:r>
    </w:p>
    <w:p w14:paraId="54D63E2E" w14:textId="77777777" w:rsidR="006C6270" w:rsidRDefault="00000000">
      <w:pPr>
        <w:pStyle w:val="Listaconvietas"/>
      </w:pPr>
      <w:r>
        <w:rPr>
          <w:rFonts w:ascii="Aptos" w:hAnsi="Aptos"/>
        </w:rPr>
        <w:t>Líneas sin variable logística o con nivel logístico inválido.</w:t>
      </w:r>
    </w:p>
    <w:p w14:paraId="3A1C3DF5" w14:textId="77777777" w:rsidR="006C6270" w:rsidRDefault="00000000">
      <w:pPr>
        <w:pStyle w:val="Listaconvietas"/>
      </w:pPr>
      <w:r>
        <w:rPr>
          <w:rFonts w:ascii="Aptos" w:hAnsi="Aptos"/>
        </w:rPr>
        <w:t>Variables logísticas duplicadas.</w:t>
      </w:r>
    </w:p>
    <w:p w14:paraId="6881B246" w14:textId="77777777" w:rsidR="006C6270" w:rsidRDefault="00000000">
      <w:r>
        <w:rPr>
          <w:rFonts w:ascii="Aptos" w:hAnsi="Aptos"/>
        </w:rPr>
        <w:t>Abrir la tarjeta para ver el motivo específico. Si la observación afecta la decisión de cierre, solicitar la revisión del dato en el sistema de origen antes de cerrar el camión.</w:t>
      </w:r>
    </w:p>
    <w:p w14:paraId="52A11234" w14:textId="77777777" w:rsidR="006C6270" w:rsidRDefault="00000000">
      <w:pPr>
        <w:pStyle w:val="Ttulo1"/>
      </w:pPr>
      <w:r>
        <w:rPr>
          <w:rFonts w:ascii="Aptos" w:hAnsi="Aptos"/>
        </w:rPr>
        <w:t>8. Recomendaciones de uso</w:t>
      </w:r>
    </w:p>
    <w:tbl>
      <w:tblPr>
        <w:tblStyle w:val="Tablaconcuadrcula"/>
        <w:tblW w:w="9792" w:type="dxa"/>
        <w:tblLayout w:type="fixed"/>
        <w:tblLook w:val="04A0" w:firstRow="1" w:lastRow="0" w:firstColumn="1" w:lastColumn="0" w:noHBand="0" w:noVBand="1"/>
      </w:tblPr>
      <w:tblGrid>
        <w:gridCol w:w="2448"/>
        <w:gridCol w:w="7344"/>
      </w:tblGrid>
      <w:tr w:rsidR="006C6270" w14:paraId="6D8DF7C5" w14:textId="77777777">
        <w:trPr>
          <w:tblHeader/>
        </w:trPr>
        <w:tc>
          <w:tcPr>
            <w:tcW w:w="2448" w:type="dxa"/>
            <w:shd w:val="clear" w:color="auto" w:fill="0B5FAE"/>
            <w:tcMar>
              <w:top w:w="100" w:type="dxa"/>
              <w:left w:w="120" w:type="dxa"/>
              <w:bottom w:w="100" w:type="dxa"/>
              <w:right w:w="120" w:type="dxa"/>
            </w:tcMar>
            <w:vAlign w:val="center"/>
          </w:tcPr>
          <w:p w14:paraId="08442884" w14:textId="77777777" w:rsidR="006C6270" w:rsidRDefault="00000000">
            <w:r>
              <w:rPr>
                <w:rFonts w:ascii="Aptos Display" w:hAnsi="Aptos Display"/>
                <w:b/>
                <w:color w:val="FFFFFF"/>
                <w:sz w:val="18"/>
              </w:rPr>
              <w:t>Situación</w:t>
            </w:r>
          </w:p>
        </w:tc>
        <w:tc>
          <w:tcPr>
            <w:tcW w:w="7344" w:type="dxa"/>
            <w:shd w:val="clear" w:color="auto" w:fill="0B5FAE"/>
            <w:tcMar>
              <w:top w:w="100" w:type="dxa"/>
              <w:left w:w="120" w:type="dxa"/>
              <w:bottom w:w="100" w:type="dxa"/>
              <w:right w:w="120" w:type="dxa"/>
            </w:tcMar>
            <w:vAlign w:val="center"/>
          </w:tcPr>
          <w:p w14:paraId="39D2F857" w14:textId="77777777" w:rsidR="006C6270" w:rsidRDefault="00000000">
            <w:r>
              <w:rPr>
                <w:rFonts w:ascii="Aptos Display" w:hAnsi="Aptos Display"/>
                <w:b/>
                <w:color w:val="FFFFFF"/>
                <w:sz w:val="18"/>
              </w:rPr>
              <w:t>Recomendación</w:t>
            </w:r>
          </w:p>
        </w:tc>
      </w:tr>
      <w:tr w:rsidR="006C6270" w14:paraId="5BC1BAD6" w14:textId="77777777">
        <w:tc>
          <w:tcPr>
            <w:tcW w:w="2448" w:type="dxa"/>
            <w:tcMar>
              <w:top w:w="100" w:type="dxa"/>
              <w:left w:w="120" w:type="dxa"/>
              <w:bottom w:w="100" w:type="dxa"/>
              <w:right w:w="120" w:type="dxa"/>
            </w:tcMar>
          </w:tcPr>
          <w:p w14:paraId="7A673C6B" w14:textId="77777777" w:rsidR="006C6270" w:rsidRDefault="00000000">
            <w:r>
              <w:rPr>
                <w:rFonts w:ascii="Aptos" w:hAnsi="Aptos"/>
                <w:sz w:val="18"/>
              </w:rPr>
              <w:t>Inicio de la jornada</w:t>
            </w:r>
          </w:p>
        </w:tc>
        <w:tc>
          <w:tcPr>
            <w:tcW w:w="7343" w:type="dxa"/>
            <w:tcMar>
              <w:top w:w="100" w:type="dxa"/>
              <w:left w:w="120" w:type="dxa"/>
              <w:bottom w:w="100" w:type="dxa"/>
              <w:right w:w="120" w:type="dxa"/>
            </w:tcMar>
          </w:tcPr>
          <w:p w14:paraId="6585DED0" w14:textId="77777777" w:rsidR="006C6270" w:rsidRDefault="00000000">
            <w:r>
              <w:rPr>
                <w:rFonts w:ascii="Aptos" w:hAnsi="Aptos"/>
                <w:sz w:val="18"/>
              </w:rPr>
              <w:t>Dejar el filtro en Cargas iniciadas para concentrarse en los viajes que ya tienen bultos efectivos.</w:t>
            </w:r>
          </w:p>
        </w:tc>
      </w:tr>
      <w:tr w:rsidR="006C6270" w14:paraId="302B9662" w14:textId="77777777">
        <w:tc>
          <w:tcPr>
            <w:tcW w:w="2448" w:type="dxa"/>
            <w:tcMar>
              <w:top w:w="100" w:type="dxa"/>
              <w:left w:w="120" w:type="dxa"/>
              <w:bottom w:w="100" w:type="dxa"/>
              <w:right w:w="120" w:type="dxa"/>
            </w:tcMar>
          </w:tcPr>
          <w:p w14:paraId="32298573" w14:textId="77777777" w:rsidR="006C6270" w:rsidRDefault="00000000">
            <w:r>
              <w:rPr>
                <w:rFonts w:ascii="Aptos" w:hAnsi="Aptos"/>
                <w:sz w:val="18"/>
              </w:rPr>
              <w:t>Seguimiento</w:t>
            </w:r>
          </w:p>
        </w:tc>
        <w:tc>
          <w:tcPr>
            <w:tcW w:w="7343" w:type="dxa"/>
            <w:tcMar>
              <w:top w:w="100" w:type="dxa"/>
              <w:left w:w="120" w:type="dxa"/>
              <w:bottom w:w="100" w:type="dxa"/>
              <w:right w:w="120" w:type="dxa"/>
            </w:tcMar>
          </w:tcPr>
          <w:p w14:paraId="7DF16138" w14:textId="77777777" w:rsidR="006C6270" w:rsidRDefault="00000000">
            <w:r>
              <w:rPr>
                <w:rFonts w:ascii="Aptos" w:hAnsi="Aptos"/>
                <w:sz w:val="18"/>
              </w:rPr>
              <w:t>Usar Refresh automático cada 1 minuto y observar cambios en efectivos, planificados y target.</w:t>
            </w:r>
          </w:p>
        </w:tc>
      </w:tr>
      <w:tr w:rsidR="006C6270" w14:paraId="04C2E8E8" w14:textId="77777777">
        <w:tc>
          <w:tcPr>
            <w:tcW w:w="2448" w:type="dxa"/>
            <w:tcMar>
              <w:top w:w="100" w:type="dxa"/>
              <w:left w:w="120" w:type="dxa"/>
              <w:bottom w:w="100" w:type="dxa"/>
              <w:right w:w="120" w:type="dxa"/>
            </w:tcMar>
          </w:tcPr>
          <w:p w14:paraId="1334FCF4" w14:textId="77777777" w:rsidR="006C6270" w:rsidRDefault="00000000">
            <w:r>
              <w:rPr>
                <w:rFonts w:ascii="Aptos" w:hAnsi="Aptos"/>
                <w:sz w:val="18"/>
              </w:rPr>
              <w:t>Revisión puntual</w:t>
            </w:r>
          </w:p>
        </w:tc>
        <w:tc>
          <w:tcPr>
            <w:tcW w:w="7343" w:type="dxa"/>
            <w:tcMar>
              <w:top w:w="100" w:type="dxa"/>
              <w:left w:w="120" w:type="dxa"/>
              <w:bottom w:w="100" w:type="dxa"/>
              <w:right w:w="120" w:type="dxa"/>
            </w:tcMar>
          </w:tcPr>
          <w:p w14:paraId="72D8DDD3" w14:textId="77777777" w:rsidR="006C6270" w:rsidRDefault="00000000">
            <w:r>
              <w:rPr>
                <w:rFonts w:ascii="Aptos" w:hAnsi="Aptos"/>
                <w:sz w:val="18"/>
              </w:rPr>
              <w:t>Usar Actualizar después de una acción de carga o cuando se necesite confirmar el último dato.</w:t>
            </w:r>
          </w:p>
        </w:tc>
      </w:tr>
      <w:tr w:rsidR="006C6270" w14:paraId="2D12A79C" w14:textId="77777777">
        <w:tc>
          <w:tcPr>
            <w:tcW w:w="2448" w:type="dxa"/>
            <w:tcMar>
              <w:top w:w="100" w:type="dxa"/>
              <w:left w:w="120" w:type="dxa"/>
              <w:bottom w:w="100" w:type="dxa"/>
              <w:right w:w="120" w:type="dxa"/>
            </w:tcMar>
          </w:tcPr>
          <w:p w14:paraId="446DCC7F" w14:textId="77777777" w:rsidR="006C6270" w:rsidRDefault="00000000">
            <w:r>
              <w:rPr>
                <w:rFonts w:ascii="Aptos" w:hAnsi="Aptos"/>
                <w:sz w:val="18"/>
              </w:rPr>
              <w:t>Sin target</w:t>
            </w:r>
          </w:p>
        </w:tc>
        <w:tc>
          <w:tcPr>
            <w:tcW w:w="7343" w:type="dxa"/>
            <w:tcMar>
              <w:top w:w="100" w:type="dxa"/>
              <w:left w:w="120" w:type="dxa"/>
              <w:bottom w:w="100" w:type="dxa"/>
              <w:right w:w="120" w:type="dxa"/>
            </w:tcMar>
          </w:tcPr>
          <w:p w14:paraId="434AF12A" w14:textId="77777777" w:rsidR="006C6270" w:rsidRDefault="00000000">
            <w:r>
              <w:rPr>
                <w:rFonts w:ascii="Aptos" w:hAnsi="Aptos"/>
                <w:sz w:val="18"/>
              </w:rPr>
              <w:t>No interpretar el color gris como carga baja: primero verificar la referencia disponible para el viaje.</w:t>
            </w:r>
          </w:p>
        </w:tc>
      </w:tr>
      <w:tr w:rsidR="006C6270" w14:paraId="7B8D61B3" w14:textId="77777777">
        <w:tc>
          <w:tcPr>
            <w:tcW w:w="2448" w:type="dxa"/>
            <w:tcMar>
              <w:top w:w="100" w:type="dxa"/>
              <w:left w:w="120" w:type="dxa"/>
              <w:bottom w:w="100" w:type="dxa"/>
              <w:right w:w="120" w:type="dxa"/>
            </w:tcMar>
          </w:tcPr>
          <w:p w14:paraId="3FB4CCDC" w14:textId="77777777" w:rsidR="006C6270" w:rsidRDefault="00000000">
            <w:r>
              <w:rPr>
                <w:rFonts w:ascii="Aptos" w:hAnsi="Aptos"/>
                <w:sz w:val="18"/>
              </w:rPr>
              <w:t>Observación</w:t>
            </w:r>
          </w:p>
        </w:tc>
        <w:tc>
          <w:tcPr>
            <w:tcW w:w="7343" w:type="dxa"/>
            <w:tcMar>
              <w:top w:w="100" w:type="dxa"/>
              <w:left w:w="120" w:type="dxa"/>
              <w:bottom w:w="100" w:type="dxa"/>
              <w:right w:w="120" w:type="dxa"/>
            </w:tcMar>
          </w:tcPr>
          <w:p w14:paraId="1623EED0" w14:textId="77777777" w:rsidR="006C6270" w:rsidRDefault="00000000">
            <w:r>
              <w:rPr>
                <w:rFonts w:ascii="Aptos" w:hAnsi="Aptos"/>
                <w:sz w:val="18"/>
              </w:rPr>
              <w:t>Leer el detalle de calidad y escalar sólo cuando la diferencia pueda afectar el cierre.</w:t>
            </w:r>
          </w:p>
        </w:tc>
      </w:tr>
    </w:tbl>
    <w:p w14:paraId="79E9FC72" w14:textId="77777777" w:rsidR="006C6270" w:rsidRDefault="006C6270">
      <w:pPr>
        <w:spacing w:after="0"/>
      </w:pPr>
    </w:p>
    <w:sectPr w:rsidR="006C6270" w:rsidSect="00034616">
      <w:headerReference w:type="default" r:id="rId10"/>
      <w:footerReference w:type="default" r:id="rId11"/>
      <w:pgSz w:w="12240" w:h="15840"/>
      <w:pgMar w:top="1080" w:right="1224" w:bottom="1008"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34DE2" w14:textId="77777777" w:rsidR="006F78D4" w:rsidRDefault="006F78D4">
      <w:pPr>
        <w:spacing w:after="0" w:line="240" w:lineRule="auto"/>
      </w:pPr>
      <w:r>
        <w:separator/>
      </w:r>
    </w:p>
  </w:endnote>
  <w:endnote w:type="continuationSeparator" w:id="0">
    <w:p w14:paraId="4A890DC8" w14:textId="77777777" w:rsidR="006F78D4" w:rsidRDefault="006F7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B7814" w14:textId="77777777" w:rsidR="002832E3" w:rsidRDefault="00000000">
    <w:pPr>
      <w:pStyle w:val="Piedepgina"/>
      <w:jc w:val="center"/>
    </w:pPr>
    <w:r>
      <w:rPr>
        <w:rFonts w:ascii="Aptos" w:hAnsi="Aptos"/>
        <w:color w:val="5C6773"/>
        <w:sz w:val="16"/>
      </w:rPr>
      <w:t xml:space="preserve">Manual de usuario · Monitor de Cargas · Página </w:t>
    </w:r>
    <w:r>
      <w:fldChar w:fldCharType="begin"/>
    </w:r>
    <w:r>
      <w:instrText>PAGE</w:instrText>
    </w:r>
    <w:r>
      <w:fldChar w:fldCharType="separate"/>
    </w:r>
    <w:r>
      <w:rPr>
        <w:rFonts w:ascii="Aptos" w:hAnsi="Aptos"/>
      </w:rPr>
      <w:t>1</w:t>
    </w:r>
    <w:r>
      <w:rPr>
        <w:rFonts w:ascii="Aptos" w:hAnsi="Apto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8F681" w14:textId="77777777" w:rsidR="006F78D4" w:rsidRDefault="006F78D4">
      <w:pPr>
        <w:spacing w:after="0" w:line="240" w:lineRule="auto"/>
      </w:pPr>
      <w:r>
        <w:separator/>
      </w:r>
    </w:p>
  </w:footnote>
  <w:footnote w:type="continuationSeparator" w:id="0">
    <w:p w14:paraId="0F8BAF58" w14:textId="77777777" w:rsidR="006F78D4" w:rsidRDefault="006F7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9E49F" w14:textId="77777777" w:rsidR="002832E3" w:rsidRDefault="00000000">
    <w:pPr>
      <w:pStyle w:val="Encabezado"/>
      <w:jc w:val="right"/>
    </w:pPr>
    <w:r>
      <w:rPr>
        <w:rFonts w:ascii="Aptos Display" w:hAnsi="Aptos Display"/>
        <w:b/>
        <w:color w:val="1F7A4D"/>
        <w:sz w:val="18"/>
      </w:rPr>
      <w:t>VigIA · OPERACIÓN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50236538">
    <w:abstractNumId w:val="8"/>
  </w:num>
  <w:num w:numId="2" w16cid:durableId="1748334257">
    <w:abstractNumId w:val="6"/>
  </w:num>
  <w:num w:numId="3" w16cid:durableId="638850772">
    <w:abstractNumId w:val="5"/>
  </w:num>
  <w:num w:numId="4" w16cid:durableId="1323923740">
    <w:abstractNumId w:val="4"/>
  </w:num>
  <w:num w:numId="5" w16cid:durableId="496265388">
    <w:abstractNumId w:val="7"/>
  </w:num>
  <w:num w:numId="6" w16cid:durableId="569845654">
    <w:abstractNumId w:val="3"/>
  </w:num>
  <w:num w:numId="7" w16cid:durableId="507065216">
    <w:abstractNumId w:val="2"/>
  </w:num>
  <w:num w:numId="8" w16cid:durableId="2058963996">
    <w:abstractNumId w:val="1"/>
  </w:num>
  <w:num w:numId="9" w16cid:durableId="392431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E87"/>
    <w:rsid w:val="002832E3"/>
    <w:rsid w:val="0029639D"/>
    <w:rsid w:val="002F3571"/>
    <w:rsid w:val="00326F90"/>
    <w:rsid w:val="003E49CD"/>
    <w:rsid w:val="00514628"/>
    <w:rsid w:val="006C6270"/>
    <w:rsid w:val="006F78D4"/>
    <w:rsid w:val="00786822"/>
    <w:rsid w:val="008145ED"/>
    <w:rsid w:val="008526F8"/>
    <w:rsid w:val="00A45E8F"/>
    <w:rsid w:val="00AA1D8D"/>
    <w:rsid w:val="00B1283E"/>
    <w:rsid w:val="00B47730"/>
    <w:rsid w:val="00B64558"/>
    <w:rsid w:val="00C92ECA"/>
    <w:rsid w:val="00CB0664"/>
    <w:rsid w:val="00CB1013"/>
    <w:rsid w:val="00D31A69"/>
    <w:rsid w:val="00E92549"/>
    <w:rsid w:val="00EA78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82988"/>
  <w14:defaultImageDpi w14:val="300"/>
  <w15:docId w15:val="{6A21DF4F-B0C0-4CC8-8D7C-E38A4F8BB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E1620"/>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08666">
      <w:bodyDiv w:val="1"/>
      <w:marLeft w:val="0"/>
      <w:marRight w:val="0"/>
      <w:marTop w:val="0"/>
      <w:marBottom w:val="0"/>
      <w:divBdr>
        <w:top w:val="none" w:sz="0" w:space="0" w:color="auto"/>
        <w:left w:val="none" w:sz="0" w:space="0" w:color="auto"/>
        <w:bottom w:val="none" w:sz="0" w:space="0" w:color="auto"/>
        <w:right w:val="none" w:sz="0" w:space="0" w:color="auto"/>
      </w:divBdr>
    </w:div>
    <w:div w:id="1344697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784</Words>
  <Characters>4316</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Manual de Usuario - Monitor de Cargas</vt:lpstr>
      <vt:lpstr/>
    </vt:vector>
  </TitlesOfParts>
  <Manager/>
  <Company/>
  <LinksUpToDate>false</LinksUpToDate>
  <CharactersWithSpaces>5090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Monitor de Cargas</dc:title>
  <dc:subject>Seguimiento de bultos por dársena</dc:subject>
  <dc:creator>VigIA</dc:creator>
  <cp:keywords>VigIA, recepción, refrigerados, PLU, fotografías</cp:keywords>
  <dc:description>generated by python-docx</dc:description>
  <cp:lastModifiedBy>093 Ingenieria - Cucci Adrian Augusto</cp:lastModifiedBy>
  <cp:revision>9</cp:revision>
  <dcterms:created xsi:type="dcterms:W3CDTF">2013-12-23T23:15:00Z</dcterms:created>
  <dcterms:modified xsi:type="dcterms:W3CDTF">2026-09-01T14:48:00Z</dcterms:modified>
  <cp:category/>
</cp:coreProperties>
</file>