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2"/>
        </w:rPr>
        <w:t>INFORME GERENCIAL</w:t>
      </w:r>
    </w:p>
    <w:p>
      <w:r>
        <w:rPr>
          <w:b/>
          <w:color w:val="17365D"/>
          <w:sz w:val="46"/>
        </w:rPr>
        <w:t>Reclamo de productividad - Operación CARGA</w:t>
      </w:r>
    </w:p>
    <w:p>
      <w:r>
        <w:rPr>
          <w:color w:val="666666"/>
          <w:sz w:val="26"/>
        </w:rPr>
        <w:t>Diagnóstico de escala, operación, dotación y combinación CARGA + CARRETEO</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trPr>
        <w:tc>
          <w:tcPr>
            <w:tcW w:type="dxa" w:w="2484"/>
            <w:vAlign w:val="center"/>
            <w:shd w:fill="1F4E79"/>
          </w:tcPr>
          <w:p>
            <w:pPr>
              <w:spacing w:after="0"/>
            </w:pPr>
            <w:r/>
            <w:r>
              <w:rPr>
                <w:rFonts w:ascii="Calibri" w:hAnsi="Calibri"/>
                <w:b/>
                <w:color w:val="FFFFFF"/>
                <w:sz w:val="17"/>
              </w:rPr>
              <w:t>Destinatarios</w:t>
            </w:r>
          </w:p>
        </w:tc>
        <w:tc>
          <w:tcPr>
            <w:tcW w:type="dxa" w:w="2484"/>
            <w:vAlign w:val="center"/>
            <w:shd w:fill="1F4E79"/>
          </w:tcPr>
          <w:p>
            <w:pPr>
              <w:spacing w:after="0"/>
            </w:pPr>
            <w:r/>
            <w:r>
              <w:rPr>
                <w:rFonts w:ascii="Calibri" w:hAnsi="Calibri"/>
                <w:b/>
                <w:color w:val="FFFFFF"/>
                <w:sz w:val="17"/>
              </w:rPr>
              <w:t>Período</w:t>
            </w:r>
          </w:p>
        </w:tc>
        <w:tc>
          <w:tcPr>
            <w:tcW w:type="dxa" w:w="2484"/>
            <w:vAlign w:val="center"/>
            <w:shd w:fill="1F4E79"/>
          </w:tcPr>
          <w:p>
            <w:pPr>
              <w:spacing w:after="0"/>
            </w:pPr>
            <w:r/>
            <w:r>
              <w:rPr>
                <w:rFonts w:ascii="Calibri" w:hAnsi="Calibri"/>
                <w:b/>
                <w:color w:val="FFFFFF"/>
                <w:sz w:val="17"/>
              </w:rPr>
              <w:t>Fuentes</w:t>
            </w:r>
          </w:p>
        </w:tc>
        <w:tc>
          <w:tcPr>
            <w:tcW w:type="dxa" w:w="2484"/>
            <w:vAlign w:val="center"/>
            <w:shd w:fill="1F4E79"/>
          </w:tcPr>
          <w:p>
            <w:pPr>
              <w:spacing w:after="0"/>
            </w:pPr>
            <w:r/>
            <w:r>
              <w:rPr>
                <w:rFonts w:ascii="Calibri" w:hAnsi="Calibri"/>
                <w:b/>
                <w:color w:val="FFFFFF"/>
                <w:sz w:val="17"/>
              </w:rPr>
              <w:t>Estado</w:t>
            </w:r>
          </w:p>
        </w:tc>
      </w:tr>
      <w:tr>
        <w:tc>
          <w:tcPr>
            <w:tcW w:type="dxa" w:w="2484"/>
            <w:vAlign w:val="center"/>
            <w:shd w:fill="F5F7FA"/>
          </w:tcPr>
          <w:p>
            <w:pPr>
              <w:spacing w:after="0"/>
            </w:pPr>
            <w:r/>
            <w:r>
              <w:rPr>
                <w:rFonts w:ascii="Calibri" w:hAnsi="Calibri"/>
                <w:b w:val="0"/>
                <w:sz w:val="17"/>
              </w:rPr>
              <w:t>RRHH y Gerencia Operativa</w:t>
            </w:r>
          </w:p>
        </w:tc>
        <w:tc>
          <w:tcPr>
            <w:tcW w:type="dxa" w:w="2484"/>
            <w:vAlign w:val="center"/>
            <w:shd w:fill="F5F7FA"/>
          </w:tcPr>
          <w:p>
            <w:pPr>
              <w:spacing w:after="0"/>
            </w:pPr>
            <w:r/>
            <w:r>
              <w:rPr>
                <w:rFonts w:ascii="Calibri" w:hAnsi="Calibri"/>
                <w:b w:val="0"/>
                <w:sz w:val="17"/>
              </w:rPr>
              <w:t>Ene-2025 a Ago-2026</w:t>
            </w:r>
          </w:p>
        </w:tc>
        <w:tc>
          <w:tcPr>
            <w:tcW w:type="dxa" w:w="2484"/>
            <w:vAlign w:val="center"/>
            <w:shd w:fill="F5F7FA"/>
          </w:tcPr>
          <w:p>
            <w:pPr>
              <w:spacing w:after="0"/>
            </w:pPr>
            <w:r/>
            <w:r>
              <w:rPr>
                <w:rFonts w:ascii="Calibri" w:hAnsi="Calibri"/>
                <w:b w:val="0"/>
                <w:sz w:val="17"/>
              </w:rPr>
              <w:t>Oracle productiva + cache VigIA</w:t>
            </w:r>
          </w:p>
        </w:tc>
        <w:tc>
          <w:tcPr>
            <w:tcW w:type="dxa" w:w="2484"/>
            <w:vAlign w:val="center"/>
            <w:shd w:fill="F5F7FA"/>
          </w:tcPr>
          <w:p>
            <w:pPr>
              <w:spacing w:after="0"/>
            </w:pPr>
            <w:r/>
            <w:r>
              <w:rPr>
                <w:rFonts w:ascii="Calibri" w:hAnsi="Calibri"/>
                <w:b w:val="0"/>
                <w:sz w:val="17"/>
              </w:rPr>
              <w:t>Diagnóstico inicial</w:t>
            </w:r>
          </w:p>
        </w:tc>
      </w:tr>
    </w:tbl>
    <w:p>
      <w:pPr>
        <w:spacing w:after="20"/>
      </w:pPr>
    </w:p>
    <w:p>
      <w:pPr>
        <w:pStyle w:val="Heading1"/>
        <w:keepNext/>
      </w:pPr>
      <w:r>
        <w:t>Conclusión ejecutiva</w:t>
      </w:r>
    </w:p>
    <w:p>
      <w:pPr>
        <w:spacing w:after="100" w:line="259" w:lineRule="auto"/>
      </w:pPr>
      <w:r>
        <w:rPr>
          <w:rFonts w:ascii="Calibri" w:hAnsi="Calibri"/>
          <w:i w:val="0"/>
          <w:sz w:val="21"/>
        </w:rPr>
        <w:t>La evidencia no muestra que la escala de CARGA haya sido endurecida recientemente: la tabla vigente conserva umbrales históricos (grupo productivo 19, desde 2014). El deterioro observado es operativo y de conversión: la proporción de jornadas con premio positivo baja de 54,9% en marzo de 2026 a 28,3% en julio, mientras el nivel promedio cae de 2,04 a 1,45. La caída de producción equivalente es menor que la caída del premio, lo que indica que muchos operarios están quedando debajo del corte de pago. La combinación con CARRETEO y la dotación debe controlarse porque puede diluir el volumen por persona, pero con la evidencia disponible no alcanza por sí sola para explicar todo el deterioro.</w:t>
      </w:r>
    </w:p>
    <w:p>
      <w:pPr>
        <w:pStyle w:val="Heading1"/>
        <w:keepNext/>
      </w:pPr>
      <w:r>
        <w:t>1. Resumen para decisión</w:t>
      </w:r>
    </w:p>
    <w:p>
      <w:pPr>
        <w:pStyle w:val="ListBullet"/>
        <w:spacing w:after="60" w:line="252" w:lineRule="auto"/>
      </w:pPr>
      <w:r>
        <w:rPr>
          <w:rFonts w:ascii="Calibri" w:hAnsi="Calibri"/>
          <w:sz w:val="21"/>
        </w:rPr>
        <w:t>Confirmado: CARGA registra una pérdida de acceso al premio positivo desde abril-mayo de 2026, con empeoramiento marcado en junio-julio.</w:t>
      </w:r>
    </w:p>
    <w:p>
      <w:pPr>
        <w:pStyle w:val="ListBullet"/>
        <w:spacing w:after="60" w:line="252" w:lineRule="auto"/>
      </w:pPr>
      <w:r>
        <w:rPr>
          <w:rFonts w:ascii="Calibri" w:hAnsi="Calibri"/>
          <w:sz w:val="21"/>
        </w:rPr>
        <w:t>Confirmado: los operarios que aparecen en ambos meses muestran una caída consistente: 40 legajos comparables, 57,5% de jornadas con premio positivo en marzo versus 28,6% en julio.</w:t>
      </w:r>
    </w:p>
    <w:p>
      <w:pPr>
        <w:pStyle w:val="ListBullet"/>
        <w:spacing w:after="60" w:line="252" w:lineRule="auto"/>
      </w:pPr>
      <w:r>
        <w:rPr>
          <w:rFonts w:ascii="Calibri" w:hAnsi="Calibri"/>
          <w:sz w:val="21"/>
        </w:rPr>
        <w:t>No confirmado como causa: un cambio reciente de umbral. La configuración vigente de CARGA grupo 19 muestra nivel 1 sin pago y el primer tramo con pago desde 247 unidades; sus marcas de vigencia son antiguas.</w:t>
      </w:r>
    </w:p>
    <w:p>
      <w:pPr>
        <w:pStyle w:val="ListBullet"/>
        <w:spacing w:after="60" w:line="252" w:lineRule="auto"/>
      </w:pPr>
      <w:r>
        <w:rPr>
          <w:rFonts w:ascii="Calibri" w:hAnsi="Calibri"/>
          <w:sz w:val="21"/>
        </w:rPr>
        <w:t>Hipótesis con evidencia parcial: menor producción equivalente por jornada y mayor mezcla de tareas; CARGA y CARRETEO deben analizarse como carga laboral conjunta.</w:t>
      </w:r>
    </w:p>
    <w:p>
      <w:pPr>
        <w:pStyle w:val="ListBullet"/>
        <w:spacing w:after="60" w:line="252" w:lineRule="auto"/>
      </w:pPr>
      <w:r>
        <w:rPr>
          <w:rFonts w:ascii="Calibri" w:hAnsi="Calibri"/>
          <w:sz w:val="21"/>
        </w:rPr>
        <w:t>Recomendación: no tratar el reclamo como un problema individual de esfuerzo hasta auditar asignación, horas efectivas, mezcla CARGA/CARRETEO y conversión de etapas a producción equivalente.</w:t>
      </w:r>
    </w:p>
    <w:p>
      <w:pPr>
        <w:pStyle w:val="Heading1"/>
        <w:keepNext/>
      </w:pPr>
      <w:r>
        <w:t>2. Qué cambió en la escala observada</w:t>
      </w:r>
    </w:p>
    <w:p>
      <w:pPr>
        <w:spacing w:after="100" w:line="259" w:lineRule="auto"/>
      </w:pPr>
      <w:r>
        <w:rPr>
          <w:rFonts w:ascii="Calibri" w:hAnsi="Calibri"/>
          <w:i w:val="0"/>
          <w:sz w:val="21"/>
        </w:rPr>
        <w:t>En Oracle, para CARGA y grupo productivo 19, la escala vigente tiene nivel 1 entre 0 y 246 unidades con premio cero; el primer tramo con premio positivo comienza en nivel 2, entre 247 y 284. Los registros de vigencia y timestamp de esos tramos se remontan a abril de 2014. Por lo tanto, la hipótesis de que el umbral se haya elevado en los últimos meses no queda respaldada por la tabla de escala vigente.</w:t>
      </w:r>
    </w:p>
    <w:tbl>
      <w:tblPr>
        <w:tblStyle w:val="TableGrid"/>
        <w:tblW w:type="auto" w:w="0"/>
        <w:jc w:val="left"/>
        <w:tblLayout w:type="fixed"/>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center"/>
            <w:shd w:fill="1F4E79"/>
          </w:tcPr>
          <w:p>
            <w:pPr>
              <w:spacing w:after="0"/>
            </w:pPr>
            <w:r/>
            <w:r>
              <w:rPr>
                <w:rFonts w:ascii="Calibri" w:hAnsi="Calibri"/>
                <w:b/>
                <w:color w:val="FFFFFF"/>
                <w:sz w:val="17"/>
              </w:rPr>
              <w:t>Mes</w:t>
            </w:r>
          </w:p>
        </w:tc>
        <w:tc>
          <w:tcPr>
            <w:tcW w:type="dxa" w:w="1419"/>
            <w:vAlign w:val="center"/>
            <w:shd w:fill="1F4E79"/>
          </w:tcPr>
          <w:p>
            <w:pPr>
              <w:spacing w:after="0"/>
            </w:pPr>
            <w:r/>
            <w:r>
              <w:rPr>
                <w:rFonts w:ascii="Calibri" w:hAnsi="Calibri"/>
                <w:b/>
                <w:color w:val="FFFFFF"/>
                <w:sz w:val="17"/>
              </w:rPr>
              <w:t>Jornadas</w:t>
            </w:r>
          </w:p>
        </w:tc>
        <w:tc>
          <w:tcPr>
            <w:tcW w:type="dxa" w:w="1419"/>
            <w:vAlign w:val="center"/>
            <w:shd w:fill="1F4E79"/>
          </w:tcPr>
          <w:p>
            <w:pPr>
              <w:spacing w:after="0"/>
            </w:pPr>
            <w:r/>
            <w:r>
              <w:rPr>
                <w:rFonts w:ascii="Calibri" w:hAnsi="Calibri"/>
                <w:b/>
                <w:color w:val="FFFFFF"/>
                <w:sz w:val="17"/>
              </w:rPr>
              <w:t>Premio positivo</w:t>
            </w:r>
          </w:p>
        </w:tc>
        <w:tc>
          <w:tcPr>
            <w:tcW w:type="dxa" w:w="1419"/>
            <w:vAlign w:val="center"/>
            <w:shd w:fill="1F4E79"/>
          </w:tcPr>
          <w:p>
            <w:pPr>
              <w:spacing w:after="0"/>
            </w:pPr>
            <w:r/>
            <w:r>
              <w:rPr>
                <w:rFonts w:ascii="Calibri" w:hAnsi="Calibri"/>
                <w:b/>
                <w:color w:val="FFFFFF"/>
                <w:sz w:val="17"/>
              </w:rPr>
              <w:t>Nivel prom.</w:t>
            </w:r>
          </w:p>
        </w:tc>
        <w:tc>
          <w:tcPr>
            <w:tcW w:type="dxa" w:w="1419"/>
            <w:vAlign w:val="center"/>
            <w:shd w:fill="1F4E79"/>
          </w:tcPr>
          <w:p>
            <w:pPr>
              <w:spacing w:after="0"/>
            </w:pPr>
            <w:r/>
            <w:r>
              <w:rPr>
                <w:rFonts w:ascii="Calibri" w:hAnsi="Calibri"/>
                <w:b/>
                <w:color w:val="FFFFFF"/>
                <w:sz w:val="17"/>
              </w:rPr>
              <w:t>Prod. real</w:t>
            </w:r>
          </w:p>
        </w:tc>
        <w:tc>
          <w:tcPr>
            <w:tcW w:type="dxa" w:w="1419"/>
            <w:vAlign w:val="center"/>
            <w:shd w:fill="1F4E79"/>
          </w:tcPr>
          <w:p>
            <w:pPr>
              <w:spacing w:after="0"/>
            </w:pPr>
            <w:r/>
            <w:r>
              <w:rPr>
                <w:rFonts w:ascii="Calibri" w:hAnsi="Calibri"/>
                <w:b/>
                <w:color w:val="FFFFFF"/>
                <w:sz w:val="17"/>
              </w:rPr>
              <w:t>Equiv. sector</w:t>
            </w:r>
          </w:p>
        </w:tc>
        <w:tc>
          <w:tcPr>
            <w:tcW w:type="dxa" w:w="1419"/>
            <w:vAlign w:val="center"/>
            <w:shd w:fill="1F4E79"/>
          </w:tcPr>
          <w:p>
            <w:pPr>
              <w:spacing w:after="0"/>
            </w:pPr>
            <w:r/>
            <w:r>
              <w:rPr>
                <w:rFonts w:ascii="Calibri" w:hAnsi="Calibri"/>
                <w:b/>
                <w:color w:val="FFFFFF"/>
                <w:sz w:val="17"/>
              </w:rPr>
              <w:t>Equiv. total</w:t>
            </w:r>
          </w:p>
        </w:tc>
      </w:tr>
      <w:tr>
        <w:tc>
          <w:tcPr>
            <w:tcW w:type="dxa" w:w="1419"/>
            <w:vAlign w:val="center"/>
            <w:shd w:fill="F5F7FA"/>
          </w:tcPr>
          <w:p>
            <w:pPr>
              <w:spacing w:after="0"/>
            </w:pPr>
            <w:r/>
            <w:r>
              <w:rPr>
                <w:rFonts w:ascii="Calibri" w:hAnsi="Calibri"/>
                <w:b w:val="0"/>
                <w:sz w:val="17"/>
              </w:rPr>
              <w:t>2026-01</w:t>
            </w:r>
          </w:p>
        </w:tc>
        <w:tc>
          <w:tcPr>
            <w:tcW w:type="dxa" w:w="1419"/>
            <w:vAlign w:val="center"/>
            <w:shd w:fill="F5F7FA"/>
          </w:tcPr>
          <w:p>
            <w:pPr>
              <w:spacing w:after="0"/>
            </w:pPr>
            <w:r/>
            <w:r>
              <w:rPr>
                <w:rFonts w:ascii="Calibri" w:hAnsi="Calibri"/>
                <w:b w:val="0"/>
                <w:sz w:val="17"/>
              </w:rPr>
              <w:t>738</w:t>
            </w:r>
          </w:p>
        </w:tc>
        <w:tc>
          <w:tcPr>
            <w:tcW w:type="dxa" w:w="1419"/>
            <w:vAlign w:val="center"/>
            <w:shd w:fill="F5F7FA"/>
          </w:tcPr>
          <w:p>
            <w:pPr>
              <w:spacing w:after="0"/>
            </w:pPr>
            <w:r/>
            <w:r>
              <w:rPr>
                <w:rFonts w:ascii="Calibri" w:hAnsi="Calibri"/>
                <w:b w:val="0"/>
                <w:sz w:val="17"/>
              </w:rPr>
              <w:t>45,1%</w:t>
            </w:r>
          </w:p>
        </w:tc>
        <w:tc>
          <w:tcPr>
            <w:tcW w:type="dxa" w:w="1419"/>
            <w:vAlign w:val="center"/>
            <w:shd w:fill="F5F7FA"/>
          </w:tcPr>
          <w:p>
            <w:pPr>
              <w:spacing w:after="0"/>
            </w:pPr>
            <w:r/>
            <w:r>
              <w:rPr>
                <w:rFonts w:ascii="Calibri" w:hAnsi="Calibri"/>
                <w:b w:val="0"/>
                <w:sz w:val="17"/>
              </w:rPr>
              <w:t>1,81</w:t>
            </w:r>
          </w:p>
        </w:tc>
        <w:tc>
          <w:tcPr>
            <w:tcW w:type="dxa" w:w="1419"/>
            <w:vAlign w:val="center"/>
            <w:shd w:fill="F5F7FA"/>
          </w:tcPr>
          <w:p>
            <w:pPr>
              <w:spacing w:after="0"/>
            </w:pPr>
            <w:r/>
            <w:r>
              <w:rPr>
                <w:rFonts w:ascii="Calibri" w:hAnsi="Calibri"/>
                <w:b w:val="0"/>
                <w:sz w:val="17"/>
              </w:rPr>
              <w:t>71,7</w:t>
            </w:r>
          </w:p>
        </w:tc>
        <w:tc>
          <w:tcPr>
            <w:tcW w:type="dxa" w:w="1419"/>
            <w:vAlign w:val="center"/>
            <w:shd w:fill="F5F7FA"/>
          </w:tcPr>
          <w:p>
            <w:pPr>
              <w:spacing w:after="0"/>
            </w:pPr>
            <w:r/>
            <w:r>
              <w:rPr>
                <w:rFonts w:ascii="Calibri" w:hAnsi="Calibri"/>
                <w:b w:val="0"/>
                <w:sz w:val="17"/>
              </w:rPr>
              <w:t>81,3</w:t>
            </w:r>
          </w:p>
        </w:tc>
        <w:tc>
          <w:tcPr>
            <w:tcW w:type="dxa" w:w="1419"/>
            <w:vAlign w:val="center"/>
            <w:shd w:fill="F5F7FA"/>
          </w:tcPr>
          <w:p>
            <w:pPr>
              <w:spacing w:after="0"/>
            </w:pPr>
            <w:r/>
            <w:r>
              <w:rPr>
                <w:rFonts w:ascii="Calibri" w:hAnsi="Calibri"/>
                <w:b w:val="0"/>
                <w:sz w:val="17"/>
              </w:rPr>
              <w:t>107,0</w:t>
            </w:r>
          </w:p>
        </w:tc>
      </w:tr>
      <w:tr>
        <w:tc>
          <w:tcPr>
            <w:tcW w:type="dxa" w:w="1419"/>
            <w:vAlign w:val="center"/>
          </w:tcPr>
          <w:p>
            <w:pPr>
              <w:spacing w:after="0"/>
            </w:pPr>
            <w:r/>
            <w:r>
              <w:rPr>
                <w:rFonts w:ascii="Calibri" w:hAnsi="Calibri"/>
                <w:b w:val="0"/>
                <w:sz w:val="17"/>
              </w:rPr>
              <w:t>2026-02</w:t>
            </w:r>
          </w:p>
        </w:tc>
        <w:tc>
          <w:tcPr>
            <w:tcW w:type="dxa" w:w="1419"/>
            <w:vAlign w:val="center"/>
          </w:tcPr>
          <w:p>
            <w:pPr>
              <w:spacing w:after="0"/>
            </w:pPr>
            <w:r/>
            <w:r>
              <w:rPr>
                <w:rFonts w:ascii="Calibri" w:hAnsi="Calibri"/>
                <w:b w:val="0"/>
                <w:sz w:val="17"/>
              </w:rPr>
              <w:t>610</w:t>
            </w:r>
          </w:p>
        </w:tc>
        <w:tc>
          <w:tcPr>
            <w:tcW w:type="dxa" w:w="1419"/>
            <w:vAlign w:val="center"/>
          </w:tcPr>
          <w:p>
            <w:pPr>
              <w:spacing w:after="0"/>
            </w:pPr>
            <w:r/>
            <w:r>
              <w:rPr>
                <w:rFonts w:ascii="Calibri" w:hAnsi="Calibri"/>
                <w:b w:val="0"/>
                <w:sz w:val="17"/>
              </w:rPr>
              <w:t>51,2%</w:t>
            </w:r>
          </w:p>
        </w:tc>
        <w:tc>
          <w:tcPr>
            <w:tcW w:type="dxa" w:w="1419"/>
            <w:vAlign w:val="center"/>
          </w:tcPr>
          <w:p>
            <w:pPr>
              <w:spacing w:after="0"/>
            </w:pPr>
            <w:r/>
            <w:r>
              <w:rPr>
                <w:rFonts w:ascii="Calibri" w:hAnsi="Calibri"/>
                <w:b w:val="0"/>
                <w:sz w:val="17"/>
              </w:rPr>
              <w:t>1,92</w:t>
            </w:r>
          </w:p>
        </w:tc>
        <w:tc>
          <w:tcPr>
            <w:tcW w:type="dxa" w:w="1419"/>
            <w:vAlign w:val="center"/>
          </w:tcPr>
          <w:p>
            <w:pPr>
              <w:spacing w:after="0"/>
            </w:pPr>
            <w:r/>
            <w:r>
              <w:rPr>
                <w:rFonts w:ascii="Calibri" w:hAnsi="Calibri"/>
                <w:b w:val="0"/>
                <w:sz w:val="17"/>
              </w:rPr>
              <w:t>67,5</w:t>
            </w:r>
          </w:p>
        </w:tc>
        <w:tc>
          <w:tcPr>
            <w:tcW w:type="dxa" w:w="1419"/>
            <w:vAlign w:val="center"/>
          </w:tcPr>
          <w:p>
            <w:pPr>
              <w:spacing w:after="0"/>
            </w:pPr>
            <w:r/>
            <w:r>
              <w:rPr>
                <w:rFonts w:ascii="Calibri" w:hAnsi="Calibri"/>
                <w:b w:val="0"/>
                <w:sz w:val="17"/>
              </w:rPr>
              <w:t>77,6</w:t>
            </w:r>
          </w:p>
        </w:tc>
        <w:tc>
          <w:tcPr>
            <w:tcW w:type="dxa" w:w="1419"/>
            <w:vAlign w:val="center"/>
          </w:tcPr>
          <w:p>
            <w:pPr>
              <w:spacing w:after="0"/>
            </w:pPr>
            <w:r/>
            <w:r>
              <w:rPr>
                <w:rFonts w:ascii="Calibri" w:hAnsi="Calibri"/>
                <w:b w:val="0"/>
                <w:sz w:val="17"/>
              </w:rPr>
              <w:t>105,1</w:t>
            </w:r>
          </w:p>
        </w:tc>
      </w:tr>
      <w:tr>
        <w:tc>
          <w:tcPr>
            <w:tcW w:type="dxa" w:w="1419"/>
            <w:vAlign w:val="center"/>
            <w:shd w:fill="F5F7FA"/>
          </w:tcPr>
          <w:p>
            <w:pPr>
              <w:spacing w:after="0"/>
            </w:pPr>
            <w:r/>
            <w:r>
              <w:rPr>
                <w:rFonts w:ascii="Calibri" w:hAnsi="Calibri"/>
                <w:b w:val="0"/>
                <w:sz w:val="17"/>
              </w:rPr>
              <w:t>2026-03</w:t>
            </w:r>
          </w:p>
        </w:tc>
        <w:tc>
          <w:tcPr>
            <w:tcW w:type="dxa" w:w="1419"/>
            <w:vAlign w:val="center"/>
            <w:shd w:fill="F5F7FA"/>
          </w:tcPr>
          <w:p>
            <w:pPr>
              <w:spacing w:after="0"/>
            </w:pPr>
            <w:r/>
            <w:r>
              <w:rPr>
                <w:rFonts w:ascii="Calibri" w:hAnsi="Calibri"/>
                <w:b w:val="0"/>
                <w:sz w:val="17"/>
              </w:rPr>
              <w:t>709</w:t>
            </w:r>
          </w:p>
        </w:tc>
        <w:tc>
          <w:tcPr>
            <w:tcW w:type="dxa" w:w="1419"/>
            <w:vAlign w:val="center"/>
            <w:shd w:fill="F5F7FA"/>
          </w:tcPr>
          <w:p>
            <w:pPr>
              <w:spacing w:after="0"/>
            </w:pPr>
            <w:r/>
            <w:r>
              <w:rPr>
                <w:rFonts w:ascii="Calibri" w:hAnsi="Calibri"/>
                <w:b w:val="0"/>
                <w:sz w:val="17"/>
              </w:rPr>
              <w:t>54,9%</w:t>
            </w:r>
          </w:p>
        </w:tc>
        <w:tc>
          <w:tcPr>
            <w:tcW w:type="dxa" w:w="1419"/>
            <w:vAlign w:val="center"/>
            <w:shd w:fill="F5F7FA"/>
          </w:tcPr>
          <w:p>
            <w:pPr>
              <w:spacing w:after="0"/>
            </w:pPr>
            <w:r/>
            <w:r>
              <w:rPr>
                <w:rFonts w:ascii="Calibri" w:hAnsi="Calibri"/>
                <w:b w:val="0"/>
                <w:sz w:val="17"/>
              </w:rPr>
              <w:t>2,04</w:t>
            </w:r>
          </w:p>
        </w:tc>
        <w:tc>
          <w:tcPr>
            <w:tcW w:type="dxa" w:w="1419"/>
            <w:vAlign w:val="center"/>
            <w:shd w:fill="F5F7FA"/>
          </w:tcPr>
          <w:p>
            <w:pPr>
              <w:spacing w:after="0"/>
            </w:pPr>
            <w:r/>
            <w:r>
              <w:rPr>
                <w:rFonts w:ascii="Calibri" w:hAnsi="Calibri"/>
                <w:b w:val="0"/>
                <w:sz w:val="17"/>
              </w:rPr>
              <w:t>70,4</w:t>
            </w:r>
          </w:p>
        </w:tc>
        <w:tc>
          <w:tcPr>
            <w:tcW w:type="dxa" w:w="1419"/>
            <w:vAlign w:val="center"/>
            <w:shd w:fill="F5F7FA"/>
          </w:tcPr>
          <w:p>
            <w:pPr>
              <w:spacing w:after="0"/>
            </w:pPr>
            <w:r/>
            <w:r>
              <w:rPr>
                <w:rFonts w:ascii="Calibri" w:hAnsi="Calibri"/>
                <w:b w:val="0"/>
                <w:sz w:val="17"/>
              </w:rPr>
              <w:t>83,3</w:t>
            </w:r>
          </w:p>
        </w:tc>
        <w:tc>
          <w:tcPr>
            <w:tcW w:type="dxa" w:w="1419"/>
            <w:vAlign w:val="center"/>
            <w:shd w:fill="F5F7FA"/>
          </w:tcPr>
          <w:p>
            <w:pPr>
              <w:spacing w:after="0"/>
            </w:pPr>
            <w:r/>
            <w:r>
              <w:rPr>
                <w:rFonts w:ascii="Calibri" w:hAnsi="Calibri"/>
                <w:b w:val="0"/>
                <w:sz w:val="17"/>
              </w:rPr>
              <w:t>120,8</w:t>
            </w:r>
          </w:p>
        </w:tc>
      </w:tr>
      <w:tr>
        <w:tc>
          <w:tcPr>
            <w:tcW w:type="dxa" w:w="1419"/>
            <w:vAlign w:val="center"/>
          </w:tcPr>
          <w:p>
            <w:pPr>
              <w:spacing w:after="0"/>
            </w:pPr>
            <w:r/>
            <w:r>
              <w:rPr>
                <w:rFonts w:ascii="Calibri" w:hAnsi="Calibri"/>
                <w:b w:val="0"/>
                <w:sz w:val="17"/>
              </w:rPr>
              <w:t>2026-04</w:t>
            </w:r>
          </w:p>
        </w:tc>
        <w:tc>
          <w:tcPr>
            <w:tcW w:type="dxa" w:w="1419"/>
            <w:vAlign w:val="center"/>
          </w:tcPr>
          <w:p>
            <w:pPr>
              <w:spacing w:after="0"/>
            </w:pPr>
            <w:r/>
            <w:r>
              <w:rPr>
                <w:rFonts w:ascii="Calibri" w:hAnsi="Calibri"/>
                <w:b w:val="0"/>
                <w:sz w:val="17"/>
              </w:rPr>
              <w:t>743</w:t>
            </w:r>
          </w:p>
        </w:tc>
        <w:tc>
          <w:tcPr>
            <w:tcW w:type="dxa" w:w="1419"/>
            <w:vAlign w:val="center"/>
          </w:tcPr>
          <w:p>
            <w:pPr>
              <w:spacing w:after="0"/>
            </w:pPr>
            <w:r/>
            <w:r>
              <w:rPr>
                <w:rFonts w:ascii="Calibri" w:hAnsi="Calibri"/>
                <w:b w:val="0"/>
                <w:sz w:val="17"/>
              </w:rPr>
              <w:t>48,2%</w:t>
            </w:r>
          </w:p>
        </w:tc>
        <w:tc>
          <w:tcPr>
            <w:tcW w:type="dxa" w:w="1419"/>
            <w:vAlign w:val="center"/>
          </w:tcPr>
          <w:p>
            <w:pPr>
              <w:spacing w:after="0"/>
            </w:pPr>
            <w:r/>
            <w:r>
              <w:rPr>
                <w:rFonts w:ascii="Calibri" w:hAnsi="Calibri"/>
                <w:b w:val="0"/>
                <w:sz w:val="17"/>
              </w:rPr>
              <w:t>1,83</w:t>
            </w:r>
          </w:p>
        </w:tc>
        <w:tc>
          <w:tcPr>
            <w:tcW w:type="dxa" w:w="1419"/>
            <w:vAlign w:val="center"/>
          </w:tcPr>
          <w:p>
            <w:pPr>
              <w:spacing w:after="0"/>
            </w:pPr>
            <w:r/>
            <w:r>
              <w:rPr>
                <w:rFonts w:ascii="Calibri" w:hAnsi="Calibri"/>
                <w:b w:val="0"/>
                <w:sz w:val="17"/>
              </w:rPr>
              <w:t>70,5</w:t>
            </w:r>
          </w:p>
        </w:tc>
        <w:tc>
          <w:tcPr>
            <w:tcW w:type="dxa" w:w="1419"/>
            <w:vAlign w:val="center"/>
          </w:tcPr>
          <w:p>
            <w:pPr>
              <w:spacing w:after="0"/>
            </w:pPr>
            <w:r/>
            <w:r>
              <w:rPr>
                <w:rFonts w:ascii="Calibri" w:hAnsi="Calibri"/>
                <w:b w:val="0"/>
                <w:sz w:val="17"/>
              </w:rPr>
              <w:t>83,4</w:t>
            </w:r>
          </w:p>
        </w:tc>
        <w:tc>
          <w:tcPr>
            <w:tcW w:type="dxa" w:w="1419"/>
            <w:vAlign w:val="center"/>
          </w:tcPr>
          <w:p>
            <w:pPr>
              <w:spacing w:after="0"/>
            </w:pPr>
            <w:r/>
            <w:r>
              <w:rPr>
                <w:rFonts w:ascii="Calibri" w:hAnsi="Calibri"/>
                <w:b w:val="0"/>
                <w:sz w:val="17"/>
              </w:rPr>
              <w:t>121,8</w:t>
            </w:r>
          </w:p>
        </w:tc>
      </w:tr>
      <w:tr>
        <w:tc>
          <w:tcPr>
            <w:tcW w:type="dxa" w:w="1419"/>
            <w:vAlign w:val="center"/>
            <w:shd w:fill="F5F7FA"/>
          </w:tcPr>
          <w:p>
            <w:pPr>
              <w:spacing w:after="0"/>
            </w:pPr>
            <w:r/>
            <w:r>
              <w:rPr>
                <w:rFonts w:ascii="Calibri" w:hAnsi="Calibri"/>
                <w:b w:val="0"/>
                <w:sz w:val="17"/>
              </w:rPr>
              <w:t>2026-05</w:t>
            </w:r>
          </w:p>
        </w:tc>
        <w:tc>
          <w:tcPr>
            <w:tcW w:type="dxa" w:w="1419"/>
            <w:vAlign w:val="center"/>
            <w:shd w:fill="F5F7FA"/>
          </w:tcPr>
          <w:p>
            <w:pPr>
              <w:spacing w:after="0"/>
            </w:pPr>
            <w:r/>
            <w:r>
              <w:rPr>
                <w:rFonts w:ascii="Calibri" w:hAnsi="Calibri"/>
                <w:b w:val="0"/>
                <w:sz w:val="17"/>
              </w:rPr>
              <w:t>711</w:t>
            </w:r>
          </w:p>
        </w:tc>
        <w:tc>
          <w:tcPr>
            <w:tcW w:type="dxa" w:w="1419"/>
            <w:vAlign w:val="center"/>
            <w:shd w:fill="F5F7FA"/>
          </w:tcPr>
          <w:p>
            <w:pPr>
              <w:spacing w:after="0"/>
            </w:pPr>
            <w:r/>
            <w:r>
              <w:rPr>
                <w:rFonts w:ascii="Calibri" w:hAnsi="Calibri"/>
                <w:b w:val="0"/>
                <w:sz w:val="17"/>
              </w:rPr>
              <w:t>42,6%</w:t>
            </w:r>
          </w:p>
        </w:tc>
        <w:tc>
          <w:tcPr>
            <w:tcW w:type="dxa" w:w="1419"/>
            <w:vAlign w:val="center"/>
            <w:shd w:fill="F5F7FA"/>
          </w:tcPr>
          <w:p>
            <w:pPr>
              <w:spacing w:after="0"/>
            </w:pPr>
            <w:r/>
            <w:r>
              <w:rPr>
                <w:rFonts w:ascii="Calibri" w:hAnsi="Calibri"/>
                <w:b w:val="0"/>
                <w:sz w:val="17"/>
              </w:rPr>
              <w:t>1,71</w:t>
            </w:r>
          </w:p>
        </w:tc>
        <w:tc>
          <w:tcPr>
            <w:tcW w:type="dxa" w:w="1419"/>
            <w:vAlign w:val="center"/>
            <w:shd w:fill="F5F7FA"/>
          </w:tcPr>
          <w:p>
            <w:pPr>
              <w:spacing w:after="0"/>
            </w:pPr>
            <w:r/>
            <w:r>
              <w:rPr>
                <w:rFonts w:ascii="Calibri" w:hAnsi="Calibri"/>
                <w:b w:val="0"/>
                <w:sz w:val="17"/>
              </w:rPr>
              <w:t>68,8</w:t>
            </w:r>
          </w:p>
        </w:tc>
        <w:tc>
          <w:tcPr>
            <w:tcW w:type="dxa" w:w="1419"/>
            <w:vAlign w:val="center"/>
            <w:shd w:fill="F5F7FA"/>
          </w:tcPr>
          <w:p>
            <w:pPr>
              <w:spacing w:after="0"/>
            </w:pPr>
            <w:r/>
            <w:r>
              <w:rPr>
                <w:rFonts w:ascii="Calibri" w:hAnsi="Calibri"/>
                <w:b w:val="0"/>
                <w:sz w:val="17"/>
              </w:rPr>
              <w:t>82,2</w:t>
            </w:r>
          </w:p>
        </w:tc>
        <w:tc>
          <w:tcPr>
            <w:tcW w:type="dxa" w:w="1419"/>
            <w:vAlign w:val="center"/>
            <w:shd w:fill="F5F7FA"/>
          </w:tcPr>
          <w:p>
            <w:pPr>
              <w:spacing w:after="0"/>
            </w:pPr>
            <w:r/>
            <w:r>
              <w:rPr>
                <w:rFonts w:ascii="Calibri" w:hAnsi="Calibri"/>
                <w:b w:val="0"/>
                <w:sz w:val="17"/>
              </w:rPr>
              <w:t>120,8</w:t>
            </w:r>
          </w:p>
        </w:tc>
      </w:tr>
      <w:tr>
        <w:tc>
          <w:tcPr>
            <w:tcW w:type="dxa" w:w="1419"/>
            <w:vAlign w:val="center"/>
          </w:tcPr>
          <w:p>
            <w:pPr>
              <w:spacing w:after="0"/>
            </w:pPr>
            <w:r/>
            <w:r>
              <w:rPr>
                <w:rFonts w:ascii="Calibri" w:hAnsi="Calibri"/>
                <w:b w:val="0"/>
                <w:sz w:val="17"/>
              </w:rPr>
              <w:t>2026-06</w:t>
            </w:r>
          </w:p>
        </w:tc>
        <w:tc>
          <w:tcPr>
            <w:tcW w:type="dxa" w:w="1419"/>
            <w:vAlign w:val="center"/>
          </w:tcPr>
          <w:p>
            <w:pPr>
              <w:spacing w:after="0"/>
            </w:pPr>
            <w:r/>
            <w:r>
              <w:rPr>
                <w:rFonts w:ascii="Calibri" w:hAnsi="Calibri"/>
                <w:b w:val="0"/>
                <w:sz w:val="17"/>
              </w:rPr>
              <w:t>746</w:t>
            </w:r>
          </w:p>
        </w:tc>
        <w:tc>
          <w:tcPr>
            <w:tcW w:type="dxa" w:w="1419"/>
            <w:vAlign w:val="center"/>
          </w:tcPr>
          <w:p>
            <w:pPr>
              <w:spacing w:after="0"/>
            </w:pPr>
            <w:r/>
            <w:r>
              <w:rPr>
                <w:rFonts w:ascii="Calibri" w:hAnsi="Calibri"/>
                <w:b w:val="0"/>
                <w:sz w:val="17"/>
              </w:rPr>
              <w:t>33,9%</w:t>
            </w:r>
          </w:p>
        </w:tc>
        <w:tc>
          <w:tcPr>
            <w:tcW w:type="dxa" w:w="1419"/>
            <w:vAlign w:val="center"/>
          </w:tcPr>
          <w:p>
            <w:pPr>
              <w:spacing w:after="0"/>
            </w:pPr>
            <w:r/>
            <w:r>
              <w:rPr>
                <w:rFonts w:ascii="Calibri" w:hAnsi="Calibri"/>
                <w:b w:val="0"/>
                <w:sz w:val="17"/>
              </w:rPr>
              <w:t>1,50</w:t>
            </w:r>
          </w:p>
        </w:tc>
        <w:tc>
          <w:tcPr>
            <w:tcW w:type="dxa" w:w="1419"/>
            <w:vAlign w:val="center"/>
          </w:tcPr>
          <w:p>
            <w:pPr>
              <w:spacing w:after="0"/>
            </w:pPr>
            <w:r/>
            <w:r>
              <w:rPr>
                <w:rFonts w:ascii="Calibri" w:hAnsi="Calibri"/>
                <w:b w:val="0"/>
                <w:sz w:val="17"/>
              </w:rPr>
              <w:t>67,0</w:t>
            </w:r>
          </w:p>
        </w:tc>
        <w:tc>
          <w:tcPr>
            <w:tcW w:type="dxa" w:w="1419"/>
            <w:vAlign w:val="center"/>
          </w:tcPr>
          <w:p>
            <w:pPr>
              <w:spacing w:after="0"/>
            </w:pPr>
            <w:r/>
            <w:r>
              <w:rPr>
                <w:rFonts w:ascii="Calibri" w:hAnsi="Calibri"/>
                <w:b w:val="0"/>
                <w:sz w:val="17"/>
              </w:rPr>
              <w:t>79,5</w:t>
            </w:r>
          </w:p>
        </w:tc>
        <w:tc>
          <w:tcPr>
            <w:tcW w:type="dxa" w:w="1419"/>
            <w:vAlign w:val="center"/>
          </w:tcPr>
          <w:p>
            <w:pPr>
              <w:spacing w:after="0"/>
            </w:pPr>
            <w:r/>
            <w:r>
              <w:rPr>
                <w:rFonts w:ascii="Calibri" w:hAnsi="Calibri"/>
                <w:b w:val="0"/>
                <w:sz w:val="17"/>
              </w:rPr>
              <w:t>116,0</w:t>
            </w:r>
          </w:p>
        </w:tc>
      </w:tr>
      <w:tr>
        <w:tc>
          <w:tcPr>
            <w:tcW w:type="dxa" w:w="1419"/>
            <w:vAlign w:val="center"/>
            <w:shd w:fill="F5F7FA"/>
          </w:tcPr>
          <w:p>
            <w:pPr>
              <w:spacing w:after="0"/>
            </w:pPr>
            <w:r/>
            <w:r>
              <w:rPr>
                <w:rFonts w:ascii="Calibri" w:hAnsi="Calibri"/>
                <w:b w:val="0"/>
                <w:sz w:val="17"/>
              </w:rPr>
              <w:t>2026-07</w:t>
            </w:r>
          </w:p>
        </w:tc>
        <w:tc>
          <w:tcPr>
            <w:tcW w:type="dxa" w:w="1419"/>
            <w:vAlign w:val="center"/>
            <w:shd w:fill="F5F7FA"/>
          </w:tcPr>
          <w:p>
            <w:pPr>
              <w:spacing w:after="0"/>
            </w:pPr>
            <w:r/>
            <w:r>
              <w:rPr>
                <w:rFonts w:ascii="Calibri" w:hAnsi="Calibri"/>
                <w:b w:val="0"/>
                <w:sz w:val="17"/>
              </w:rPr>
              <w:t>745</w:t>
            </w:r>
          </w:p>
        </w:tc>
        <w:tc>
          <w:tcPr>
            <w:tcW w:type="dxa" w:w="1419"/>
            <w:vAlign w:val="center"/>
            <w:shd w:fill="F5F7FA"/>
          </w:tcPr>
          <w:p>
            <w:pPr>
              <w:spacing w:after="0"/>
            </w:pPr>
            <w:r/>
            <w:r>
              <w:rPr>
                <w:rFonts w:ascii="Calibri" w:hAnsi="Calibri"/>
                <w:b w:val="0"/>
                <w:sz w:val="17"/>
              </w:rPr>
              <w:t>28,3%</w:t>
            </w:r>
          </w:p>
        </w:tc>
        <w:tc>
          <w:tcPr>
            <w:tcW w:type="dxa" w:w="1419"/>
            <w:vAlign w:val="center"/>
            <w:shd w:fill="F5F7FA"/>
          </w:tcPr>
          <w:p>
            <w:pPr>
              <w:spacing w:after="0"/>
            </w:pPr>
            <w:r/>
            <w:r>
              <w:rPr>
                <w:rFonts w:ascii="Calibri" w:hAnsi="Calibri"/>
                <w:b w:val="0"/>
                <w:sz w:val="17"/>
              </w:rPr>
              <w:t>1,45</w:t>
            </w:r>
          </w:p>
        </w:tc>
        <w:tc>
          <w:tcPr>
            <w:tcW w:type="dxa" w:w="1419"/>
            <w:vAlign w:val="center"/>
            <w:shd w:fill="F5F7FA"/>
          </w:tcPr>
          <w:p>
            <w:pPr>
              <w:spacing w:after="0"/>
            </w:pPr>
            <w:r/>
            <w:r>
              <w:rPr>
                <w:rFonts w:ascii="Calibri" w:hAnsi="Calibri"/>
                <w:b w:val="0"/>
                <w:sz w:val="17"/>
              </w:rPr>
              <w:t>66,9</w:t>
            </w:r>
          </w:p>
        </w:tc>
        <w:tc>
          <w:tcPr>
            <w:tcW w:type="dxa" w:w="1419"/>
            <w:vAlign w:val="center"/>
            <w:shd w:fill="F5F7FA"/>
          </w:tcPr>
          <w:p>
            <w:pPr>
              <w:spacing w:after="0"/>
            </w:pPr>
            <w:r/>
            <w:r>
              <w:rPr>
                <w:rFonts w:ascii="Calibri" w:hAnsi="Calibri"/>
                <w:b w:val="0"/>
                <w:sz w:val="17"/>
              </w:rPr>
              <w:t>78,6</w:t>
            </w:r>
          </w:p>
        </w:tc>
        <w:tc>
          <w:tcPr>
            <w:tcW w:type="dxa" w:w="1419"/>
            <w:vAlign w:val="center"/>
            <w:shd w:fill="F5F7FA"/>
          </w:tcPr>
          <w:p>
            <w:pPr>
              <w:spacing w:after="0"/>
            </w:pPr>
            <w:r/>
            <w:r>
              <w:rPr>
                <w:rFonts w:ascii="Calibri" w:hAnsi="Calibri"/>
                <w:b w:val="0"/>
                <w:sz w:val="17"/>
              </w:rPr>
              <w:t>111,4</w:t>
            </w:r>
          </w:p>
        </w:tc>
      </w:tr>
      <w:tr>
        <w:tc>
          <w:tcPr>
            <w:tcW w:type="dxa" w:w="1419"/>
            <w:vAlign w:val="center"/>
          </w:tcPr>
          <w:p>
            <w:pPr>
              <w:spacing w:after="0"/>
            </w:pPr>
            <w:r/>
            <w:r>
              <w:rPr>
                <w:rFonts w:ascii="Calibri" w:hAnsi="Calibri"/>
                <w:b w:val="0"/>
                <w:sz w:val="17"/>
              </w:rPr>
              <w:t>2026-08*</w:t>
            </w:r>
          </w:p>
        </w:tc>
        <w:tc>
          <w:tcPr>
            <w:tcW w:type="dxa" w:w="1419"/>
            <w:vAlign w:val="center"/>
          </w:tcPr>
          <w:p>
            <w:pPr>
              <w:spacing w:after="0"/>
            </w:pPr>
            <w:r/>
            <w:r>
              <w:rPr>
                <w:rFonts w:ascii="Calibri" w:hAnsi="Calibri"/>
                <w:b w:val="0"/>
                <w:sz w:val="17"/>
              </w:rPr>
              <w:t>344</w:t>
            </w:r>
          </w:p>
        </w:tc>
        <w:tc>
          <w:tcPr>
            <w:tcW w:type="dxa" w:w="1419"/>
            <w:vAlign w:val="center"/>
          </w:tcPr>
          <w:p>
            <w:pPr>
              <w:spacing w:after="0"/>
            </w:pPr>
            <w:r/>
            <w:r>
              <w:rPr>
                <w:rFonts w:ascii="Calibri" w:hAnsi="Calibri"/>
                <w:b w:val="0"/>
                <w:sz w:val="17"/>
              </w:rPr>
              <w:t>19,2%</w:t>
            </w:r>
          </w:p>
        </w:tc>
        <w:tc>
          <w:tcPr>
            <w:tcW w:type="dxa" w:w="1419"/>
            <w:vAlign w:val="center"/>
          </w:tcPr>
          <w:p>
            <w:pPr>
              <w:spacing w:after="0"/>
            </w:pPr>
            <w:r/>
            <w:r>
              <w:rPr>
                <w:rFonts w:ascii="Calibri" w:hAnsi="Calibri"/>
                <w:b w:val="0"/>
                <w:sz w:val="17"/>
              </w:rPr>
              <w:t>1,28</w:t>
            </w:r>
          </w:p>
        </w:tc>
        <w:tc>
          <w:tcPr>
            <w:tcW w:type="dxa" w:w="1419"/>
            <w:vAlign w:val="center"/>
          </w:tcPr>
          <w:p>
            <w:pPr>
              <w:spacing w:after="0"/>
            </w:pPr>
            <w:r/>
            <w:r>
              <w:rPr>
                <w:rFonts w:ascii="Calibri" w:hAnsi="Calibri"/>
                <w:b w:val="0"/>
                <w:sz w:val="17"/>
              </w:rPr>
              <w:t>62,3</w:t>
            </w:r>
          </w:p>
        </w:tc>
        <w:tc>
          <w:tcPr>
            <w:tcW w:type="dxa" w:w="1419"/>
            <w:vAlign w:val="center"/>
          </w:tcPr>
          <w:p>
            <w:pPr>
              <w:spacing w:after="0"/>
            </w:pPr>
            <w:r/>
            <w:r>
              <w:rPr>
                <w:rFonts w:ascii="Calibri" w:hAnsi="Calibri"/>
                <w:b w:val="0"/>
                <w:sz w:val="17"/>
              </w:rPr>
              <w:t>73,4</w:t>
            </w:r>
          </w:p>
        </w:tc>
        <w:tc>
          <w:tcPr>
            <w:tcW w:type="dxa" w:w="1419"/>
            <w:vAlign w:val="center"/>
          </w:tcPr>
          <w:p>
            <w:pPr>
              <w:spacing w:after="0"/>
            </w:pPr>
            <w:r/>
            <w:r>
              <w:rPr>
                <w:rFonts w:ascii="Calibri" w:hAnsi="Calibri"/>
                <w:b w:val="0"/>
                <w:sz w:val="17"/>
              </w:rPr>
              <w:t>104,2</w:t>
            </w:r>
          </w:p>
        </w:tc>
      </w:tr>
    </w:tbl>
    <w:p>
      <w:pPr>
        <w:spacing w:after="20"/>
      </w:pPr>
    </w:p>
    <w:p>
      <w:pPr>
        <w:spacing w:after="80" w:line="259" w:lineRule="auto"/>
      </w:pPr>
      <w:r>
        <w:rPr>
          <w:rFonts w:ascii="Calibri" w:hAnsi="Calibri"/>
          <w:i/>
          <w:color w:val="666666"/>
          <w:sz w:val="21"/>
        </w:rPr>
        <w:t>* Agosto está incompleto. La caída relevante ya aparece antes: marzo-julio.</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trPr>
        <w:tc>
          <w:tcPr>
            <w:tcW w:type="dxa" w:w="3312"/>
            <w:vAlign w:val="center"/>
            <w:shd w:fill="1F4E79"/>
          </w:tcPr>
          <w:p>
            <w:pPr>
              <w:spacing w:after="0"/>
            </w:pPr>
            <w:r/>
            <w:r>
              <w:rPr>
                <w:rFonts w:ascii="Calibri" w:hAnsi="Calibri"/>
                <w:b/>
                <w:color w:val="FFFFFF"/>
                <w:sz w:val="16"/>
              </w:rPr>
              <w:t>Mes</w:t>
            </w:r>
          </w:p>
        </w:tc>
        <w:tc>
          <w:tcPr>
            <w:tcW w:type="dxa" w:w="3312"/>
            <w:vAlign w:val="center"/>
            <w:shd w:fill="1F4E79"/>
          </w:tcPr>
          <w:p>
            <w:pPr>
              <w:spacing w:after="0"/>
            </w:pPr>
            <w:r/>
            <w:r>
              <w:rPr>
                <w:rFonts w:ascii="Calibri" w:hAnsi="Calibri"/>
                <w:b/>
                <w:color w:val="FFFFFF"/>
                <w:sz w:val="16"/>
              </w:rPr>
              <w:t>Premio positivo</w:t>
            </w:r>
          </w:p>
        </w:tc>
        <w:tc>
          <w:tcPr>
            <w:tcW w:type="dxa" w:w="3312"/>
            <w:vAlign w:val="center"/>
            <w:shd w:fill="1F4E79"/>
          </w:tcPr>
          <w:p>
            <w:pPr>
              <w:spacing w:after="0"/>
            </w:pPr>
            <w:r/>
            <w:r>
              <w:rPr>
                <w:rFonts w:ascii="Calibri" w:hAnsi="Calibri"/>
                <w:b/>
                <w:color w:val="FFFFFF"/>
                <w:sz w:val="16"/>
              </w:rPr>
              <w:t>Nivel promedio</w:t>
            </w:r>
          </w:p>
        </w:tc>
      </w:tr>
      <w:tr>
        <w:tc>
          <w:tcPr>
            <w:tcW w:type="dxa" w:w="3312"/>
            <w:vAlign w:val="center"/>
            <w:shd w:fill="F5F7FA"/>
          </w:tcPr>
          <w:p>
            <w:pPr>
              <w:spacing w:after="0"/>
            </w:pPr>
            <w:r/>
            <w:r>
              <w:rPr>
                <w:rFonts w:ascii="Calibri" w:hAnsi="Calibri"/>
                <w:b w:val="0"/>
                <w:sz w:val="16"/>
              </w:rPr>
              <w:t>2025-01</w:t>
            </w:r>
          </w:p>
        </w:tc>
        <w:tc>
          <w:tcPr>
            <w:tcW w:type="dxa" w:w="3312"/>
            <w:vAlign w:val="center"/>
            <w:shd w:fill="F5F7FA"/>
          </w:tcPr>
          <w:p>
            <w:pPr>
              <w:spacing w:after="0"/>
            </w:pPr>
            <w:r/>
            <w:r>
              <w:rPr>
                <w:rFonts w:ascii="Calibri" w:hAnsi="Calibri"/>
                <w:b w:val="0"/>
                <w:sz w:val="16"/>
              </w:rPr>
              <w:t>40.9%</w:t>
            </w:r>
          </w:p>
        </w:tc>
        <w:tc>
          <w:tcPr>
            <w:tcW w:type="dxa" w:w="3312"/>
            <w:vAlign w:val="center"/>
            <w:shd w:fill="F5F7FA"/>
          </w:tcPr>
          <w:p>
            <w:pPr>
              <w:spacing w:after="0"/>
            </w:pPr>
            <w:r/>
            <w:r>
              <w:rPr>
                <w:rFonts w:ascii="Calibri" w:hAnsi="Calibri"/>
                <w:b w:val="0"/>
                <w:sz w:val="16"/>
              </w:rPr>
              <w:t>1.74</w:t>
            </w:r>
          </w:p>
        </w:tc>
      </w:tr>
      <w:tr>
        <w:tc>
          <w:tcPr>
            <w:tcW w:type="dxa" w:w="3312"/>
            <w:vAlign w:val="center"/>
          </w:tcPr>
          <w:p>
            <w:pPr>
              <w:spacing w:after="0"/>
            </w:pPr>
            <w:r/>
            <w:r>
              <w:rPr>
                <w:rFonts w:ascii="Calibri" w:hAnsi="Calibri"/>
                <w:b w:val="0"/>
                <w:sz w:val="16"/>
              </w:rPr>
              <w:t>2025-02</w:t>
            </w:r>
          </w:p>
        </w:tc>
        <w:tc>
          <w:tcPr>
            <w:tcW w:type="dxa" w:w="3312"/>
            <w:vAlign w:val="center"/>
          </w:tcPr>
          <w:p>
            <w:pPr>
              <w:spacing w:after="0"/>
            </w:pPr>
            <w:r/>
            <w:r>
              <w:rPr>
                <w:rFonts w:ascii="Calibri" w:hAnsi="Calibri"/>
                <w:b w:val="0"/>
                <w:sz w:val="16"/>
              </w:rPr>
              <w:t>44.3%</w:t>
            </w:r>
          </w:p>
        </w:tc>
        <w:tc>
          <w:tcPr>
            <w:tcW w:type="dxa" w:w="3312"/>
            <w:vAlign w:val="center"/>
          </w:tcPr>
          <w:p>
            <w:pPr>
              <w:spacing w:after="0"/>
            </w:pPr>
            <w:r/>
            <w:r>
              <w:rPr>
                <w:rFonts w:ascii="Calibri" w:hAnsi="Calibri"/>
                <w:b w:val="0"/>
                <w:sz w:val="16"/>
              </w:rPr>
              <w:t>1.95</w:t>
            </w:r>
          </w:p>
        </w:tc>
      </w:tr>
      <w:tr>
        <w:tc>
          <w:tcPr>
            <w:tcW w:type="dxa" w:w="3312"/>
            <w:vAlign w:val="center"/>
            <w:shd w:fill="F5F7FA"/>
          </w:tcPr>
          <w:p>
            <w:pPr>
              <w:spacing w:after="0"/>
            </w:pPr>
            <w:r/>
            <w:r>
              <w:rPr>
                <w:rFonts w:ascii="Calibri" w:hAnsi="Calibri"/>
                <w:b w:val="0"/>
                <w:sz w:val="16"/>
              </w:rPr>
              <w:t>2025-03</w:t>
            </w:r>
          </w:p>
        </w:tc>
        <w:tc>
          <w:tcPr>
            <w:tcW w:type="dxa" w:w="3312"/>
            <w:vAlign w:val="center"/>
            <w:shd w:fill="F5F7FA"/>
          </w:tcPr>
          <w:p>
            <w:pPr>
              <w:spacing w:after="0"/>
            </w:pPr>
            <w:r/>
            <w:r>
              <w:rPr>
                <w:rFonts w:ascii="Calibri" w:hAnsi="Calibri"/>
                <w:b w:val="0"/>
                <w:sz w:val="16"/>
              </w:rPr>
              <w:t>46.4%</w:t>
            </w:r>
          </w:p>
        </w:tc>
        <w:tc>
          <w:tcPr>
            <w:tcW w:type="dxa" w:w="3312"/>
            <w:vAlign w:val="center"/>
            <w:shd w:fill="F5F7FA"/>
          </w:tcPr>
          <w:p>
            <w:pPr>
              <w:spacing w:after="0"/>
            </w:pPr>
            <w:r/>
            <w:r>
              <w:rPr>
                <w:rFonts w:ascii="Calibri" w:hAnsi="Calibri"/>
                <w:b w:val="0"/>
                <w:sz w:val="16"/>
              </w:rPr>
              <w:t>1.93</w:t>
            </w:r>
          </w:p>
        </w:tc>
      </w:tr>
      <w:tr>
        <w:tc>
          <w:tcPr>
            <w:tcW w:type="dxa" w:w="3312"/>
            <w:vAlign w:val="center"/>
          </w:tcPr>
          <w:p>
            <w:pPr>
              <w:spacing w:after="0"/>
            </w:pPr>
            <w:r/>
            <w:r>
              <w:rPr>
                <w:rFonts w:ascii="Calibri" w:hAnsi="Calibri"/>
                <w:b w:val="0"/>
                <w:sz w:val="16"/>
              </w:rPr>
              <w:t>2025-04</w:t>
            </w:r>
          </w:p>
        </w:tc>
        <w:tc>
          <w:tcPr>
            <w:tcW w:type="dxa" w:w="3312"/>
            <w:vAlign w:val="center"/>
          </w:tcPr>
          <w:p>
            <w:pPr>
              <w:spacing w:after="0"/>
            </w:pPr>
            <w:r/>
            <w:r>
              <w:rPr>
                <w:rFonts w:ascii="Calibri" w:hAnsi="Calibri"/>
                <w:b w:val="0"/>
                <w:sz w:val="16"/>
              </w:rPr>
              <w:t>49.6%</w:t>
            </w:r>
          </w:p>
        </w:tc>
        <w:tc>
          <w:tcPr>
            <w:tcW w:type="dxa" w:w="3312"/>
            <w:vAlign w:val="center"/>
          </w:tcPr>
          <w:p>
            <w:pPr>
              <w:spacing w:after="0"/>
            </w:pPr>
            <w:r/>
            <w:r>
              <w:rPr>
                <w:rFonts w:ascii="Calibri" w:hAnsi="Calibri"/>
                <w:b w:val="0"/>
                <w:sz w:val="16"/>
              </w:rPr>
              <w:t>2.04</w:t>
            </w:r>
          </w:p>
        </w:tc>
      </w:tr>
      <w:tr>
        <w:tc>
          <w:tcPr>
            <w:tcW w:type="dxa" w:w="3312"/>
            <w:vAlign w:val="center"/>
            <w:shd w:fill="F5F7FA"/>
          </w:tcPr>
          <w:p>
            <w:pPr>
              <w:spacing w:after="0"/>
            </w:pPr>
            <w:r/>
            <w:r>
              <w:rPr>
                <w:rFonts w:ascii="Calibri" w:hAnsi="Calibri"/>
                <w:b w:val="0"/>
                <w:sz w:val="16"/>
              </w:rPr>
              <w:t>2025-05</w:t>
            </w:r>
          </w:p>
        </w:tc>
        <w:tc>
          <w:tcPr>
            <w:tcW w:type="dxa" w:w="3312"/>
            <w:vAlign w:val="center"/>
            <w:shd w:fill="F5F7FA"/>
          </w:tcPr>
          <w:p>
            <w:pPr>
              <w:spacing w:after="0"/>
            </w:pPr>
            <w:r/>
            <w:r>
              <w:rPr>
                <w:rFonts w:ascii="Calibri" w:hAnsi="Calibri"/>
                <w:b w:val="0"/>
                <w:sz w:val="16"/>
              </w:rPr>
              <w:t>35.9%</w:t>
            </w:r>
          </w:p>
        </w:tc>
        <w:tc>
          <w:tcPr>
            <w:tcW w:type="dxa" w:w="3312"/>
            <w:vAlign w:val="center"/>
            <w:shd w:fill="F5F7FA"/>
          </w:tcPr>
          <w:p>
            <w:pPr>
              <w:spacing w:after="0"/>
            </w:pPr>
            <w:r/>
            <w:r>
              <w:rPr>
                <w:rFonts w:ascii="Calibri" w:hAnsi="Calibri"/>
                <w:b w:val="0"/>
                <w:sz w:val="16"/>
              </w:rPr>
              <w:t>1.63</w:t>
            </w:r>
          </w:p>
        </w:tc>
      </w:tr>
      <w:tr>
        <w:tc>
          <w:tcPr>
            <w:tcW w:type="dxa" w:w="3312"/>
            <w:vAlign w:val="center"/>
          </w:tcPr>
          <w:p>
            <w:pPr>
              <w:spacing w:after="0"/>
            </w:pPr>
            <w:r/>
            <w:r>
              <w:rPr>
                <w:rFonts w:ascii="Calibri" w:hAnsi="Calibri"/>
                <w:b w:val="0"/>
                <w:sz w:val="16"/>
              </w:rPr>
              <w:t>2025-06</w:t>
            </w:r>
          </w:p>
        </w:tc>
        <w:tc>
          <w:tcPr>
            <w:tcW w:type="dxa" w:w="3312"/>
            <w:vAlign w:val="center"/>
          </w:tcPr>
          <w:p>
            <w:pPr>
              <w:spacing w:after="0"/>
            </w:pPr>
            <w:r/>
            <w:r>
              <w:rPr>
                <w:rFonts w:ascii="Calibri" w:hAnsi="Calibri"/>
                <w:b w:val="0"/>
                <w:sz w:val="16"/>
              </w:rPr>
              <w:t>32.1%</w:t>
            </w:r>
          </w:p>
        </w:tc>
        <w:tc>
          <w:tcPr>
            <w:tcW w:type="dxa" w:w="3312"/>
            <w:vAlign w:val="center"/>
          </w:tcPr>
          <w:p>
            <w:pPr>
              <w:spacing w:after="0"/>
            </w:pPr>
            <w:r/>
            <w:r>
              <w:rPr>
                <w:rFonts w:ascii="Calibri" w:hAnsi="Calibri"/>
                <w:b w:val="0"/>
                <w:sz w:val="16"/>
              </w:rPr>
              <w:t>1.57</w:t>
            </w:r>
          </w:p>
        </w:tc>
      </w:tr>
      <w:tr>
        <w:tc>
          <w:tcPr>
            <w:tcW w:type="dxa" w:w="3312"/>
            <w:vAlign w:val="center"/>
            <w:shd w:fill="F5F7FA"/>
          </w:tcPr>
          <w:p>
            <w:pPr>
              <w:spacing w:after="0"/>
            </w:pPr>
            <w:r/>
            <w:r>
              <w:rPr>
                <w:rFonts w:ascii="Calibri" w:hAnsi="Calibri"/>
                <w:b w:val="0"/>
                <w:sz w:val="16"/>
              </w:rPr>
              <w:t>2025-07</w:t>
            </w:r>
          </w:p>
        </w:tc>
        <w:tc>
          <w:tcPr>
            <w:tcW w:type="dxa" w:w="3312"/>
            <w:vAlign w:val="center"/>
            <w:shd w:fill="F5F7FA"/>
          </w:tcPr>
          <w:p>
            <w:pPr>
              <w:spacing w:after="0"/>
            </w:pPr>
            <w:r/>
            <w:r>
              <w:rPr>
                <w:rFonts w:ascii="Calibri" w:hAnsi="Calibri"/>
                <w:b w:val="0"/>
                <w:sz w:val="16"/>
              </w:rPr>
              <w:t>31.4%</w:t>
            </w:r>
          </w:p>
        </w:tc>
        <w:tc>
          <w:tcPr>
            <w:tcW w:type="dxa" w:w="3312"/>
            <w:vAlign w:val="center"/>
            <w:shd w:fill="F5F7FA"/>
          </w:tcPr>
          <w:p>
            <w:pPr>
              <w:spacing w:after="0"/>
            </w:pPr>
            <w:r/>
            <w:r>
              <w:rPr>
                <w:rFonts w:ascii="Calibri" w:hAnsi="Calibri"/>
                <w:b w:val="0"/>
                <w:sz w:val="16"/>
              </w:rPr>
              <w:t>1.51</w:t>
            </w:r>
          </w:p>
        </w:tc>
      </w:tr>
      <w:tr>
        <w:tc>
          <w:tcPr>
            <w:tcW w:type="dxa" w:w="3312"/>
            <w:vAlign w:val="center"/>
          </w:tcPr>
          <w:p>
            <w:pPr>
              <w:spacing w:after="0"/>
            </w:pPr>
            <w:r/>
            <w:r>
              <w:rPr>
                <w:rFonts w:ascii="Calibri" w:hAnsi="Calibri"/>
                <w:b w:val="0"/>
                <w:sz w:val="16"/>
              </w:rPr>
              <w:t>2025-08</w:t>
            </w:r>
          </w:p>
        </w:tc>
        <w:tc>
          <w:tcPr>
            <w:tcW w:type="dxa" w:w="3312"/>
            <w:vAlign w:val="center"/>
          </w:tcPr>
          <w:p>
            <w:pPr>
              <w:spacing w:after="0"/>
            </w:pPr>
            <w:r/>
            <w:r>
              <w:rPr>
                <w:rFonts w:ascii="Calibri" w:hAnsi="Calibri"/>
                <w:b w:val="0"/>
                <w:sz w:val="16"/>
              </w:rPr>
              <w:t>47.6%</w:t>
            </w:r>
          </w:p>
        </w:tc>
        <w:tc>
          <w:tcPr>
            <w:tcW w:type="dxa" w:w="3312"/>
            <w:vAlign w:val="center"/>
          </w:tcPr>
          <w:p>
            <w:pPr>
              <w:spacing w:after="0"/>
            </w:pPr>
            <w:r/>
            <w:r>
              <w:rPr>
                <w:rFonts w:ascii="Calibri" w:hAnsi="Calibri"/>
                <w:b w:val="0"/>
                <w:sz w:val="16"/>
              </w:rPr>
              <w:t>1.84</w:t>
            </w:r>
          </w:p>
        </w:tc>
      </w:tr>
      <w:tr>
        <w:tc>
          <w:tcPr>
            <w:tcW w:type="dxa" w:w="3312"/>
            <w:vAlign w:val="center"/>
            <w:shd w:fill="F5F7FA"/>
          </w:tcPr>
          <w:p>
            <w:pPr>
              <w:spacing w:after="0"/>
            </w:pPr>
            <w:r/>
            <w:r>
              <w:rPr>
                <w:rFonts w:ascii="Calibri" w:hAnsi="Calibri"/>
                <w:b w:val="0"/>
                <w:sz w:val="16"/>
              </w:rPr>
              <w:t>2025-09</w:t>
            </w:r>
          </w:p>
        </w:tc>
        <w:tc>
          <w:tcPr>
            <w:tcW w:type="dxa" w:w="3312"/>
            <w:vAlign w:val="center"/>
            <w:shd w:fill="F5F7FA"/>
          </w:tcPr>
          <w:p>
            <w:pPr>
              <w:spacing w:after="0"/>
            </w:pPr>
            <w:r/>
            <w:r>
              <w:rPr>
                <w:rFonts w:ascii="Calibri" w:hAnsi="Calibri"/>
                <w:b w:val="0"/>
                <w:sz w:val="16"/>
              </w:rPr>
              <w:t>36.5%</w:t>
            </w:r>
          </w:p>
        </w:tc>
        <w:tc>
          <w:tcPr>
            <w:tcW w:type="dxa" w:w="3312"/>
            <w:vAlign w:val="center"/>
            <w:shd w:fill="F5F7FA"/>
          </w:tcPr>
          <w:p>
            <w:pPr>
              <w:spacing w:after="0"/>
            </w:pPr>
            <w:r/>
            <w:r>
              <w:rPr>
                <w:rFonts w:ascii="Calibri" w:hAnsi="Calibri"/>
                <w:b w:val="0"/>
                <w:sz w:val="16"/>
              </w:rPr>
              <w:t>1.62</w:t>
            </w:r>
          </w:p>
        </w:tc>
      </w:tr>
      <w:tr>
        <w:tc>
          <w:tcPr>
            <w:tcW w:type="dxa" w:w="3312"/>
            <w:vAlign w:val="center"/>
          </w:tcPr>
          <w:p>
            <w:pPr>
              <w:spacing w:after="0"/>
            </w:pPr>
            <w:r/>
            <w:r>
              <w:rPr>
                <w:rFonts w:ascii="Calibri" w:hAnsi="Calibri"/>
                <w:b w:val="0"/>
                <w:sz w:val="16"/>
              </w:rPr>
              <w:t>2025-10</w:t>
            </w:r>
          </w:p>
        </w:tc>
        <w:tc>
          <w:tcPr>
            <w:tcW w:type="dxa" w:w="3312"/>
            <w:vAlign w:val="center"/>
          </w:tcPr>
          <w:p>
            <w:pPr>
              <w:spacing w:after="0"/>
            </w:pPr>
            <w:r/>
            <w:r>
              <w:rPr>
                <w:rFonts w:ascii="Calibri" w:hAnsi="Calibri"/>
                <w:b w:val="0"/>
                <w:sz w:val="16"/>
              </w:rPr>
              <w:t>36.0%</w:t>
            </w:r>
          </w:p>
        </w:tc>
        <w:tc>
          <w:tcPr>
            <w:tcW w:type="dxa" w:w="3312"/>
            <w:vAlign w:val="center"/>
          </w:tcPr>
          <w:p>
            <w:pPr>
              <w:spacing w:after="0"/>
            </w:pPr>
            <w:r/>
            <w:r>
              <w:rPr>
                <w:rFonts w:ascii="Calibri" w:hAnsi="Calibri"/>
                <w:b w:val="0"/>
                <w:sz w:val="16"/>
              </w:rPr>
              <w:t>1.57</w:t>
            </w:r>
          </w:p>
        </w:tc>
      </w:tr>
      <w:tr>
        <w:tc>
          <w:tcPr>
            <w:tcW w:type="dxa" w:w="3312"/>
            <w:vAlign w:val="center"/>
            <w:shd w:fill="F5F7FA"/>
          </w:tcPr>
          <w:p>
            <w:pPr>
              <w:spacing w:after="0"/>
            </w:pPr>
            <w:r/>
            <w:r>
              <w:rPr>
                <w:rFonts w:ascii="Calibri" w:hAnsi="Calibri"/>
                <w:b w:val="0"/>
                <w:sz w:val="16"/>
              </w:rPr>
              <w:t>2025-11</w:t>
            </w:r>
          </w:p>
        </w:tc>
        <w:tc>
          <w:tcPr>
            <w:tcW w:type="dxa" w:w="3312"/>
            <w:vAlign w:val="center"/>
            <w:shd w:fill="F5F7FA"/>
          </w:tcPr>
          <w:p>
            <w:pPr>
              <w:spacing w:after="0"/>
            </w:pPr>
            <w:r/>
            <w:r>
              <w:rPr>
                <w:rFonts w:ascii="Calibri" w:hAnsi="Calibri"/>
                <w:b w:val="0"/>
                <w:sz w:val="16"/>
              </w:rPr>
              <w:t>45.5%</w:t>
            </w:r>
          </w:p>
        </w:tc>
        <w:tc>
          <w:tcPr>
            <w:tcW w:type="dxa" w:w="3312"/>
            <w:vAlign w:val="center"/>
            <w:shd w:fill="F5F7FA"/>
          </w:tcPr>
          <w:p>
            <w:pPr>
              <w:spacing w:after="0"/>
            </w:pPr>
            <w:r/>
            <w:r>
              <w:rPr>
                <w:rFonts w:ascii="Calibri" w:hAnsi="Calibri"/>
                <w:b w:val="0"/>
                <w:sz w:val="16"/>
              </w:rPr>
              <w:t>1.82</w:t>
            </w:r>
          </w:p>
        </w:tc>
      </w:tr>
      <w:tr>
        <w:tc>
          <w:tcPr>
            <w:tcW w:type="dxa" w:w="3312"/>
            <w:vAlign w:val="center"/>
          </w:tcPr>
          <w:p>
            <w:pPr>
              <w:spacing w:after="0"/>
            </w:pPr>
            <w:r/>
            <w:r>
              <w:rPr>
                <w:rFonts w:ascii="Calibri" w:hAnsi="Calibri"/>
                <w:b w:val="0"/>
                <w:sz w:val="16"/>
              </w:rPr>
              <w:t>2025-12</w:t>
            </w:r>
          </w:p>
        </w:tc>
        <w:tc>
          <w:tcPr>
            <w:tcW w:type="dxa" w:w="3312"/>
            <w:vAlign w:val="center"/>
          </w:tcPr>
          <w:p>
            <w:pPr>
              <w:spacing w:after="0"/>
            </w:pPr>
            <w:r/>
            <w:r>
              <w:rPr>
                <w:rFonts w:ascii="Calibri" w:hAnsi="Calibri"/>
                <w:b w:val="0"/>
                <w:sz w:val="16"/>
              </w:rPr>
              <w:t>36.8%</w:t>
            </w:r>
          </w:p>
        </w:tc>
        <w:tc>
          <w:tcPr>
            <w:tcW w:type="dxa" w:w="3312"/>
            <w:vAlign w:val="center"/>
          </w:tcPr>
          <w:p>
            <w:pPr>
              <w:spacing w:after="0"/>
            </w:pPr>
            <w:r/>
            <w:r>
              <w:rPr>
                <w:rFonts w:ascii="Calibri" w:hAnsi="Calibri"/>
                <w:b w:val="0"/>
                <w:sz w:val="16"/>
              </w:rPr>
              <w:t>1.59</w:t>
            </w:r>
          </w:p>
        </w:tc>
      </w:tr>
      <w:tr>
        <w:tc>
          <w:tcPr>
            <w:tcW w:type="dxa" w:w="3312"/>
            <w:vAlign w:val="center"/>
            <w:shd w:fill="F5F7FA"/>
          </w:tcPr>
          <w:p>
            <w:pPr>
              <w:spacing w:after="0"/>
            </w:pPr>
            <w:r/>
            <w:r>
              <w:rPr>
                <w:rFonts w:ascii="Calibri" w:hAnsi="Calibri"/>
                <w:b w:val="0"/>
                <w:sz w:val="16"/>
              </w:rPr>
              <w:t>2026-01</w:t>
            </w:r>
          </w:p>
        </w:tc>
        <w:tc>
          <w:tcPr>
            <w:tcW w:type="dxa" w:w="3312"/>
            <w:vAlign w:val="center"/>
            <w:shd w:fill="F5F7FA"/>
          </w:tcPr>
          <w:p>
            <w:pPr>
              <w:spacing w:after="0"/>
            </w:pPr>
            <w:r/>
            <w:r>
              <w:rPr>
                <w:rFonts w:ascii="Calibri" w:hAnsi="Calibri"/>
                <w:b w:val="0"/>
                <w:sz w:val="16"/>
              </w:rPr>
              <w:t>45.1%</w:t>
            </w:r>
          </w:p>
        </w:tc>
        <w:tc>
          <w:tcPr>
            <w:tcW w:type="dxa" w:w="3312"/>
            <w:vAlign w:val="center"/>
            <w:shd w:fill="F5F7FA"/>
          </w:tcPr>
          <w:p>
            <w:pPr>
              <w:spacing w:after="0"/>
            </w:pPr>
            <w:r/>
            <w:r>
              <w:rPr>
                <w:rFonts w:ascii="Calibri" w:hAnsi="Calibri"/>
                <w:b w:val="0"/>
                <w:sz w:val="16"/>
              </w:rPr>
              <w:t>1.81</w:t>
            </w:r>
          </w:p>
        </w:tc>
      </w:tr>
      <w:tr>
        <w:tc>
          <w:tcPr>
            <w:tcW w:type="dxa" w:w="3312"/>
            <w:vAlign w:val="center"/>
          </w:tcPr>
          <w:p>
            <w:pPr>
              <w:spacing w:after="0"/>
            </w:pPr>
            <w:r/>
            <w:r>
              <w:rPr>
                <w:rFonts w:ascii="Calibri" w:hAnsi="Calibri"/>
                <w:b w:val="0"/>
                <w:sz w:val="16"/>
              </w:rPr>
              <w:t>2026-02</w:t>
            </w:r>
          </w:p>
        </w:tc>
        <w:tc>
          <w:tcPr>
            <w:tcW w:type="dxa" w:w="3312"/>
            <w:vAlign w:val="center"/>
          </w:tcPr>
          <w:p>
            <w:pPr>
              <w:spacing w:after="0"/>
            </w:pPr>
            <w:r/>
            <w:r>
              <w:rPr>
                <w:rFonts w:ascii="Calibri" w:hAnsi="Calibri"/>
                <w:b w:val="0"/>
                <w:sz w:val="16"/>
              </w:rPr>
              <w:t>51.1%</w:t>
            </w:r>
          </w:p>
        </w:tc>
        <w:tc>
          <w:tcPr>
            <w:tcW w:type="dxa" w:w="3312"/>
            <w:vAlign w:val="center"/>
          </w:tcPr>
          <w:p>
            <w:pPr>
              <w:spacing w:after="0"/>
            </w:pPr>
            <w:r/>
            <w:r>
              <w:rPr>
                <w:rFonts w:ascii="Calibri" w:hAnsi="Calibri"/>
                <w:b w:val="0"/>
                <w:sz w:val="16"/>
              </w:rPr>
              <w:t>1.92</w:t>
            </w:r>
          </w:p>
        </w:tc>
      </w:tr>
      <w:tr>
        <w:tc>
          <w:tcPr>
            <w:tcW w:type="dxa" w:w="3312"/>
            <w:vAlign w:val="center"/>
            <w:shd w:fill="F5F7FA"/>
          </w:tcPr>
          <w:p>
            <w:pPr>
              <w:spacing w:after="0"/>
            </w:pPr>
            <w:r/>
            <w:r>
              <w:rPr>
                <w:rFonts w:ascii="Calibri" w:hAnsi="Calibri"/>
                <w:b w:val="0"/>
                <w:sz w:val="16"/>
              </w:rPr>
              <w:t>2026-03</w:t>
            </w:r>
          </w:p>
        </w:tc>
        <w:tc>
          <w:tcPr>
            <w:tcW w:type="dxa" w:w="3312"/>
            <w:vAlign w:val="center"/>
            <w:shd w:fill="F5F7FA"/>
          </w:tcPr>
          <w:p>
            <w:pPr>
              <w:spacing w:after="0"/>
            </w:pPr>
            <w:r/>
            <w:r>
              <w:rPr>
                <w:rFonts w:ascii="Calibri" w:hAnsi="Calibri"/>
                <w:b w:val="0"/>
                <w:sz w:val="16"/>
              </w:rPr>
              <w:t>54.9%</w:t>
            </w:r>
          </w:p>
        </w:tc>
        <w:tc>
          <w:tcPr>
            <w:tcW w:type="dxa" w:w="3312"/>
            <w:vAlign w:val="center"/>
            <w:shd w:fill="F5F7FA"/>
          </w:tcPr>
          <w:p>
            <w:pPr>
              <w:spacing w:after="0"/>
            </w:pPr>
            <w:r/>
            <w:r>
              <w:rPr>
                <w:rFonts w:ascii="Calibri" w:hAnsi="Calibri"/>
                <w:b w:val="0"/>
                <w:sz w:val="16"/>
              </w:rPr>
              <w:t>2.04</w:t>
            </w:r>
          </w:p>
        </w:tc>
      </w:tr>
      <w:tr>
        <w:tc>
          <w:tcPr>
            <w:tcW w:type="dxa" w:w="3312"/>
            <w:vAlign w:val="center"/>
          </w:tcPr>
          <w:p>
            <w:pPr>
              <w:spacing w:after="0"/>
            </w:pPr>
            <w:r/>
            <w:r>
              <w:rPr>
                <w:rFonts w:ascii="Calibri" w:hAnsi="Calibri"/>
                <w:b w:val="0"/>
                <w:sz w:val="16"/>
              </w:rPr>
              <w:t>2026-04</w:t>
            </w:r>
          </w:p>
        </w:tc>
        <w:tc>
          <w:tcPr>
            <w:tcW w:type="dxa" w:w="3312"/>
            <w:vAlign w:val="center"/>
          </w:tcPr>
          <w:p>
            <w:pPr>
              <w:spacing w:after="0"/>
            </w:pPr>
            <w:r/>
            <w:r>
              <w:rPr>
                <w:rFonts w:ascii="Calibri" w:hAnsi="Calibri"/>
                <w:b w:val="0"/>
                <w:sz w:val="16"/>
              </w:rPr>
              <w:t>48.2%</w:t>
            </w:r>
          </w:p>
        </w:tc>
        <w:tc>
          <w:tcPr>
            <w:tcW w:type="dxa" w:w="3312"/>
            <w:vAlign w:val="center"/>
          </w:tcPr>
          <w:p>
            <w:pPr>
              <w:spacing w:after="0"/>
            </w:pPr>
            <w:r/>
            <w:r>
              <w:rPr>
                <w:rFonts w:ascii="Calibri" w:hAnsi="Calibri"/>
                <w:b w:val="0"/>
                <w:sz w:val="16"/>
              </w:rPr>
              <w:t>1.83</w:t>
            </w:r>
          </w:p>
        </w:tc>
      </w:tr>
      <w:tr>
        <w:tc>
          <w:tcPr>
            <w:tcW w:type="dxa" w:w="3312"/>
            <w:vAlign w:val="center"/>
            <w:shd w:fill="F5F7FA"/>
          </w:tcPr>
          <w:p>
            <w:pPr>
              <w:spacing w:after="0"/>
            </w:pPr>
            <w:r/>
            <w:r>
              <w:rPr>
                <w:rFonts w:ascii="Calibri" w:hAnsi="Calibri"/>
                <w:b w:val="0"/>
                <w:sz w:val="16"/>
              </w:rPr>
              <w:t>2026-05</w:t>
            </w:r>
          </w:p>
        </w:tc>
        <w:tc>
          <w:tcPr>
            <w:tcW w:type="dxa" w:w="3312"/>
            <w:vAlign w:val="center"/>
            <w:shd w:fill="F5F7FA"/>
          </w:tcPr>
          <w:p>
            <w:pPr>
              <w:spacing w:after="0"/>
            </w:pPr>
            <w:r/>
            <w:r>
              <w:rPr>
                <w:rFonts w:ascii="Calibri" w:hAnsi="Calibri"/>
                <w:b w:val="0"/>
                <w:sz w:val="16"/>
              </w:rPr>
              <w:t>42.6%</w:t>
            </w:r>
          </w:p>
        </w:tc>
        <w:tc>
          <w:tcPr>
            <w:tcW w:type="dxa" w:w="3312"/>
            <w:vAlign w:val="center"/>
            <w:shd w:fill="F5F7FA"/>
          </w:tcPr>
          <w:p>
            <w:pPr>
              <w:spacing w:after="0"/>
            </w:pPr>
            <w:r/>
            <w:r>
              <w:rPr>
                <w:rFonts w:ascii="Calibri" w:hAnsi="Calibri"/>
                <w:b w:val="0"/>
                <w:sz w:val="16"/>
              </w:rPr>
              <w:t>1.71</w:t>
            </w:r>
          </w:p>
        </w:tc>
      </w:tr>
      <w:tr>
        <w:tc>
          <w:tcPr>
            <w:tcW w:type="dxa" w:w="3312"/>
            <w:vAlign w:val="center"/>
          </w:tcPr>
          <w:p>
            <w:pPr>
              <w:spacing w:after="0"/>
            </w:pPr>
            <w:r/>
            <w:r>
              <w:rPr>
                <w:rFonts w:ascii="Calibri" w:hAnsi="Calibri"/>
                <w:b w:val="0"/>
                <w:sz w:val="16"/>
              </w:rPr>
              <w:t>2026-06</w:t>
            </w:r>
          </w:p>
        </w:tc>
        <w:tc>
          <w:tcPr>
            <w:tcW w:type="dxa" w:w="3312"/>
            <w:vAlign w:val="center"/>
          </w:tcPr>
          <w:p>
            <w:pPr>
              <w:spacing w:after="0"/>
            </w:pPr>
            <w:r/>
            <w:r>
              <w:rPr>
                <w:rFonts w:ascii="Calibri" w:hAnsi="Calibri"/>
                <w:b w:val="0"/>
                <w:sz w:val="16"/>
              </w:rPr>
              <w:t>33.9%</w:t>
            </w:r>
          </w:p>
        </w:tc>
        <w:tc>
          <w:tcPr>
            <w:tcW w:type="dxa" w:w="3312"/>
            <w:vAlign w:val="center"/>
          </w:tcPr>
          <w:p>
            <w:pPr>
              <w:spacing w:after="0"/>
            </w:pPr>
            <w:r/>
            <w:r>
              <w:rPr>
                <w:rFonts w:ascii="Calibri" w:hAnsi="Calibri"/>
                <w:b w:val="0"/>
                <w:sz w:val="16"/>
              </w:rPr>
              <w:t>1.50</w:t>
            </w:r>
          </w:p>
        </w:tc>
      </w:tr>
      <w:tr>
        <w:tc>
          <w:tcPr>
            <w:tcW w:type="dxa" w:w="3312"/>
            <w:vAlign w:val="center"/>
            <w:shd w:fill="F5F7FA"/>
          </w:tcPr>
          <w:p>
            <w:pPr>
              <w:spacing w:after="0"/>
            </w:pPr>
            <w:r/>
            <w:r>
              <w:rPr>
                <w:rFonts w:ascii="Calibri" w:hAnsi="Calibri"/>
                <w:b w:val="0"/>
                <w:sz w:val="16"/>
              </w:rPr>
              <w:t>2026-07</w:t>
            </w:r>
          </w:p>
        </w:tc>
        <w:tc>
          <w:tcPr>
            <w:tcW w:type="dxa" w:w="3312"/>
            <w:vAlign w:val="center"/>
            <w:shd w:fill="F5F7FA"/>
          </w:tcPr>
          <w:p>
            <w:pPr>
              <w:spacing w:after="0"/>
            </w:pPr>
            <w:r/>
            <w:r>
              <w:rPr>
                <w:rFonts w:ascii="Calibri" w:hAnsi="Calibri"/>
                <w:b w:val="0"/>
                <w:sz w:val="16"/>
              </w:rPr>
              <w:t>28.3%</w:t>
            </w:r>
          </w:p>
        </w:tc>
        <w:tc>
          <w:tcPr>
            <w:tcW w:type="dxa" w:w="3312"/>
            <w:vAlign w:val="center"/>
            <w:shd w:fill="F5F7FA"/>
          </w:tcPr>
          <w:p>
            <w:pPr>
              <w:spacing w:after="0"/>
            </w:pPr>
            <w:r/>
            <w:r>
              <w:rPr>
                <w:rFonts w:ascii="Calibri" w:hAnsi="Calibri"/>
                <w:b w:val="0"/>
                <w:sz w:val="16"/>
              </w:rPr>
              <w:t>1.45</w:t>
            </w:r>
          </w:p>
        </w:tc>
      </w:tr>
      <w:tr>
        <w:tc>
          <w:tcPr>
            <w:tcW w:type="dxa" w:w="3312"/>
            <w:vAlign w:val="center"/>
          </w:tcPr>
          <w:p>
            <w:pPr>
              <w:spacing w:after="0"/>
            </w:pPr>
            <w:r/>
            <w:r>
              <w:rPr>
                <w:rFonts w:ascii="Calibri" w:hAnsi="Calibri"/>
                <w:b w:val="0"/>
                <w:sz w:val="16"/>
              </w:rPr>
              <w:t>2026-08</w:t>
            </w:r>
          </w:p>
        </w:tc>
        <w:tc>
          <w:tcPr>
            <w:tcW w:type="dxa" w:w="3312"/>
            <w:vAlign w:val="center"/>
          </w:tcPr>
          <w:p>
            <w:pPr>
              <w:spacing w:after="0"/>
            </w:pPr>
            <w:r/>
            <w:r>
              <w:rPr>
                <w:rFonts w:ascii="Calibri" w:hAnsi="Calibri"/>
                <w:b w:val="0"/>
                <w:sz w:val="16"/>
              </w:rPr>
              <w:t>19.2%</w:t>
            </w:r>
          </w:p>
        </w:tc>
        <w:tc>
          <w:tcPr>
            <w:tcW w:type="dxa" w:w="3312"/>
            <w:vAlign w:val="center"/>
          </w:tcPr>
          <w:p>
            <w:pPr>
              <w:spacing w:after="0"/>
            </w:pPr>
            <w:r/>
            <w:r>
              <w:rPr>
                <w:rFonts w:ascii="Calibri" w:hAnsi="Calibri"/>
                <w:b w:val="0"/>
                <w:sz w:val="16"/>
              </w:rPr>
              <w:t>1.28</w:t>
            </w:r>
          </w:p>
        </w:tc>
      </w:tr>
    </w:tbl>
    <w:p>
      <w:pPr>
        <w:spacing w:after="20"/>
      </w:pPr>
    </w:p>
    <w:p>
      <w:pPr>
        <w:pStyle w:val="Heading1"/>
        <w:keepNext/>
      </w:pPr>
      <w:r>
        <w:t>3. Evidencia de operarios comparables</w:t>
      </w:r>
    </w:p>
    <w:p>
      <w:pPr>
        <w:spacing w:after="100" w:line="259" w:lineRule="auto"/>
      </w:pPr>
      <w:r>
        <w:rPr>
          <w:rFonts w:ascii="Calibri" w:hAnsi="Calibri"/>
          <w:i w:val="0"/>
          <w:sz w:val="21"/>
        </w:rPr>
        <w:t>Se comparó el mismo universo de 40 legajos que registra CARGA grupo 19 tanto en marzo como en julio de 2026. El resultado evita atribuir la caída a un simple cambio de dotación: aun dentro de las mismas personas, baja la frecuencia de jornadas con premio y baja el nivel promedio.</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trPr>
        <w:tc>
          <w:tcPr>
            <w:tcW w:type="dxa" w:w="2484"/>
            <w:vAlign w:val="center"/>
            <w:shd w:fill="1F4E79"/>
          </w:tcPr>
          <w:p>
            <w:pPr>
              <w:spacing w:after="0"/>
            </w:pPr>
            <w:r/>
            <w:r>
              <w:rPr>
                <w:rFonts w:ascii="Calibri" w:hAnsi="Calibri"/>
                <w:b/>
                <w:color w:val="FFFFFF"/>
                <w:sz w:val="17"/>
              </w:rPr>
              <w:t>Indicador</w:t>
            </w:r>
          </w:p>
        </w:tc>
        <w:tc>
          <w:tcPr>
            <w:tcW w:type="dxa" w:w="2484"/>
            <w:vAlign w:val="center"/>
            <w:shd w:fill="1F4E79"/>
          </w:tcPr>
          <w:p>
            <w:pPr>
              <w:spacing w:after="0"/>
            </w:pPr>
            <w:r/>
            <w:r>
              <w:rPr>
                <w:rFonts w:ascii="Calibri" w:hAnsi="Calibri"/>
                <w:b/>
                <w:color w:val="FFFFFF"/>
                <w:sz w:val="17"/>
              </w:rPr>
              <w:t>Mar-26</w:t>
            </w:r>
          </w:p>
        </w:tc>
        <w:tc>
          <w:tcPr>
            <w:tcW w:type="dxa" w:w="2484"/>
            <w:vAlign w:val="center"/>
            <w:shd w:fill="1F4E79"/>
          </w:tcPr>
          <w:p>
            <w:pPr>
              <w:spacing w:after="0"/>
            </w:pPr>
            <w:r/>
            <w:r>
              <w:rPr>
                <w:rFonts w:ascii="Calibri" w:hAnsi="Calibri"/>
                <w:b/>
                <w:color w:val="FFFFFF"/>
                <w:sz w:val="17"/>
              </w:rPr>
              <w:t>Jul-26</w:t>
            </w:r>
          </w:p>
        </w:tc>
        <w:tc>
          <w:tcPr>
            <w:tcW w:type="dxa" w:w="2484"/>
            <w:vAlign w:val="center"/>
            <w:shd w:fill="1F4E79"/>
          </w:tcPr>
          <w:p>
            <w:pPr>
              <w:spacing w:after="0"/>
            </w:pPr>
            <w:r/>
            <w:r>
              <w:rPr>
                <w:rFonts w:ascii="Calibri" w:hAnsi="Calibri"/>
                <w:b/>
                <w:color w:val="FFFFFF"/>
                <w:sz w:val="17"/>
              </w:rPr>
              <w:t>Variación</w:t>
            </w:r>
          </w:p>
        </w:tc>
      </w:tr>
      <w:tr>
        <w:tc>
          <w:tcPr>
            <w:tcW w:type="dxa" w:w="2484"/>
            <w:vAlign w:val="center"/>
            <w:shd w:fill="F5F7FA"/>
          </w:tcPr>
          <w:p>
            <w:pPr>
              <w:spacing w:after="0"/>
            </w:pPr>
            <w:r/>
            <w:r>
              <w:rPr>
                <w:rFonts w:ascii="Calibri" w:hAnsi="Calibri"/>
                <w:b w:val="0"/>
                <w:sz w:val="17"/>
              </w:rPr>
              <w:t>Legajos comparables</w:t>
            </w:r>
          </w:p>
        </w:tc>
        <w:tc>
          <w:tcPr>
            <w:tcW w:type="dxa" w:w="2484"/>
            <w:vAlign w:val="center"/>
            <w:shd w:fill="F5F7FA"/>
          </w:tcPr>
          <w:p>
            <w:pPr>
              <w:spacing w:after="0"/>
            </w:pPr>
            <w:r/>
            <w:r>
              <w:rPr>
                <w:rFonts w:ascii="Calibri" w:hAnsi="Calibri"/>
                <w:b w:val="0"/>
                <w:sz w:val="17"/>
              </w:rPr>
              <w:t>40</w:t>
            </w:r>
          </w:p>
        </w:tc>
        <w:tc>
          <w:tcPr>
            <w:tcW w:type="dxa" w:w="2484"/>
            <w:vAlign w:val="center"/>
            <w:shd w:fill="F5F7FA"/>
          </w:tcPr>
          <w:p>
            <w:pPr>
              <w:spacing w:after="0"/>
            </w:pPr>
            <w:r/>
            <w:r>
              <w:rPr>
                <w:rFonts w:ascii="Calibri" w:hAnsi="Calibri"/>
                <w:b w:val="0"/>
                <w:sz w:val="17"/>
              </w:rPr>
              <w:t>40</w:t>
            </w:r>
          </w:p>
        </w:tc>
        <w:tc>
          <w:tcPr>
            <w:tcW w:type="dxa" w:w="2484"/>
            <w:vAlign w:val="center"/>
            <w:shd w:fill="F5F7FA"/>
          </w:tcPr>
          <w:p>
            <w:pPr>
              <w:spacing w:after="0"/>
            </w:pPr>
            <w:r/>
            <w:r>
              <w:rPr>
                <w:rFonts w:ascii="Calibri" w:hAnsi="Calibri"/>
                <w:b w:val="0"/>
                <w:sz w:val="17"/>
              </w:rPr>
              <w:t>Universo común</w:t>
            </w:r>
          </w:p>
        </w:tc>
      </w:tr>
      <w:tr>
        <w:tc>
          <w:tcPr>
            <w:tcW w:type="dxa" w:w="2484"/>
            <w:vAlign w:val="center"/>
          </w:tcPr>
          <w:p>
            <w:pPr>
              <w:spacing w:after="0"/>
            </w:pPr>
            <w:r/>
            <w:r>
              <w:rPr>
                <w:rFonts w:ascii="Calibri" w:hAnsi="Calibri"/>
                <w:b w:val="0"/>
                <w:sz w:val="17"/>
              </w:rPr>
              <w:t>Jornadas</w:t>
            </w:r>
          </w:p>
        </w:tc>
        <w:tc>
          <w:tcPr>
            <w:tcW w:type="dxa" w:w="2484"/>
            <w:vAlign w:val="center"/>
          </w:tcPr>
          <w:p>
            <w:pPr>
              <w:spacing w:after="0"/>
            </w:pPr>
            <w:r/>
            <w:r>
              <w:rPr>
                <w:rFonts w:ascii="Calibri" w:hAnsi="Calibri"/>
                <w:b w:val="0"/>
                <w:sz w:val="17"/>
              </w:rPr>
              <w:t>666</w:t>
            </w:r>
          </w:p>
        </w:tc>
        <w:tc>
          <w:tcPr>
            <w:tcW w:type="dxa" w:w="2484"/>
            <w:vAlign w:val="center"/>
          </w:tcPr>
          <w:p>
            <w:pPr>
              <w:spacing w:after="0"/>
            </w:pPr>
            <w:r/>
            <w:r>
              <w:rPr>
                <w:rFonts w:ascii="Calibri" w:hAnsi="Calibri"/>
                <w:b w:val="0"/>
                <w:sz w:val="17"/>
              </w:rPr>
              <w:t>728</w:t>
            </w:r>
          </w:p>
        </w:tc>
        <w:tc>
          <w:tcPr>
            <w:tcW w:type="dxa" w:w="2484"/>
            <w:vAlign w:val="center"/>
          </w:tcPr>
          <w:p>
            <w:pPr>
              <w:spacing w:after="0"/>
            </w:pPr>
            <w:r/>
            <w:r>
              <w:rPr>
                <w:rFonts w:ascii="Calibri" w:hAnsi="Calibri"/>
                <w:b w:val="0"/>
                <w:sz w:val="17"/>
              </w:rPr>
              <w:t>+9,3%</w:t>
            </w:r>
          </w:p>
        </w:tc>
      </w:tr>
      <w:tr>
        <w:tc>
          <w:tcPr>
            <w:tcW w:type="dxa" w:w="2484"/>
            <w:vAlign w:val="center"/>
            <w:shd w:fill="F5F7FA"/>
          </w:tcPr>
          <w:p>
            <w:pPr>
              <w:spacing w:after="0"/>
            </w:pPr>
            <w:r/>
            <w:r>
              <w:rPr>
                <w:rFonts w:ascii="Calibri" w:hAnsi="Calibri"/>
                <w:b w:val="0"/>
                <w:sz w:val="17"/>
              </w:rPr>
              <w:t>Jornadas con premio</w:t>
            </w:r>
          </w:p>
        </w:tc>
        <w:tc>
          <w:tcPr>
            <w:tcW w:type="dxa" w:w="2484"/>
            <w:vAlign w:val="center"/>
            <w:shd w:fill="F5F7FA"/>
          </w:tcPr>
          <w:p>
            <w:pPr>
              <w:spacing w:after="0"/>
            </w:pPr>
            <w:r/>
            <w:r>
              <w:rPr>
                <w:rFonts w:ascii="Calibri" w:hAnsi="Calibri"/>
                <w:b w:val="0"/>
                <w:sz w:val="17"/>
              </w:rPr>
              <w:t>383</w:t>
            </w:r>
          </w:p>
        </w:tc>
        <w:tc>
          <w:tcPr>
            <w:tcW w:type="dxa" w:w="2484"/>
            <w:vAlign w:val="center"/>
            <w:shd w:fill="F5F7FA"/>
          </w:tcPr>
          <w:p>
            <w:pPr>
              <w:spacing w:after="0"/>
            </w:pPr>
            <w:r/>
            <w:r>
              <w:rPr>
                <w:rFonts w:ascii="Calibri" w:hAnsi="Calibri"/>
                <w:b w:val="0"/>
                <w:sz w:val="17"/>
              </w:rPr>
              <w:t>208</w:t>
            </w:r>
          </w:p>
        </w:tc>
        <w:tc>
          <w:tcPr>
            <w:tcW w:type="dxa" w:w="2484"/>
            <w:vAlign w:val="center"/>
            <w:shd w:fill="F5F7FA"/>
          </w:tcPr>
          <w:p>
            <w:pPr>
              <w:spacing w:after="0"/>
            </w:pPr>
            <w:r/>
            <w:r>
              <w:rPr>
                <w:rFonts w:ascii="Calibri" w:hAnsi="Calibri"/>
                <w:b w:val="0"/>
                <w:sz w:val="17"/>
              </w:rPr>
              <w:t>-45,7%</w:t>
            </w:r>
          </w:p>
        </w:tc>
      </w:tr>
      <w:tr>
        <w:tc>
          <w:tcPr>
            <w:tcW w:type="dxa" w:w="2484"/>
            <w:vAlign w:val="center"/>
          </w:tcPr>
          <w:p>
            <w:pPr>
              <w:spacing w:after="0"/>
            </w:pPr>
            <w:r/>
            <w:r>
              <w:rPr>
                <w:rFonts w:ascii="Calibri" w:hAnsi="Calibri"/>
                <w:b w:val="0"/>
                <w:sz w:val="17"/>
              </w:rPr>
              <w:t>Tasa de premio positivo</w:t>
            </w:r>
          </w:p>
        </w:tc>
        <w:tc>
          <w:tcPr>
            <w:tcW w:type="dxa" w:w="2484"/>
            <w:vAlign w:val="center"/>
          </w:tcPr>
          <w:p>
            <w:pPr>
              <w:spacing w:after="0"/>
            </w:pPr>
            <w:r/>
            <w:r>
              <w:rPr>
                <w:rFonts w:ascii="Calibri" w:hAnsi="Calibri"/>
                <w:b w:val="0"/>
                <w:sz w:val="17"/>
              </w:rPr>
              <w:t>57,5%</w:t>
            </w:r>
          </w:p>
        </w:tc>
        <w:tc>
          <w:tcPr>
            <w:tcW w:type="dxa" w:w="2484"/>
            <w:vAlign w:val="center"/>
          </w:tcPr>
          <w:p>
            <w:pPr>
              <w:spacing w:after="0"/>
            </w:pPr>
            <w:r/>
            <w:r>
              <w:rPr>
                <w:rFonts w:ascii="Calibri" w:hAnsi="Calibri"/>
                <w:b w:val="0"/>
                <w:sz w:val="17"/>
              </w:rPr>
              <w:t>28,6%</w:t>
            </w:r>
          </w:p>
        </w:tc>
        <w:tc>
          <w:tcPr>
            <w:tcW w:type="dxa" w:w="2484"/>
            <w:vAlign w:val="center"/>
          </w:tcPr>
          <w:p>
            <w:pPr>
              <w:spacing w:after="0"/>
            </w:pPr>
            <w:r/>
            <w:r>
              <w:rPr>
                <w:rFonts w:ascii="Calibri" w:hAnsi="Calibri"/>
                <w:b w:val="0"/>
                <w:sz w:val="17"/>
              </w:rPr>
              <w:t>-28,9 pp</w:t>
            </w:r>
          </w:p>
        </w:tc>
      </w:tr>
      <w:tr>
        <w:tc>
          <w:tcPr>
            <w:tcW w:type="dxa" w:w="2484"/>
            <w:vAlign w:val="center"/>
            <w:shd w:fill="F5F7FA"/>
          </w:tcPr>
          <w:p>
            <w:pPr>
              <w:spacing w:after="0"/>
            </w:pPr>
            <w:r/>
            <w:r>
              <w:rPr>
                <w:rFonts w:ascii="Calibri" w:hAnsi="Calibri"/>
                <w:b w:val="0"/>
                <w:sz w:val="17"/>
              </w:rPr>
              <w:t>Nivel promedio ponderado</w:t>
            </w:r>
          </w:p>
        </w:tc>
        <w:tc>
          <w:tcPr>
            <w:tcW w:type="dxa" w:w="2484"/>
            <w:vAlign w:val="center"/>
            <w:shd w:fill="F5F7FA"/>
          </w:tcPr>
          <w:p>
            <w:pPr>
              <w:spacing w:after="0"/>
            </w:pPr>
            <w:r/>
            <w:r>
              <w:rPr>
                <w:rFonts w:ascii="Calibri" w:hAnsi="Calibri"/>
                <w:b w:val="0"/>
                <w:sz w:val="17"/>
              </w:rPr>
              <w:t>2,08</w:t>
            </w:r>
          </w:p>
        </w:tc>
        <w:tc>
          <w:tcPr>
            <w:tcW w:type="dxa" w:w="2484"/>
            <w:vAlign w:val="center"/>
            <w:shd w:fill="F5F7FA"/>
          </w:tcPr>
          <w:p>
            <w:pPr>
              <w:spacing w:after="0"/>
            </w:pPr>
            <w:r/>
            <w:r>
              <w:rPr>
                <w:rFonts w:ascii="Calibri" w:hAnsi="Calibri"/>
                <w:b w:val="0"/>
                <w:sz w:val="17"/>
              </w:rPr>
              <w:t>1,45</w:t>
            </w:r>
          </w:p>
        </w:tc>
        <w:tc>
          <w:tcPr>
            <w:tcW w:type="dxa" w:w="2484"/>
            <w:vAlign w:val="center"/>
            <w:shd w:fill="F5F7FA"/>
          </w:tcPr>
          <w:p>
            <w:pPr>
              <w:spacing w:after="0"/>
            </w:pPr>
            <w:r/>
            <w:r>
              <w:rPr>
                <w:rFonts w:ascii="Calibri" w:hAnsi="Calibri"/>
                <w:b w:val="0"/>
                <w:sz w:val="17"/>
              </w:rPr>
              <w:t>-0,63</w:t>
            </w:r>
          </w:p>
        </w:tc>
      </w:tr>
    </w:tbl>
    <w:p>
      <w:pPr>
        <w:spacing w:after="20"/>
      </w:pPr>
    </w:p>
    <w:p>
      <w:pPr>
        <w:spacing w:after="100" w:line="259" w:lineRule="auto"/>
      </w:pPr>
      <w:r>
        <w:rPr>
          <w:rFonts w:ascii="Calibri" w:hAnsi="Calibri"/>
          <w:i w:val="0"/>
          <w:sz w:val="21"/>
        </w:rPr>
        <w:t>Casos ilustrativos: el legajo 118380 pasa de 11 jornadas con premio sobre 23 en marzo a 0 sobre 25 en julio; el 135105 pasa de 20/26 a 7/21; el 171813 pasa de 15/24 a 4/27; el 38808 pasa de 9/17 a 0/16. No son casos aislados: 13 de los 40 legajos comparables que tenían una tasa de premio de al menos 50% en marzo caen por debajo de 50% en julio.</w:t>
      </w:r>
    </w:p>
    <w:p>
      <w:pPr>
        <w:pStyle w:val="Heading1"/>
        <w:keepNext/>
      </w:pPr>
      <w:r>
        <w:t>4. Producción, tiempos y mezcla CARGA + CARRETEO</w:t>
      </w:r>
    </w:p>
    <w:p>
      <w:pPr>
        <w:spacing w:after="100" w:line="259" w:lineRule="auto"/>
      </w:pPr>
      <w:r>
        <w:rPr>
          <w:rFonts w:ascii="Calibri" w:hAnsi="Calibri"/>
          <w:i w:val="0"/>
          <w:sz w:val="21"/>
        </w:rPr>
        <w:t>La lectura correcta no es solo camiones totales ni solo bultos totales. Debe medirse el volumen por persona y por hora efectiva, porque la dotación puede crecer más rápido que la carga. Además, una persona que hace CARGA y CARRETEO puede conservar esfuerzo operativo, pero repartir su tiempo entre dos funciones con unidades y conversiones distintas.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trPr>
        <w:tc>
          <w:tcPr>
            <w:tcW w:type="dxa" w:w="2484"/>
            <w:vAlign w:val="center"/>
            <w:shd w:fill="1F4E79"/>
          </w:tcPr>
          <w:p>
            <w:pPr>
              <w:spacing w:after="0"/>
            </w:pPr>
            <w:r/>
            <w:r>
              <w:rPr>
                <w:rFonts w:ascii="Calibri" w:hAnsi="Calibri"/>
                <w:b/>
                <w:color w:val="FFFFFF"/>
                <w:sz w:val="17"/>
              </w:rPr>
              <w:t>Indicador julio 2026</w:t>
            </w:r>
          </w:p>
        </w:tc>
        <w:tc>
          <w:tcPr>
            <w:tcW w:type="dxa" w:w="2484"/>
            <w:vAlign w:val="center"/>
            <w:shd w:fill="1F4E79"/>
          </w:tcPr>
          <w:p>
            <w:pPr>
              <w:spacing w:after="0"/>
            </w:pPr>
            <w:r/>
            <w:r>
              <w:rPr>
                <w:rFonts w:ascii="Calibri" w:hAnsi="Calibri"/>
                <w:b/>
                <w:color w:val="FFFFFF"/>
                <w:sz w:val="17"/>
              </w:rPr>
              <w:t>CARGA</w:t>
            </w:r>
          </w:p>
        </w:tc>
        <w:tc>
          <w:tcPr>
            <w:tcW w:type="dxa" w:w="2484"/>
            <w:vAlign w:val="center"/>
            <w:shd w:fill="1F4E79"/>
          </w:tcPr>
          <w:p>
            <w:pPr>
              <w:spacing w:after="0"/>
            </w:pPr>
            <w:r/>
            <w:r>
              <w:rPr>
                <w:rFonts w:ascii="Calibri" w:hAnsi="Calibri"/>
                <w:b/>
                <w:color w:val="FFFFFF"/>
                <w:sz w:val="17"/>
              </w:rPr>
              <w:t>CARRETEO</w:t>
            </w:r>
          </w:p>
        </w:tc>
        <w:tc>
          <w:tcPr>
            <w:tcW w:type="dxa" w:w="2484"/>
            <w:vAlign w:val="center"/>
            <w:shd w:fill="1F4E79"/>
          </w:tcPr>
          <w:p>
            <w:pPr>
              <w:spacing w:after="0"/>
            </w:pPr>
            <w:r/>
            <w:r>
              <w:rPr>
                <w:rFonts w:ascii="Calibri" w:hAnsi="Calibri"/>
                <w:b/>
                <w:color w:val="FFFFFF"/>
                <w:sz w:val="17"/>
              </w:rPr>
              <w:t>Combinado</w:t>
            </w:r>
          </w:p>
        </w:tc>
      </w:tr>
      <w:tr>
        <w:tc>
          <w:tcPr>
            <w:tcW w:type="dxa" w:w="2484"/>
            <w:vAlign w:val="center"/>
            <w:shd w:fill="F5F7FA"/>
          </w:tcPr>
          <w:p>
            <w:pPr>
              <w:spacing w:after="0"/>
            </w:pPr>
            <w:r/>
            <w:r>
              <w:rPr>
                <w:rFonts w:ascii="Calibri" w:hAnsi="Calibri"/>
                <w:b w:val="0"/>
                <w:sz w:val="17"/>
              </w:rPr>
              <w:t>Legajos con actividad</w:t>
            </w:r>
          </w:p>
        </w:tc>
        <w:tc>
          <w:tcPr>
            <w:tcW w:type="dxa" w:w="2484"/>
            <w:vAlign w:val="center"/>
            <w:shd w:fill="F5F7FA"/>
          </w:tcPr>
          <w:p>
            <w:pPr>
              <w:spacing w:after="0"/>
            </w:pPr>
            <w:r/>
            <w:r>
              <w:rPr>
                <w:rFonts w:ascii="Calibri" w:hAnsi="Calibri"/>
                <w:b w:val="0"/>
                <w:sz w:val="17"/>
              </w:rPr>
              <w:t>61</w:t>
            </w:r>
          </w:p>
        </w:tc>
        <w:tc>
          <w:tcPr>
            <w:tcW w:type="dxa" w:w="2484"/>
            <w:vAlign w:val="center"/>
            <w:shd w:fill="F5F7FA"/>
          </w:tcPr>
          <w:p>
            <w:pPr>
              <w:spacing w:after="0"/>
            </w:pPr>
            <w:r/>
            <w:r>
              <w:rPr>
                <w:rFonts w:ascii="Calibri" w:hAnsi="Calibri"/>
                <w:b w:val="0"/>
                <w:sz w:val="17"/>
              </w:rPr>
              <w:t>90</w:t>
            </w:r>
          </w:p>
        </w:tc>
        <w:tc>
          <w:tcPr>
            <w:tcW w:type="dxa" w:w="2484"/>
            <w:vAlign w:val="center"/>
            <w:shd w:fill="F5F7FA"/>
          </w:tcPr>
          <w:p>
            <w:pPr>
              <w:spacing w:after="0"/>
            </w:pPr>
            <w:r/>
            <w:r>
              <w:rPr>
                <w:rFonts w:ascii="Calibri" w:hAnsi="Calibri"/>
                <w:b w:val="0"/>
                <w:sz w:val="17"/>
              </w:rPr>
              <w:t>92</w:t>
            </w:r>
          </w:p>
        </w:tc>
      </w:tr>
      <w:tr>
        <w:tc>
          <w:tcPr>
            <w:tcW w:type="dxa" w:w="2484"/>
            <w:vAlign w:val="center"/>
          </w:tcPr>
          <w:p>
            <w:pPr>
              <w:spacing w:after="0"/>
            </w:pPr>
            <w:r/>
            <w:r>
              <w:rPr>
                <w:rFonts w:ascii="Calibri" w:hAnsi="Calibri"/>
                <w:b w:val="0"/>
                <w:sz w:val="17"/>
              </w:rPr>
              <w:t>Jornadas/legajo-día</w:t>
            </w:r>
          </w:p>
        </w:tc>
        <w:tc>
          <w:tcPr>
            <w:tcW w:type="dxa" w:w="2484"/>
            <w:vAlign w:val="center"/>
          </w:tcPr>
          <w:p>
            <w:pPr>
              <w:spacing w:after="0"/>
            </w:pPr>
            <w:r/>
            <w:r>
              <w:rPr>
                <w:rFonts w:ascii="Calibri" w:hAnsi="Calibri"/>
                <w:b w:val="0"/>
                <w:sz w:val="17"/>
              </w:rPr>
              <w:t>788</w:t>
            </w:r>
          </w:p>
        </w:tc>
        <w:tc>
          <w:tcPr>
            <w:tcW w:type="dxa" w:w="2484"/>
            <w:vAlign w:val="center"/>
          </w:tcPr>
          <w:p>
            <w:pPr>
              <w:spacing w:after="0"/>
            </w:pPr>
            <w:r/>
            <w:r>
              <w:rPr>
                <w:rFonts w:ascii="Calibri" w:hAnsi="Calibri"/>
                <w:b w:val="0"/>
                <w:sz w:val="17"/>
              </w:rPr>
              <w:t>884</w:t>
            </w:r>
          </w:p>
        </w:tc>
        <w:tc>
          <w:tcPr>
            <w:tcW w:type="dxa" w:w="2484"/>
            <w:vAlign w:val="center"/>
          </w:tcPr>
          <w:p>
            <w:pPr>
              <w:spacing w:after="0"/>
            </w:pPr>
            <w:r/>
            <w:r>
              <w:rPr>
                <w:rFonts w:ascii="Calibri" w:hAnsi="Calibri"/>
                <w:b w:val="0"/>
                <w:sz w:val="17"/>
              </w:rPr>
              <w:t>893</w:t>
            </w:r>
          </w:p>
        </w:tc>
      </w:tr>
      <w:tr>
        <w:tc>
          <w:tcPr>
            <w:tcW w:type="dxa" w:w="2484"/>
            <w:vAlign w:val="center"/>
            <w:shd w:fill="F5F7FA"/>
          </w:tcPr>
          <w:p>
            <w:pPr>
              <w:spacing w:after="0"/>
            </w:pPr>
            <w:r/>
            <w:r>
              <w:rPr>
                <w:rFonts w:ascii="Calibri" w:hAnsi="Calibri"/>
                <w:b w:val="0"/>
                <w:sz w:val="17"/>
              </w:rPr>
              <w:t>Horas efectivas</w:t>
            </w:r>
          </w:p>
        </w:tc>
        <w:tc>
          <w:tcPr>
            <w:tcW w:type="dxa" w:w="2484"/>
            <w:vAlign w:val="center"/>
            <w:shd w:fill="F5F7FA"/>
          </w:tcPr>
          <w:p>
            <w:pPr>
              <w:spacing w:after="0"/>
            </w:pPr>
            <w:r/>
            <w:r>
              <w:rPr>
                <w:rFonts w:ascii="Calibri" w:hAnsi="Calibri"/>
                <w:b w:val="0"/>
                <w:sz w:val="17"/>
              </w:rPr>
              <w:t>2.403,1</w:t>
            </w:r>
          </w:p>
        </w:tc>
        <w:tc>
          <w:tcPr>
            <w:tcW w:type="dxa" w:w="2484"/>
            <w:vAlign w:val="center"/>
            <w:shd w:fill="F5F7FA"/>
          </w:tcPr>
          <w:p>
            <w:pPr>
              <w:spacing w:after="0"/>
            </w:pPr>
            <w:r/>
            <w:r>
              <w:rPr>
                <w:rFonts w:ascii="Calibri" w:hAnsi="Calibri"/>
                <w:b w:val="0"/>
                <w:sz w:val="17"/>
              </w:rPr>
              <w:t>1.676,3</w:t>
            </w:r>
          </w:p>
        </w:tc>
        <w:tc>
          <w:tcPr>
            <w:tcW w:type="dxa" w:w="2484"/>
            <w:vAlign w:val="center"/>
            <w:shd w:fill="F5F7FA"/>
          </w:tcPr>
          <w:p>
            <w:pPr>
              <w:spacing w:after="0"/>
            </w:pPr>
            <w:r/>
            <w:r>
              <w:rPr>
                <w:rFonts w:ascii="Calibri" w:hAnsi="Calibri"/>
                <w:b w:val="0"/>
                <w:sz w:val="17"/>
              </w:rPr>
              <w:t>4.079,4</w:t>
            </w:r>
          </w:p>
        </w:tc>
      </w:tr>
      <w:tr>
        <w:tc>
          <w:tcPr>
            <w:tcW w:type="dxa" w:w="2484"/>
            <w:vAlign w:val="center"/>
          </w:tcPr>
          <w:p>
            <w:pPr>
              <w:spacing w:after="0"/>
            </w:pPr>
            <w:r/>
            <w:r>
              <w:rPr>
                <w:rFonts w:ascii="Calibri" w:hAnsi="Calibri"/>
                <w:b w:val="0"/>
                <w:sz w:val="17"/>
              </w:rPr>
              <w:t>Producción registrada</w:t>
            </w:r>
          </w:p>
        </w:tc>
        <w:tc>
          <w:tcPr>
            <w:tcW w:type="dxa" w:w="2484"/>
            <w:vAlign w:val="center"/>
          </w:tcPr>
          <w:p>
            <w:pPr>
              <w:spacing w:after="0"/>
            </w:pPr>
            <w:r/>
            <w:r>
              <w:rPr>
                <w:rFonts w:ascii="Calibri" w:hAnsi="Calibri"/>
                <w:b w:val="0"/>
                <w:sz w:val="17"/>
              </w:rPr>
              <w:t>3.986.829</w:t>
            </w:r>
          </w:p>
        </w:tc>
        <w:tc>
          <w:tcPr>
            <w:tcW w:type="dxa" w:w="2484"/>
            <w:vAlign w:val="center"/>
          </w:tcPr>
          <w:p>
            <w:pPr>
              <w:spacing w:after="0"/>
            </w:pPr>
            <w:r/>
            <w:r>
              <w:rPr>
                <w:rFonts w:ascii="Calibri" w:hAnsi="Calibri"/>
                <w:b w:val="0"/>
                <w:sz w:val="17"/>
              </w:rPr>
              <w:t>57.471</w:t>
            </w:r>
          </w:p>
        </w:tc>
        <w:tc>
          <w:tcPr>
            <w:tcW w:type="dxa" w:w="2484"/>
            <w:vAlign w:val="center"/>
          </w:tcPr>
          <w:p>
            <w:pPr>
              <w:spacing w:after="0"/>
            </w:pPr>
            <w:r/>
            <w:r>
              <w:rPr>
                <w:rFonts w:ascii="Calibri" w:hAnsi="Calibri"/>
                <w:b w:val="0"/>
                <w:sz w:val="17"/>
              </w:rPr>
              <w:t>4.044.300</w:t>
            </w:r>
          </w:p>
        </w:tc>
      </w:tr>
      <w:tr>
        <w:tc>
          <w:tcPr>
            <w:tcW w:type="dxa" w:w="2484"/>
            <w:vAlign w:val="center"/>
            <w:shd w:fill="F5F7FA"/>
          </w:tcPr>
          <w:p>
            <w:pPr>
              <w:spacing w:after="0"/>
            </w:pPr>
            <w:r/>
            <w:r>
              <w:rPr>
                <w:rFonts w:ascii="Calibri" w:hAnsi="Calibri"/>
                <w:b w:val="0"/>
                <w:sz w:val="17"/>
              </w:rPr>
              <w:t>Producción por hora</w:t>
            </w:r>
          </w:p>
        </w:tc>
        <w:tc>
          <w:tcPr>
            <w:tcW w:type="dxa" w:w="2484"/>
            <w:vAlign w:val="center"/>
            <w:shd w:fill="F5F7FA"/>
          </w:tcPr>
          <w:p>
            <w:pPr>
              <w:spacing w:after="0"/>
            </w:pPr>
            <w:r/>
            <w:r>
              <w:rPr>
                <w:rFonts w:ascii="Calibri" w:hAnsi="Calibri"/>
                <w:b w:val="0"/>
                <w:sz w:val="17"/>
              </w:rPr>
              <w:t>1.659,1</w:t>
            </w:r>
          </w:p>
        </w:tc>
        <w:tc>
          <w:tcPr>
            <w:tcW w:type="dxa" w:w="2484"/>
            <w:vAlign w:val="center"/>
            <w:shd w:fill="F5F7FA"/>
          </w:tcPr>
          <w:p>
            <w:pPr>
              <w:spacing w:after="0"/>
            </w:pPr>
            <w:r/>
            <w:r>
              <w:rPr>
                <w:rFonts w:ascii="Calibri" w:hAnsi="Calibri"/>
                <w:b w:val="0"/>
                <w:sz w:val="17"/>
              </w:rPr>
              <w:t>34,3</w:t>
            </w:r>
          </w:p>
        </w:tc>
        <w:tc>
          <w:tcPr>
            <w:tcW w:type="dxa" w:w="2484"/>
            <w:vAlign w:val="center"/>
            <w:shd w:fill="F5F7FA"/>
          </w:tcPr>
          <w:p>
            <w:pPr>
              <w:spacing w:after="0"/>
            </w:pPr>
            <w:r/>
            <w:r>
              <w:rPr>
                <w:rFonts w:ascii="Calibri" w:hAnsi="Calibri"/>
                <w:b w:val="0"/>
                <w:sz w:val="17"/>
              </w:rPr>
              <w:t>991,4</w:t>
            </w:r>
          </w:p>
        </w:tc>
      </w:tr>
      <w:tr>
        <w:tc>
          <w:tcPr>
            <w:tcW w:type="dxa" w:w="2484"/>
            <w:vAlign w:val="center"/>
          </w:tcPr>
          <w:p>
            <w:pPr>
              <w:spacing w:after="0"/>
            </w:pPr>
            <w:r/>
            <w:r>
              <w:rPr>
                <w:rFonts w:ascii="Calibri" w:hAnsi="Calibri"/>
                <w:b w:val="0"/>
                <w:sz w:val="17"/>
              </w:rPr>
              <w:t>Operaciones por legajo-día</w:t>
            </w:r>
          </w:p>
        </w:tc>
        <w:tc>
          <w:tcPr>
            <w:tcW w:type="dxa" w:w="2484"/>
            <w:vAlign w:val="center"/>
          </w:tcPr>
          <w:p>
            <w:pPr>
              <w:spacing w:after="0"/>
            </w:pPr>
            <w:r/>
            <w:r>
              <w:rPr>
                <w:rFonts w:ascii="Calibri" w:hAnsi="Calibri"/>
                <w:b w:val="0"/>
                <w:sz w:val="17"/>
              </w:rPr>
              <w:t>-</w:t>
            </w:r>
          </w:p>
        </w:tc>
        <w:tc>
          <w:tcPr>
            <w:tcW w:type="dxa" w:w="2484"/>
            <w:vAlign w:val="center"/>
          </w:tcPr>
          <w:p>
            <w:pPr>
              <w:spacing w:after="0"/>
            </w:pPr>
            <w:r/>
            <w:r>
              <w:rPr>
                <w:rFonts w:ascii="Calibri" w:hAnsi="Calibri"/>
                <w:b w:val="0"/>
                <w:sz w:val="17"/>
              </w:rPr>
              <w:t>-</w:t>
            </w:r>
          </w:p>
        </w:tc>
        <w:tc>
          <w:tcPr>
            <w:tcW w:type="dxa" w:w="2484"/>
            <w:vAlign w:val="center"/>
          </w:tcPr>
          <w:p>
            <w:pPr>
              <w:spacing w:after="0"/>
            </w:pPr>
            <w:r/>
            <w:r>
              <w:rPr>
                <w:rFonts w:ascii="Calibri" w:hAnsi="Calibri"/>
                <w:b w:val="0"/>
                <w:sz w:val="17"/>
              </w:rPr>
              <w:t>1,87</w:t>
            </w:r>
          </w:p>
        </w:tc>
      </w:tr>
      <w:tr>
        <w:tc>
          <w:tcPr>
            <w:tcW w:type="dxa" w:w="2484"/>
            <w:vAlign w:val="center"/>
            <w:shd w:fill="F5F7FA"/>
          </w:tcPr>
          <w:p>
            <w:pPr>
              <w:spacing w:after="0"/>
            </w:pPr>
            <w:r/>
            <w:r>
              <w:rPr>
                <w:rFonts w:ascii="Calibri" w:hAnsi="Calibri"/>
                <w:b w:val="0"/>
                <w:sz w:val="17"/>
              </w:rPr>
              <w:t>Horas promedio por legajo-día</w:t>
            </w:r>
          </w:p>
        </w:tc>
        <w:tc>
          <w:tcPr>
            <w:tcW w:type="dxa" w:w="2484"/>
            <w:vAlign w:val="center"/>
            <w:shd w:fill="F5F7FA"/>
          </w:tcPr>
          <w:p>
            <w:pPr>
              <w:spacing w:after="0"/>
            </w:pPr>
            <w:r/>
            <w:r>
              <w:rPr>
                <w:rFonts w:ascii="Calibri" w:hAnsi="Calibri"/>
                <w:b w:val="0"/>
                <w:sz w:val="17"/>
              </w:rPr>
              <w:t>3,05</w:t>
            </w:r>
          </w:p>
        </w:tc>
        <w:tc>
          <w:tcPr>
            <w:tcW w:type="dxa" w:w="2484"/>
            <w:vAlign w:val="center"/>
            <w:shd w:fill="F5F7FA"/>
          </w:tcPr>
          <w:p>
            <w:pPr>
              <w:spacing w:after="0"/>
            </w:pPr>
            <w:r/>
            <w:r>
              <w:rPr>
                <w:rFonts w:ascii="Calibri" w:hAnsi="Calibri"/>
                <w:b w:val="0"/>
                <w:sz w:val="17"/>
              </w:rPr>
              <w:t>1,90</w:t>
            </w:r>
          </w:p>
        </w:tc>
        <w:tc>
          <w:tcPr>
            <w:tcW w:type="dxa" w:w="2484"/>
            <w:vAlign w:val="center"/>
            <w:shd w:fill="F5F7FA"/>
          </w:tcPr>
          <w:p>
            <w:pPr>
              <w:spacing w:after="0"/>
            </w:pPr>
            <w:r/>
            <w:r>
              <w:rPr>
                <w:rFonts w:ascii="Calibri" w:hAnsi="Calibri"/>
                <w:b w:val="0"/>
                <w:sz w:val="17"/>
              </w:rPr>
              <w:t>4,57</w:t>
            </w:r>
          </w:p>
        </w:tc>
      </w:tr>
    </w:tbl>
    <w:p>
      <w:pPr>
        <w:spacing w:after="20"/>
      </w:pPr>
    </w:p>
    <w:p>
      <w:pPr>
        <w:spacing w:after="100" w:line="259" w:lineRule="auto"/>
      </w:pPr>
      <w:r>
        <w:rPr>
          <w:rFonts w:ascii="Calibri" w:hAnsi="Calibri"/>
          <w:i w:val="0"/>
          <w:sz w:val="21"/>
        </w:rPr>
        <w:t>Esta capa proviene del cache VigIA construido a partir de etapas operativas y sirve como evidencia de que la mezcla de funciones existe: en julio, el universo combinado llega a 92 legajos y 1,87 operaciones por legajo-día. La teoría de dilución queda planteada y es plausible, pero para cuantificarla contra camiones cargados se debe cerrar la extracción histórica de TR_CARGAS por mes y vincular cada viaje con etapa, dotación y tiempo.</w:t>
      </w:r>
    </w:p>
    <w:p>
      <w:pPr>
        <w:pStyle w:val="Heading1"/>
        <w:keepNext/>
      </w:pPr>
      <w:r>
        <w:t>5. Interpretación causal</w:t>
      </w:r>
    </w:p>
    <w:p>
      <w:pPr>
        <w:spacing w:after="100" w:line="259" w:lineRule="auto"/>
      </w:pPr>
      <w:r>
        <w:rPr>
          <w:rFonts w:ascii="Calibri" w:hAnsi="Calibri"/>
          <w:i w:val="0"/>
          <w:sz w:val="21"/>
        </w:rPr>
        <w:t>El patrón más consistente es una combinación de tres efectos:</w:t>
      </w:r>
    </w:p>
    <w:p>
      <w:pPr>
        <w:pStyle w:val="ListBullet"/>
        <w:spacing w:after="60" w:line="252" w:lineRule="auto"/>
      </w:pPr>
      <w:r>
        <w:rPr>
          <w:rFonts w:ascii="Calibri" w:hAnsi="Calibri"/>
          <w:sz w:val="21"/>
        </w:rPr>
        <w:t>Efecto umbral: cuando la productividad equivalente cae cerca del corte, una baja moderada de producción genera una baja mucho mayor en jornadas con premio positivo.</w:t>
      </w:r>
    </w:p>
    <w:p>
      <w:pPr>
        <w:pStyle w:val="ListBullet"/>
        <w:spacing w:after="60" w:line="252" w:lineRule="auto"/>
      </w:pPr>
      <w:r>
        <w:rPr>
          <w:rFonts w:ascii="Calibri" w:hAnsi="Calibri"/>
          <w:sz w:val="21"/>
        </w:rPr>
        <w:t>Efecto capacidad/tiempo: la evaluación debe considerar horas efectivas y etapas reales, no solo producción agregada. PV_ETAPA_CAB permite separar tiempo productivo, exceso, pausas y acciones no productivas.</w:t>
      </w:r>
    </w:p>
    <w:p>
      <w:pPr>
        <w:pStyle w:val="ListBullet"/>
        <w:spacing w:after="60" w:line="252" w:lineRule="auto"/>
      </w:pPr>
      <w:r>
        <w:rPr>
          <w:rFonts w:ascii="Calibri" w:hAnsi="Calibri"/>
          <w:sz w:val="21"/>
        </w:rPr>
        <w:t>Efecto mezcla y dotación: más volumen total no implica automáticamente más premio por persona. Si la dotación crece más que el volumen, o si CARGA comparte personas con CARRETEO, cae el volumen y/o el tiempo disponible por persona.</w:t>
      </w:r>
    </w:p>
    <w:p>
      <w:pPr>
        <w:spacing w:after="100" w:line="259" w:lineRule="auto"/>
      </w:pPr>
      <w:r>
        <w:rPr>
          <w:rFonts w:ascii="Calibri" w:hAnsi="Calibri"/>
          <w:i w:val="0"/>
          <w:sz w:val="21"/>
        </w:rPr>
        <w:t>Las penalizaciones no parecen ser el motor principal: para CARGA grupo 19 la penalización promedio se mantiene baja frente a la magnitud de la caída del premio. Tampoco alcanza la evidencia actual para afirmar que la escala haya sido cambiada recientemente.</w:t>
      </w:r>
    </w:p>
    <w:p>
      <w:pPr>
        <w:pStyle w:val="Heading1"/>
        <w:keepNext/>
      </w:pPr>
      <w:r>
        <w:t>6. Riesgos y próximos controles recomendados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trPr>
        <w:tc>
          <w:tcPr>
            <w:tcW w:type="dxa" w:w="2484"/>
            <w:vAlign w:val="center"/>
            <w:shd w:fill="1F4E79"/>
          </w:tcPr>
          <w:p>
            <w:pPr>
              <w:spacing w:after="0"/>
            </w:pPr>
            <w:r/>
            <w:r>
              <w:rPr>
                <w:rFonts w:ascii="Calibri" w:hAnsi="Calibri"/>
                <w:b/>
                <w:color w:val="FFFFFF"/>
                <w:sz w:val="15"/>
              </w:rPr>
              <w:t>Prioridad</w:t>
            </w:r>
          </w:p>
        </w:tc>
        <w:tc>
          <w:tcPr>
            <w:tcW w:type="dxa" w:w="2484"/>
            <w:vAlign w:val="center"/>
            <w:shd w:fill="1F4E79"/>
          </w:tcPr>
          <w:p>
            <w:pPr>
              <w:spacing w:after="0"/>
            </w:pPr>
            <w:r/>
            <w:r>
              <w:rPr>
                <w:rFonts w:ascii="Calibri" w:hAnsi="Calibri"/>
                <w:b/>
                <w:color w:val="FFFFFF"/>
                <w:sz w:val="15"/>
              </w:rPr>
              <w:t>Control</w:t>
            </w:r>
          </w:p>
        </w:tc>
        <w:tc>
          <w:tcPr>
            <w:tcW w:type="dxa" w:w="2484"/>
            <w:vAlign w:val="center"/>
            <w:shd w:fill="1F4E79"/>
          </w:tcPr>
          <w:p>
            <w:pPr>
              <w:spacing w:after="0"/>
            </w:pPr>
            <w:r/>
            <w:r>
              <w:rPr>
                <w:rFonts w:ascii="Calibri" w:hAnsi="Calibri"/>
                <w:b/>
                <w:color w:val="FFFFFF"/>
                <w:sz w:val="15"/>
              </w:rPr>
              <w:t>Responsable</w:t>
            </w:r>
          </w:p>
        </w:tc>
        <w:tc>
          <w:tcPr>
            <w:tcW w:type="dxa" w:w="2484"/>
            <w:vAlign w:val="center"/>
            <w:shd w:fill="1F4E79"/>
          </w:tcPr>
          <w:p>
            <w:pPr>
              <w:spacing w:after="0"/>
            </w:pPr>
            <w:r/>
            <w:r>
              <w:rPr>
                <w:rFonts w:ascii="Calibri" w:hAnsi="Calibri"/>
                <w:b/>
                <w:color w:val="FFFFFF"/>
                <w:sz w:val="15"/>
              </w:rPr>
              <w:t>Objetivo</w:t>
            </w:r>
          </w:p>
        </w:tc>
      </w:tr>
      <w:tr>
        <w:tc>
          <w:tcPr>
            <w:tcW w:type="dxa" w:w="2484"/>
            <w:vAlign w:val="center"/>
            <w:shd w:fill="F5F7FA"/>
          </w:tcPr>
          <w:p>
            <w:pPr>
              <w:spacing w:after="0"/>
            </w:pPr>
            <w:r/>
            <w:r>
              <w:rPr>
                <w:rFonts w:ascii="Calibri" w:hAnsi="Calibri"/>
                <w:b w:val="0"/>
                <w:sz w:val="15"/>
              </w:rPr>
              <w:t>1</w:t>
            </w:r>
          </w:p>
        </w:tc>
        <w:tc>
          <w:tcPr>
            <w:tcW w:type="dxa" w:w="2484"/>
            <w:vAlign w:val="center"/>
            <w:shd w:fill="F5F7FA"/>
          </w:tcPr>
          <w:p>
            <w:pPr>
              <w:spacing w:after="0"/>
            </w:pPr>
            <w:r/>
            <w:r>
              <w:rPr>
                <w:rFonts w:ascii="Calibri" w:hAnsi="Calibri"/>
                <w:b w:val="0"/>
                <w:sz w:val="15"/>
              </w:rPr>
              <w:t>Auditar regla vigente y versiones históricas de escala por grupo productivo</w:t>
            </w:r>
          </w:p>
        </w:tc>
        <w:tc>
          <w:tcPr>
            <w:tcW w:type="dxa" w:w="2484"/>
            <w:vAlign w:val="center"/>
            <w:shd w:fill="F5F7FA"/>
          </w:tcPr>
          <w:p>
            <w:pPr>
              <w:spacing w:after="0"/>
            </w:pPr>
            <w:r/>
            <w:r>
              <w:rPr>
                <w:rFonts w:ascii="Calibri" w:hAnsi="Calibri"/>
                <w:b w:val="0"/>
                <w:sz w:val="15"/>
              </w:rPr>
              <w:t>RRHH / Sistemas</w:t>
            </w:r>
          </w:p>
        </w:tc>
        <w:tc>
          <w:tcPr>
            <w:tcW w:type="dxa" w:w="2484"/>
            <w:vAlign w:val="center"/>
            <w:shd w:fill="F5F7FA"/>
          </w:tcPr>
          <w:p>
            <w:pPr>
              <w:spacing w:after="0"/>
            </w:pPr>
            <w:r/>
            <w:r>
              <w:rPr>
                <w:rFonts w:ascii="Calibri" w:hAnsi="Calibri"/>
                <w:b w:val="0"/>
                <w:sz w:val="15"/>
              </w:rPr>
              <w:t>Confirmar que no exista una regla externa a PV_ESCALA_DE_PREMIOS</w:t>
            </w:r>
          </w:p>
        </w:tc>
      </w:tr>
      <w:tr>
        <w:tc>
          <w:tcPr>
            <w:tcW w:type="dxa" w:w="2484"/>
            <w:vAlign w:val="center"/>
          </w:tcPr>
          <w:p>
            <w:pPr>
              <w:spacing w:after="0"/>
            </w:pPr>
            <w:r/>
            <w:r>
              <w:rPr>
                <w:rFonts w:ascii="Calibri" w:hAnsi="Calibri"/>
                <w:b w:val="0"/>
                <w:sz w:val="15"/>
              </w:rPr>
              <w:t>2</w:t>
            </w:r>
          </w:p>
        </w:tc>
        <w:tc>
          <w:tcPr>
            <w:tcW w:type="dxa" w:w="2484"/>
            <w:vAlign w:val="center"/>
          </w:tcPr>
          <w:p>
            <w:pPr>
              <w:spacing w:after="0"/>
            </w:pPr>
            <w:r/>
            <w:r>
              <w:rPr>
                <w:rFonts w:ascii="Calibri" w:hAnsi="Calibri"/>
                <w:b w:val="0"/>
                <w:sz w:val="15"/>
              </w:rPr>
              <w:t>Cerrar serie mensual de TR_CARGAS: viajes, pallets, cantidad y peso</w:t>
            </w:r>
          </w:p>
        </w:tc>
        <w:tc>
          <w:tcPr>
            <w:tcW w:type="dxa" w:w="2484"/>
            <w:vAlign w:val="center"/>
          </w:tcPr>
          <w:p>
            <w:pPr>
              <w:spacing w:after="0"/>
            </w:pPr>
            <w:r/>
            <w:r>
              <w:rPr>
                <w:rFonts w:ascii="Calibri" w:hAnsi="Calibri"/>
                <w:b w:val="0"/>
                <w:sz w:val="15"/>
              </w:rPr>
              <w:t>Operaciones / Sistemas</w:t>
            </w:r>
          </w:p>
        </w:tc>
        <w:tc>
          <w:tcPr>
            <w:tcW w:type="dxa" w:w="2484"/>
            <w:vAlign w:val="center"/>
          </w:tcPr>
          <w:p>
            <w:pPr>
              <w:spacing w:after="0"/>
            </w:pPr>
            <w:r/>
            <w:r>
              <w:rPr>
                <w:rFonts w:ascii="Calibri" w:hAnsi="Calibri"/>
                <w:b w:val="0"/>
                <w:sz w:val="15"/>
              </w:rPr>
              <w:t>Medir camiones por persona y por hora</w:t>
            </w:r>
          </w:p>
        </w:tc>
      </w:tr>
      <w:tr>
        <w:tc>
          <w:tcPr>
            <w:tcW w:type="dxa" w:w="2484"/>
            <w:vAlign w:val="center"/>
            <w:shd w:fill="F5F7FA"/>
          </w:tcPr>
          <w:p>
            <w:pPr>
              <w:spacing w:after="0"/>
            </w:pPr>
            <w:r/>
            <w:r>
              <w:rPr>
                <w:rFonts w:ascii="Calibri" w:hAnsi="Calibri"/>
                <w:b w:val="0"/>
                <w:sz w:val="15"/>
              </w:rPr>
              <w:t>3</w:t>
            </w:r>
          </w:p>
        </w:tc>
        <w:tc>
          <w:tcPr>
            <w:tcW w:type="dxa" w:w="2484"/>
            <w:vAlign w:val="center"/>
            <w:shd w:fill="F5F7FA"/>
          </w:tcPr>
          <w:p>
            <w:pPr>
              <w:spacing w:after="0"/>
            </w:pPr>
            <w:r/>
            <w:r>
              <w:rPr>
                <w:rFonts w:ascii="Calibri" w:hAnsi="Calibri"/>
                <w:b w:val="0"/>
                <w:sz w:val="15"/>
              </w:rPr>
              <w:t>Cruzar PV_ETAPA_CAB y PV_ETAPA_DET con liquidación</w:t>
            </w:r>
          </w:p>
        </w:tc>
        <w:tc>
          <w:tcPr>
            <w:tcW w:type="dxa" w:w="2484"/>
            <w:vAlign w:val="center"/>
            <w:shd w:fill="F5F7FA"/>
          </w:tcPr>
          <w:p>
            <w:pPr>
              <w:spacing w:after="0"/>
            </w:pPr>
            <w:r/>
            <w:r>
              <w:rPr>
                <w:rFonts w:ascii="Calibri" w:hAnsi="Calibri"/>
                <w:b w:val="0"/>
                <w:sz w:val="15"/>
              </w:rPr>
              <w:t>Sistemas / RRHH</w:t>
            </w:r>
          </w:p>
        </w:tc>
        <w:tc>
          <w:tcPr>
            <w:tcW w:type="dxa" w:w="2484"/>
            <w:vAlign w:val="center"/>
            <w:shd w:fill="F5F7FA"/>
          </w:tcPr>
          <w:p>
            <w:pPr>
              <w:spacing w:after="0"/>
            </w:pPr>
            <w:r/>
            <w:r>
              <w:rPr>
                <w:rFonts w:ascii="Calibri" w:hAnsi="Calibri"/>
                <w:b w:val="0"/>
                <w:sz w:val="15"/>
              </w:rPr>
              <w:t>Validar que cada acción y duración llegue a producción equivalente</w:t>
            </w:r>
          </w:p>
        </w:tc>
      </w:tr>
      <w:tr>
        <w:tc>
          <w:tcPr>
            <w:tcW w:type="dxa" w:w="2484"/>
            <w:vAlign w:val="center"/>
          </w:tcPr>
          <w:p>
            <w:pPr>
              <w:spacing w:after="0"/>
            </w:pPr>
            <w:r/>
            <w:r>
              <w:rPr>
                <w:rFonts w:ascii="Calibri" w:hAnsi="Calibri"/>
                <w:b w:val="0"/>
                <w:sz w:val="15"/>
              </w:rPr>
              <w:t>4</w:t>
            </w:r>
          </w:p>
        </w:tc>
        <w:tc>
          <w:tcPr>
            <w:tcW w:type="dxa" w:w="2484"/>
            <w:vAlign w:val="center"/>
          </w:tcPr>
          <w:p>
            <w:pPr>
              <w:spacing w:after="0"/>
            </w:pPr>
            <w:r/>
            <w:r>
              <w:rPr>
                <w:rFonts w:ascii="Calibri" w:hAnsi="Calibri"/>
                <w:b w:val="0"/>
                <w:sz w:val="15"/>
              </w:rPr>
              <w:t>Separar CARGA, CARRETEO y mezcla por legajo-día</w:t>
            </w:r>
          </w:p>
        </w:tc>
        <w:tc>
          <w:tcPr>
            <w:tcW w:type="dxa" w:w="2484"/>
            <w:vAlign w:val="center"/>
          </w:tcPr>
          <w:p>
            <w:pPr>
              <w:spacing w:after="0"/>
            </w:pPr>
            <w:r/>
            <w:r>
              <w:rPr>
                <w:rFonts w:ascii="Calibri" w:hAnsi="Calibri"/>
                <w:b w:val="0"/>
                <w:sz w:val="15"/>
              </w:rPr>
              <w:t>Operaciones</w:t>
            </w:r>
          </w:p>
        </w:tc>
        <w:tc>
          <w:tcPr>
            <w:tcW w:type="dxa" w:w="2484"/>
            <w:vAlign w:val="center"/>
          </w:tcPr>
          <w:p>
            <w:pPr>
              <w:spacing w:after="0"/>
            </w:pPr>
            <w:r/>
            <w:r>
              <w:rPr>
                <w:rFonts w:ascii="Calibri" w:hAnsi="Calibri"/>
                <w:b w:val="0"/>
                <w:sz w:val="15"/>
              </w:rPr>
              <w:t>Cuantificar redistribución de tiempo</w:t>
            </w:r>
          </w:p>
        </w:tc>
      </w:tr>
      <w:tr>
        <w:tc>
          <w:tcPr>
            <w:tcW w:type="dxa" w:w="2484"/>
            <w:vAlign w:val="center"/>
            <w:shd w:fill="F5F7FA"/>
          </w:tcPr>
          <w:p>
            <w:pPr>
              <w:spacing w:after="0"/>
            </w:pPr>
            <w:r/>
            <w:r>
              <w:rPr>
                <w:rFonts w:ascii="Calibri" w:hAnsi="Calibri"/>
                <w:b w:val="0"/>
                <w:sz w:val="15"/>
              </w:rPr>
              <w:t>5</w:t>
            </w:r>
          </w:p>
        </w:tc>
        <w:tc>
          <w:tcPr>
            <w:tcW w:type="dxa" w:w="2484"/>
            <w:vAlign w:val="center"/>
            <w:shd w:fill="F5F7FA"/>
          </w:tcPr>
          <w:p>
            <w:pPr>
              <w:spacing w:after="0"/>
            </w:pPr>
            <w:r/>
            <w:r>
              <w:rPr>
                <w:rFonts w:ascii="Calibri" w:hAnsi="Calibri"/>
                <w:b w:val="0"/>
                <w:sz w:val="15"/>
              </w:rPr>
              <w:t>Revisar 13 legajos que empeoraron</w:t>
            </w:r>
          </w:p>
        </w:tc>
        <w:tc>
          <w:tcPr>
            <w:tcW w:type="dxa" w:w="2484"/>
            <w:vAlign w:val="center"/>
            <w:shd w:fill="F5F7FA"/>
          </w:tcPr>
          <w:p>
            <w:pPr>
              <w:spacing w:after="0"/>
            </w:pPr>
            <w:r/>
            <w:r>
              <w:rPr>
                <w:rFonts w:ascii="Calibri" w:hAnsi="Calibri"/>
                <w:b w:val="0"/>
                <w:sz w:val="15"/>
              </w:rPr>
              <w:t>RRHH / Operaciones</w:t>
            </w:r>
          </w:p>
        </w:tc>
        <w:tc>
          <w:tcPr>
            <w:tcW w:type="dxa" w:w="2484"/>
            <w:vAlign w:val="center"/>
            <w:shd w:fill="F5F7FA"/>
          </w:tcPr>
          <w:p>
            <w:pPr>
              <w:spacing w:after="0"/>
            </w:pPr>
            <w:r/>
            <w:r>
              <w:rPr>
                <w:rFonts w:ascii="Calibri" w:hAnsi="Calibri"/>
                <w:b w:val="0"/>
                <w:sz w:val="15"/>
              </w:rPr>
              <w:t>Validar puesto, turno, ausentismo y casos reales</w:t>
            </w:r>
          </w:p>
        </w:tc>
      </w:tr>
      <w:tr>
        <w:tc>
          <w:tcPr>
            <w:tcW w:type="dxa" w:w="2484"/>
            <w:vAlign w:val="center"/>
          </w:tcPr>
          <w:p>
            <w:pPr>
              <w:spacing w:after="0"/>
            </w:pPr>
            <w:r/>
            <w:r>
              <w:rPr>
                <w:rFonts w:ascii="Calibri" w:hAnsi="Calibri"/>
                <w:b w:val="0"/>
                <w:sz w:val="15"/>
              </w:rPr>
              <w:t>6</w:t>
            </w:r>
          </w:p>
        </w:tc>
        <w:tc>
          <w:tcPr>
            <w:tcW w:type="dxa" w:w="2484"/>
            <w:vAlign w:val="center"/>
          </w:tcPr>
          <w:p>
            <w:pPr>
              <w:spacing w:after="0"/>
            </w:pPr>
            <w:r/>
            <w:r>
              <w:rPr>
                <w:rFonts w:ascii="Calibri" w:hAnsi="Calibri"/>
                <w:b w:val="0"/>
                <w:sz w:val="15"/>
              </w:rPr>
              <w:t>Recalcular premio simulado con escalas vigente e histórica</w:t>
            </w:r>
          </w:p>
        </w:tc>
        <w:tc>
          <w:tcPr>
            <w:tcW w:type="dxa" w:w="2484"/>
            <w:vAlign w:val="center"/>
          </w:tcPr>
          <w:p>
            <w:pPr>
              <w:spacing w:after="0"/>
            </w:pPr>
            <w:r/>
            <w:r>
              <w:rPr>
                <w:rFonts w:ascii="Calibri" w:hAnsi="Calibri"/>
                <w:b w:val="0"/>
                <w:sz w:val="15"/>
              </w:rPr>
              <w:t>RRHH / Sistemas</w:t>
            </w:r>
          </w:p>
        </w:tc>
        <w:tc>
          <w:tcPr>
            <w:tcW w:type="dxa" w:w="2484"/>
            <w:vAlign w:val="center"/>
          </w:tcPr>
          <w:p>
            <w:pPr>
              <w:spacing w:after="0"/>
            </w:pPr>
            <w:r/>
            <w:r>
              <w:rPr>
                <w:rFonts w:ascii="Calibri" w:hAnsi="Calibri"/>
                <w:b w:val="0"/>
                <w:sz w:val="15"/>
              </w:rPr>
              <w:t>Separar regla de desempeño</w:t>
            </w:r>
          </w:p>
        </w:tc>
      </w:tr>
    </w:tbl>
    <w:p>
      <w:pPr>
        <w:spacing w:after="20"/>
      </w:pPr>
    </w:p>
    <w:p>
      <w:pPr>
        <w:pStyle w:val="Heading1"/>
        <w:keepNext/>
      </w:pPr>
      <w:r>
        <w:t>7. Alcance, fuentes y limitaciones</w:t>
      </w:r>
    </w:p>
    <w:p>
      <w:pPr>
        <w:pStyle w:val="ListBullet"/>
        <w:spacing w:after="60" w:line="252" w:lineRule="auto"/>
      </w:pPr>
      <w:r>
        <w:rPr>
          <w:rFonts w:ascii="Calibri" w:hAnsi="Calibri"/>
          <w:sz w:val="21"/>
        </w:rPr>
        <w:t>Oracle productiva: PV_DIA_LABORAL, PV_LIQUIDAC_DIA_DET1, PV_LIQUIDAC_DIA_DET2, PV_ESCALA_DE_PREMIOS y PV_GRUPO_PRODUCTIVO_CAB.</w:t>
      </w:r>
    </w:p>
    <w:p>
      <w:pPr>
        <w:pStyle w:val="ListBullet"/>
        <w:spacing w:after="60" w:line="252" w:lineRule="auto"/>
      </w:pPr>
      <w:r>
        <w:rPr>
          <w:rFonts w:ascii="Calibri" w:hAnsi="Calibri"/>
          <w:sz w:val="21"/>
        </w:rPr>
        <w:t>Detalle de acciones: PV_ETAPA_CAB, con legajo, función, inicio/fin, duración, productividad, equivalencias, ubicación y sector; PV_ETAPA_DET queda identificado para el cruce de acciones y cantidades.</w:t>
      </w:r>
    </w:p>
    <w:p>
      <w:pPr>
        <w:pStyle w:val="ListBullet"/>
        <w:spacing w:after="60" w:line="252" w:lineRule="auto"/>
      </w:pPr>
      <w:r>
        <w:rPr>
          <w:rFonts w:ascii="Calibri" w:hAnsi="Calibri"/>
          <w:sz w:val="21"/>
        </w:rPr>
        <w:t>Cache operativo VigIA: pp_operaciones_general_dia y pp_operaciones_general_hora, con detalle de julio de 2026 para CARGA y CARRETEO.</w:t>
      </w:r>
    </w:p>
    <w:p>
      <w:pPr>
        <w:pStyle w:val="ListBullet"/>
        <w:spacing w:after="60" w:line="252" w:lineRule="auto"/>
      </w:pPr>
      <w:r>
        <w:rPr>
          <w:rFonts w:ascii="Calibri" w:hAnsi="Calibri"/>
          <w:sz w:val="21"/>
        </w:rPr>
        <w:t>La escala vigente expone timestamps de configuración, pero no se identificó todavía una tabla histórica completa de versiones. El informe confirma el deterioro de resultados, pero presenta como hipótesis cualquier cambio de regla no visible en la tabla actual.</w:t>
      </w:r>
    </w:p>
    <w:p>
      <w:pPr>
        <w:pStyle w:val="ListBullet"/>
        <w:spacing w:after="60" w:line="252" w:lineRule="auto"/>
      </w:pPr>
      <w:r>
        <w:rPr>
          <w:rFonts w:ascii="Calibri" w:hAnsi="Calibri"/>
          <w:sz w:val="21"/>
        </w:rPr>
        <w:t>Agosto 2026 está incompleto y se usa solo como señal temprana.</w:t>
      </w:r>
    </w:p>
    <w:p>
      <w:pPr>
        <w:pStyle w:val="Heading1"/>
        <w:keepNext/>
      </w:pPr>
      <w:r>
        <w:t>Anexo A. Definiciones usadas</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4968"/>
            <w:vAlign w:val="center"/>
            <w:shd w:fill="1F4E79"/>
          </w:tcPr>
          <w:p>
            <w:pPr>
              <w:spacing w:after="0"/>
            </w:pPr>
            <w:r/>
            <w:r>
              <w:rPr>
                <w:rFonts w:ascii="Calibri" w:hAnsi="Calibri"/>
                <w:b/>
                <w:color w:val="FFFFFF"/>
                <w:sz w:val="17"/>
              </w:rPr>
              <w:t>Concepto</w:t>
            </w:r>
          </w:p>
        </w:tc>
        <w:tc>
          <w:tcPr>
            <w:tcW w:type="dxa" w:w="4968"/>
            <w:vAlign w:val="center"/>
            <w:shd w:fill="1F4E79"/>
          </w:tcPr>
          <w:p>
            <w:pPr>
              <w:spacing w:after="0"/>
            </w:pPr>
            <w:r/>
            <w:r>
              <w:rPr>
                <w:rFonts w:ascii="Calibri" w:hAnsi="Calibri"/>
                <w:b/>
                <w:color w:val="FFFFFF"/>
                <w:sz w:val="17"/>
              </w:rPr>
              <w:t>Definición</w:t>
            </w:r>
          </w:p>
        </w:tc>
      </w:tr>
      <w:tr>
        <w:tc>
          <w:tcPr>
            <w:tcW w:type="dxa" w:w="4968"/>
            <w:vAlign w:val="center"/>
            <w:shd w:fill="F5F7FA"/>
          </w:tcPr>
          <w:p>
            <w:pPr>
              <w:spacing w:after="0"/>
            </w:pPr>
            <w:r/>
            <w:r>
              <w:rPr>
                <w:rFonts w:ascii="Calibri" w:hAnsi="Calibri"/>
                <w:b w:val="0"/>
                <w:sz w:val="17"/>
              </w:rPr>
              <w:t>Premio positivo</w:t>
            </w:r>
          </w:p>
        </w:tc>
        <w:tc>
          <w:tcPr>
            <w:tcW w:type="dxa" w:w="4968"/>
            <w:vAlign w:val="center"/>
            <w:shd w:fill="F5F7FA"/>
          </w:tcPr>
          <w:p>
            <w:pPr>
              <w:spacing w:after="0"/>
            </w:pPr>
            <w:r/>
            <w:r>
              <w:rPr>
                <w:rFonts w:ascii="Calibri" w:hAnsi="Calibri"/>
                <w:b w:val="0"/>
                <w:sz w:val="17"/>
              </w:rPr>
              <w:t>A_PAGAR_TOTAL &gt; 0; en CARGA equivale a OBJETIVO_NIVEL_ALCANZADO &gt;= 2 en grupo 19.</w:t>
            </w:r>
          </w:p>
        </w:tc>
      </w:tr>
      <w:tr>
        <w:tc>
          <w:tcPr>
            <w:tcW w:type="dxa" w:w="4968"/>
            <w:vAlign w:val="center"/>
          </w:tcPr>
          <w:p>
            <w:pPr>
              <w:spacing w:after="0"/>
            </w:pPr>
            <w:r/>
            <w:r>
              <w:rPr>
                <w:rFonts w:ascii="Calibri" w:hAnsi="Calibri"/>
                <w:b w:val="0"/>
                <w:sz w:val="17"/>
              </w:rPr>
              <w:t>Nivel registrado</w:t>
            </w:r>
          </w:p>
        </w:tc>
        <w:tc>
          <w:tcPr>
            <w:tcW w:type="dxa" w:w="4968"/>
            <w:vAlign w:val="center"/>
          </w:tcPr>
          <w:p>
            <w:pPr>
              <w:spacing w:after="0"/>
            </w:pPr>
            <w:r/>
            <w:r>
              <w:rPr>
                <w:rFonts w:ascii="Calibri" w:hAnsi="Calibri"/>
                <w:b w:val="0"/>
                <w:sz w:val="17"/>
              </w:rPr>
              <w:t>OBJETIVO_NIVEL_ALCANZADO informado por la liquidación.</w:t>
            </w:r>
          </w:p>
        </w:tc>
      </w:tr>
      <w:tr>
        <w:tc>
          <w:tcPr>
            <w:tcW w:type="dxa" w:w="4968"/>
            <w:vAlign w:val="center"/>
            <w:shd w:fill="F5F7FA"/>
          </w:tcPr>
          <w:p>
            <w:pPr>
              <w:spacing w:after="0"/>
            </w:pPr>
            <w:r/>
            <w:r>
              <w:rPr>
                <w:rFonts w:ascii="Calibri" w:hAnsi="Calibri"/>
                <w:b w:val="0"/>
                <w:sz w:val="17"/>
              </w:rPr>
              <w:t>Producción real</w:t>
            </w:r>
          </w:p>
        </w:tc>
        <w:tc>
          <w:tcPr>
            <w:tcW w:type="dxa" w:w="4968"/>
            <w:vAlign w:val="center"/>
            <w:shd w:fill="F5F7FA"/>
          </w:tcPr>
          <w:p>
            <w:pPr>
              <w:spacing w:after="0"/>
            </w:pPr>
            <w:r/>
            <w:r>
              <w:rPr>
                <w:rFonts w:ascii="Calibri" w:hAnsi="Calibri"/>
                <w:b w:val="0"/>
                <w:sz w:val="17"/>
              </w:rPr>
              <w:t>PROD_REAL / PRODUCCION_REAL según tabla consultada.</w:t>
            </w:r>
          </w:p>
        </w:tc>
      </w:tr>
      <w:tr>
        <w:tc>
          <w:tcPr>
            <w:tcW w:type="dxa" w:w="4968"/>
            <w:vAlign w:val="center"/>
          </w:tcPr>
          <w:p>
            <w:pPr>
              <w:spacing w:after="0"/>
            </w:pPr>
            <w:r/>
            <w:r>
              <w:rPr>
                <w:rFonts w:ascii="Calibri" w:hAnsi="Calibri"/>
                <w:b w:val="0"/>
                <w:sz w:val="17"/>
              </w:rPr>
              <w:t>Producción equivalente</w:t>
            </w:r>
          </w:p>
        </w:tc>
        <w:tc>
          <w:tcPr>
            <w:tcW w:type="dxa" w:w="4968"/>
            <w:vAlign w:val="center"/>
          </w:tcPr>
          <w:p>
            <w:pPr>
              <w:spacing w:after="0"/>
            </w:pPr>
            <w:r/>
            <w:r>
              <w:rPr>
                <w:rFonts w:ascii="Calibri" w:hAnsi="Calibri"/>
                <w:b w:val="0"/>
                <w:sz w:val="17"/>
              </w:rPr>
              <w:t>Equivalencias por sector, traslado y consolidación.</w:t>
            </w:r>
          </w:p>
        </w:tc>
      </w:tr>
      <w:tr>
        <w:tc>
          <w:tcPr>
            <w:tcW w:type="dxa" w:w="4968"/>
            <w:vAlign w:val="center"/>
            <w:shd w:fill="F5F7FA"/>
          </w:tcPr>
          <w:p>
            <w:pPr>
              <w:spacing w:after="0"/>
            </w:pPr>
            <w:r/>
            <w:r>
              <w:rPr>
                <w:rFonts w:ascii="Calibri" w:hAnsi="Calibri"/>
                <w:b w:val="0"/>
                <w:sz w:val="17"/>
              </w:rPr>
              <w:t>CARGA + CARRETEO</w:t>
            </w:r>
          </w:p>
        </w:tc>
        <w:tc>
          <w:tcPr>
            <w:tcW w:type="dxa" w:w="4968"/>
            <w:vAlign w:val="center"/>
            <w:shd w:fill="F5F7FA"/>
          </w:tcPr>
          <w:p>
            <w:pPr>
              <w:spacing w:after="0"/>
            </w:pPr>
            <w:r/>
            <w:r>
              <w:rPr>
                <w:rFonts w:ascii="Calibri" w:hAnsi="Calibri"/>
                <w:b w:val="0"/>
                <w:sz w:val="17"/>
              </w:rPr>
              <w:t>Tiempo y producción de ambas funciones vinculados al mismo legajo y jornada.</w:t>
            </w:r>
          </w:p>
        </w:tc>
      </w:tr>
      <w:tr>
        <w:tc>
          <w:tcPr>
            <w:tcW w:type="dxa" w:w="4968"/>
            <w:vAlign w:val="center"/>
          </w:tcPr>
          <w:p>
            <w:pPr>
              <w:spacing w:after="0"/>
            </w:pPr>
            <w:r/>
            <w:r>
              <w:rPr>
                <w:rFonts w:ascii="Calibri" w:hAnsi="Calibri"/>
                <w:b w:val="0"/>
                <w:sz w:val="17"/>
              </w:rPr>
              <w:t>Dotación diluida</w:t>
            </w:r>
          </w:p>
        </w:tc>
        <w:tc>
          <w:tcPr>
            <w:tcW w:type="dxa" w:w="4968"/>
            <w:vAlign w:val="center"/>
          </w:tcPr>
          <w:p>
            <w:pPr>
              <w:spacing w:after="0"/>
            </w:pPr>
            <w:r/>
            <w:r>
              <w:rPr>
                <w:rFonts w:ascii="Calibri" w:hAnsi="Calibri"/>
                <w:b w:val="0"/>
                <w:sz w:val="17"/>
              </w:rPr>
              <w:t>Más volumen total, pero menor volumen o tiempo efectivo por persona.</w:t>
            </w:r>
          </w:p>
        </w:tc>
      </w:tr>
    </w:tbl>
    <w:p>
      <w:pPr>
        <w:spacing w:after="20"/>
      </w:pPr>
    </w:p>
    <w:sectPr w:rsidR="00FC693F" w:rsidRPr="0006063C" w:rsidSect="00034616">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Uso interno | Base Oracle productiva y cache VigIA | 19 de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VigIA | Informe gerencial de productividad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