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rFonts w:ascii="Calibri" w:hAnsi="Calibri"/>
          <w:sz w:val="24"/>
          <w:color w:val="333333"/>
        </w:rPr>
        <w:t xml:space="default">Table 4. Relationship between discharge and lc-excess</w:t>
      </w:r>
    </w:p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0"/>
          <w:color w:val="333333"/>
        </w:rPr>
        <w:t xml:space="default">Trail Creek ISCO stations, Pearson correlation and linear regression slope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Reach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Pearson 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95% CI (lower)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95% CI (upper)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p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Regression slope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Upstream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0.368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0.774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19.597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Downstream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0.965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0.938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42.209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2026-08-08T22:39:23Z</dcterms:created>
  <dcterms:modified xsi:type="dcterms:W3CDTF">2026-08-08T22:39:23Z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