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003366"/>
          <w:sz w:val="48"/>
          <w:szCs w:val="48"/>
        </w:rPr>
        <w:t xml:space="preserve">INDIA ELECTION ANALYSIS</w:t>
      </w:r>
    </w:p>
    <w:p>
      <w:pPr>
        <w:spacing w:after="80" w:before="0"/>
        <w:jc w:val="center"/>
      </w:pPr>
      <w:r>
        <w:rPr>
          <w:rFonts w:ascii="Arial" w:cs="Arial" w:eastAsia="Arial" w:hAnsi="Arial"/>
          <w:color w:val="44546A"/>
          <w:sz w:val="28"/>
          <w:szCs w:val="28"/>
        </w:rPr>
        <w:t xml:space="preserve">Problem Statement, Methodology &amp; Solution Steps</w:t>
      </w:r>
    </w:p>
    <w:p>
      <w:pPr>
        <w:spacing w:after="80" w:before="0"/>
      </w:pPr>
      <w:r>
        <w:t xml:space="preserve"/>
      </w:r>
    </w:p>
    <w:p>
      <w:pPr>
        <w:pBdr>
          <w:bottom w:val="single" w:color="CC5500" w:sz="8" w:space="1"/>
        </w:pBdr>
        <w:spacing w:after="80" w:before="0"/>
        <w:jc w:val="center"/>
      </w:pPr>
      <w:r>
        <w:t xml:space="preserve"/>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3366" w:sz="1"/>
              <w:left w:val="single" w:color="003366" w:sz="1"/>
              <w:bottom w:val="single" w:color="003366" w:sz="1"/>
              <w:right w:val="single" w:color="003366" w:sz="1"/>
            </w:tcBorders>
            <w:shd w:fill="003366" w:val="clear"/>
            <w:tcMar>
              <w:top w:type="dxa" w:w="120"/>
              <w:left w:type="dxa" w:w="140"/>
              <w:bottom w:type="dxa" w:w="100"/>
              <w:right w:type="dxa" w:w="140"/>
            </w:tcMar>
          </w:tcPr>
          <w:p>
            <w:pPr>
              <w:jc w:val="center"/>
            </w:pPr>
            <w:r>
              <w:rPr>
                <w:rFonts w:ascii="Arial" w:cs="Arial" w:eastAsia="Arial" w:hAnsi="Arial"/>
                <w:b/>
                <w:bCs/>
                <w:color w:val="FFFFFF"/>
                <w:sz w:val="40"/>
                <w:szCs w:val="40"/>
              </w:rPr>
              <w:t xml:space="preserve">3</w:t>
            </w:r>
          </w:p>
          <w:p>
            <w:pPr>
              <w:jc w:val="center"/>
            </w:pPr>
            <w:r>
              <w:rPr>
                <w:rFonts w:ascii="Arial" w:cs="Arial" w:eastAsia="Arial" w:hAnsi="Arial"/>
                <w:color w:val="FFFFFF"/>
                <w:sz w:val="16"/>
                <w:szCs w:val="16"/>
              </w:rPr>
              <w:t xml:space="preserve">Sub-projects</w:t>
            </w:r>
          </w:p>
        </w:tc>
        <w:tc>
          <w:tcPr>
            <w:tcW w:type="dxa" w:w="2340"/>
            <w:tcBorders>
              <w:top w:val="single" w:color="1F4E79" w:sz="1"/>
              <w:left w:val="single" w:color="1F4E79" w:sz="1"/>
              <w:bottom w:val="single" w:color="1F4E79" w:sz="1"/>
              <w:right w:val="single" w:color="1F4E79" w:sz="1"/>
            </w:tcBorders>
            <w:shd w:fill="1F4E79" w:val="clear"/>
            <w:tcMar>
              <w:top w:type="dxa" w:w="120"/>
              <w:left w:type="dxa" w:w="140"/>
              <w:bottom w:type="dxa" w:w="100"/>
              <w:right w:type="dxa" w:w="140"/>
            </w:tcMar>
          </w:tcPr>
          <w:p>
            <w:pPr>
              <w:jc w:val="center"/>
            </w:pPr>
            <w:r>
              <w:rPr>
                <w:rFonts w:ascii="Arial" w:cs="Arial" w:eastAsia="Arial" w:hAnsi="Arial"/>
                <w:b/>
                <w:bCs/>
                <w:color w:val="FFFFFF"/>
                <w:sz w:val="40"/>
                <w:szCs w:val="40"/>
              </w:rPr>
              <w:t xml:space="preserve">68</w:t>
            </w:r>
          </w:p>
          <w:p>
            <w:pPr>
              <w:jc w:val="center"/>
            </w:pPr>
            <w:r>
              <w:rPr>
                <w:rFonts w:ascii="Arial" w:cs="Arial" w:eastAsia="Arial" w:hAnsi="Arial"/>
                <w:color w:val="FFFFFF"/>
                <w:sz w:val="16"/>
                <w:szCs w:val="16"/>
              </w:rPr>
              <w:t xml:space="preserve">Files committed</w:t>
            </w:r>
          </w:p>
        </w:tc>
        <w:tc>
          <w:tcPr>
            <w:tcW w:type="dxa" w:w="2340"/>
            <w:tcBorders>
              <w:top w:val="single" w:color="003F5C" w:sz="1"/>
              <w:left w:val="single" w:color="003F5C" w:sz="1"/>
              <w:bottom w:val="single" w:color="003F5C" w:sz="1"/>
              <w:right w:val="single" w:color="003F5C" w:sz="1"/>
            </w:tcBorders>
            <w:shd w:fill="003F5C" w:val="clear"/>
            <w:tcMar>
              <w:top w:type="dxa" w:w="120"/>
              <w:left w:type="dxa" w:w="140"/>
              <w:bottom w:type="dxa" w:w="100"/>
              <w:right w:type="dxa" w:w="140"/>
            </w:tcMar>
          </w:tcPr>
          <w:p>
            <w:pPr>
              <w:jc w:val="center"/>
            </w:pPr>
            <w:r>
              <w:rPr>
                <w:rFonts w:ascii="Arial" w:cs="Arial" w:eastAsia="Arial" w:hAnsi="Arial"/>
                <w:b/>
                <w:bCs/>
                <w:color w:val="FFFFFF"/>
                <w:sz w:val="40"/>
                <w:szCs w:val="40"/>
              </w:rPr>
              <w:t xml:space="preserve">5,000+</w:t>
            </w:r>
          </w:p>
          <w:p>
            <w:pPr>
              <w:jc w:val="center"/>
            </w:pPr>
            <w:r>
              <w:rPr>
                <w:rFonts w:ascii="Arial" w:cs="Arial" w:eastAsia="Arial" w:hAnsi="Arial"/>
                <w:color w:val="FFFFFF"/>
                <w:sz w:val="16"/>
                <w:szCs w:val="16"/>
              </w:rPr>
              <w:t xml:space="preserve">Sims per scenario</w:t>
            </w:r>
          </w:p>
        </w:tc>
        <w:tc>
          <w:tcPr>
            <w:tcW w:type="dxa" w:w="2340"/>
            <w:tcBorders>
              <w:top w:val="single" w:color="CC5500" w:sz="1"/>
              <w:left w:val="single" w:color="CC5500" w:sz="1"/>
              <w:bottom w:val="single" w:color="CC5500" w:sz="1"/>
              <w:right w:val="single" w:color="CC5500" w:sz="1"/>
            </w:tcBorders>
            <w:shd w:fill="CC5500" w:val="clear"/>
            <w:tcMar>
              <w:top w:type="dxa" w:w="120"/>
              <w:left w:type="dxa" w:w="140"/>
              <w:bottom w:type="dxa" w:w="100"/>
              <w:right w:type="dxa" w:w="140"/>
            </w:tcMar>
          </w:tcPr>
          <w:p>
            <w:pPr>
              <w:jc w:val="center"/>
            </w:pPr>
            <w:r>
              <w:rPr>
                <w:rFonts w:ascii="Arial" w:cs="Arial" w:eastAsia="Arial" w:hAnsi="Arial"/>
                <w:b/>
                <w:bCs/>
                <w:color w:val="FFFFFF"/>
                <w:sz w:val="40"/>
                <w:szCs w:val="40"/>
              </w:rPr>
              <w:t xml:space="preserve">18</w:t>
            </w:r>
          </w:p>
          <w:p>
            <w:pPr>
              <w:jc w:val="center"/>
            </w:pPr>
            <w:r>
              <w:rPr>
                <w:rFonts w:ascii="Arial" w:cs="Arial" w:eastAsia="Arial" w:hAnsi="Arial"/>
                <w:color w:val="FFFFFF"/>
                <w:sz w:val="16"/>
                <w:szCs w:val="16"/>
              </w:rPr>
              <w:t xml:space="preserve">Historical elections</w:t>
            </w:r>
          </w:p>
        </w:tc>
      </w:tr>
    </w:tbl>
    <w:p>
      <w:pPr>
        <w:spacing w:after="360" w:before="0"/>
      </w:pPr>
      <w:r>
        <w:t xml:space="preserve"/>
      </w:r>
    </w:p>
    <w:p>
      <w:r/>
    </w:p>
    <w:p>
      <w:pPr>
        <w:pStyle w:val="Heading1"/>
        <w:pBdr>
          <w:bottom w:val="single" w:color="003366" w:sz="6" w:space="1"/>
        </w:pBdr>
        <w:spacing w:after="160" w:before="360"/>
      </w:pPr>
      <w:r>
        <w:rPr>
          <w:rFonts w:ascii="Arial" w:cs="Arial" w:eastAsia="Arial" w:hAnsi="Arial"/>
          <w:b/>
          <w:bCs/>
          <w:color w:val="003366"/>
          <w:sz w:val="32"/>
          <w:szCs w:val="32"/>
        </w:rPr>
        <w:t xml:space="preserve">Executive Summary</w:t>
      </w:r>
    </w:p>
    <w:p>
      <w:pPr>
        <w:spacing w:after="100" w:before="80"/>
      </w:pPr>
      <w:r>
        <w:rPr>
          <w:rFonts w:ascii="Arial" w:cs="Arial" w:eastAsia="Arial" w:hAnsi="Arial"/>
          <w:b w:val="false"/>
          <w:bCs w:val="false"/>
          <w:i w:val="false"/>
          <w:iCs w:val="false"/>
          <w:color w:val="111111"/>
          <w:sz w:val="22"/>
          <w:szCs w:val="22"/>
        </w:rPr>
        <w:t xml:space="preserve">This project is a ground-up quantitative analysis of the Indian Lok Sabha — covering constituency-level malapportionment, coalition formation arithmetic, vote-share prediction, and the structural mechanics of electoral bias as a function of House size. It was built entirely from publicly available data and peer-reviewed methodology, with every assumption documented and every known limitation stated explicitly rather than suppressed.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FF2CC" w:val="clear"/>
            <w:tcMar>
              <w:top w:type="dxa" w:w="80"/>
              <w:left w:type="dxa" w:w="120"/>
              <w:bottom w:type="dxa" w:w="80"/>
              <w:right w:type="dxa" w:w="120"/>
            </w:tcMar>
          </w:tcPr>
          <w:p>
            <w:pPr>
              <w:spacing w:after="60" w:before="0"/>
            </w:pPr>
            <w:r>
              <w:rPr>
                <w:rFonts w:ascii="Arial" w:cs="Arial" w:eastAsia="Arial" w:hAnsi="Arial"/>
                <w:b/>
                <w:bCs/>
                <w:color w:val="C00000"/>
                <w:sz w:val="20"/>
                <w:szCs w:val="20"/>
              </w:rPr>
              <w:t xml:space="preserve">The single most important honest finding in this project</w:t>
            </w:r>
          </w:p>
          <w:p>
            <w:pPr>
              <w:spacing w:after="0" w:before="0"/>
            </w:pPr>
            <w:r>
              <w:rPr>
                <w:rFonts w:ascii="Arial" w:cs="Arial" w:eastAsia="Arial" w:hAnsi="Arial"/>
                <w:color w:val="333333"/>
                <w:sz w:val="20"/>
                <w:szCs w:val="20"/>
              </w:rPr>
              <w:t xml:space="preserve">None of the three vote-share models built here reliably beats a trivial 'assume no change' baseline on held-out test data. This is reported as the headline result, not buried. The 2014 BJP wave was a genuine political regime change that no model trained on pre-2014 data can anticipate — regardless of how sophisticated the statistical machinery is.</w:t>
            </w:r>
          </w:p>
        </w:tc>
      </w:tr>
    </w:tbl>
    <w:p>
      <w:pPr>
        <w:spacing w:after="160" w:before="0"/>
      </w:pPr>
      <w:r>
        <w:t xml:space="preserve"/>
      </w:r>
    </w:p>
    <w:p>
      <w:pPr>
        <w:spacing w:after="100" w:before="80"/>
      </w:pPr>
      <w:r>
        <w:rPr>
          <w:rFonts w:ascii="Arial" w:cs="Arial" w:eastAsia="Arial" w:hAnsi="Arial"/>
          <w:b w:val="false"/>
          <w:bCs w:val="false"/>
          <w:i w:val="false"/>
          <w:iCs w:val="false"/>
          <w:color w:val="111111"/>
          <w:sz w:val="22"/>
          <w:szCs w:val="22"/>
        </w:rPr>
        <w:t xml:space="preserve">The project is structured as three sub-projects, each independently reproducible, each with its own data pipeline, outputs, and limitations register: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Sub-project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Core question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output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1 · Election Data Analysis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How has voter-per-seat inequality grown?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Descriptive, ECI data</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Excel workbook (5 sheets)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2 · Coalition Game Theory</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Does House size change who wins?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Monte Carlo, Banzhaf index</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Excel workbook + HTML viz</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3 · Vote-Share Modeling</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Can history predict constituency outcomes?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MrP Bayes, Dirichlet-Swing</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Excel workbook (comparison)</w:t>
            </w:r>
          </w:p>
        </w:tc>
      </w:tr>
    </w:tbl>
    <w:p>
      <w:pPr>
        <w:spacing w:after="160" w:before="0"/>
      </w:pPr>
      <w:r>
        <w:t xml:space="preserve"/>
      </w:r>
    </w:p>
    <w:p>
      <w:r/>
    </w:p>
    <w:p>
      <w:pPr>
        <w:pStyle w:val="Heading1"/>
        <w:pBdr>
          <w:bottom w:val="single" w:color="003366" w:sz="6" w:space="1"/>
        </w:pBdr>
        <w:spacing w:after="160" w:before="360"/>
      </w:pPr>
      <w:r>
        <w:rPr>
          <w:rFonts w:ascii="Arial" w:cs="Arial" w:eastAsia="Arial" w:hAnsi="Arial"/>
          <w:b/>
          <w:bCs/>
          <w:color w:val="003366"/>
          <w:sz w:val="32"/>
          <w:szCs w:val="32"/>
        </w:rPr>
        <w:t xml:space="preserve">Problem Statement</w:t>
      </w:r>
    </w:p>
    <w:p>
      <w:pPr>
        <w:spacing w:after="100" w:before="80"/>
      </w:pPr>
      <w:r>
        <w:rPr>
          <w:rFonts w:ascii="Arial" w:cs="Arial" w:eastAsia="Arial" w:hAnsi="Arial"/>
          <w:b w:val="false"/>
          <w:bCs w:val="false"/>
          <w:i w:val="false"/>
          <w:iCs w:val="false"/>
          <w:color w:val="111111"/>
          <w:sz w:val="22"/>
          <w:szCs w:val="22"/>
        </w:rPr>
        <w:t xml:space="preserve">India's Lok Sabha — the lower house of Parliament — faces three distinct structural questions that are poorly addressed in public political discourse, typically because they are treated as political rather than arithmetic questions. This project treats them as arithmetic first.</w:t>
      </w:r>
    </w:p>
    <w:p>
      <w:pPr>
        <w:spacing w:after="120" w:before="0"/>
      </w:pPr>
      <w:r>
        <w:t xml:space="preserve"/>
      </w:r>
    </w:p>
    <w:p>
      <w:pPr>
        <w:pStyle w:val="Heading2"/>
        <w:spacing w:after="120" w:before="240"/>
      </w:pPr>
      <w:r>
        <w:rPr>
          <w:rFonts w:ascii="Arial" w:cs="Arial" w:eastAsia="Arial" w:hAnsi="Arial"/>
          <w:b/>
          <w:bCs/>
          <w:color w:val="1F4E79"/>
          <w:sz w:val="26"/>
          <w:szCs w:val="26"/>
        </w:rPr>
        <w:t xml:space="preserve">Problem 1 · Malapportionment (Voters per Seat)</w:t>
      </w:r>
    </w:p>
    <w:p>
      <w:pPr>
        <w:spacing w:after="100" w:before="80"/>
      </w:pPr>
      <w:r>
        <w:rPr>
          <w:rFonts w:ascii="Arial" w:cs="Arial" w:eastAsia="Arial" w:hAnsi="Arial"/>
          <w:b w:val="false"/>
          <w:bCs w:val="false"/>
          <w:i w:val="false"/>
          <w:iCs w:val="false"/>
          <w:color w:val="111111"/>
          <w:sz w:val="22"/>
          <w:szCs w:val="22"/>
        </w:rPr>
        <w:t xml:space="preserve">India's Lok Sabha seat allocation has been frozen since 1976 at population figures from the 1971 Census. The total number of seats (543) has not changed despite the population growing from ~548 million in 1971 to ~1.4 billion in 2024 — and growing unevenly across states.</w:t>
      </w:r>
    </w:p>
    <w:p>
      <w:pPr>
        <w:spacing w:after="60" w:before="0"/>
      </w:pPr>
      <w:r>
        <w:t xml:space="preserve"/>
      </w:r>
    </w:p>
    <w:p>
      <w:pPr>
        <w:spacing w:after="100" w:before="80"/>
      </w:pPr>
      <w:r>
        <w:rPr>
          <w:rFonts w:ascii="Arial" w:cs="Arial" w:eastAsia="Arial" w:hAnsi="Arial"/>
          <w:b w:val="false"/>
          <w:bCs w:val="false"/>
          <w:i w:val="false"/>
          <w:iCs w:val="false"/>
          <w:color w:val="111111"/>
          <w:sz w:val="22"/>
          <w:szCs w:val="22"/>
        </w:rPr>
        <w:t xml:space="preserve">This creates a structural inequality: a voter in Lakshadweep (1 seat, ~55,000 electors) has approximately 14 times the parliamentary weight of a voter in Delhi (7 seats, ~22.5 lakh electors per seat). As electoral rolls expand with each election cycle, this inequality compounds even though no seats are created or redistributed.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after="60" w:before="0"/>
            </w:pPr>
            <w:r>
              <w:rPr>
                <w:rFonts w:ascii="Arial" w:cs="Arial" w:eastAsia="Arial" w:hAnsi="Arial"/>
                <w:b/>
                <w:bCs/>
                <w:color w:val="1F4E79"/>
                <w:sz w:val="20"/>
                <w:szCs w:val="20"/>
              </w:rPr>
              <w:t xml:space="preserve">Specific question answered</w:t>
            </w:r>
          </w:p>
          <w:p>
            <w:pPr>
              <w:spacing w:after="0" w:before="0"/>
            </w:pPr>
            <w:r>
              <w:rPr>
                <w:rFonts w:ascii="Arial" w:cs="Arial" w:eastAsia="Arial" w:hAnsi="Arial"/>
                <w:color w:val="333333"/>
                <w:sz w:val="20"/>
                <w:szCs w:val="20"/>
              </w:rPr>
              <w:t xml:space="preserve">How much has the average number of electors per Lok Sabha seat grown between 2014 and 2024, and how unevenly is that growth distributed across states? What does the proposed Delimitation Bill 2026 imply for this distribution?</w:t>
            </w:r>
          </w:p>
        </w:tc>
      </w:tr>
    </w:tbl>
    <w:p>
      <w:pPr>
        <w:spacing w:after="160" w:before="0"/>
      </w:pPr>
      <w:r>
        <w:t xml:space="preserve"/>
      </w:r>
    </w:p>
    <w:p>
      <w:pPr>
        <w:pStyle w:val="Heading2"/>
        <w:spacing w:after="120" w:before="240"/>
      </w:pPr>
      <w:r>
        <w:rPr>
          <w:rFonts w:ascii="Arial" w:cs="Arial" w:eastAsia="Arial" w:hAnsi="Arial"/>
          <w:b/>
          <w:bCs/>
          <w:color w:val="1F4E79"/>
          <w:sz w:val="26"/>
          <w:szCs w:val="26"/>
        </w:rPr>
        <w:t xml:space="preserve">Problem 2 · Coalition Formation and House Size</w:t>
      </w:r>
    </w:p>
    <w:p>
      <w:pPr>
        <w:spacing w:after="100" w:before="80"/>
      </w:pPr>
      <w:r>
        <w:rPr>
          <w:rFonts w:ascii="Arial" w:cs="Arial" w:eastAsia="Arial" w:hAnsi="Arial"/>
          <w:b w:val="false"/>
          <w:bCs w:val="false"/>
          <w:i w:val="false"/>
          <w:iCs w:val="false"/>
          <w:color w:val="111111"/>
          <w:sz w:val="22"/>
          <w:szCs w:val="22"/>
        </w:rPr>
        <w:t xml:space="preserve">The Delimitation Bill 2026 (subsequently defeated on 17 April 2026) proposed expanding the Lok Sabha from 543 to up to 850 seats. Proponents argued a larger House would be 'fairer'. A specific set of arithmetic questions arises:</w:t>
      </w:r>
    </w:p>
    <w:p>
      <w:pPr>
        <w:spacing w:after="60" w:before="0"/>
      </w:pPr>
      <w:r>
        <w:t xml:space="preserve"/>
      </w:r>
    </w:p>
    <w:p>
      <w:pPr>
        <w:pStyle w:val="ListParagraph"/>
        <w:numPr>
          <w:ilvl w:val="0"/>
          <w:numId w:val="2"/>
        </w:numPr>
        <w:spacing w:after="40" w:before="40"/>
      </w:pPr>
      <w:r>
        <w:rPr>
          <w:rFonts w:ascii="Arial" w:cs="Arial" w:eastAsia="Arial" w:hAnsi="Arial"/>
          <w:sz w:val="22"/>
          <w:szCs w:val="22"/>
        </w:rPr>
        <w:t xml:space="preserve">Does increasing the total number of seats change the probability of a hung parliament?</w:t>
      </w:r>
    </w:p>
    <w:p>
      <w:pPr>
        <w:pStyle w:val="ListParagraph"/>
        <w:numPr>
          <w:ilvl w:val="0"/>
          <w:numId w:val="2"/>
        </w:numPr>
        <w:spacing w:after="40" w:before="40"/>
      </w:pPr>
      <w:r>
        <w:rPr>
          <w:rFonts w:ascii="Arial" w:cs="Arial" w:eastAsia="Arial" w:hAnsi="Arial"/>
          <w:sz w:val="22"/>
          <w:szCs w:val="22"/>
        </w:rPr>
        <w:t xml:space="preserve">Does a larger House systematically advantage or disadvantage whoever is currently leading?</w:t>
      </w:r>
    </w:p>
    <w:p>
      <w:pPr>
        <w:pStyle w:val="ListParagraph"/>
        <w:numPr>
          <w:ilvl w:val="0"/>
          <w:numId w:val="2"/>
        </w:numPr>
        <w:spacing w:after="40" w:before="40"/>
      </w:pPr>
      <w:r>
        <w:rPr>
          <w:rFonts w:ascii="Arial" w:cs="Arial" w:eastAsia="Arial" w:hAnsi="Arial"/>
          <w:sz w:val="22"/>
          <w:szCs w:val="22"/>
        </w:rPr>
        <w:t xml:space="preserve">Is the effect specific to NDA (the 2024 incumbent), or does it apply symmetrically to whichever bloc leads?</w:t>
      </w:r>
    </w:p>
    <w:p>
      <w:pPr>
        <w:pStyle w:val="ListParagraph"/>
        <w:numPr>
          <w:ilvl w:val="0"/>
          <w:numId w:val="2"/>
        </w:numPr>
        <w:spacing w:after="40" w:before="40"/>
      </w:pPr>
      <w:r>
        <w:rPr>
          <w:rFonts w:ascii="Arial" w:cs="Arial" w:eastAsia="Arial" w:hAnsi="Arial"/>
          <w:sz w:val="22"/>
          <w:szCs w:val="22"/>
        </w:rPr>
        <w:t xml:space="preserve">Is there any seat-total in the range 534–1,000 where electoral outcomes are genuinely less biased toward whoever is ahead?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FF2CC" w:val="clear"/>
            <w:tcMar>
              <w:top w:type="dxa" w:w="80"/>
              <w:left w:type="dxa" w:w="120"/>
              <w:bottom w:type="dxa" w:w="80"/>
              <w:right w:type="dxa" w:w="120"/>
            </w:tcMar>
          </w:tcPr>
          <w:p>
            <w:pPr>
              <w:spacing w:after="60" w:before="0"/>
            </w:pPr>
            <w:r>
              <w:rPr>
                <w:rFonts w:ascii="Arial" w:cs="Arial" w:eastAsia="Arial" w:hAnsi="Arial"/>
                <w:b/>
                <w:bCs/>
                <w:color w:val="7B3F00"/>
                <w:sz w:val="20"/>
                <w:szCs w:val="20"/>
              </w:rPr>
              <w:t xml:space="preserve">The coin-flip challenge</w:t>
            </w:r>
          </w:p>
          <w:p>
            <w:pPr>
              <w:spacing w:after="0" w:before="0"/>
            </w:pPr>
            <w:r>
              <w:rPr>
                <w:rFonts w:ascii="Arial" w:cs="Arial" w:eastAsia="Arial" w:hAnsi="Arial"/>
                <w:color w:val="333333"/>
                <w:sz w:val="20"/>
                <w:szCs w:val="20"/>
              </w:rPr>
              <w:t xml:space="preserve">A reviewer correctly pointed out during this project: a coin's probability of landing heads never depends on how many times you flip it — only on whether the coin is fair. The same logic applies here. This critique is incorporated explicitly into the analysis and the workbooks, not ignored.</w:t>
            </w:r>
          </w:p>
        </w:tc>
      </w:tr>
    </w:tbl>
    <w:p>
      <w:pPr>
        <w:spacing w:after="60" w:before="0"/>
      </w:pPr>
      <w:r>
        <w:t xml:space="preserve"/>
      </w:r>
    </w:p>
    <w:p>
      <w:pPr>
        <w:spacing w:after="100" w:before="80"/>
      </w:pPr>
      <w:r>
        <w:rPr>
          <w:rFonts w:ascii="Arial" w:cs="Arial" w:eastAsia="Arial" w:hAnsi="Arial"/>
          <w:b w:val="false"/>
          <w:bCs w:val="false"/>
          <w:i w:val="false"/>
          <w:iCs w:val="false"/>
          <w:color w:val="111111"/>
          <w:sz w:val="22"/>
          <w:szCs w:val="22"/>
        </w:rPr>
        <w:t xml:space="preserve">The coalition formation sub-problem also requires testing: given 2024 declared seat counts, which parties are mathematically 'pivotal' (Banzhaf power), what are the minimal winning coalitions, and how does Monte Carlo simulation describe the distribution of plausible outcomes?</w:t>
      </w:r>
    </w:p>
    <w:p>
      <w:pPr>
        <w:spacing w:after="160" w:before="0"/>
      </w:pPr>
      <w:r>
        <w:t xml:space="preserve"/>
      </w:r>
    </w:p>
    <w:p>
      <w:pPr>
        <w:pStyle w:val="Heading2"/>
        <w:spacing w:after="120" w:before="240"/>
      </w:pPr>
      <w:r>
        <w:rPr>
          <w:rFonts w:ascii="Arial" w:cs="Arial" w:eastAsia="Arial" w:hAnsi="Arial"/>
          <w:b/>
          <w:bCs/>
          <w:color w:val="1F4E79"/>
          <w:sz w:val="26"/>
          <w:szCs w:val="26"/>
        </w:rPr>
        <w:t xml:space="preserve">Problem 3 · Constituency-Level Vote-Share Prediction</w:t>
      </w:r>
    </w:p>
    <w:p>
      <w:pPr>
        <w:spacing w:after="100" w:before="80"/>
      </w:pPr>
      <w:r>
        <w:rPr>
          <w:rFonts w:ascii="Arial" w:cs="Arial" w:eastAsia="Arial" w:hAnsi="Arial"/>
          <w:b w:val="false"/>
          <w:bCs w:val="false"/>
          <w:i w:val="false"/>
          <w:iCs w:val="false"/>
          <w:color w:val="111111"/>
          <w:sz w:val="22"/>
          <w:szCs w:val="22"/>
        </w:rPr>
        <w:t xml:space="preserve">Can the outcome of a Lok Sabha constituency — which bloc wins, and by what margin — be predicted from historical structural features such as incumbency, prior vote margin, number of effective parties, and state-level trend?</w:t>
      </w:r>
    </w:p>
    <w:p>
      <w:pPr>
        <w:spacing w:after="60" w:before="0"/>
      </w:pPr>
      <w:r>
        <w:t xml:space="preserve"/>
      </w:r>
    </w:p>
    <w:p>
      <w:pPr>
        <w:spacing w:after="100" w:before="80"/>
      </w:pPr>
      <w:r>
        <w:rPr>
          <w:rFonts w:ascii="Arial" w:cs="Arial" w:eastAsia="Arial" w:hAnsi="Arial"/>
          <w:b w:val="false"/>
          <w:bCs w:val="false"/>
          <w:i w:val="false"/>
          <w:iCs w:val="false"/>
          <w:color w:val="111111"/>
          <w:sz w:val="22"/>
          <w:szCs w:val="22"/>
        </w:rPr>
        <w:t xml:space="preserve">Three families of models from the academic literature were identified and implemented on real TCPD Lok Dhaba constituency-level data (1999–2019):</w:t>
      </w:r>
    </w:p>
    <w:p>
      <w:pPr>
        <w:spacing w:after="60" w:before="0"/>
      </w:pPr>
      <w:r>
        <w:t xml:space="preserve"/>
      </w:r>
    </w:p>
    <w:p>
      <w:pPr>
        <w:pStyle w:val="ListParagraph"/>
        <w:numPr>
          <w:ilvl w:val="0"/>
          <w:numId w:val="2"/>
        </w:numPr>
        <w:spacing w:after="40" w:before="40"/>
      </w:pPr>
      <w:r>
        <w:rPr>
          <w:rFonts w:ascii="Arial" w:cs="Arial" w:eastAsia="Arial" w:hAnsi="Arial"/>
          <w:sz w:val="22"/>
          <w:szCs w:val="22"/>
        </w:rPr>
        <w:t xml:space="preserve">Discrete win/lose classification (Random Forest, LightGBM, Logistic Regression)</w:t>
      </w:r>
    </w:p>
    <w:p>
      <w:pPr>
        <w:pStyle w:val="ListParagraph"/>
        <w:numPr>
          <w:ilvl w:val="0"/>
          <w:numId w:val="2"/>
        </w:numPr>
        <w:spacing w:after="40" w:before="40"/>
      </w:pPr>
      <w:r>
        <w:rPr>
          <w:rFonts w:ascii="Arial" w:cs="Arial" w:eastAsia="Arial" w:hAnsi="Arial"/>
          <w:sz w:val="22"/>
          <w:szCs w:val="22"/>
        </w:rPr>
        <w:t xml:space="preserve">Continuous vote-share prediction with hierarchical Bayesian partial pooling (MrP-inspired, following Cerina &amp; Duch 2021)</w:t>
      </w:r>
    </w:p>
    <w:p>
      <w:pPr>
        <w:pStyle w:val="ListParagraph"/>
        <w:numPr>
          <w:ilvl w:val="0"/>
          <w:numId w:val="2"/>
        </w:numPr>
        <w:spacing w:after="40" w:before="40"/>
      </w:pPr>
      <w:r>
        <w:rPr>
          <w:rFonts w:ascii="Arial" w:cs="Arial" w:eastAsia="Arial" w:hAnsi="Arial"/>
          <w:sz w:val="22"/>
          <w:szCs w:val="22"/>
        </w:rPr>
        <w:t xml:space="preserve">Dirichlet-Swing Matrix Model for compositional vote-share transitions (following Mitra 2026, PLOS ONE)</w:t>
      </w:r>
    </w:p>
    <w:p>
      <w:pPr>
        <w:spacing w:after="60" w:before="0"/>
      </w:pPr>
      <w:r>
        <w:t xml:space="preserve"/>
      </w:r>
    </w:p>
    <w:p>
      <w:pPr>
        <w:spacing w:after="100" w:before="80"/>
      </w:pPr>
      <w:r>
        <w:rPr>
          <w:rFonts w:ascii="Arial" w:cs="Arial" w:eastAsia="Arial" w:hAnsi="Arial"/>
          <w:b w:val="false"/>
          <w:bCs w:val="false"/>
          <w:i w:val="false"/>
          <w:iCs w:val="false"/>
          <w:color w:val="111111"/>
          <w:sz w:val="22"/>
          <w:szCs w:val="22"/>
        </w:rPr>
        <w:t xml:space="preserve">All three were evaluated against a naive 'no change' baseline using a strict chronological train/validation/test split — the only evaluation design that tests genuine forward-looking predictive ability.</w:t>
      </w:r>
    </w:p>
    <w:p>
      <w:pPr>
        <w:spacing w:after="160" w:before="0"/>
      </w:pPr>
      <w:r>
        <w:t xml:space="preserve"/>
      </w:r>
    </w:p>
    <w:p>
      <w:r/>
    </w:p>
    <w:p>
      <w:pPr>
        <w:pStyle w:val="Heading1"/>
        <w:pBdr>
          <w:bottom w:val="single" w:color="003366" w:sz="6" w:space="1"/>
        </w:pBdr>
        <w:spacing w:after="160" w:before="360"/>
      </w:pPr>
      <w:r>
        <w:rPr>
          <w:rFonts w:ascii="Arial" w:cs="Arial" w:eastAsia="Arial" w:hAnsi="Arial"/>
          <w:b/>
          <w:bCs/>
          <w:color w:val="003366"/>
          <w:sz w:val="32"/>
          <w:szCs w:val="32"/>
        </w:rPr>
        <w:t xml:space="preserve">Solution Steps</w:t>
      </w:r>
    </w:p>
    <w:p>
      <w:pPr>
        <w:pStyle w:val="Heading2"/>
        <w:spacing w:after="120" w:before="240"/>
      </w:pPr>
      <w:r>
        <w:rPr>
          <w:rFonts w:ascii="Arial" w:cs="Arial" w:eastAsia="Arial" w:hAnsi="Arial"/>
          <w:b/>
          <w:bCs/>
          <w:color w:val="1F4E79"/>
          <w:sz w:val="26"/>
          <w:szCs w:val="26"/>
        </w:rPr>
        <w:t xml:space="preserve">Project 1 · Election Data Analysis</w:t>
      </w:r>
    </w:p>
    <w:p>
      <w:pPr>
        <w:pStyle w:val="Heading3"/>
        <w:spacing w:after="80" w:before="180"/>
      </w:pPr>
      <w:r>
        <w:rPr>
          <w:rFonts w:ascii="Arial" w:cs="Arial" w:eastAsia="Arial" w:hAnsi="Arial"/>
          <w:b/>
          <w:bCs/>
          <w:color w:val="44546A"/>
          <w:sz w:val="22"/>
          <w:szCs w:val="22"/>
        </w:rPr>
        <w:t xml:space="preserve">Step 1 · Compile state-level electoral data</w:t>
      </w:r>
    </w:p>
    <w:p>
      <w:pPr>
        <w:spacing w:after="100" w:before="80"/>
      </w:pPr>
      <w:r>
        <w:rPr>
          <w:rFonts w:ascii="Arial" w:cs="Arial" w:eastAsia="Arial" w:hAnsi="Arial"/>
          <w:b w:val="false"/>
          <w:bCs w:val="false"/>
          <w:i w:val="false"/>
          <w:iCs w:val="false"/>
          <w:color w:val="111111"/>
          <w:sz w:val="22"/>
          <w:szCs w:val="22"/>
        </w:rPr>
        <w:t xml:space="preserve">Sourced ECI-declared electoral roll totals for 2014, 2019, and 2024 for all 36 states and Union Territories. Matched to 2011 Census population figures and the current seat allocation (frozen at 1976 delimitation). Stored in state_data_raw.csv (36 rows, 12 columns).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Coverage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Seats_2024</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ECI declared, Delimitation Commission order</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36 states/UTs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Electors_2024</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ECI General Roll Summary 2024</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36 states/UTs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Census2011_Pop</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Census of India 2011, Primary Census Abstract</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36 states/UTs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Electors_per_seat</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Computed: Electors / Seats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Derived</w:t>
            </w:r>
          </w:p>
        </w:tc>
      </w:tr>
    </w:tbl>
    <w:p>
      <w:pPr>
        <w:spacing w:after="120" w:before="0"/>
      </w:pPr>
      <w:r>
        <w:t xml:space="preserve"/>
      </w:r>
    </w:p>
    <w:p>
      <w:pPr>
        <w:pStyle w:val="Heading3"/>
        <w:spacing w:after="80" w:before="180"/>
      </w:pPr>
      <w:r>
        <w:rPr>
          <w:rFonts w:ascii="Arial" w:cs="Arial" w:eastAsia="Arial" w:hAnsi="Arial"/>
          <w:b/>
          <w:bCs/>
          <w:color w:val="44546A"/>
          <w:sz w:val="22"/>
          <w:szCs w:val="22"/>
        </w:rPr>
        <w:t xml:space="preserve">Step 2 · Compute national trend (2014–2024)</w:t>
      </w:r>
    </w:p>
    <w:p>
      <w:pPr>
        <w:spacing w:after="100" w:before="80"/>
      </w:pPr>
      <w:r>
        <w:rPr>
          <w:rFonts w:ascii="Arial" w:cs="Arial" w:eastAsia="Arial" w:hAnsi="Arial"/>
          <w:b w:val="false"/>
          <w:bCs w:val="false"/>
          <w:i w:val="false"/>
          <w:iCs w:val="false"/>
          <w:color w:val="111111"/>
          <w:sz w:val="22"/>
          <w:szCs w:val="22"/>
        </w:rPr>
        <w:t xml:space="preserve">Computed the national average electors per seat for each election cycle by summing all-India electors and dividing by 543. The growth rate from 2014 to 2024 is 16% nationally — uneven across states, with high-population states like Uttar Pradesh and Bihar growing fastest while seats remain constant.</w:t>
      </w:r>
    </w:p>
    <w:p>
      <w:pPr>
        <w:spacing w:after="120" w:before="0"/>
      </w:pPr>
      <w:r>
        <w:t xml:space="preserve"/>
      </w:r>
    </w:p>
    <w:p>
      <w:pPr>
        <w:pStyle w:val="Heading3"/>
        <w:spacing w:after="80" w:before="180"/>
      </w:pPr>
      <w:r>
        <w:rPr>
          <w:rFonts w:ascii="Arial" w:cs="Arial" w:eastAsia="Arial" w:hAnsi="Arial"/>
          <w:b/>
          <w:bCs/>
          <w:color w:val="44546A"/>
          <w:sz w:val="22"/>
          <w:szCs w:val="22"/>
        </w:rPr>
        <w:t xml:space="preserve">Step 3 · Build Excel workbook (6 scripts)</w:t>
      </w:r>
    </w:p>
    <w:p>
      <w:pPr>
        <w:spacing w:after="100" w:before="80"/>
      </w:pPr>
      <w:r>
        <w:rPr>
          <w:rFonts w:ascii="Arial" w:cs="Arial" w:eastAsia="Arial" w:hAnsi="Arial"/>
          <w:b w:val="false"/>
          <w:bCs w:val="false"/>
          <w:i w:val="false"/>
          <w:iCs w:val="false"/>
          <w:color w:val="111111"/>
          <w:sz w:val="22"/>
          <w:szCs w:val="22"/>
        </w:rPr>
        <w:t xml:space="preserve">Produced a 5-sheet Excel workbook using Python openpyxl, with all charts, formatting, and a dashboard generated programmatically — no manual editing required to reproduce the output.</w:t>
      </w:r>
    </w:p>
    <w:p>
      <w:pPr>
        <w:spacing w:after="60" w:before="0"/>
      </w:pPr>
      <w:r>
        <w:t xml:space="preserve"/>
      </w:r>
    </w:p>
    <w:p>
      <w:pPr>
        <w:pStyle w:val="ListParagraph"/>
        <w:numPr>
          <w:ilvl w:val="0"/>
          <w:numId w:val="2"/>
        </w:numPr>
        <w:spacing w:after="40" w:before="40"/>
      </w:pPr>
      <w:r>
        <w:rPr>
          <w:rFonts w:ascii="Arial" w:cs="Arial" w:eastAsia="Arial" w:hAnsi="Arial"/>
          <w:sz w:val="22"/>
          <w:szCs w:val="22"/>
        </w:rPr>
        <w:t xml:space="preserve">Sheet 1: State-by-state comparison — electors per seat, rank, deviation from national mean</w:t>
      </w:r>
    </w:p>
    <w:p>
      <w:pPr>
        <w:pStyle w:val="ListParagraph"/>
        <w:numPr>
          <w:ilvl w:val="0"/>
          <w:numId w:val="2"/>
        </w:numPr>
        <w:spacing w:after="40" w:before="40"/>
      </w:pPr>
      <w:r>
        <w:rPr>
          <w:rFonts w:ascii="Arial" w:cs="Arial" w:eastAsia="Arial" w:hAnsi="Arial"/>
          <w:sz w:val="22"/>
          <w:szCs w:val="22"/>
        </w:rPr>
        <w:t xml:space="preserve">Sheet 2: National trend chart 2014–2024</w:t>
      </w:r>
    </w:p>
    <w:p>
      <w:pPr>
        <w:pStyle w:val="ListParagraph"/>
        <w:numPr>
          <w:ilvl w:val="0"/>
          <w:numId w:val="2"/>
        </w:numPr>
        <w:spacing w:after="40" w:before="40"/>
      </w:pPr>
      <w:r>
        <w:rPr>
          <w:rFonts w:ascii="Arial" w:cs="Arial" w:eastAsia="Arial" w:hAnsi="Arial"/>
          <w:sz w:val="22"/>
          <w:szCs w:val="22"/>
        </w:rPr>
        <w:t xml:space="preserve">Sheet 3: Growth rate map — which states grew fastest relative to seats</w:t>
      </w:r>
    </w:p>
    <w:p>
      <w:pPr>
        <w:pStyle w:val="ListParagraph"/>
        <w:numPr>
          <w:ilvl w:val="0"/>
          <w:numId w:val="2"/>
        </w:numPr>
        <w:spacing w:after="40" w:before="40"/>
      </w:pPr>
      <w:r>
        <w:rPr>
          <w:rFonts w:ascii="Arial" w:cs="Arial" w:eastAsia="Arial" w:hAnsi="Arial"/>
          <w:sz w:val="22"/>
          <w:szCs w:val="22"/>
        </w:rPr>
        <w:t xml:space="preserve">Sheet 4: Delimitation Bill 2026 context — what reallocation would have implied</w:t>
      </w:r>
    </w:p>
    <w:p>
      <w:pPr>
        <w:pStyle w:val="ListParagraph"/>
        <w:numPr>
          <w:ilvl w:val="0"/>
          <w:numId w:val="2"/>
        </w:numPr>
        <w:spacing w:after="40" w:before="40"/>
      </w:pPr>
      <w:r>
        <w:rPr>
          <w:rFonts w:ascii="Arial" w:cs="Arial" w:eastAsia="Arial" w:hAnsi="Arial"/>
          <w:sz w:val="22"/>
          <w:szCs w:val="22"/>
        </w:rPr>
        <w:t xml:space="preserve">Sheet 5: Dashboard — top-level KPIs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after="60" w:before="0"/>
            </w:pPr>
            <w:r>
              <w:rPr>
                <w:rFonts w:ascii="Arial" w:cs="Arial" w:eastAsia="Arial" w:hAnsi="Arial"/>
                <w:b/>
                <w:bCs/>
                <w:color w:val="1F4E79"/>
                <w:sz w:val="20"/>
                <w:szCs w:val="20"/>
              </w:rPr>
              <w:t xml:space="preserve">Key finding</w:t>
            </w:r>
          </w:p>
          <w:p>
            <w:pPr>
              <w:spacing w:after="0" w:before="0"/>
            </w:pPr>
            <w:r>
              <w:rPr>
                <w:rFonts w:ascii="Arial" w:cs="Arial" w:eastAsia="Arial" w:hAnsi="Arial"/>
                <w:color w:val="333333"/>
                <w:sz w:val="20"/>
                <w:szCs w:val="20"/>
              </w:rPr>
              <w:t xml:space="preserve">NDA's average constituency held ~17.9 lakh electors in 2024. The national average rose 16% from 2014 to 2024 with seats frozen at 543. Delhi's average (22.5 lakh) is over 14× Lakshadweep's (55,000). The Delimitation Bill 2026 was defeated on 17 April 2026.</w:t>
            </w:r>
          </w:p>
        </w:tc>
      </w:tr>
    </w:tbl>
    <w:p>
      <w:pPr>
        <w:spacing w:after="200" w:before="0"/>
      </w:pPr>
      <w:r>
        <w:t xml:space="preserve"/>
      </w:r>
    </w:p>
    <w:p>
      <w:pPr>
        <w:pStyle w:val="Heading2"/>
        <w:spacing w:after="120" w:before="240"/>
      </w:pPr>
      <w:r>
        <w:rPr>
          <w:rFonts w:ascii="Arial" w:cs="Arial" w:eastAsia="Arial" w:hAnsi="Arial"/>
          <w:b/>
          <w:bCs/>
          <w:color w:val="1F4E79"/>
          <w:sz w:val="26"/>
          <w:szCs w:val="26"/>
        </w:rPr>
        <w:t xml:space="preserve">Project 2 · Coalition Game Theory</w:t>
      </w:r>
    </w:p>
    <w:p>
      <w:pPr>
        <w:pStyle w:val="Heading3"/>
        <w:spacing w:after="80" w:before="180"/>
      </w:pPr>
      <w:r>
        <w:rPr>
          <w:rFonts w:ascii="Arial" w:cs="Arial" w:eastAsia="Arial" w:hAnsi="Arial"/>
          <w:b/>
          <w:bCs/>
          <w:color w:val="44546A"/>
          <w:sz w:val="22"/>
          <w:szCs w:val="22"/>
        </w:rPr>
        <w:t xml:space="preserve">Step 1 · Compile 2024 declared seat counts</w:t>
      </w:r>
    </w:p>
    <w:p>
      <w:pPr>
        <w:spacing w:after="100" w:before="80"/>
      </w:pPr>
      <w:r>
        <w:rPr>
          <w:rFonts w:ascii="Arial" w:cs="Arial" w:eastAsia="Arial" w:hAnsi="Arial"/>
          <w:b w:val="false"/>
          <w:bCs w:val="false"/>
          <w:i w:val="false"/>
          <w:iCs w:val="false"/>
          <w:color w:val="111111"/>
          <w:sz w:val="22"/>
          <w:szCs w:val="22"/>
        </w:rPr>
        <w:t xml:space="preserve">Built party_seats.csv from ECI declared results for all 543 constituencies, aggregating party-level seats into three blocs: NDA, INDIA, and Other. Cross-checked against The Week, Al Jazeera, and DD News final tallies. Noted the TMC/NCPI merger post-election that raised the effective NDA seat count to 318.</w:t>
      </w:r>
    </w:p>
    <w:p>
      <w:pPr>
        <w:spacing w:after="120" w:before="0"/>
      </w:pPr>
      <w:r>
        <w:t xml:space="preserve"/>
      </w:r>
    </w:p>
    <w:p>
      <w:pPr>
        <w:pStyle w:val="Heading3"/>
        <w:spacing w:after="80" w:before="180"/>
      </w:pPr>
      <w:r>
        <w:rPr>
          <w:rFonts w:ascii="Arial" w:cs="Arial" w:eastAsia="Arial" w:hAnsi="Arial"/>
          <w:b/>
          <w:bCs/>
          <w:color w:val="44546A"/>
          <w:sz w:val="22"/>
          <w:szCs w:val="22"/>
        </w:rPr>
        <w:t xml:space="preserve">Step 2 · Banzhaf Power Index and Minimal Winning Coalitions</w:t>
      </w:r>
    </w:p>
    <w:p>
      <w:pPr>
        <w:spacing w:after="100" w:before="80"/>
      </w:pPr>
      <w:r>
        <w:rPr>
          <w:rFonts w:ascii="Arial" w:cs="Arial" w:eastAsia="Arial" w:hAnsi="Arial"/>
          <w:b w:val="false"/>
          <w:bCs w:val="false"/>
          <w:i w:val="false"/>
          <w:iCs w:val="false"/>
          <w:color w:val="111111"/>
          <w:sz w:val="22"/>
          <w:szCs w:val="22"/>
        </w:rPr>
        <w:t xml:space="preserve">Computed the Banzhaf power index for each party — measuring how often a party is the 'swing voter' that converts a losing coalition into a winning one. Enumerated all Minimal Winning Coalitions (MWCs): the smallest possible subsets of parties whose combined seat count crosses 272.</w:t>
      </w:r>
    </w:p>
    <w:p>
      <w:pPr>
        <w:spacing w:after="60" w:before="0"/>
      </w:pPr>
      <w:r>
        <w:t xml:space="preserve"/>
      </w:r>
    </w:p>
    <w:p>
      <w:pPr>
        <w:spacing w:after="100" w:before="80"/>
      </w:pPr>
      <w:r>
        <w:rPr>
          <w:rFonts w:ascii="Arial" w:cs="Arial" w:eastAsia="Arial" w:hAnsi="Arial"/>
          <w:b w:val="false"/>
          <w:bCs w:val="false"/>
          <w:i w:val="false"/>
          <w:iCs w:val="false"/>
          <w:color w:val="111111"/>
          <w:sz w:val="22"/>
          <w:szCs w:val="22"/>
        </w:rPr>
        <w:t xml:space="preserve">With NDA at 293 (or 318 post-merger), NDA is mathematically a 'dictator' in the current configuration — no coalition can reach 272 without it, giving it Banzhaf power of 1.0 (100% pivotality).</w:t>
      </w:r>
    </w:p>
    <w:p>
      <w:pPr>
        <w:spacing w:after="120" w:before="0"/>
      </w:pPr>
      <w:r>
        <w:t xml:space="preserve"/>
      </w:r>
    </w:p>
    <w:p>
      <w:pPr>
        <w:pStyle w:val="Heading3"/>
        <w:spacing w:after="80" w:before="180"/>
      </w:pPr>
      <w:r>
        <w:rPr>
          <w:rFonts w:ascii="Arial" w:cs="Arial" w:eastAsia="Arial" w:hAnsi="Arial"/>
          <w:b/>
          <w:bCs/>
          <w:color w:val="44546A"/>
          <w:sz w:val="22"/>
          <w:szCs w:val="22"/>
        </w:rPr>
        <w:t xml:space="preserve">Step 3 · Monte Carlo simulation (debiased)</w:t>
      </w:r>
    </w:p>
    <w:p>
      <w:pPr>
        <w:spacing w:after="100" w:before="80"/>
      </w:pPr>
      <w:r>
        <w:rPr>
          <w:rFonts w:ascii="Arial" w:cs="Arial" w:eastAsia="Arial" w:hAnsi="Arial"/>
          <w:b w:val="false"/>
          <w:bCs w:val="false"/>
          <w:i w:val="false"/>
          <w:iCs w:val="false"/>
          <w:color w:val="111111"/>
          <w:sz w:val="22"/>
          <w:szCs w:val="22"/>
        </w:rPr>
        <w:t xml:space="preserve">Rather than fixing the 2024 result as a deterministic input, every simulated election re-draws each seat's bloc outcome from a Dirichlet distribution centred on that constituency's state-level 2024 bloc share. This means the literal 2024 outcome is one possible draw — not a locked-in anchor.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FF2CC" w:val="clear"/>
            <w:tcMar>
              <w:top w:type="dxa" w:w="80"/>
              <w:left w:type="dxa" w:w="120"/>
              <w:bottom w:type="dxa" w:w="80"/>
              <w:right w:type="dxa" w:w="120"/>
            </w:tcMar>
          </w:tcPr>
          <w:p>
            <w:pPr>
              <w:spacing w:after="60" w:before="0"/>
            </w:pPr>
            <w:r>
              <w:rPr>
                <w:rFonts w:ascii="Arial" w:cs="Arial" w:eastAsia="Arial" w:hAnsi="Arial"/>
                <w:b/>
                <w:bCs/>
                <w:color w:val="7B3F00"/>
                <w:sz w:val="20"/>
                <w:szCs w:val="20"/>
              </w:rPr>
              <w:t xml:space="preserve">What 'debiased' means here — and what it does not mean</w:t>
            </w:r>
          </w:p>
          <w:p>
            <w:pPr>
              <w:spacing w:after="0" w:before="0"/>
            </w:pPr>
            <w:r>
              <w:rPr>
                <w:rFonts w:ascii="Arial" w:cs="Arial" w:eastAsia="Arial" w:hAnsi="Arial"/>
                <w:color w:val="333333"/>
                <w:sz w:val="20"/>
                <w:szCs w:val="20"/>
              </w:rPr>
              <w:t xml:space="preserve">'Debiased' means not deterministically anchored to a single outcome. It does NOT mean free of partisan lean — the Dirichlet means are still set from 2024 seat shares, which overstate NDA's competitive position by 7–17pp relative to its actual vote share. This is Material Bias D1, documented throughout.</w:t>
            </w:r>
          </w:p>
        </w:tc>
      </w:tr>
    </w:tbl>
    <w:p>
      <w:pPr>
        <w:spacing w:after="120" w:before="0"/>
      </w:pPr>
      <w:r>
        <w:t xml:space="preserve"/>
      </w:r>
    </w:p>
    <w:p>
      <w:pPr>
        <w:pStyle w:val="Heading3"/>
        <w:spacing w:after="80" w:before="180"/>
      </w:pPr>
      <w:r>
        <w:rPr>
          <w:rFonts w:ascii="Arial" w:cs="Arial" w:eastAsia="Arial" w:hAnsi="Arial"/>
          <w:b/>
          <w:bCs/>
          <w:color w:val="44546A"/>
          <w:sz w:val="22"/>
          <w:szCs w:val="22"/>
        </w:rPr>
        <w:t xml:space="preserve">Step 4 · Seat-total sweep (534–1,000 seats)</w:t>
      </w:r>
    </w:p>
    <w:p>
      <w:pPr>
        <w:spacing w:after="100" w:before="80"/>
      </w:pPr>
      <w:r>
        <w:rPr>
          <w:rFonts w:ascii="Arial" w:cs="Arial" w:eastAsia="Arial" w:hAnsi="Arial"/>
          <w:b w:val="false"/>
          <w:bCs w:val="false"/>
          <w:i w:val="false"/>
          <w:iCs w:val="false"/>
          <w:color w:val="111111"/>
          <w:sz w:val="22"/>
          <w:szCs w:val="22"/>
        </w:rPr>
        <w:t xml:space="preserve">Ran 1,500 Monte Carlo simulations at every seat-total from 534 to 1,000 in steps of 10 — 49 total seat-totals. For each, computed:</w:t>
      </w:r>
    </w:p>
    <w:p>
      <w:pPr>
        <w:spacing w:after="60" w:before="0"/>
      </w:pPr>
      <w:r>
        <w:t xml:space="preserve"/>
      </w:r>
    </w:p>
    <w:p>
      <w:pPr>
        <w:pStyle w:val="ListParagraph"/>
        <w:numPr>
          <w:ilvl w:val="0"/>
          <w:numId w:val="2"/>
        </w:numPr>
        <w:spacing w:after="40" w:before="40"/>
      </w:pPr>
      <w:r>
        <w:rPr>
          <w:rFonts w:ascii="Arial" w:cs="Arial" w:eastAsia="Arial" w:hAnsi="Arial"/>
          <w:sz w:val="22"/>
          <w:szCs w:val="22"/>
        </w:rPr>
        <w:t xml:space="preserve">P(NDA majority) — probability of winning 50%+1 of total seats</w:t>
      </w:r>
    </w:p>
    <w:p>
      <w:pPr>
        <w:pStyle w:val="ListParagraph"/>
        <w:numPr>
          <w:ilvl w:val="0"/>
          <w:numId w:val="2"/>
        </w:numPr>
        <w:spacing w:after="40" w:before="40"/>
      </w:pPr>
      <w:r>
        <w:rPr>
          <w:rFonts w:ascii="Arial" w:cs="Arial" w:eastAsia="Arial" w:hAnsi="Arial"/>
          <w:sz w:val="22"/>
          <w:szCs w:val="22"/>
        </w:rPr>
        <w:t xml:space="preserve">Mean winner's bonus — leading bloc's seat share minus its true vote share (the Gallagher disproportionality measure)</w:t>
      </w:r>
    </w:p>
    <w:p>
      <w:pPr>
        <w:pStyle w:val="ListParagraph"/>
        <w:numPr>
          <w:ilvl w:val="0"/>
          <w:numId w:val="2"/>
        </w:numPr>
        <w:spacing w:after="40" w:before="40"/>
      </w:pPr>
      <w:r>
        <w:rPr>
          <w:rFonts w:ascii="Arial" w:cs="Arial" w:eastAsia="Arial" w:hAnsi="Arial"/>
          <w:sz w:val="22"/>
          <w:szCs w:val="22"/>
        </w:rPr>
        <w:t xml:space="preserve">Bonus volatility — standard deviation of the bonus across 1,500 simulations, measuring how much outcomes swing from election to election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after="60" w:before="0"/>
            </w:pPr>
            <w:r>
              <w:rPr>
                <w:rFonts w:ascii="Arial" w:cs="Arial" w:eastAsia="Arial" w:hAnsi="Arial"/>
                <w:b/>
                <w:bCs/>
                <w:color w:val="1F4E79"/>
                <w:sz w:val="20"/>
                <w:szCs w:val="20"/>
              </w:rPr>
              <w:t xml:space="preserve">Key finding (and the coin-flip correction)</w:t>
            </w:r>
          </w:p>
          <w:p>
            <w:pPr>
              <w:spacing w:after="0" w:before="0"/>
            </w:pPr>
            <w:r>
              <w:rPr>
                <w:rFonts w:ascii="Arial" w:cs="Arial" w:eastAsia="Arial" w:hAnsi="Arial"/>
                <w:color w:val="333333"/>
                <w:sz w:val="20"/>
                <w:szCs w:val="20"/>
              </w:rPr>
              <w:t xml:space="preserve">The mean winner's bonus is flat at ~1.1–1.2pp across the entire 534–1,000 range — no seat-total is structurally fairer on average. P(NDA majority) rises from 96.9% (534 seats) to 99.5% (1,000 seats). More seats make outcomes more predictable around whatever mean already exists — if that mean is above 50%, more seats entrench the lead further. Predictability ≠ fairness.</w:t>
            </w:r>
          </w:p>
        </w:tc>
      </w:tr>
    </w:tbl>
    <w:p>
      <w:pPr>
        <w:spacing w:after="120" w:before="0"/>
      </w:pPr>
      <w:r>
        <w:t xml:space="preserve"/>
      </w:r>
    </w:p>
    <w:p>
      <w:pPr>
        <w:pStyle w:val="Heading3"/>
        <w:spacing w:after="80" w:before="180"/>
      </w:pPr>
      <w:r>
        <w:rPr>
          <w:rFonts w:ascii="Arial" w:cs="Arial" w:eastAsia="Arial" w:hAnsi="Arial"/>
          <w:b/>
          <w:bCs/>
          <w:color w:val="44546A"/>
          <w:sz w:val="22"/>
          <w:szCs w:val="22"/>
        </w:rPr>
        <w:t xml:space="preserve">Step 5 · Counterfactual scenario generator (symmetry test)</w:t>
      </w:r>
    </w:p>
    <w:p>
      <w:pPr>
        <w:spacing w:after="100" w:before="80"/>
      </w:pPr>
      <w:r>
        <w:rPr>
          <w:rFonts w:ascii="Arial" w:cs="Arial" w:eastAsia="Arial" w:hAnsi="Arial"/>
          <w:b w:val="false"/>
          <w:bCs w:val="false"/>
          <w:i w:val="false"/>
          <w:iCs w:val="false"/>
          <w:color w:val="111111"/>
          <w:sz w:val="22"/>
          <w:szCs w:val="22"/>
        </w:rPr>
        <w:t xml:space="preserve">Built five counterfactual scenarios to test whether the entrenchment effect is NDA-specific or applies symmetrically to whichever bloc leads. This required solving a non-trivial bug in scenario construction (three attempts before producing exact NDA/INDIA symmetry):</w:t>
      </w:r>
    </w:p>
    <w:p>
      <w:pPr>
        <w:spacing w:after="60" w:before="0"/>
      </w:pPr>
      <w:r>
        <w:t xml:space="preserve"/>
      </w:r>
    </w:p>
    <w:p>
      <w:pPr>
        <w:pStyle w:val="ListParagraph"/>
        <w:numPr>
          <w:ilvl w:val="0"/>
          <w:numId w:val="2"/>
        </w:numPr>
        <w:spacing w:after="40" w:before="40"/>
      </w:pPr>
      <w:r>
        <w:rPr>
          <w:rFonts w:ascii="Arial" w:cs="Arial" w:eastAsia="Arial" w:hAnsi="Arial"/>
          <w:sz w:val="22"/>
          <w:szCs w:val="22"/>
        </w:rPr>
        <w:t xml:space="preserve">Attempt 1 (additive shift): failed — clip-at-0.01 floor broke symmetry when flipping an 11pp lead (proved by comparing tracked vote shares: 53.1% vs 51.8% instead of identical)</w:t>
      </w:r>
    </w:p>
    <w:p>
      <w:pPr>
        <w:pStyle w:val="ListParagraph"/>
        <w:numPr>
          <w:ilvl w:val="0"/>
          <w:numId w:val="2"/>
        </w:numPr>
        <w:spacing w:after="40" w:before="40"/>
      </w:pPr>
      <w:r>
        <w:rPr>
          <w:rFonts w:ascii="Arial" w:cs="Arial" w:eastAsia="Arial" w:hAnsi="Arial"/>
          <w:sz w:val="22"/>
          <w:szCs w:val="22"/>
        </w:rPr>
        <w:t xml:space="preserve">Attempt 2 (logit-space shift): improved but still off by ~2pp due to per-state 'Other' share heterogeneity</w:t>
      </w:r>
    </w:p>
    <w:p>
      <w:pPr>
        <w:pStyle w:val="ListParagraph"/>
        <w:numPr>
          <w:ilvl w:val="0"/>
          <w:numId w:val="2"/>
        </w:numPr>
        <w:spacing w:after="40" w:before="40"/>
      </w:pPr>
      <w:r>
        <w:rPr>
          <w:rFonts w:ascii="Arial" w:cs="Arial" w:eastAsia="Arial" w:hAnsi="Arial"/>
          <w:sz w:val="22"/>
          <w:szCs w:val="22"/>
        </w:rPr>
        <w:t xml:space="preserve">Attempt 3 (uniform national split, final): guarantees exact symmetry to 6 decimal places by construction — verified before trusting any results</w:t>
      </w:r>
    </w:p>
    <w:p>
      <w:pPr>
        <w:spacing w:after="60" w:before="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300"/>
        <w:gridCol w:w="23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Result at 543 seats</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Result at 1,000 seats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S0: NDA +11pp</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2024 actual lead</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P(NDA)=100%</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P(NDA)=100%</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S1: INDIA +11pp</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Exact mirror of S0</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P(INDIA)=100%</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P(INDIA)=100%</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S2: Tossup</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True 50/50 fair coin</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P(NDA)=26%, P(INDIA)=26%, Hung=46%</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Hung=62%</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S3: INDIA +3pp</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INDIA narrow lead</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P(INDIA)=95.1%</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P(INDIA)=99.1%</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S4: NDA +3pp</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NDA narrow lead</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P(NDA)=95.9%</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P(NDA)=98.8%</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after="60" w:before="0"/>
            </w:pPr>
            <w:r>
              <w:rPr>
                <w:rFonts w:ascii="Arial" w:cs="Arial" w:eastAsia="Arial" w:hAnsi="Arial"/>
                <w:b/>
                <w:bCs/>
                <w:color w:val="1A5C1A"/>
                <w:sz w:val="20"/>
                <w:szCs w:val="20"/>
              </w:rPr>
              <w:t xml:space="preserve">Symmetry confirmed</w:t>
            </w:r>
          </w:p>
          <w:p>
            <w:pPr>
              <w:spacing w:after="0" w:before="0"/>
            </w:pPr>
            <w:r>
              <w:rPr>
                <w:rFonts w:ascii="Arial" w:cs="Arial" w:eastAsia="Arial" w:hAnsi="Arial"/>
                <w:color w:val="333333"/>
                <w:sz w:val="20"/>
                <w:szCs w:val="20"/>
              </w:rPr>
              <w:t xml:space="preserve">Entrenchment is not NDA-specific. It tracks distance from 50%, not which party leads. In the tossup case, neither bloc's majority probability rises — instead the hung-parliament rate rises from 48.1% to 58.8% as seats grow, perfectly symmetric between both blocs.</w:t>
            </w:r>
          </w:p>
        </w:tc>
      </w:tr>
    </w:tbl>
    <w:p>
      <w:pPr>
        <w:spacing w:after="120" w:before="0"/>
      </w:pPr>
      <w:r>
        <w:t xml:space="preserve"/>
      </w:r>
    </w:p>
    <w:p>
      <w:pPr>
        <w:pStyle w:val="Heading3"/>
        <w:spacing w:after="80" w:before="180"/>
      </w:pPr>
      <w:r>
        <w:rPr>
          <w:rFonts w:ascii="Arial" w:cs="Arial" w:eastAsia="Arial" w:hAnsi="Arial"/>
          <w:b/>
          <w:bCs/>
          <w:color w:val="44546A"/>
          <w:sz w:val="22"/>
          <w:szCs w:val="22"/>
        </w:rPr>
        <w:t xml:space="preserve">Step 6 · Tipping-point state analysis</w:t>
      </w:r>
    </w:p>
    <w:p>
      <w:pPr>
        <w:spacing w:after="100" w:before="80"/>
      </w:pPr>
      <w:r>
        <w:rPr>
          <w:rFonts w:ascii="Arial" w:cs="Arial" w:eastAsia="Arial" w:hAnsi="Arial"/>
          <w:b w:val="false"/>
          <w:bCs w:val="false"/>
          <w:i w:val="false"/>
          <w:iCs w:val="false"/>
          <w:color w:val="111111"/>
          <w:sz w:val="22"/>
          <w:szCs w:val="22"/>
        </w:rPr>
        <w:t xml:space="preserve">For the razor-edge scenario (NDA +1pp), ran 8,000 per-state-tracked simulations at 543 seats to identify which states appear in the minimum seat-set that would flip a hung result to an NDA majority (Banzhaf-style greedy pivotality).</w:t>
      </w:r>
    </w:p>
    <w:p>
      <w:pPr>
        <w:spacing w:after="60" w:before="0"/>
      </w:pPr>
      <w:r>
        <w:t xml:space="preserve"/>
      </w:r>
    </w:p>
    <w:p>
      <w:pPr>
        <w:spacing w:after="100" w:before="80"/>
      </w:pPr>
      <w:r>
        <w:rPr>
          <w:rFonts w:ascii="Arial" w:cs="Arial" w:eastAsia="Arial" w:hAnsi="Arial"/>
          <w:b w:val="false"/>
          <w:bCs w:val="false"/>
          <w:i w:val="false"/>
          <w:iCs w:val="false"/>
          <w:color w:val="111111"/>
          <w:sz w:val="22"/>
          <w:szCs w:val="22"/>
        </w:rPr>
        <w:t xml:space="preserve">Result: Uttar Pradesh dominates at 99.9% pivotality. This is not a model artefact — it is arithmetic: UP has 80 seats (the largest state by far), a near-50/50 2024 split (36 NDA, 43 INDIA), and at +1pp NDA lead nationally, UP's NDA seat count alone swings ±15 seats, directly determining whether the national total crosses 272. Maharashtra is secondary at 0.3%.</w:t>
      </w:r>
    </w:p>
    <w:p>
      <w:pPr>
        <w:spacing w:after="120" w:before="0"/>
      </w:pPr>
      <w:r>
        <w:t xml:space="preserve"/>
      </w:r>
    </w:p>
    <w:p>
      <w:pPr>
        <w:pStyle w:val="Heading3"/>
        <w:spacing w:after="80" w:before="180"/>
      </w:pPr>
      <w:r>
        <w:rPr>
          <w:rFonts w:ascii="Arial" w:cs="Arial" w:eastAsia="Arial" w:hAnsi="Arial"/>
          <w:b/>
          <w:bCs/>
          <w:color w:val="44546A"/>
          <w:sz w:val="22"/>
          <w:szCs w:val="22"/>
        </w:rPr>
        <w:t xml:space="preserve">Step 7 · Assumption audit (post-hoc, before committing)</w:t>
      </w:r>
    </w:p>
    <w:p>
      <w:pPr>
        <w:spacing w:after="100" w:before="80"/>
      </w:pPr>
      <w:r>
        <w:rPr>
          <w:rFonts w:ascii="Arial" w:cs="Arial" w:eastAsia="Arial" w:hAnsi="Arial"/>
          <w:b w:val="false"/>
          <w:bCs w:val="false"/>
          <w:i w:val="false"/>
          <w:iCs w:val="false"/>
          <w:color w:val="111111"/>
          <w:sz w:val="22"/>
          <w:szCs w:val="22"/>
        </w:rPr>
        <w:t xml:space="preserve">A systematic check of every modeling assumption was conducted and documented in the workbook's 'Assumption Audit' sheet before committing to the repository. Two material issues found:</w:t>
      </w:r>
    </w:p>
    <w:p>
      <w:pPr>
        <w:spacing w:after="6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400"/>
        <w:gridCol w:w="2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Assumption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Directional finding robust?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Seat-share used as vote-share proxy (NDA ~52.9% instead of real ~36–46%)</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MATERIAL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P(majority) upward-biased by 7–17pp in level</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Yes — trend direction unaffected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Dirichlet concentration=18 (~1.8× too tight vs real TCPD data)</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MATERIAL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Winner's bonus understated ~3× in absolute level</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Yes — confirmed at correct concentration ~5</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Seat-count sampling weights (frozen 1971 allocation)</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MINOR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Small UP/Bihar under-weighting vs 2011 Census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Yes — directionally consistent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3-way FPTP (collapses real 5-8+ candidate races)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MINOR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Understates multi-cornered contests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Acceptable scope limitation</w:t>
            </w:r>
          </w:p>
        </w:tc>
      </w:tr>
    </w:tbl>
    <w:p>
      <w:pPr>
        <w:spacing w:after="200" w:before="0"/>
      </w:pPr>
      <w:r>
        <w:t xml:space="preserve"/>
      </w:r>
    </w:p>
    <w:p>
      <w:pPr>
        <w:pStyle w:val="Heading2"/>
        <w:spacing w:after="120" w:before="240"/>
      </w:pPr>
      <w:r>
        <w:rPr>
          <w:rFonts w:ascii="Arial" w:cs="Arial" w:eastAsia="Arial" w:hAnsi="Arial"/>
          <w:b/>
          <w:bCs/>
          <w:color w:val="1F4E79"/>
          <w:sz w:val="26"/>
          <w:szCs w:val="26"/>
        </w:rPr>
        <w:t xml:space="preserve">Project 3 · Vote-Share Modeling</w:t>
      </w:r>
    </w:p>
    <w:p>
      <w:pPr>
        <w:pStyle w:val="Heading3"/>
        <w:spacing w:after="80" w:before="180"/>
      </w:pPr>
      <w:r>
        <w:rPr>
          <w:rFonts w:ascii="Arial" w:cs="Arial" w:eastAsia="Arial" w:hAnsi="Arial"/>
          <w:b/>
          <w:bCs/>
          <w:color w:val="44546A"/>
          <w:sz w:val="22"/>
          <w:szCs w:val="22"/>
        </w:rPr>
        <w:t xml:space="preserve">Step 1 · Data acquisition and roll-up</w:t>
      </w:r>
    </w:p>
    <w:p>
      <w:pPr>
        <w:spacing w:after="100" w:before="80"/>
      </w:pPr>
      <w:r>
        <w:rPr>
          <w:rFonts w:ascii="Arial" w:cs="Arial" w:eastAsia="Arial" w:hAnsi="Arial"/>
          <w:b w:val="false"/>
          <w:bCs w:val="false"/>
          <w:i w:val="false"/>
          <w:iCs w:val="false"/>
          <w:color w:val="111111"/>
          <w:sz w:val="22"/>
          <w:szCs w:val="22"/>
        </w:rPr>
        <w:t xml:space="preserve">Sourced TCPD Lok Dhaba's AC-segment-wise export (GA file, ~180MB), which records votes at the assembly-constituency segment level within each parliamentary constituency — not at the PC level directly.</w:t>
      </w:r>
    </w:p>
    <w:p>
      <w:pPr>
        <w:spacing w:after="60" w:before="0"/>
      </w:pPr>
      <w:r>
        <w:t xml:space="preserve"/>
      </w:r>
    </w:p>
    <w:p>
      <w:pPr>
        <w:spacing w:after="100" w:before="80"/>
      </w:pPr>
      <w:r>
        <w:rPr>
          <w:rFonts w:ascii="Arial" w:cs="Arial" w:eastAsia="Arial" w:hAnsi="Arial"/>
          <w:b w:val="false"/>
          <w:bCs w:val="false"/>
          <w:i w:val="false"/>
          <w:iCs w:val="false"/>
          <w:color w:val="111111"/>
          <w:sz w:val="22"/>
          <w:szCs w:val="22"/>
        </w:rPr>
        <w:t xml:space="preserve">Two data-cleaning bugs fixed during roll-up from AC-segment to PC-level:</w:t>
      </w:r>
    </w:p>
    <w:p>
      <w:pPr>
        <w:pStyle w:val="ListParagraph"/>
        <w:numPr>
          <w:ilvl w:val="0"/>
          <w:numId w:val="2"/>
        </w:numPr>
        <w:spacing w:after="40" w:before="40"/>
      </w:pPr>
      <w:r>
        <w:rPr>
          <w:rFonts w:ascii="Arial" w:cs="Arial" w:eastAsia="Arial" w:hAnsi="Arial"/>
          <w:sz w:val="22"/>
          <w:szCs w:val="22"/>
        </w:rPr>
        <w:t xml:space="preserve">NOTA spuriously ranking #1 in some PC sub-groupings due to artifactual aggregation — filtered NOTA before determining winners</w:t>
      </w:r>
    </w:p>
    <w:p>
      <w:pPr>
        <w:pStyle w:val="ListParagraph"/>
        <w:numPr>
          <w:ilvl w:val="0"/>
          <w:numId w:val="2"/>
        </w:numPr>
        <w:spacing w:after="40" w:before="40"/>
      </w:pPr>
      <w:r>
        <w:rPr>
          <w:rFonts w:ascii="Arial" w:cs="Arial" w:eastAsia="Arial" w:hAnsi="Arial"/>
          <w:sz w:val="22"/>
          <w:szCs w:val="22"/>
        </w:rPr>
        <w:t xml:space="preserve">Same constituency appearing under inconsistent PC_Name strings across elections — resolved by keying on PC_No (numeric ID) rather than name string</w:t>
      </w:r>
    </w:p>
    <w:p>
      <w:pPr>
        <w:spacing w:after="60" w:before="0"/>
      </w:pPr>
      <w:r>
        <w:t xml:space="preserve"/>
      </w:r>
    </w:p>
    <w:p>
      <w:pPr>
        <w:spacing w:after="100" w:before="80"/>
      </w:pPr>
      <w:r>
        <w:rPr>
          <w:rFonts w:ascii="Arial" w:cs="Arial" w:eastAsia="Arial" w:hAnsi="Arial"/>
          <w:b w:val="false"/>
          <w:bCs w:val="false"/>
          <w:i w:val="false"/>
          <w:iCs w:val="false"/>
          <w:color w:val="111111"/>
          <w:sz w:val="22"/>
          <w:szCs w:val="22"/>
        </w:rPr>
        <w:t xml:space="preserve">Output: 2,704 rows (one per constituency per election, 5 elections 1999–2019) with true PC-level NDA/INDIA/Other vote shares summing to exactly 1.0.</w:t>
      </w:r>
    </w:p>
    <w:p>
      <w:pPr>
        <w:spacing w:after="120" w:before="0"/>
      </w:pPr>
      <w:r>
        <w:t xml:space="preserve"/>
      </w:r>
    </w:p>
    <w:p>
      <w:pPr>
        <w:pStyle w:val="Heading3"/>
        <w:spacing w:after="80" w:before="180"/>
      </w:pPr>
      <w:r>
        <w:rPr>
          <w:rFonts w:ascii="Arial" w:cs="Arial" w:eastAsia="Arial" w:hAnsi="Arial"/>
          <w:b/>
          <w:bCs/>
          <w:color w:val="44546A"/>
          <w:sz w:val="22"/>
          <w:szCs w:val="22"/>
        </w:rPr>
        <w:t xml:space="preserve">Step 2 · Feature engineering and chronological split</w:t>
      </w:r>
    </w:p>
    <w:p>
      <w:pPr>
        <w:spacing w:after="100" w:before="80"/>
      </w:pPr>
      <w:r>
        <w:rPr>
          <w:rFonts w:ascii="Arial" w:cs="Arial" w:eastAsia="Arial" w:hAnsi="Arial"/>
          <w:b w:val="false"/>
          <w:bCs w:val="false"/>
          <w:i w:val="false"/>
          <w:iCs w:val="false"/>
          <w:color w:val="111111"/>
          <w:sz w:val="22"/>
          <w:szCs w:val="22"/>
        </w:rPr>
        <w:t xml:space="preserve">Built ga_features.csv with engineered features per constituency-election: incumbency indicator, prior vote margin, effective number of parties (ENP), lagged vote share for each bloc, and state-level trend indicators.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after="60" w:before="0"/>
            </w:pPr>
            <w:r>
              <w:rPr>
                <w:rFonts w:ascii="Arial" w:cs="Arial" w:eastAsia="Arial" w:hAnsi="Arial"/>
                <w:b/>
                <w:bCs/>
                <w:color w:val="1F4E79"/>
                <w:sz w:val="20"/>
                <w:szCs w:val="20"/>
              </w:rPr>
              <w:t xml:space="preserve">Chronological split — the only valid evaluation design for election forecasting</w:t>
            </w:r>
          </w:p>
          <w:p>
            <w:pPr>
              <w:spacing w:after="0" w:before="0"/>
            </w:pPr>
            <w:r>
              <w:rPr>
                <w:rFonts w:ascii="Arial" w:cs="Arial" w:eastAsia="Arial" w:hAnsi="Arial"/>
                <w:color w:val="333333"/>
                <w:sz w:val="20"/>
                <w:szCs w:val="20"/>
              </w:rPr>
              <w:t xml:space="preserve">Train: 1999/2004 · Validation: 2009 · Test: 2014/2019. A random train/test split would constitute temporal leakage — the model would see future elections during training and appear far more accurate than it actually is. Chronological splitting prevents this and reflects the actual use case: predicting a future election from past data.</w:t>
            </w:r>
          </w:p>
        </w:tc>
      </w:tr>
    </w:tbl>
    <w:p>
      <w:pPr>
        <w:spacing w:after="120" w:before="0"/>
      </w:pPr>
      <w:r>
        <w:t xml:space="preserve"/>
      </w:r>
    </w:p>
    <w:p>
      <w:pPr>
        <w:pStyle w:val="Heading3"/>
        <w:spacing w:after="80" w:before="180"/>
      </w:pPr>
      <w:r>
        <w:rPr>
          <w:rFonts w:ascii="Arial" w:cs="Arial" w:eastAsia="Arial" w:hAnsi="Arial"/>
          <w:b/>
          <w:bCs/>
          <w:color w:val="44546A"/>
          <w:sz w:val="22"/>
          <w:szCs w:val="22"/>
        </w:rPr>
        <w:t xml:space="preserve">Step 3 · Discrete classifier (Approach 1)</w:t>
      </w:r>
    </w:p>
    <w:p>
      <w:pPr>
        <w:spacing w:after="100" w:before="80"/>
      </w:pPr>
      <w:r>
        <w:rPr>
          <w:rFonts w:ascii="Arial" w:cs="Arial" w:eastAsia="Arial" w:hAnsi="Arial"/>
          <w:b w:val="false"/>
          <w:bCs w:val="false"/>
          <w:i w:val="false"/>
          <w:iCs w:val="false"/>
          <w:color w:val="111111"/>
          <w:sz w:val="22"/>
          <w:szCs w:val="22"/>
        </w:rPr>
        <w:t xml:space="preserve">Trained three classifiers (Logistic Regression, Random Forest, LightGBM) to predict which of three classes (NDA win / INDIA win / Other win) each constituency falls into. Evaluated on held-out test years 2014 and 2019.</w:t>
      </w:r>
    </w:p>
    <w:p>
      <w:pPr>
        <w:spacing w:after="60" w:before="0"/>
      </w:pPr>
      <w:r>
        <w:t xml:space="preserve"/>
      </w:r>
    </w:p>
    <w:p>
      <w:pPr>
        <w:spacing w:after="100" w:before="80"/>
      </w:pPr>
      <w:r>
        <w:rPr>
          <w:rFonts w:ascii="Arial" w:cs="Arial" w:eastAsia="Arial" w:hAnsi="Arial"/>
          <w:b w:val="false"/>
          <w:bCs w:val="false"/>
          <w:i w:val="false"/>
          <w:iCs w:val="false"/>
          <w:color w:val="111111"/>
          <w:sz w:val="22"/>
          <w:szCs w:val="22"/>
        </w:rPr>
        <w:t xml:space="preserve">Result: test accuracy 21–29% on a 3-class problem where random guessing gives ~33%. The models barely, and only marginally, beat a majority-class baseline. Root cause: the training years (1999, 2004) are INC/INDIA-predecessor-dominant; the test years (2014, 2019) are the BJP/NDA wave — a genuine political regime change that hard classification labels cannot survive. Discrete classifiers break completely under regime change.</w:t>
      </w:r>
    </w:p>
    <w:p>
      <w:pPr>
        <w:spacing w:after="120" w:before="0"/>
      </w:pPr>
      <w:r>
        <w:t xml:space="preserve"/>
      </w:r>
    </w:p>
    <w:p>
      <w:pPr>
        <w:pStyle w:val="Heading3"/>
        <w:spacing w:after="80" w:before="180"/>
      </w:pPr>
      <w:r>
        <w:rPr>
          <w:rFonts w:ascii="Arial" w:cs="Arial" w:eastAsia="Arial" w:hAnsi="Arial"/>
          <w:b/>
          <w:bCs/>
          <w:color w:val="44546A"/>
          <w:sz w:val="22"/>
          <w:szCs w:val="22"/>
        </w:rPr>
        <w:t xml:space="preserve">Step 4 · Hierarchical Bayesian model (Approach 2, MrP-inspired)</w:t>
      </w:r>
    </w:p>
    <w:p>
      <w:pPr>
        <w:spacing w:after="100" w:before="80"/>
      </w:pPr>
      <w:r>
        <w:rPr>
          <w:rFonts w:ascii="Arial" w:cs="Arial" w:eastAsia="Arial" w:hAnsi="Arial"/>
          <w:b w:val="false"/>
          <w:bCs w:val="false"/>
          <w:i w:val="false"/>
          <w:iCs w:val="false"/>
          <w:color w:val="111111"/>
          <w:sz w:val="22"/>
          <w:szCs w:val="22"/>
        </w:rPr>
        <w:t xml:space="preserve">Implemented a continuous vote-share model (predicting V_NDA, the actual fraction of votes for the NDA bloc per constituency) using multilevel regression with partial pooling across states — the core logic of Multilevel Regression and Post-stratification (MrP) as described in Cerina &amp; Duch (2021, PLOS ONE).</w:t>
      </w:r>
    </w:p>
    <w:p>
      <w:pPr>
        <w:spacing w:after="60" w:before="0"/>
      </w:pPr>
      <w:r>
        <w:t xml:space="preserve"/>
      </w:r>
    </w:p>
    <w:p>
      <w:pPr>
        <w:spacing w:after="100" w:before="80"/>
      </w:pPr>
      <w:r>
        <w:rPr>
          <w:rFonts w:ascii="Arial" w:cs="Arial" w:eastAsia="Arial" w:hAnsi="Arial"/>
          <w:b w:val="false"/>
          <w:bCs w:val="false"/>
          <w:i w:val="false"/>
          <w:iCs w:val="false"/>
          <w:color w:val="111111"/>
          <w:sz w:val="22"/>
          <w:szCs w:val="22"/>
        </w:rPr>
        <w:t xml:space="preserve">Scope reduction noted explicitly: the paper's full pipeline requires individual-level survey microdata, census stratification frames, and IHDS/INES samples that were not available. What was implemented is the hierarchical partial-pooling core — state effects shrunk toward the national mean — fitted with PyMC/NUTS.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Split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Model MAE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Naive baseline MAE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Beats baseline?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Validation (2009)</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0.0995</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0.1132</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Yes (+1.4pp better)</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Test (2014+2019)</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0.1347</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0.1198</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No (1.5pp worse)</w:t>
            </w:r>
          </w:p>
        </w:tc>
      </w:tr>
    </w:tbl>
    <w:p>
      <w:pPr>
        <w:spacing w:after="60" w:before="0"/>
      </w:pPr>
      <w:r>
        <w:t xml:space="preserve"/>
      </w:r>
    </w:p>
    <w:p>
      <w:pPr>
        <w:spacing w:after="100" w:before="80"/>
      </w:pPr>
      <w:r>
        <w:rPr>
          <w:rFonts w:ascii="Arial" w:cs="Arial" w:eastAsia="Arial" w:hAnsi="Arial"/>
          <w:b w:val="false"/>
          <w:bCs w:val="false"/>
          <w:i w:val="false"/>
          <w:iCs w:val="false"/>
          <w:color w:val="111111"/>
          <w:sz w:val="22"/>
          <w:szCs w:val="22"/>
        </w:rPr>
        <w:t xml:space="preserve">The 90% credible interval achieved only 13.5% actual coverage on test — the model is badly overconfident, calibrated to in-regime noise but with no information about a national-level level-shift it never saw in training.</w:t>
      </w:r>
    </w:p>
    <w:p>
      <w:pPr>
        <w:spacing w:after="120" w:before="0"/>
      </w:pPr>
      <w:r>
        <w:t xml:space="preserve"/>
      </w:r>
    </w:p>
    <w:p>
      <w:pPr>
        <w:pStyle w:val="Heading3"/>
        <w:spacing w:after="80" w:before="180"/>
      </w:pPr>
      <w:r>
        <w:rPr>
          <w:rFonts w:ascii="Arial" w:cs="Arial" w:eastAsia="Arial" w:hAnsi="Arial"/>
          <w:b/>
          <w:bCs/>
          <w:color w:val="44546A"/>
          <w:sz w:val="22"/>
          <w:szCs w:val="22"/>
        </w:rPr>
        <w:t xml:space="preserve">Step 5 · Dirichlet-Swing Matrix Model (Approach 3)</w:t>
      </w:r>
    </w:p>
    <w:p>
      <w:pPr>
        <w:spacing w:after="100" w:before="80"/>
      </w:pPr>
      <w:r>
        <w:rPr>
          <w:rFonts w:ascii="Arial" w:cs="Arial" w:eastAsia="Arial" w:hAnsi="Arial"/>
          <w:b w:val="false"/>
          <w:bCs w:val="false"/>
          <w:i w:val="false"/>
          <w:iCs w:val="false"/>
          <w:color w:val="111111"/>
          <w:sz w:val="22"/>
          <w:szCs w:val="22"/>
        </w:rPr>
        <w:t xml:space="preserve">Implemented the Dirichlet Swing Matrix Model (DSMM) from Mitra (2026, PLOS ONE) — modelling constituency bloc vote-share transitions as a Dirichlet-distributed process, where the parameters are estimated from observed inter-election swings.</w:t>
      </w:r>
    </w:p>
    <w:p>
      <w:pPr>
        <w:spacing w:after="60" w:before="0"/>
      </w:pPr>
      <w:r>
        <w:t xml:space="preserve"/>
      </w:r>
    </w:p>
    <w:p>
      <w:pPr>
        <w:spacing w:after="100" w:before="80"/>
      </w:pPr>
      <w:r>
        <w:rPr>
          <w:rFonts w:ascii="Arial" w:cs="Arial" w:eastAsia="Arial" w:hAnsi="Arial"/>
          <w:b w:val="false"/>
          <w:bCs w:val="false"/>
          <w:i w:val="false"/>
          <w:iCs w:val="false"/>
          <w:color w:val="111111"/>
          <w:sz w:val="22"/>
          <w:szCs w:val="22"/>
        </w:rPr>
        <w:t xml:space="preserve">Two real numerical bugs found and fixed during implementation:</w:t>
      </w:r>
    </w:p>
    <w:p>
      <w:pPr>
        <w:pStyle w:val="ListParagraph"/>
        <w:numPr>
          <w:ilvl w:val="0"/>
          <w:numId w:val="2"/>
        </w:numPr>
        <w:spacing w:after="40" w:before="40"/>
      </w:pPr>
      <w:r>
        <w:rPr>
          <w:rFonts w:ascii="Arial" w:cs="Arial" w:eastAsia="Arial" w:hAnsi="Arial"/>
          <w:sz w:val="22"/>
          <w:szCs w:val="22"/>
        </w:rPr>
        <w:t xml:space="preserve">Bug 1: Minka's fixed-point MLE algorithm overflowed when the Newton iteration entered extreme parameter regions. Fixed with input clipping and a large-y fallback branch.</w:t>
      </w:r>
    </w:p>
    <w:p>
      <w:pPr>
        <w:pStyle w:val="ListParagraph"/>
        <w:numPr>
          <w:ilvl w:val="0"/>
          <w:numId w:val="2"/>
        </w:numPr>
        <w:spacing w:after="40" w:before="40"/>
      </w:pPr>
      <w:r>
        <w:rPr>
          <w:rFonts w:ascii="Arial" w:cs="Arial" w:eastAsia="Arial" w:hAnsi="Arial"/>
          <w:sz w:val="22"/>
          <w:szCs w:val="22"/>
        </w:rPr>
        <w:t xml:space="preserve">Bug 2 (deeper): Dirichlet MLE is genuinely unstable on zero-inflated compositional data. ~25% of 'Other'-origin constituencies have exactly zero NDA vote share (no NDA candidate even contested). MLE diverges to alpha → ∞ in that dimension — a well-documented statistical pathology. Fixed by abandoning MLE in favour of method-of-moments estimation, which cannot diverge the same way.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Split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DSMM MAE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Naive baseline MAE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Beats baseline?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Validation (2009 from 2004)</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0.1475</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0.1331</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Test: 2014 from 2009</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0.1763</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0.1310</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Test: 2019 from 2014</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0.1334</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0.1209</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r>
    </w:tbl>
    <w:p>
      <w:pPr>
        <w:spacing w:after="120" w:before="0"/>
      </w:pPr>
      <w:r>
        <w:t xml:space="preserve"/>
      </w:r>
    </w:p>
    <w:p>
      <w:pPr>
        <w:pStyle w:val="Heading3"/>
        <w:spacing w:after="80" w:before="180"/>
      </w:pPr>
      <w:r>
        <w:rPr>
          <w:rFonts w:ascii="Arial" w:cs="Arial" w:eastAsia="Arial" w:hAnsi="Arial"/>
          <w:b/>
          <w:bCs/>
          <w:color w:val="44546A"/>
          <w:sz w:val="22"/>
          <w:szCs w:val="22"/>
        </w:rPr>
        <w:t xml:space="preserve">Step 6 · Honest comparison and output workbooks</w:t>
      </w:r>
    </w:p>
    <w:p>
      <w:pPr>
        <w:spacing w:after="100" w:before="80"/>
      </w:pPr>
      <w:r>
        <w:rPr>
          <w:rFonts w:ascii="Arial" w:cs="Arial" w:eastAsia="Arial" w:hAnsi="Arial"/>
          <w:b w:val="false"/>
          <w:bCs w:val="false"/>
          <w:i w:val="false"/>
          <w:iCs w:val="false"/>
          <w:color w:val="111111"/>
          <w:sz w:val="22"/>
          <w:szCs w:val="22"/>
        </w:rPr>
        <w:t xml:space="preserve">Produced two Excel workbooks documenting all three approaches with full transparency:</w:t>
      </w:r>
    </w:p>
    <w:p>
      <w:pPr>
        <w:pStyle w:val="ListParagraph"/>
        <w:numPr>
          <w:ilvl w:val="0"/>
          <w:numId w:val="2"/>
        </w:numPr>
        <w:spacing w:after="40" w:before="40"/>
      </w:pPr>
      <w:r>
        <w:rPr>
          <w:rFonts w:ascii="Arial" w:cs="Arial" w:eastAsia="Arial" w:hAnsi="Arial"/>
          <w:sz w:val="22"/>
          <w:szCs w:val="22"/>
        </w:rPr>
        <w:t xml:space="preserve">TCPD_Real_Data_Discrete_Classifier_Results.xlsx: rollup methodology, classifier results, 62-year AE national trend</w:t>
      </w:r>
    </w:p>
    <w:p>
      <w:pPr>
        <w:pStyle w:val="ListParagraph"/>
        <w:numPr>
          <w:ilvl w:val="0"/>
          <w:numId w:val="2"/>
        </w:numPr>
        <w:spacing w:after="40" w:before="40"/>
      </w:pPr>
      <w:r>
        <w:rPr>
          <w:rFonts w:ascii="Arial" w:cs="Arial" w:eastAsia="Arial" w:hAnsi="Arial"/>
          <w:sz w:val="22"/>
          <w:szCs w:val="22"/>
        </w:rPr>
        <w:t xml:space="preserve">Continuous_Vote_Share_Models_MrP_DirichletSwing.xlsx: model comparison table, Dirichlet-Swing debugging diagnostics, MrP credible-interval calibration check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FF2CC" w:val="clear"/>
            <w:tcMar>
              <w:top w:type="dxa" w:w="80"/>
              <w:left w:type="dxa" w:w="120"/>
              <w:bottom w:type="dxa" w:w="80"/>
              <w:right w:type="dxa" w:w="120"/>
            </w:tcMar>
          </w:tcPr>
          <w:p>
            <w:pPr>
              <w:spacing w:after="60" w:before="0"/>
            </w:pPr>
            <w:r>
              <w:rPr>
                <w:rFonts w:ascii="Arial" w:cs="Arial" w:eastAsia="Arial" w:hAnsi="Arial"/>
                <w:b/>
                <w:bCs/>
                <w:color w:val="C00000"/>
                <w:sz w:val="20"/>
                <w:szCs w:val="20"/>
              </w:rPr>
              <w:t xml:space="preserve">The honest headline across all three modeling families</w:t>
            </w:r>
          </w:p>
          <w:p>
            <w:pPr>
              <w:spacing w:after="0" w:before="0"/>
            </w:pPr>
            <w:r>
              <w:rPr>
                <w:rFonts w:ascii="Arial" w:cs="Arial" w:eastAsia="Arial" w:hAnsi="Arial"/>
                <w:color w:val="333333"/>
                <w:sz w:val="20"/>
                <w:szCs w:val="20"/>
              </w:rPr>
              <w:t xml:space="preserve">None of the three approaches reliably beats 'assume no change' on real held-out future elections. The 2014 BJP wave was a genuine realignment that no model trained on pre-2014 data could see coming — regardless of statistical sophistication. Continuous modeling degrades more gracefully than discrete classification, but neither beats the naive baseline. Any 'prediction' from these models should be read as a structural projection under stated assumptions, not a forecast.</w:t>
            </w:r>
          </w:p>
        </w:tc>
      </w:tr>
    </w:tbl>
    <w:p>
      <w:pPr>
        <w:spacing w:after="200" w:before="0"/>
      </w:pPr>
      <w:r>
        <w:t xml:space="preserve"/>
      </w:r>
    </w:p>
    <w:p>
      <w:r/>
    </w:p>
    <w:p>
      <w:pPr>
        <w:pStyle w:val="Heading1"/>
        <w:pBdr>
          <w:bottom w:val="single" w:color="003366" w:sz="6" w:space="1"/>
        </w:pBdr>
        <w:spacing w:after="160" w:before="360"/>
      </w:pPr>
      <w:r>
        <w:rPr>
          <w:rFonts w:ascii="Arial" w:cs="Arial" w:eastAsia="Arial" w:hAnsi="Arial"/>
          <w:b/>
          <w:bCs/>
          <w:color w:val="003366"/>
          <w:sz w:val="32"/>
          <w:szCs w:val="32"/>
        </w:rPr>
        <w:t xml:space="preserve">Extension · Reverse Monte Carlo (1952–2039)</w:t>
      </w:r>
    </w:p>
    <w:p>
      <w:pPr>
        <w:spacing w:after="100" w:before="80"/>
      </w:pPr>
      <w:r>
        <w:rPr>
          <w:rFonts w:ascii="Arial" w:cs="Arial" w:eastAsia="Arial" w:hAnsi="Arial"/>
          <w:b w:val="false"/>
          <w:bCs w:val="false"/>
          <w:i w:val="false"/>
          <w:iCs w:val="false"/>
          <w:color w:val="111111"/>
          <w:sz w:val="22"/>
          <w:szCs w:val="22"/>
        </w:rPr>
        <w:t xml:space="preserve">After completing the three core sub-projects, a fourth analytical layer was added: reversing every historical Lok Sabha election result and projecting forward under four counterfactual scenarios.</w:t>
      </w:r>
    </w:p>
    <w:p>
      <w:pPr>
        <w:spacing w:after="120" w:before="0"/>
      </w:pPr>
      <w:r>
        <w:t xml:space="preserve"/>
      </w:r>
    </w:p>
    <w:p>
      <w:pPr>
        <w:pStyle w:val="Heading2"/>
        <w:spacing w:after="120" w:before="240"/>
      </w:pPr>
      <w:r>
        <w:rPr>
          <w:rFonts w:ascii="Arial" w:cs="Arial" w:eastAsia="Arial" w:hAnsi="Arial"/>
          <w:b/>
          <w:bCs/>
          <w:color w:val="1F4E79"/>
          <w:sz w:val="26"/>
          <w:szCs w:val="26"/>
        </w:rPr>
        <w:t xml:space="preserve">Step 1 · Compile all 18 historical elections (1952–2024)</w:t>
      </w:r>
    </w:p>
    <w:p>
      <w:pPr>
        <w:spacing w:after="100" w:before="80"/>
      </w:pPr>
      <w:r>
        <w:rPr>
          <w:rFonts w:ascii="Arial" w:cs="Arial" w:eastAsia="Arial" w:hAnsi="Arial"/>
          <w:b w:val="false"/>
          <w:bCs w:val="false"/>
          <w:i w:val="false"/>
          <w:iCs w:val="false"/>
          <w:color w:val="111111"/>
          <w:sz w:val="22"/>
          <w:szCs w:val="22"/>
        </w:rPr>
        <w:t xml:space="preserve">Assembled declared seat counts and national vote shares for all 18 Lok Sabha general elections from Wikipedia, ECI press notes, and PRS Legislative Research. Computed the 'reversed' outcome for each election by swapping Congress and BJP seat counts and vote shares.</w:t>
      </w:r>
    </w:p>
    <w:p>
      <w:pPr>
        <w:spacing w:after="60" w:before="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20"/>
        <w:gridCol w:w="1640"/>
        <w:gridCol w:w="1800"/>
        <w:gridCol w:w="1800"/>
        <w:gridCol w:w="280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Year</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Actual outcome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 seats (actual)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BJP seats (actual)</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Reversed outcome</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1952</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CON majority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364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3</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BJP majority (BJP gets 364)</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1977</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BJP majority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154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295</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CON majority (CON gets 295)</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1984</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CON majority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404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BJP majority (BJP gets 404)</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1999</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BJP majority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114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303</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CON majority (CON gets 303)</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2014</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BJP majority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44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282</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CON majority (CON gets 282)</w:t>
            </w:r>
          </w:p>
        </w:tc>
      </w:tr>
      <w:tr>
        <w:tc>
          <w:tcPr>
            <w:tcW w:type="dxa" w:w="7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2024</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Hung</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99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240</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Hung (no change — neither crosses 272)</w:t>
            </w:r>
          </w:p>
        </w:tc>
      </w:tr>
    </w:tbl>
    <w:p>
      <w:pPr>
        <w:spacing w:after="60" w:before="0"/>
      </w:pPr>
      <w:r>
        <w:t xml:space="preserve"/>
      </w:r>
    </w:p>
    <w:p>
      <w:pPr>
        <w:spacing w:after="100" w:before="80"/>
      </w:pPr>
      <w:r>
        <w:rPr>
          <w:rFonts w:ascii="Arial" w:cs="Arial" w:eastAsia="Arial" w:hAnsi="Arial"/>
          <w:b w:val="false"/>
          <w:bCs w:val="false"/>
          <w:i w:val="false"/>
          <w:iCs w:val="false"/>
          <w:color w:val="111111"/>
          <w:sz w:val="22"/>
          <w:szCs w:val="22"/>
        </w:rPr>
        <w:t xml:space="preserve">Result: 14 of 18 elections change outcome under seat reversal. The six genuinely hung elections (1989, 1991, 1996, 1998, 2004, 2024) largely stay hung because swapping CON and BJP seats leaves 'Other' unchanged and neither can cross quota alone.</w:t>
      </w:r>
    </w:p>
    <w:p>
      <w:pPr>
        <w:spacing w:after="120" w:before="0"/>
      </w:pPr>
      <w:r>
        <w:t xml:space="preserve"/>
      </w:r>
    </w:p>
    <w:p>
      <w:pPr>
        <w:pStyle w:val="Heading2"/>
        <w:spacing w:after="120" w:before="240"/>
      </w:pPr>
      <w:r>
        <w:rPr>
          <w:rFonts w:ascii="Arial" w:cs="Arial" w:eastAsia="Arial" w:hAnsi="Arial"/>
          <w:b/>
          <w:bCs/>
          <w:color w:val="1F4E79"/>
          <w:sz w:val="26"/>
          <w:szCs w:val="26"/>
        </w:rPr>
        <w:t xml:space="preserve">Step 2 · Future projection under four scenarios</w:t>
      </w:r>
    </w:p>
    <w:p>
      <w:pPr>
        <w:spacing w:after="100" w:before="80"/>
      </w:pPr>
      <w:r>
        <w:rPr>
          <w:rFonts w:ascii="Arial" w:cs="Arial" w:eastAsia="Arial" w:hAnsi="Arial"/>
          <w:b w:val="false"/>
          <w:bCs w:val="false"/>
          <w:i w:val="false"/>
          <w:iCs w:val="false"/>
          <w:color w:val="111111"/>
          <w:sz w:val="22"/>
          <w:szCs w:val="22"/>
        </w:rPr>
        <w:t xml:space="preserve">Fitted linear vote-share trends on the 1999–2024 window and projected to 2029, 2034, and 2039. Four scenarios were modelled:</w:t>
      </w:r>
    </w:p>
    <w:p>
      <w:pPr>
        <w:spacing w:after="60" w:before="0"/>
      </w:pPr>
      <w:r>
        <w:t xml:space="preserve"/>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25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Who leads 2029</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A · Actual trajectory</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BJP/NDA continues 1999–2024 trend (~36–40%), CON declining (~15–18%)</w:t>
            </w:r>
          </w:p>
        </w:tc>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NDA, decisive</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B · Reversed trajectory</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CON gets BJP's actual trend arc; BJP gets CON's declining arc</w:t>
            </w:r>
          </w:p>
        </w:tc>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CON, decisive</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 · Convergence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Both blocs move toward 35%/33% parity — the uncertain case</w:t>
            </w:r>
          </w:p>
        </w:tc>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NDA ~62%, CON ~29%, Hung ~9%</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D · Deep reversal</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CON regains 1952-era dominance (~45%); BJP returns to Jana Sangh-era irrelevance (~8%)</w:t>
            </w:r>
          </w:p>
        </w:tc>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Transfers during 2034–2039</w:t>
            </w:r>
          </w:p>
        </w:tc>
      </w:tr>
    </w:tbl>
    <w:p>
      <w:pPr>
        <w:spacing w:after="60" w:before="0"/>
      </w:pPr>
      <w:r>
        <w:t xml:space="preserve"/>
      </w:r>
    </w:p>
    <w:p>
      <w:pPr>
        <w:spacing w:after="100" w:before="80"/>
      </w:pPr>
      <w:r>
        <w:rPr>
          <w:rFonts w:ascii="Arial" w:cs="Arial" w:eastAsia="Arial" w:hAnsi="Arial"/>
          <w:b w:val="false"/>
          <w:bCs w:val="false"/>
          <w:i w:val="false"/>
          <w:iCs w:val="false"/>
          <w:color w:val="111111"/>
          <w:sz w:val="22"/>
          <w:szCs w:val="22"/>
        </w:rPr>
        <w:t xml:space="preserve">Monte Carlo noise sweeps (±0, ±3pp, ±6pp on projected vote share) show how uncertainty widens outcome distributions. Scenarios A and B are decisive at any noise level (an 18–20pp lead is too large to lose). Scenario C is where the simulation adds genuine value: ±3pp noise splits the 2029 outcome between NDA 62%, INDIA 29%, Hung 9%.</w:t>
      </w:r>
    </w:p>
    <w:p>
      <w:pPr>
        <w:spacing w:after="120" w:before="0"/>
      </w:pPr>
      <w:r>
        <w:t xml:space="preserve"/>
      </w:r>
    </w:p>
    <w:p>
      <w:pPr>
        <w:pStyle w:val="Heading2"/>
        <w:spacing w:after="120" w:before="240"/>
      </w:pPr>
      <w:r>
        <w:rPr>
          <w:rFonts w:ascii="Arial" w:cs="Arial" w:eastAsia="Arial" w:hAnsi="Arial"/>
          <w:b/>
          <w:bCs/>
          <w:color w:val="1F4E79"/>
          <w:sz w:val="26"/>
          <w:szCs w:val="26"/>
        </w:rPr>
        <w:t xml:space="preserve">Step 3 · Structural insight from the counterfactual timeline</w:t>
      </w:r>
    </w:p>
    <w:p>
      <w:pPr>
        <w:spacing w:after="100" w:before="80"/>
      </w:pPr>
      <w:r>
        <w:rPr>
          <w:rFonts w:ascii="Arial" w:cs="Arial" w:eastAsia="Arial" w:hAnsi="Arial"/>
          <w:b w:val="false"/>
          <w:bCs w:val="false"/>
          <w:i w:val="false"/>
          <w:iCs w:val="false"/>
          <w:color w:val="111111"/>
          <w:sz w:val="22"/>
          <w:szCs w:val="22"/>
        </w:rPr>
        <w:t xml:space="preserve">The reversed timeline is structurally very different from reality — but the FPTP amplification mechanism is identical in both worlds. Key observations:</w:t>
      </w:r>
    </w:p>
    <w:p>
      <w:pPr>
        <w:spacing w:after="60" w:before="0"/>
      </w:pPr>
      <w:r>
        <w:t xml:space="preserve"/>
      </w:r>
    </w:p>
    <w:p>
      <w:pPr>
        <w:pStyle w:val="ListParagraph"/>
        <w:numPr>
          <w:ilvl w:val="0"/>
          <w:numId w:val="2"/>
        </w:numPr>
        <w:spacing w:after="40" w:before="40"/>
      </w:pPr>
      <w:r>
        <w:rPr>
          <w:rFonts w:ascii="Arial" w:cs="Arial" w:eastAsia="Arial" w:hAnsi="Arial"/>
          <w:sz w:val="22"/>
          <w:szCs w:val="22"/>
        </w:rPr>
        <w:t xml:space="preserve">India would have been BJP-dominant from 1952–1971 (when Congress was winning 350+ seats with 44–49% vote shares)</w:t>
      </w:r>
    </w:p>
    <w:p>
      <w:pPr>
        <w:pStyle w:val="ListParagraph"/>
        <w:numPr>
          <w:ilvl w:val="0"/>
          <w:numId w:val="2"/>
        </w:numPr>
        <w:spacing w:after="40" w:before="40"/>
      </w:pPr>
      <w:r>
        <w:rPr>
          <w:rFonts w:ascii="Arial" w:cs="Arial" w:eastAsia="Arial" w:hAnsi="Arial"/>
          <w:sz w:val="22"/>
          <w:szCs w:val="22"/>
        </w:rPr>
        <w:t xml:space="preserve">The 1984 sympathy wave would produce a BJP supermajority of 404 seats in the reversed world</w:t>
      </w:r>
    </w:p>
    <w:p>
      <w:pPr>
        <w:pStyle w:val="ListParagraph"/>
        <w:numPr>
          <w:ilvl w:val="0"/>
          <w:numId w:val="2"/>
        </w:numPr>
        <w:spacing w:after="40" w:before="40"/>
      </w:pPr>
      <w:r>
        <w:rPr>
          <w:rFonts w:ascii="Arial" w:cs="Arial" w:eastAsia="Arial" w:hAnsi="Arial"/>
          <w:sz w:val="22"/>
          <w:szCs w:val="22"/>
        </w:rPr>
        <w:t xml:space="preserve">The BJP resurgence of 2014–2024 would instead be a Congress resurgence in the reversed world</w:t>
      </w:r>
    </w:p>
    <w:p>
      <w:pPr>
        <w:pStyle w:val="ListParagraph"/>
        <w:numPr>
          <w:ilvl w:val="0"/>
          <w:numId w:val="2"/>
        </w:numPr>
        <w:spacing w:after="40" w:before="40"/>
      </w:pPr>
      <w:r>
        <w:rPr>
          <w:rFonts w:ascii="Arial" w:cs="Arial" w:eastAsia="Arial" w:hAnsi="Arial"/>
          <w:sz w:val="22"/>
          <w:szCs w:val="22"/>
        </w:rPr>
        <w:t xml:space="preserve">The concentration of power changes sides but the underlying arithmetic (FPTP amplification of leads) remains identical</w:t>
      </w:r>
    </w:p>
    <w:p>
      <w:pPr>
        <w:spacing w:after="200" w:before="0"/>
      </w:pPr>
      <w:r>
        <w:t xml:space="preserve"/>
      </w:r>
    </w:p>
    <w:p>
      <w:r/>
    </w:p>
    <w:p>
      <w:pPr>
        <w:pStyle w:val="Heading1"/>
        <w:pBdr>
          <w:bottom w:val="single" w:color="003366" w:sz="6" w:space="1"/>
        </w:pBdr>
        <w:spacing w:after="160" w:before="360"/>
      </w:pPr>
      <w:r>
        <w:rPr>
          <w:rFonts w:ascii="Arial" w:cs="Arial" w:eastAsia="Arial" w:hAnsi="Arial"/>
          <w:b/>
          <w:bCs/>
          <w:color w:val="003366"/>
          <w:sz w:val="32"/>
          <w:szCs w:val="32"/>
        </w:rPr>
        <w:t xml:space="preserve">Material Limitations and Disclaimers</w:t>
      </w:r>
    </w:p>
    <w:p>
      <w:pPr>
        <w:spacing w:after="100" w:before="80"/>
      </w:pPr>
      <w:r>
        <w:rPr>
          <w:rFonts w:ascii="Arial" w:cs="Arial" w:eastAsia="Arial" w:hAnsi="Arial"/>
          <w:b w:val="false"/>
          <w:bCs w:val="false"/>
          <w:i w:val="false"/>
          <w:iCs w:val="false"/>
          <w:color w:val="111111"/>
          <w:sz w:val="22"/>
          <w:szCs w:val="22"/>
        </w:rPr>
        <w:t xml:space="preserve">The following limitations are stated explicitly throughout the repository. They are reproduced here for completeness. Numbers from this analysis should not be cited as point estimates without noting the applicable caveats.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00000" w:sz="1"/>
              <w:left w:val="single" w:color="C00000" w:sz="1"/>
              <w:bottom w:val="single" w:color="C00000" w:sz="1"/>
              <w:right w:val="single" w:color="C00000"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D1</w:t>
            </w:r>
          </w:p>
        </w:tc>
        <w:tc>
          <w:tcPr>
            <w:tcW w:type="dxa" w:w="8640"/>
            <w:tcBorders>
              <w:top w:val="single" w:color="FFCCCC" w:sz="1"/>
              <w:left w:val="single" w:color="FFCCCC" w:sz="1"/>
              <w:bottom w:val="single" w:color="FFCCCC" w:sz="1"/>
              <w:right w:val="single" w:color="FFCCCC" w:sz="1"/>
            </w:tcBorders>
            <w:shd w:fill="FFF5F5" w:val="clear"/>
            <w:tcMar>
              <w:top w:type="dxa" w:w="80"/>
              <w:left w:type="dxa" w:w="120"/>
              <w:bottom w:type="dxa" w:w="80"/>
              <w:right w:type="dxa" w:w="120"/>
            </w:tcMar>
          </w:tcPr>
          <w:p>
            <w:pPr>
              <w:spacing w:after="60" w:before="0"/>
            </w:pPr>
            <w:r>
              <w:rPr>
                <w:rFonts w:ascii="Arial" w:cs="Arial" w:eastAsia="Arial" w:hAnsi="Arial"/>
                <w:b/>
                <w:bCs/>
                <w:color w:val="C00000"/>
                <w:sz w:val="20"/>
                <w:szCs w:val="20"/>
              </w:rPr>
              <w:t xml:space="preserve">Seat-share as vote-share proxy (material upward bias)</w:t>
            </w:r>
          </w:p>
          <w:p>
            <w:pPr>
              <w:spacing w:after="0" w:before="0"/>
            </w:pPr>
            <w:r>
              <w:rPr>
                <w:rFonts w:ascii="Arial" w:cs="Arial" w:eastAsia="Arial" w:hAnsi="Arial"/>
                <w:color w:val="444444"/>
                <w:sz w:val="18"/>
                <w:szCs w:val="18"/>
              </w:rPr>
              <w:t xml:space="preserve">The Dirichlet distribution means in the coalition simulation are set from each state's 2024 seat share (~52.9% NDA nationally), not the real vote share (~36–46%). P(majority) numbers are upward-biased by 7–17pp in absolute level. Directional findings are robust. Fix requires constituency-level vote-share data from TCPD Lok Dhaba full GA file.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00000" w:sz="1"/>
              <w:left w:val="single" w:color="C00000" w:sz="1"/>
              <w:bottom w:val="single" w:color="C00000" w:sz="1"/>
              <w:right w:val="single" w:color="C00000"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D2</w:t>
            </w:r>
          </w:p>
        </w:tc>
        <w:tc>
          <w:tcPr>
            <w:tcW w:type="dxa" w:w="8640"/>
            <w:tcBorders>
              <w:top w:val="single" w:color="FFCCCC" w:sz="1"/>
              <w:left w:val="single" w:color="FFCCCC" w:sz="1"/>
              <w:bottom w:val="single" w:color="FFCCCC" w:sz="1"/>
              <w:right w:val="single" w:color="FFCCCC" w:sz="1"/>
            </w:tcBorders>
            <w:shd w:fill="FFF5F5" w:val="clear"/>
            <w:tcMar>
              <w:top w:type="dxa" w:w="80"/>
              <w:left w:type="dxa" w:w="120"/>
              <w:bottom w:type="dxa" w:w="80"/>
              <w:right w:type="dxa" w:w="120"/>
            </w:tcMar>
          </w:tcPr>
          <w:p>
            <w:pPr>
              <w:spacing w:after="60" w:before="0"/>
            </w:pPr>
            <w:r>
              <w:rPr>
                <w:rFonts w:ascii="Arial" w:cs="Arial" w:eastAsia="Arial" w:hAnsi="Arial"/>
                <w:b/>
                <w:bCs/>
                <w:color w:val="C00000"/>
                <w:sz w:val="20"/>
                <w:szCs w:val="20"/>
              </w:rPr>
              <w:t xml:space="preserve">Dirichlet concentration = 18 is ~1.8× too tight</w:t>
            </w:r>
          </w:p>
          <w:p>
            <w:pPr>
              <w:spacing w:after="0" w:before="0"/>
            </w:pPr>
            <w:r>
              <w:rPr>
                <w:rFonts w:ascii="Arial" w:cs="Arial" w:eastAsia="Arial" w:hAnsi="Arial"/>
                <w:color w:val="444444"/>
                <w:sz w:val="18"/>
                <w:szCs w:val="18"/>
              </w:rPr>
              <w:t xml:space="preserve">Concentration = 18 gives per-seat std of ±11.5pp. Real TCPD constituency data shows ±20–21pp (implied correct concentration ≈ 4.5–5). Winner's bonus is understated ~3× in absolute level. Directional findings hold at the correct concentration.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00000" w:sz="1"/>
              <w:left w:val="single" w:color="C00000" w:sz="1"/>
              <w:bottom w:val="single" w:color="C00000" w:sz="1"/>
              <w:right w:val="single" w:color="C00000"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D3</w:t>
            </w:r>
          </w:p>
        </w:tc>
        <w:tc>
          <w:tcPr>
            <w:tcW w:type="dxa" w:w="8640"/>
            <w:tcBorders>
              <w:top w:val="single" w:color="FFCCCC" w:sz="1"/>
              <w:left w:val="single" w:color="FFCCCC" w:sz="1"/>
              <w:bottom w:val="single" w:color="FFCCCC" w:sz="1"/>
              <w:right w:val="single" w:color="FFCCCC" w:sz="1"/>
            </w:tcBorders>
            <w:shd w:fill="FFF5F5" w:val="clear"/>
            <w:tcMar>
              <w:top w:type="dxa" w:w="80"/>
              <w:left w:type="dxa" w:w="120"/>
              <w:bottom w:type="dxa" w:w="80"/>
              <w:right w:type="dxa" w:w="120"/>
            </w:tcMar>
          </w:tcPr>
          <w:p>
            <w:pPr>
              <w:spacing w:after="60" w:before="0"/>
            </w:pPr>
            <w:r>
              <w:rPr>
                <w:rFonts w:ascii="Arial" w:cs="Arial" w:eastAsia="Arial" w:hAnsi="Arial"/>
                <w:b/>
                <w:bCs/>
                <w:color w:val="C00000"/>
                <w:sz w:val="20"/>
                <w:szCs w:val="20"/>
              </w:rPr>
              <w:t xml:space="preserve">Anchored to 2024 — not a forecast</w:t>
            </w:r>
          </w:p>
          <w:p>
            <w:pPr>
              <w:spacing w:after="0" w:before="0"/>
            </w:pPr>
            <w:r>
              <w:rPr>
                <w:rFonts w:ascii="Arial" w:cs="Arial" w:eastAsia="Arial" w:hAnsi="Arial"/>
                <w:color w:val="444444"/>
                <w:sz w:val="18"/>
                <w:szCs w:val="18"/>
              </w:rPr>
              <w:t xml:space="preserve">All political inputs are anchored to 2024 declared results. Political realignments, new alliances, delimitation outcomes, and voter preference shifts are not modelled. Outputs are structural projections under stated assumptions.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00000" w:sz="1"/>
              <w:left w:val="single" w:color="C00000" w:sz="1"/>
              <w:bottom w:val="single" w:color="C00000" w:sz="1"/>
              <w:right w:val="single" w:color="C00000"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D4</w:t>
            </w:r>
          </w:p>
        </w:tc>
        <w:tc>
          <w:tcPr>
            <w:tcW w:type="dxa" w:w="8640"/>
            <w:tcBorders>
              <w:top w:val="single" w:color="FFCCCC" w:sz="1"/>
              <w:left w:val="single" w:color="FFCCCC" w:sz="1"/>
              <w:bottom w:val="single" w:color="FFCCCC" w:sz="1"/>
              <w:right w:val="single" w:color="FFCCCC" w:sz="1"/>
            </w:tcBorders>
            <w:shd w:fill="FFF5F5" w:val="clear"/>
            <w:tcMar>
              <w:top w:type="dxa" w:w="80"/>
              <w:left w:type="dxa" w:w="120"/>
              <w:bottom w:type="dxa" w:w="80"/>
              <w:right w:type="dxa" w:w="120"/>
            </w:tcMar>
          </w:tcPr>
          <w:p>
            <w:pPr>
              <w:spacing w:after="60" w:before="0"/>
            </w:pPr>
            <w:r>
              <w:rPr>
                <w:rFonts w:ascii="Arial" w:cs="Arial" w:eastAsia="Arial" w:hAnsi="Arial"/>
                <w:b/>
                <w:bCs/>
                <w:color w:val="C00000"/>
                <w:sz w:val="20"/>
                <w:szCs w:val="20"/>
              </w:rPr>
              <w:t xml:space="preserve">TCPD data covers 1999–2019 only</w:t>
            </w:r>
          </w:p>
          <w:p>
            <w:pPr>
              <w:spacing w:after="0" w:before="0"/>
            </w:pPr>
            <w:r>
              <w:rPr>
                <w:rFonts w:ascii="Arial" w:cs="Arial" w:eastAsia="Arial" w:hAnsi="Arial"/>
                <w:color w:val="444444"/>
                <w:sz w:val="18"/>
                <w:szCs w:val="18"/>
              </w:rPr>
              <w:t xml:space="preserve">The GA AC-segment-wise export used covers 5 elections (1999, 2004, 2009, 2014, 2019). The full archive from 1952 requires a separate licensed download from lokdhaba.ashoka.edu.in — not included in this repository.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00000" w:sz="1"/>
              <w:left w:val="single" w:color="C00000" w:sz="1"/>
              <w:bottom w:val="single" w:color="C00000" w:sz="1"/>
              <w:right w:val="single" w:color="C00000"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D5</w:t>
            </w:r>
          </w:p>
        </w:tc>
        <w:tc>
          <w:tcPr>
            <w:tcW w:type="dxa" w:w="8640"/>
            <w:tcBorders>
              <w:top w:val="single" w:color="FFCCCC" w:sz="1"/>
              <w:left w:val="single" w:color="FFCCCC" w:sz="1"/>
              <w:bottom w:val="single" w:color="FFCCCC" w:sz="1"/>
              <w:right w:val="single" w:color="FFCCCC" w:sz="1"/>
            </w:tcBorders>
            <w:shd w:fill="FFF5F5" w:val="clear"/>
            <w:tcMar>
              <w:top w:type="dxa" w:w="80"/>
              <w:left w:type="dxa" w:w="120"/>
              <w:bottom w:type="dxa" w:w="80"/>
              <w:right w:type="dxa" w:w="120"/>
            </w:tcMar>
          </w:tcPr>
          <w:p>
            <w:pPr>
              <w:spacing w:after="60" w:before="0"/>
            </w:pPr>
            <w:r>
              <w:rPr>
                <w:rFonts w:ascii="Arial" w:cs="Arial" w:eastAsia="Arial" w:hAnsi="Arial"/>
                <w:b/>
                <w:bCs/>
                <w:color w:val="C00000"/>
                <w:sz w:val="20"/>
                <w:szCs w:val="20"/>
              </w:rPr>
              <w:t xml:space="preserve">No model beat the naive baseline</w:t>
            </w:r>
          </w:p>
          <w:p>
            <w:pPr>
              <w:spacing w:after="0" w:before="0"/>
            </w:pPr>
            <w:r>
              <w:rPr>
                <w:rFonts w:ascii="Arial" w:cs="Arial" w:eastAsia="Arial" w:hAnsi="Arial"/>
                <w:color w:val="444444"/>
                <w:sz w:val="18"/>
                <w:szCs w:val="18"/>
              </w:rPr>
              <w:t xml:space="preserve">All three vote-share models fail to outperform 'assume no change' on held-out 2014 and 2019 data. This is the honest headline result.</w:t>
            </w:r>
          </w:p>
        </w:tc>
      </w:tr>
    </w:tbl>
    <w:p>
      <w:pPr>
        <w:spacing w:after="80" w:before="0"/>
      </w:pPr>
      <w:r>
        <w:t xml:space="preserve"/>
      </w:r>
    </w:p>
    <w:p>
      <w:pPr>
        <w:spacing w:after="120" w:before="0"/>
      </w:pPr>
      <w:r>
        <w:t xml:space="preserve"/>
      </w:r>
    </w:p>
    <w:p>
      <w:r/>
    </w:p>
    <w:p>
      <w:pPr>
        <w:pStyle w:val="Heading1"/>
        <w:pBdr>
          <w:bottom w:val="single" w:color="003366" w:sz="6" w:space="1"/>
        </w:pBdr>
        <w:spacing w:after="160" w:before="360"/>
      </w:pPr>
      <w:r>
        <w:rPr>
          <w:rFonts w:ascii="Arial" w:cs="Arial" w:eastAsia="Arial" w:hAnsi="Arial"/>
          <w:b/>
          <w:bCs/>
          <w:color w:val="003366"/>
          <w:sz w:val="32"/>
          <w:szCs w:val="32"/>
        </w:rPr>
        <w:t xml:space="preserve">Output Inventory</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400"/>
        <w:gridCol w:w="600"/>
        <w:gridCol w:w="3500"/>
        <w:gridCol w:w="60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Contents</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Project</w:t>
            </w:r>
          </w:p>
        </w:tc>
      </w:tr>
      <w:t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India_Election_Voters_per_Constituency_Analysis.xlsx</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Excel</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State comparison, national trend, growth map, delimitation context, dashboard</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P1</w:t>
            </w:r>
          </w:p>
        </w:tc>
      </w:tr>
      <w:t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Lok_Sabha_Coalition_Game_Theory_Simulator.xlsx</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Excel</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Scenarios, MWC table, Banzhaf index, Monte Carlo results, dashboard</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P2</w:t>
            </w:r>
          </w:p>
        </w:tc>
      </w:tr>
      <w:t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Seat-Total_Bias_Analysis_534_to_1000.xlsx</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Excel</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Direct answer with disclaimer, full sweep data+charts, methodology, assumption audit</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P2</w:t>
            </w:r>
          </w:p>
        </w:tc>
      </w:tr>
      <w:t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Entrenchment_Symmetry_Test.xlsx</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Excel</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Symmetry test results, README, all scenarios chart data</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P2</w:t>
            </w:r>
          </w:p>
        </w:tc>
      </w:tr>
      <w:t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TCPD_Real_Data_Discrete_Classifier_Results.xlsx</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Excel</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Rollup methodology, classifier results, 62-year AE trend</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P3</w:t>
            </w:r>
          </w:p>
        </w:tc>
      </w:tr>
      <w:t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Continuous_Vote_Share_Models_MrP_DirichletSwing.xlsx</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Excel</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Model comparison, Dirichlet-Swing debugging, MrP calibration</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P3</w:t>
            </w:r>
          </w:p>
        </w:tc>
      </w:tr>
      <w:t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lok_sabha_scenarios_explorer.html</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HTML</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Interactive scenario explorer, hemicycle parliament, probability curves</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P2</w:t>
            </w:r>
          </w:p>
        </w:tc>
      </w:tr>
      <w:t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lok_sabha_full_simulation.html</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HTML</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8 scenarios, three-way win/hung split, tipping-point state chart</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P2</w:t>
            </w:r>
          </w:p>
        </w:tc>
      </w:tr>
      <w:t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lok_sabha_reverse_mc_1952_2039.html</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HTML</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Historical reversals 1952–2024, four future scenarios to 2039, power flow timeline</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Extension</w:t>
            </w:r>
          </w:p>
        </w:tc>
      </w:tr>
    </w:tbl>
    <w:p>
      <w:pPr>
        <w:spacing w:after="160" w:before="0"/>
      </w:pPr>
      <w:r>
        <w:t xml:space="preserve"/>
      </w:r>
    </w:p>
    <w:p>
      <w:pPr>
        <w:pStyle w:val="Heading2"/>
        <w:spacing w:after="120" w:before="240"/>
      </w:pPr>
      <w:r>
        <w:rPr>
          <w:rFonts w:ascii="Arial" w:cs="Arial" w:eastAsia="Arial" w:hAnsi="Arial"/>
          <w:b/>
          <w:bCs/>
          <w:color w:val="1F4E79"/>
          <w:sz w:val="26"/>
          <w:szCs w:val="26"/>
        </w:rPr>
        <w:t xml:space="preserve">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800"/>
        <w:gridCol w:w="15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Folder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Scripts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Data files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Output files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election-data-analysis/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6</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1</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coalition-game-theory/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12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1</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coalition-game-theory/seat-bias-analysis/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3</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vote-share-modeling/</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16</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r>
    </w:tbl>
    <w:p>
      <w:pPr>
        <w:spacing w:after="160" w:before="0"/>
      </w:pPr>
      <w:r>
        <w:t xml:space="preserve"/>
      </w:r>
    </w:p>
    <w:p>
      <w:pPr>
        <w:pBdr>
          <w:top w:val="single" w:color="003366" w:sz="6" w:space="1"/>
        </w:pBdr>
        <w:spacing w:after="0" w:before="120"/>
      </w:pPr>
      <w:r>
        <w:t xml:space="preserve"/>
      </w:r>
    </w:p>
    <w:p>
      <w:pPr>
        <w:spacing w:after="0" w:before="80"/>
        <w:jc w:val="center"/>
      </w:pPr>
      <w:r>
        <w:rPr>
          <w:rFonts w:ascii="Arial" w:cs="Arial" w:eastAsia="Arial" w:hAnsi="Arial"/>
          <w:i/>
          <w:iCs/>
          <w:color w:val="44546A"/>
          <w:sz w:val="16"/>
          <w:szCs w:val="16"/>
        </w:rPr>
        <w:t xml:space="preserve">All analysis is independent academic/research work. No affiliation with any political party, electoral authority, or government body.</w:t>
      </w:r>
    </w:p>
    <w:p>
      <w:pPr>
        <w:spacing w:after="0" w:before="40"/>
        <w:jc w:val="center"/>
      </w:pPr>
      <w:r>
        <w:rPr>
          <w:rFonts w:ascii="Arial" w:cs="Arial" w:eastAsia="Arial" w:hAnsi="Arial"/>
          <w:i/>
          <w:iCs/>
          <w:color w:val="44546A"/>
          <w:sz w:val="16"/>
          <w:szCs w:val="16"/>
        </w:rPr>
        <w:t xml:space="preserve">Sources: ECI declared results, TCPD Lok Dhaba, PRS Legislative Research, Census of India 2011, Wikipedia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336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2026-06-30T23:32:01.829Z</dcterms:created>
  <dcterms:modified xsi:type="dcterms:W3CDTF">2026-06-30T23:32:01.829Z</dcterms:modified>
</cp:coreProperties>
</file>

<file path=docProps/custom.xml><?xml version="1.0" encoding="utf-8"?>
<Properties xmlns="http://schemas.openxmlformats.org/officeDocument/2006/custom-properties" xmlns:vt="http://schemas.openxmlformats.org/officeDocument/2006/docPropsVTypes"/>
</file>