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E5339"/>
          <w:sz w:val="48"/>
          <w:szCs w:val="48"/>
        </w:rPr>
        <w:t xml:space="preserve">INDIA UPSTREAM ACREAGE — ONSHORE vs OFFSHORE</w:t>
      </w:r>
    </w:p>
    <w:p>
      <w:pPr>
        <w:spacing w:after="60"/>
        <w:jc w:val="center"/>
      </w:pPr>
      <w:r>
        <w:rPr>
          <w:rFonts w:ascii="Arial" w:cs="Arial" w:eastAsia="Arial" w:hAnsi="Arial"/>
          <w:i/>
          <w:iCs/>
          <w:color w:val="C9A227"/>
          <w:sz w:val="24"/>
          <w:szCs w:val="24"/>
        </w:rPr>
        <w:t xml:space="preserve">Company-wise holdings in Lakh Sq Km, Hectares and Acres — split by Onshore and Offshore</w:t>
      </w:r>
    </w:p>
    <w:p>
      <w:pPr>
        <w:spacing w:after="40"/>
        <w:jc w:val="center"/>
      </w:pPr>
      <w:r>
        <w:rPr>
          <w:rFonts w:ascii="Arial" w:cs="Arial" w:eastAsia="Arial" w:hAnsi="Arial"/>
          <w:color w:val="555555"/>
          <w:sz w:val="18"/>
          <w:szCs w:val="18"/>
        </w:rPr>
        <w:t xml:space="preserve">Source: DGH Hydrocarbon Outlook 2024-25 | PPAC RR FY 2024-25 (Tables 2.5A, 2.5B, 3.5A) | ONGC / OIL Annual Reports FY24 | DGH Block Registry</w:t>
      </w:r>
    </w:p>
    <w:p>
      <w:pPr>
        <w:pBdr>
          <w:bottom w:val="single" w:color="C9A227" w:sz="6"/>
        </w:pBdr>
        <w:spacing w:after="100"/>
      </w:pPr>
    </w:p>
    <w:p>
      <w:pPr>
        <w:pStyle w:val="Heading1"/>
        <w:spacing w:after="120" w:before="300"/>
      </w:pPr>
      <w:r>
        <w:rPr>
          <w:rFonts w:ascii="Arial" w:cs="Arial" w:eastAsia="Arial" w:hAnsi="Arial"/>
          <w:b/>
          <w:bCs/>
          <w:color w:val="2E5339"/>
          <w:sz w:val="26"/>
          <w:szCs w:val="26"/>
        </w:rPr>
        <w:t xml:space="preserve">1. Company-wise Onshore / Offshore Acreage — Master Table</w:t>
      </w:r>
    </w:p>
    <w:p>
      <w:pPr>
        <w:spacing w:after="100"/>
        <w:jc w:val="both"/>
      </w:pPr>
      <w:r>
        <w:rPr>
          <w:rFonts w:ascii="Arial" w:cs="Arial" w:eastAsia="Arial" w:hAnsi="Arial"/>
          <w:sz w:val="20"/>
          <w:szCs w:val="20"/>
        </w:rPr>
        <w:t xml:space="preserve">All figures in lakh sq km. Onshore = onland (state-administered surface; blocks accessible by road/land). Offshore = shallow water + deepwater + ultra-deepwater (Central Government administered; requires marine vessels). Conversions: 1 lakh sq km = 1 crore hectares = 2.47 crore acres.</w:t>
      </w:r>
    </w:p>
    <w:p>
      <w:pPr>
        <w:spacing w:after="100"/>
      </w:pP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1500"/>
        <w:gridCol w:w="700"/>
        <w:gridCol w:w="900"/>
        <w:gridCol w:w="1400"/>
        <w:gridCol w:w="1500"/>
        <w:gridCol w:w="700"/>
        <w:gridCol w:w="900"/>
        <w:gridCol w:w="600"/>
      </w:tblGrid>
      <w:tr>
        <w:tc>
          <w:tcPr>
            <w:shd w:fill="2E5339" w:val="clear"/>
            <w:tcMar>
              <w:top w:type="dxa" w:w="55"/>
              <w:left w:type="dxa" w:w="80"/>
              <w:bottom w:type="dxa" w:w="55"/>
              <w:right w:type="dxa" w:w="80"/>
            </w:tcMar>
          </w:tcPr>
          <w:p>
            <w:pPr>
              <w:jc w:val="center"/>
            </w:pPr>
            <w:r>
              <w:rPr>
                <w:rFonts w:ascii="Arial" w:cs="Arial" w:eastAsia="Arial" w:hAnsi="Arial"/>
                <w:b/>
                <w:bCs/>
                <w:color w:val="FFFFFF"/>
                <w:sz w:val="17"/>
                <w:szCs w:val="17"/>
              </w:rPr>
              <w:t xml:space="preserve">Company / Segment</w:t>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ONSHORE</w:t>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OFFSHORE</w:t>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784212" w:val="clear"/>
            <w:tcMar>
              <w:top w:type="dxa" w:w="55"/>
              <w:left w:type="dxa" w:w="80"/>
              <w:bottom w:type="dxa" w:w="55"/>
              <w:right w:type="dxa" w:w="80"/>
            </w:tcMar>
          </w:tcPr>
          <w:p>
            <w:pPr>
              <w:jc w:val="center"/>
            </w:pPr>
            <w:r>
              <w:rPr>
                <w:rFonts w:ascii="Arial" w:cs="Arial" w:eastAsia="Arial" w:hAnsi="Arial"/>
                <w:b/>
                <w:bCs/>
                <w:color w:val="FFFFFF"/>
                <w:sz w:val="17"/>
                <w:szCs w:val="17"/>
              </w:rPr>
              <w:t xml:space="preserve">TOTAL</w:t>
            </w:r>
          </w:p>
        </w:tc>
        <w:tc>
          <w:tcPr>
            <w:shd w:fill="784212"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r>
      <w:tr>
        <w:tc>
          <w:tcPr>
            <w:shd w:fill="2E5339"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Lakh sq km</w:t>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Hectares</w:t>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Acres</w:t>
            </w:r>
          </w:p>
        </w:tc>
        <w:tc>
          <w:tcPr>
            <w:shd w:fill="1B2A4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of co.</w:t>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Lakh sq km</w:t>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Hectares</w:t>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Acres</w:t>
            </w:r>
          </w:p>
        </w:tc>
        <w:tc>
          <w:tcPr>
            <w:shd w:fill="1A5276"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of co.</w:t>
            </w:r>
          </w:p>
        </w:tc>
        <w:tc>
          <w:tcPr>
            <w:shd w:fill="784212" w:val="clear"/>
            <w:tcMar>
              <w:top w:type="dxa" w:w="55"/>
              <w:left w:type="dxa" w:w="80"/>
              <w:bottom w:type="dxa" w:w="55"/>
              <w:right w:type="dxa" w:w="80"/>
            </w:tcMar>
          </w:tcPr>
          <w:p>
            <w:pPr>
              <w:jc w:val="center"/>
            </w:pPr>
            <w:r>
              <w:rPr>
                <w:rFonts w:ascii="Arial" w:cs="Arial" w:eastAsia="Arial" w:hAnsi="Arial"/>
                <w:b/>
                <w:bCs/>
                <w:color w:val="FFFFFF"/>
                <w:sz w:val="17"/>
                <w:szCs w:val="17"/>
              </w:rPr>
              <w:t xml:space="preserve">Lakh sq km</w:t>
            </w:r>
          </w:p>
        </w:tc>
        <w:tc>
          <w:tcPr>
            <w:shd w:fill="784212" w:val="clear"/>
            <w:tcMar>
              <w:top w:type="dxa" w:w="55"/>
              <w:left w:type="dxa" w:w="80"/>
              <w:bottom w:type="dxa" w:w="55"/>
              <w:right w:type="dxa" w:w="80"/>
            </w:tcMar>
          </w:tcPr>
          <w:p>
            <w:pPr>
              <w:jc w:val="center"/>
            </w:pPr>
            <w:r>
              <w:rPr>
                <w:rFonts w:ascii="Arial" w:cs="Arial" w:eastAsia="Arial" w:hAnsi="Arial"/>
                <w:b/>
                <w:bCs/>
                <w:color w:val="FFFFFF"/>
                <w:sz w:val="17"/>
                <w:szCs w:val="17"/>
              </w:rPr>
              <w:t xml:space="preserve">% tot.</w:t>
            </w:r>
          </w:p>
        </w:tc>
      </w:tr>
      <w:tr>
        <w:tc>
          <w:tcPr>
            <w:shd w:fill="FFFFFF" w:val="clear"/>
            <w:tcMar>
              <w:top w:type="dxa" w:w="50"/>
              <w:left w:type="dxa" w:w="80"/>
              <w:bottom w:type="dxa" w:w="50"/>
              <w:right w:type="dxa" w:w="80"/>
            </w:tcMar>
          </w:tcPr>
          <w:p>
            <w:r>
              <w:rPr>
                <w:rFonts w:ascii="Arial" w:cs="Arial" w:eastAsia="Arial" w:hAnsi="Arial"/>
                <w:b/>
                <w:bCs/>
                <w:sz w:val="18"/>
                <w:szCs w:val="18"/>
              </w:rPr>
              <w:t xml:space="preserve">ONGC — Nomination</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2.430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2.43 cr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6.00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70%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1.050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1.05 cr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2.59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3.480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100%</w:t>
            </w:r>
          </w:p>
        </w:tc>
      </w:tr>
      <w:tr>
        <w:tc>
          <w:tcPr>
            <w:shd w:fill="F5EFE0" w:val="clear"/>
            <w:tcMar>
              <w:top w:type="dxa" w:w="50"/>
              <w:left w:type="dxa" w:w="80"/>
              <w:bottom w:type="dxa" w:w="50"/>
              <w:right w:type="dxa" w:w="80"/>
            </w:tcMar>
          </w:tcPr>
          <w:p>
            <w:r>
              <w:rPr>
                <w:rFonts w:ascii="Arial" w:cs="Arial" w:eastAsia="Arial" w:hAnsi="Arial"/>
                <w:b w:val="false"/>
                <w:bCs w:val="false"/>
                <w:sz w:val="18"/>
                <w:szCs w:val="18"/>
              </w:rPr>
              <w:t xml:space="preserve">ONGC — PSC / RSC (operator)</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0.030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7.4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14%</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0.190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19.0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46.9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86%</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0.220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val="false"/>
                <w:bCs w:val="false"/>
                <w:sz w:val="18"/>
                <w:szCs w:val="18"/>
              </w:rPr>
              <w:t xml:space="preserve">ONGC — OALP Rounds I–IX</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0.280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28.0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69.2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47%</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0.320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32.0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79.1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53%</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0.600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bCs/>
                <w:sz w:val="18"/>
                <w:szCs w:val="18"/>
              </w:rPr>
              <w:t xml:space="preserve">ONGC TOTAL</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2.740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2.74 cr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6.77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64%</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1.560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1.56 cr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3.85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36%</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4.300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bCs/>
                <w:sz w:val="18"/>
                <w:szCs w:val="18"/>
              </w:rPr>
              <w:t xml:space="preserve">OIL India — Nomination</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0.610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61.0 lakh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1.51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0.000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0.0 lakh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0.0 lakh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0.610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100%</w:t>
            </w:r>
          </w:p>
        </w:tc>
      </w:tr>
      <w:tr>
        <w:tc>
          <w:tcPr>
            <w:shd w:fill="F5EFE0" w:val="clear"/>
            <w:tcMar>
              <w:top w:type="dxa" w:w="50"/>
              <w:left w:type="dxa" w:w="80"/>
              <w:bottom w:type="dxa" w:w="50"/>
              <w:right w:type="dxa" w:w="80"/>
            </w:tcMar>
          </w:tcPr>
          <w:p>
            <w:r>
              <w:rPr>
                <w:rFonts w:ascii="Arial" w:cs="Arial" w:eastAsia="Arial" w:hAnsi="Arial"/>
                <w:b w:val="false"/>
                <w:bCs w:val="false"/>
                <w:sz w:val="18"/>
                <w:szCs w:val="18"/>
              </w:rPr>
              <w:t xml:space="preserve">OIL India — PSC / RSC + CBM</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0.090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9.0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22.2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0.000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0.090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val="false"/>
                <w:bCs w:val="false"/>
                <w:sz w:val="18"/>
                <w:szCs w:val="18"/>
              </w:rPr>
              <w:t xml:space="preserve">OIL India — OALP Rounds I–IX</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0.220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22.0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54.4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88%</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0.030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3.0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7.4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12%</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0.250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bCs/>
                <w:sz w:val="18"/>
                <w:szCs w:val="18"/>
              </w:rPr>
              <w:t xml:space="preserve">OIL India TOTAL</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0.920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92.0 lakh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2.27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97%</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0.030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3.0 lakh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7.4 lakh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0.950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100%</w:t>
            </w:r>
          </w:p>
        </w:tc>
      </w:tr>
      <w:tr>
        <w:tc>
          <w:tcPr>
            <w:shd w:fill="F5EFE0" w:val="clear"/>
            <w:tcMar>
              <w:top w:type="dxa" w:w="50"/>
              <w:left w:type="dxa" w:w="80"/>
              <w:bottom w:type="dxa" w:w="50"/>
              <w:right w:type="dxa" w:w="80"/>
            </w:tcMar>
          </w:tcPr>
          <w:p>
            <w:r>
              <w:rPr>
                <w:rFonts w:ascii="Arial" w:cs="Arial" w:eastAsia="Arial" w:hAnsi="Arial"/>
                <w:b w:val="false"/>
                <w:bCs w:val="false"/>
                <w:sz w:val="18"/>
                <w:szCs w:val="18"/>
              </w:rPr>
              <w:t xml:space="preserve">Vedanta / Cairn  (RJ-ON-90/1)</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0.031</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3.1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7.7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0.000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0.031</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val="false"/>
                <w:bCs w:val="false"/>
                <w:sz w:val="18"/>
                <w:szCs w:val="18"/>
              </w:rPr>
              <w:t xml:space="preserve">Reliance Industries / bp  (KG-DWN-98/3)</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0.000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0.076</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7.6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18.8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0.076</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5EFE0" w:val="clear"/>
            <w:tcMar>
              <w:top w:type="dxa" w:w="50"/>
              <w:left w:type="dxa" w:w="80"/>
              <w:bottom w:type="dxa" w:w="50"/>
              <w:right w:type="dxa" w:w="80"/>
            </w:tcMar>
          </w:tcPr>
          <w:p>
            <w:r>
              <w:rPr>
                <w:rFonts w:ascii="Arial" w:cs="Arial" w:eastAsia="Arial" w:hAnsi="Arial"/>
                <w:b w:val="false"/>
                <w:bCs w:val="false"/>
                <w:sz w:val="18"/>
                <w:szCs w:val="18"/>
              </w:rPr>
              <w:t xml:space="preserve">BPCL Upstream (BPRL)</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0.030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7.4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67%</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0.015</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1.5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3.7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33%</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0.045</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val="false"/>
                <w:bCs w:val="false"/>
                <w:sz w:val="18"/>
                <w:szCs w:val="18"/>
              </w:rPr>
              <w:t xml:space="preserve">HOEC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0.006</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0.6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1.5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75%</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0.002</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0.2 lakh ha</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0.5 lakh ac</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25%</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0.008</w:t>
            </w:r>
          </w:p>
        </w:tc>
        <w:tc>
          <w:tcPr>
            <w:shd w:fill="FFFFFF"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5EFE0" w:val="clear"/>
            <w:tcMar>
              <w:top w:type="dxa" w:w="50"/>
              <w:left w:type="dxa" w:w="80"/>
              <w:bottom w:type="dxa" w:w="50"/>
              <w:right w:type="dxa" w:w="80"/>
            </w:tcMar>
          </w:tcPr>
          <w:p>
            <w:r>
              <w:rPr>
                <w:rFonts w:ascii="Arial" w:cs="Arial" w:eastAsia="Arial" w:hAnsi="Arial"/>
                <w:b w:val="false"/>
                <w:bCs w:val="false"/>
                <w:sz w:val="18"/>
                <w:szCs w:val="18"/>
              </w:rPr>
              <w:t xml:space="preserve">Other OALP winners (~70 blocks)</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0.180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18.0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44.5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72%</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0.070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7.0 lakh ha</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17.3 lakh ac</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28%</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0.250</w:t>
            </w:r>
          </w:p>
        </w:tc>
        <w:tc>
          <w:tcPr>
            <w:shd w:fill="F5EFE0" w:val="clear"/>
            <w:tcMar>
              <w:top w:type="dxa" w:w="50"/>
              <w:left w:type="dxa" w:w="80"/>
              <w:bottom w:type="dxa" w:w="50"/>
              <w:right w:type="dxa" w:w="80"/>
            </w:tcMar>
          </w:tcPr>
          <w:p>
            <w:pPr>
              <w:jc w:val="center"/>
            </w:pPr>
            <w:r>
              <w:rPr>
                <w:rFonts w:ascii="Arial" w:cs="Arial" w:eastAsia="Arial" w:hAnsi="Arial"/>
                <w:b w:val="false"/>
                <w:bCs w:val="false"/>
                <w:sz w:val="18"/>
                <w:szCs w:val="18"/>
              </w:rPr>
              <w:t xml:space="preserve">100%</w:t>
            </w:r>
          </w:p>
        </w:tc>
      </w:tr>
      <w:tr>
        <w:tc>
          <w:tcPr>
            <w:shd w:fill="FFFFFF" w:val="clear"/>
            <w:tcMar>
              <w:top w:type="dxa" w:w="50"/>
              <w:left w:type="dxa" w:w="80"/>
              <w:bottom w:type="dxa" w:w="50"/>
              <w:right w:type="dxa" w:w="80"/>
            </w:tcMar>
          </w:tcPr>
          <w:p>
            <w:r>
              <w:rPr>
                <w:rFonts w:ascii="Arial" w:cs="Arial" w:eastAsia="Arial" w:hAnsi="Arial"/>
                <w:b/>
                <w:bCs/>
                <w:sz w:val="18"/>
                <w:szCs w:val="18"/>
              </w:rPr>
              <w:t xml:space="preserve">GRAND TOTAL — All active blocks</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3.917</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3.92 cr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9.68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69%</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1.743</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1.74 cr ha</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4.31 cr ac</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31%</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5.660</w:t>
            </w:r>
          </w:p>
        </w:tc>
        <w:tc>
          <w:tcPr>
            <w:shd w:fill="FFFFFF" w:val="clear"/>
            <w:tcMar>
              <w:top w:type="dxa" w:w="50"/>
              <w:left w:type="dxa" w:w="80"/>
              <w:bottom w:type="dxa" w:w="50"/>
              <w:right w:type="dxa" w:w="80"/>
            </w:tcMar>
          </w:tcPr>
          <w:p>
            <w:pPr>
              <w:jc w:val="center"/>
            </w:pPr>
            <w:r>
              <w:rPr>
                <w:rFonts w:ascii="Arial" w:cs="Arial" w:eastAsia="Arial" w:hAnsi="Arial"/>
                <w:b/>
                <w:bCs/>
                <w:sz w:val="18"/>
                <w:szCs w:val="18"/>
              </w:rPr>
              <w:t xml:space="preserve">100%</w:t>
            </w:r>
          </w:p>
        </w:tc>
      </w:tr>
    </w:tbl>
    <w:p>
      <w:pPr>
        <w:spacing w:after="55"/>
      </w:pPr>
      <w:r>
        <w:rPr>
          <w:rFonts w:ascii="Arial" w:cs="Arial" w:eastAsia="Arial" w:hAnsi="Arial"/>
          <w:i/>
          <w:iCs/>
          <w:color w:val="666666"/>
          <w:sz w:val="16"/>
          <w:szCs w:val="16"/>
        </w:rPr>
        <w:t xml:space="preserve">Sources: PPAC Ready Reckoner FY 2024-25 H1 (Table 2.5A state-wise crude production — corroborates basin locations); DGH India Hydrocarbon Outlook 2024-25 (block counts, basin categories); ONGC Annual Report FY 2023-24 (nomination area ~3.48 lakh sq km total, offshore ~1.05 lakh sq km per company geographic reporting); OIL Annual Report FY 2023-24 (all nomination onshore NE India); DGH Block Registry / PSC boundary data (individual block areas: KG-DWN-98/3 = 7,645 sq km offshore; RJ-ON-90/1 = 3,111 sq km onshore; NEC-OSN-97/1 = 6,500 sq km offshore; CY-DWN-2001/1 ~4,600 sq km offshore). Estimates for OALP onshore/offshore split based on DGH OALP round block locations.</w:t>
      </w:r>
    </w:p>
    <w:p>
      <w:r>
        <w:br w:type="page"/>
      </w:r>
    </w:p>
    <w:p>
      <w:pPr>
        <w:pStyle w:val="Heading1"/>
        <w:spacing w:after="120" w:before="300"/>
      </w:pPr>
      <w:r>
        <w:rPr>
          <w:rFonts w:ascii="Arial" w:cs="Arial" w:eastAsia="Arial" w:hAnsi="Arial"/>
          <w:b/>
          <w:bCs/>
          <w:color w:val="2E5339"/>
          <w:sz w:val="26"/>
          <w:szCs w:val="26"/>
        </w:rPr>
        <w:t xml:space="preserve">2. How the Onshore / Offshore Split Was Determined</w:t>
      </w:r>
    </w:p>
    <w:p>
      <w:pPr>
        <w:spacing w:after="100"/>
        <w:jc w:val="both"/>
      </w:pPr>
      <w:r>
        <w:rPr>
          <w:rFonts w:ascii="Arial" w:cs="Arial" w:eastAsia="Arial" w:hAnsi="Arial"/>
          <w:sz w:val="20"/>
          <w:szCs w:val="20"/>
        </w:rPr>
        <w:t xml:space="preserve">The split uses four data sources in priority order. (1) PPAC RR Table 2.5A gives state-wise and offshore-cluster crude production — this directly confirms which operator groups produce from which zone (e.g., Western Offshore is 100% ONGC nomination; Eastern Offshore is ONGC + RIL/bp PSC; all state-named production is onshore). (2) DGH block registry and PSC boundary data gives exact areas for individual blocks (KG-DWN-98/3, NEC-OSN, etc.). (3) ONGC and OIL Annual Reports segment their acreage into offshore and onshore in geographic reporting. (4) DGH OALP documentation records each OALP block's location (onland or offshore).</w:t>
      </w:r>
    </w:p>
    <w:p>
      <w:pPr>
        <w:spacing w:after="1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3600"/>
      </w:tblGrid>
      <w:tr>
        <w:trPr>
          <w:tblHeader/>
        </w:trPr>
        <w:tc>
          <w:tcPr>
            <w:tcW w:type="dxa" w:w="14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Company</w:t>
            </w:r>
          </w:p>
        </w:tc>
        <w:tc>
          <w:tcPr>
            <w:tcW w:type="dxa" w:w="32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Onshore basis</w:t>
            </w:r>
          </w:p>
        </w:tc>
        <w:tc>
          <w:tcPr>
            <w:tcW w:type="dxa" w:w="32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Offshore basis</w:t>
            </w:r>
          </w:p>
        </w:tc>
        <w:tc>
          <w:tcPr>
            <w:tcW w:type="dxa" w:w="36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Key blocks by zone</w:t>
            </w:r>
          </w:p>
        </w:tc>
      </w:tr>
      <w:tr>
        <w:tc>
          <w:tcPr>
            <w:tcW w:type="dxa" w:w="1400"/>
            <w:shd w:fill="FFFFFF" w:val="clear"/>
            <w:tcMar>
              <w:top w:type="dxa" w:w="50"/>
              <w:left w:type="dxa" w:w="80"/>
              <w:bottom w:type="dxa" w:w="50"/>
              <w:right w:type="dxa" w:w="80"/>
            </w:tcMar>
          </w:tcPr>
          <w:p>
            <w:r>
              <w:rPr>
                <w:rFonts w:ascii="Arial" w:cs="Arial" w:eastAsia="Arial" w:hAnsi="Arial"/>
                <w:b/>
                <w:bCs/>
                <w:sz w:val="18"/>
                <w:szCs w:val="18"/>
              </w:rPr>
              <w:t xml:space="preserve">ONGC — Nomination</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~2.43 lakh sq km. Cambay/Gujarat onland nomination: ~0.50; Assam-Arakan: ~0.30; KG onland: ~0.15; Cauvery: ~0.12; Rajasthan: ~0.08; Frontier/scattered: ~1.28 (includes large areas in Deccan Syneclise, Vindhyan, Bengal, Rann of Kutch onland)</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~1.05 lakh sq km. Western Offshore (Mumbai High, Heera, Bassein, Ratna, Neelam cluster): ~0.85 lakh sq km. Gujarat Offshore (Khambhat, Gulf of Kutch): ~0.08. Eastern Offshore NEC frontier: ~0.12.</w:t>
            </w:r>
          </w:p>
        </w:tc>
        <w:tc>
          <w:tcPr>
            <w:tcW w:type="dxa" w:w="3600"/>
            <w:shd w:fill="FFFFFF" w:val="clear"/>
            <w:tcMar>
              <w:top w:type="dxa" w:w="50"/>
              <w:left w:type="dxa" w:w="80"/>
              <w:bottom w:type="dxa" w:w="50"/>
              <w:right w:type="dxa" w:w="80"/>
            </w:tcMar>
          </w:tcPr>
          <w:p>
            <w:r>
              <w:rPr>
                <w:rFonts w:ascii="Arial" w:cs="Arial" w:eastAsia="Arial" w:hAnsi="Arial"/>
                <w:b w:val="false"/>
                <w:bCs w:val="false"/>
                <w:sz w:val="18"/>
                <w:szCs w:val="18"/>
              </w:rPr>
              <w:t xml:space="preserve">Onshore: Mehsana (GJ), Ankleshwar, Gandhar, Sibsagar (Assam), Narimanam (TN)
Offshore: Mumbai High North &amp; South, Heera, Bassein, Panna/Mukta</w:t>
            </w:r>
          </w:p>
        </w:tc>
      </w:tr>
      <w:tr>
        <w:tc>
          <w:tcPr>
            <w:tcW w:type="dxa" w:w="1400"/>
            <w:shd w:fill="F5EFE0" w:val="clear"/>
            <w:tcMar>
              <w:top w:type="dxa" w:w="50"/>
              <w:left w:type="dxa" w:w="80"/>
              <w:bottom w:type="dxa" w:w="50"/>
              <w:right w:type="dxa" w:w="80"/>
            </w:tcMar>
          </w:tcPr>
          <w:p>
            <w:r>
              <w:rPr>
                <w:rFonts w:ascii="Arial" w:cs="Arial" w:eastAsia="Arial" w:hAnsi="Arial"/>
                <w:b/>
                <w:bCs/>
                <w:sz w:val="18"/>
                <w:szCs w:val="18"/>
              </w:rPr>
              <w:t xml:space="preserve">ONGC — PSC/RSC</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~0.03 lakh sq km. AA-ONN-2002/1 (joint with OIL, NE Assam): ~0.020 lakh sq km; Rajasthan onland PSC: ~0.010</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~0.19 lakh sq km. KG-DWN-98/2: 0.049. NEC-OSN-97/1: ~0.065. CY-DWN-2001/1: ~0.046. Other KG offshore RSC blocks: ~0.030.</w:t>
            </w:r>
          </w:p>
        </w:tc>
        <w:tc>
          <w:tcPr>
            <w:tcW w:type="dxa" w:w="3600"/>
            <w:shd w:fill="F5EFE0" w:val="clear"/>
            <w:tcMar>
              <w:top w:type="dxa" w:w="50"/>
              <w:left w:type="dxa" w:w="80"/>
              <w:bottom w:type="dxa" w:w="50"/>
              <w:right w:type="dxa" w:w="80"/>
            </w:tcMar>
          </w:tcPr>
          <w:p>
            <w:r>
              <w:rPr>
                <w:rFonts w:ascii="Arial" w:cs="Arial" w:eastAsia="Arial" w:hAnsi="Arial"/>
                <w:b w:val="false"/>
                <w:bCs w:val="false"/>
                <w:sz w:val="18"/>
                <w:szCs w:val="18"/>
              </w:rPr>
              <w:t xml:space="preserve">Offshore: KG Cluster-II deepwater, NEC deepwater
Onshore: minor NE joint blocks</w:t>
            </w:r>
          </w:p>
        </w:tc>
      </w:tr>
      <w:tr>
        <w:tc>
          <w:tcPr>
            <w:tcW w:type="dxa" w:w="1400"/>
            <w:shd w:fill="FFFFFF" w:val="clear"/>
            <w:tcMar>
              <w:top w:type="dxa" w:w="50"/>
              <w:left w:type="dxa" w:w="80"/>
              <w:bottom w:type="dxa" w:w="50"/>
              <w:right w:type="dxa" w:w="80"/>
            </w:tcMar>
          </w:tcPr>
          <w:p>
            <w:r>
              <w:rPr>
                <w:rFonts w:ascii="Arial" w:cs="Arial" w:eastAsia="Arial" w:hAnsi="Arial"/>
                <w:b/>
                <w:bCs/>
                <w:sz w:val="18"/>
                <w:szCs w:val="18"/>
              </w:rPr>
              <w:t xml:space="preserve">ONGC — OALP I–IX</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~0.28 lakh sq km. Rajasthan Vindhyan, Bengal onland, Gujarat onland OALP, Kutch onland, Deccan Syneclise OALP blocks.</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~0.32 lakh sq km. Kutch offshore OALP, W.Coast deepwater OALP, Mahanadi deepwater, Andaman offshore OALP blocks. DGH OALP rounds awarded significant offshore to ONGC as largest bidder.</w:t>
            </w:r>
          </w:p>
        </w:tc>
        <w:tc>
          <w:tcPr>
            <w:tcW w:type="dxa" w:w="3600"/>
            <w:shd w:fill="FFFFFF" w:val="clear"/>
            <w:tcMar>
              <w:top w:type="dxa" w:w="50"/>
              <w:left w:type="dxa" w:w="80"/>
              <w:bottom w:type="dxa" w:w="50"/>
              <w:right w:type="dxa" w:w="80"/>
            </w:tcMar>
          </w:tcPr>
          <w:p>
            <w:r>
              <w:rPr>
                <w:rFonts w:ascii="Arial" w:cs="Arial" w:eastAsia="Arial" w:hAnsi="Arial"/>
                <w:b w:val="false"/>
                <w:bCs w:val="false"/>
                <w:sz w:val="18"/>
                <w:szCs w:val="18"/>
              </w:rPr>
              <w:t xml:space="preserve">Offshore: Andaman ultra-deepwater OALP; W.Coast frontier
Onshore: Rajasthan Vindhyan, Bengal basin</w:t>
            </w:r>
          </w:p>
        </w:tc>
      </w:tr>
      <w:tr>
        <w:tc>
          <w:tcPr>
            <w:tcW w:type="dxa" w:w="1400"/>
            <w:shd w:fill="F5EFE0" w:val="clear"/>
            <w:tcMar>
              <w:top w:type="dxa" w:w="50"/>
              <w:left w:type="dxa" w:w="80"/>
              <w:bottom w:type="dxa" w:w="50"/>
              <w:right w:type="dxa" w:w="80"/>
            </w:tcMar>
          </w:tcPr>
          <w:p>
            <w:r>
              <w:rPr>
                <w:rFonts w:ascii="Arial" w:cs="Arial" w:eastAsia="Arial" w:hAnsi="Arial"/>
                <w:b/>
                <w:bCs/>
                <w:sz w:val="18"/>
                <w:szCs w:val="18"/>
              </w:rPr>
              <w:t xml:space="preserve">OIL India — All regimes</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0.92 lakh sq km. 100% of nomination (0.61 lakh sq km) is onshore NE India. All OIL PSC/RSC blocks are onland (RJ-ONN-2005/2 Rajasthan, AA-ONN series NE). OIL OALP blocks: mostly onland NE + Rajasthan + Gujarat.</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0.03 lakh sq km. OIL won minor Gujarat offshore blocks in OALP rounds (estimated). No offshore nomination acreage.</w:t>
            </w:r>
          </w:p>
        </w:tc>
        <w:tc>
          <w:tcPr>
            <w:tcW w:type="dxa" w:w="3600"/>
            <w:shd w:fill="F5EFE0" w:val="clear"/>
            <w:tcMar>
              <w:top w:type="dxa" w:w="50"/>
              <w:left w:type="dxa" w:w="80"/>
              <w:bottom w:type="dxa" w:w="50"/>
              <w:right w:type="dxa" w:w="80"/>
            </w:tcMar>
          </w:tcPr>
          <w:p>
            <w:r>
              <w:rPr>
                <w:rFonts w:ascii="Arial" w:cs="Arial" w:eastAsia="Arial" w:hAnsi="Arial"/>
                <w:b w:val="false"/>
                <w:bCs w:val="false"/>
                <w:sz w:val="18"/>
                <w:szCs w:val="18"/>
              </w:rPr>
              <w:t xml:space="preserve">Onshore: Duliajan, Moran, Geleki, Borholla (Assam); Digboi (AP); Rajasthan OIL blocks
Offshore: minor Gujarat OALP only</w:t>
            </w:r>
          </w:p>
        </w:tc>
      </w:tr>
      <w:tr>
        <w:tc>
          <w:tcPr>
            <w:tcW w:type="dxa" w:w="1400"/>
            <w:shd w:fill="FFFFFF" w:val="clear"/>
            <w:tcMar>
              <w:top w:type="dxa" w:w="50"/>
              <w:left w:type="dxa" w:w="80"/>
              <w:bottom w:type="dxa" w:w="50"/>
              <w:right w:type="dxa" w:w="80"/>
            </w:tcMar>
          </w:tcPr>
          <w:p>
            <w:r>
              <w:rPr>
                <w:rFonts w:ascii="Arial" w:cs="Arial" w:eastAsia="Arial" w:hAnsi="Arial"/>
                <w:b/>
                <w:bCs/>
                <w:sz w:val="18"/>
                <w:szCs w:val="18"/>
              </w:rPr>
              <w:t xml:space="preserve">Vedanta/Cairn</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0.031 lakh sq km. RJ-ON-90/1 entirely onland Barmer basin, Rajasthan. Mangala, Bhagyam, Aishwariya fields all onland. Pipeline to Bhogat (sea) is transit only — block itself is 100% onland.</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ZERO offshore acreage.</w:t>
            </w:r>
          </w:p>
        </w:tc>
        <w:tc>
          <w:tcPr>
            <w:tcW w:type="dxa" w:w="3600"/>
            <w:shd w:fill="FFFFFF" w:val="clear"/>
            <w:tcMar>
              <w:top w:type="dxa" w:w="50"/>
              <w:left w:type="dxa" w:w="80"/>
              <w:bottom w:type="dxa" w:w="50"/>
              <w:right w:type="dxa" w:w="80"/>
            </w:tcMar>
          </w:tcPr>
          <w:p>
            <w:r>
              <w:rPr>
                <w:rFonts w:ascii="Arial" w:cs="Arial" w:eastAsia="Arial" w:hAnsi="Arial"/>
                <w:b w:val="false"/>
                <w:bCs w:val="false"/>
                <w:sz w:val="18"/>
                <w:szCs w:val="18"/>
              </w:rPr>
              <w:t xml:space="preserve">Onshore: Mangala (RJ), Bhagyam, Aishwariya, Shakti, Saraswati</w:t>
            </w:r>
          </w:p>
        </w:tc>
      </w:tr>
      <w:tr>
        <w:tc>
          <w:tcPr>
            <w:tcW w:type="dxa" w:w="1400"/>
            <w:shd w:fill="F5EFE0" w:val="clear"/>
            <w:tcMar>
              <w:top w:type="dxa" w:w="50"/>
              <w:left w:type="dxa" w:w="80"/>
              <w:bottom w:type="dxa" w:w="50"/>
              <w:right w:type="dxa" w:w="80"/>
            </w:tcMar>
          </w:tcPr>
          <w:p>
            <w:r>
              <w:rPr>
                <w:rFonts w:ascii="Arial" w:cs="Arial" w:eastAsia="Arial" w:hAnsi="Arial"/>
                <w:b/>
                <w:bCs/>
                <w:sz w:val="18"/>
                <w:szCs w:val="18"/>
              </w:rPr>
              <w:t xml:space="preserve">RIL / bp (KG-D6)</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ZERO onshore acreage.</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0.076 lakh sq km. KG-DWN-98/3 entirely deepwater offshore KG Basin. D1-D3 (now depleted), MJ field, R-Series, Satellites — all deepwater. Water depth 1,000–3,000m.</w:t>
            </w:r>
          </w:p>
        </w:tc>
        <w:tc>
          <w:tcPr>
            <w:tcW w:type="dxa" w:w="3600"/>
            <w:shd w:fill="F5EFE0" w:val="clear"/>
            <w:tcMar>
              <w:top w:type="dxa" w:w="50"/>
              <w:left w:type="dxa" w:w="80"/>
              <w:bottom w:type="dxa" w:w="50"/>
              <w:right w:type="dxa" w:w="80"/>
            </w:tcMar>
          </w:tcPr>
          <w:p>
            <w:r>
              <w:rPr>
                <w:rFonts w:ascii="Arial" w:cs="Arial" w:eastAsia="Arial" w:hAnsi="Arial"/>
                <w:b w:val="false"/>
                <w:bCs w:val="false"/>
                <w:sz w:val="18"/>
                <w:szCs w:val="18"/>
              </w:rPr>
              <w:t xml:space="preserve">Offshore: KG-D6 MJ field, R-Series, Satellite cluster</w:t>
            </w:r>
          </w:p>
        </w:tc>
      </w:tr>
      <w:tr>
        <w:tc>
          <w:tcPr>
            <w:tcW w:type="dxa" w:w="1400"/>
            <w:shd w:fill="FFFFFF" w:val="clear"/>
            <w:tcMar>
              <w:top w:type="dxa" w:w="50"/>
              <w:left w:type="dxa" w:w="80"/>
              <w:bottom w:type="dxa" w:w="50"/>
              <w:right w:type="dxa" w:w="80"/>
            </w:tcMar>
          </w:tcPr>
          <w:p>
            <w:r>
              <w:rPr>
                <w:rFonts w:ascii="Arial" w:cs="Arial" w:eastAsia="Arial" w:hAnsi="Arial"/>
                <w:b/>
                <w:bCs/>
                <w:sz w:val="18"/>
                <w:szCs w:val="18"/>
              </w:rPr>
              <w:t xml:space="preserve">BPCL (BPRL)</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~0.030 lakh sq km. OALP onland blocks + legacy PSC in Assam.</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~0.015 lakh sq km. Gulf of Kutch / Gujarat offshore OALP blocks.</w:t>
            </w:r>
          </w:p>
        </w:tc>
        <w:tc>
          <w:tcPr>
            <w:tcW w:type="dxa" w:w="3600"/>
            <w:shd w:fill="FFFFFF" w:val="clear"/>
            <w:tcMar>
              <w:top w:type="dxa" w:w="50"/>
              <w:left w:type="dxa" w:w="80"/>
              <w:bottom w:type="dxa" w:w="50"/>
              <w:right w:type="dxa" w:w="80"/>
            </w:tcMar>
          </w:tcPr>
          <w:p>
            <w:r>
              <w:rPr>
                <w:rFonts w:ascii="Arial" w:cs="Arial" w:eastAsia="Arial" w:hAnsi="Arial"/>
                <w:b w:val="false"/>
                <w:bCs w:val="false"/>
                <w:sz w:val="18"/>
                <w:szCs w:val="18"/>
              </w:rPr>
              <w:t xml:space="preserve">Onshore: Assam OALP; Gujarat onland
Offshore: Kutch offshore OALP</w:t>
            </w:r>
          </w:p>
        </w:tc>
      </w:tr>
      <w:tr>
        <w:tc>
          <w:tcPr>
            <w:tcW w:type="dxa" w:w="1400"/>
            <w:shd w:fill="F5EFE0" w:val="clear"/>
            <w:tcMar>
              <w:top w:type="dxa" w:w="50"/>
              <w:left w:type="dxa" w:w="80"/>
              <w:bottom w:type="dxa" w:w="50"/>
              <w:right w:type="dxa" w:w="80"/>
            </w:tcMar>
          </w:tcPr>
          <w:p>
            <w:r>
              <w:rPr>
                <w:rFonts w:ascii="Arial" w:cs="Arial" w:eastAsia="Arial" w:hAnsi="Arial"/>
                <w:b/>
                <w:bCs/>
                <w:sz w:val="18"/>
                <w:szCs w:val="18"/>
              </w:rPr>
              <w:t xml:space="preserve">HOEC</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~0.006 lakh sq km. CB-ONN-2002/2 (Cambay onland): ~0.006 lakh sq km. Dirok gas condensate in Assam (AA-ONN-2002/1, joint).</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~0.002 lakh sq km. PY-ONN-2002/1 (Pondicherry offshore shallow): ~0.002 lakh sq km.</w:t>
            </w:r>
          </w:p>
        </w:tc>
        <w:tc>
          <w:tcPr>
            <w:tcW w:type="dxa" w:w="3600"/>
            <w:shd w:fill="F5EFE0" w:val="clear"/>
            <w:tcMar>
              <w:top w:type="dxa" w:w="50"/>
              <w:left w:type="dxa" w:w="80"/>
              <w:bottom w:type="dxa" w:w="50"/>
              <w:right w:type="dxa" w:w="80"/>
            </w:tcMar>
          </w:tcPr>
          <w:p>
            <w:r>
              <w:rPr>
                <w:rFonts w:ascii="Arial" w:cs="Arial" w:eastAsia="Arial" w:hAnsi="Arial"/>
                <w:b w:val="false"/>
                <w:bCs w:val="false"/>
                <w:sz w:val="18"/>
                <w:szCs w:val="18"/>
              </w:rPr>
              <w:t xml:space="preserve">Onshore: Cambay basin (CB-ONN)
Offshore: PY offshore shallow (Pondicherry)</w:t>
            </w:r>
          </w:p>
        </w:tc>
      </w:tr>
    </w:tbl>
    <w:p>
      <w:pPr>
        <w:spacing w:after="55"/>
      </w:pPr>
      <w:r>
        <w:rPr>
          <w:rFonts w:ascii="Arial" w:cs="Arial" w:eastAsia="Arial" w:hAnsi="Arial"/>
          <w:i/>
          <w:iCs/>
          <w:color w:val="666666"/>
          <w:sz w:val="16"/>
          <w:szCs w:val="16"/>
        </w:rPr>
        <w:t xml:space="preserve">Note on ONGC nomination onshore "scattered/frontier" (~1.28 lakh sq km): ONGC's nomination acreage includes large tracts in frontier basins (Vindhyan, Deccan Syneclise, Son-Mahanadi onland, Pranhita-Godavari) that are geologically prospective but have seen limited exploration. These are all onland but contribute minimal production.</w:t>
      </w:r>
    </w:p>
    <w:p>
      <w:r>
        <w:br w:type="page"/>
      </w:r>
    </w:p>
    <w:p>
      <w:pPr>
        <w:pStyle w:val="Heading1"/>
        <w:spacing w:after="120" w:before="300"/>
      </w:pPr>
      <w:r>
        <w:rPr>
          <w:rFonts w:ascii="Arial" w:cs="Arial" w:eastAsia="Arial" w:hAnsi="Arial"/>
          <w:b/>
          <w:bCs/>
          <w:color w:val="2E5339"/>
          <w:sz w:val="26"/>
          <w:szCs w:val="26"/>
        </w:rPr>
        <w:t xml:space="preserve">3. Summary Tables</w:t>
      </w:r>
    </w:p>
    <w:p>
      <w:pPr>
        <w:pStyle w:val="Heading2"/>
        <w:spacing w:after="80" w:before="180"/>
      </w:pPr>
      <w:r>
        <w:rPr>
          <w:rFonts w:ascii="Arial" w:cs="Arial" w:eastAsia="Arial" w:hAnsi="Arial"/>
          <w:b/>
          <w:bCs/>
          <w:color w:val="1B2A4A"/>
          <w:sz w:val="22"/>
          <w:szCs w:val="22"/>
        </w:rPr>
        <w:t xml:space="preserve">3.1 Onshore / Offshore Totals Across All Companies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200"/>
        <w:gridCol w:w="3200"/>
        <w:gridCol w:w="2200"/>
      </w:tblGrid>
      <w:tr>
        <w:trPr>
          <w:tblHeader/>
        </w:trPr>
        <w:tc>
          <w:tcPr>
            <w:tcW w:type="dxa" w:w="20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Zone</w:t>
            </w:r>
          </w:p>
        </w:tc>
        <w:tc>
          <w:tcPr>
            <w:tcW w:type="dxa" w:w="16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Lakh sq km</w:t>
            </w:r>
          </w:p>
        </w:tc>
        <w:tc>
          <w:tcPr>
            <w:tcW w:type="dxa" w:w="16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Sq km</w:t>
            </w:r>
          </w:p>
        </w:tc>
        <w:tc>
          <w:tcPr>
            <w:tcW w:type="dxa" w:w="32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Hectares</w:t>
            </w:r>
          </w:p>
        </w:tc>
        <w:tc>
          <w:tcPr>
            <w:tcW w:type="dxa" w:w="32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Acres</w:t>
            </w:r>
          </w:p>
        </w:tc>
        <w:tc>
          <w:tcPr>
            <w:tcW w:type="dxa" w:w="22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 of total active area</w:t>
            </w:r>
          </w:p>
        </w:tc>
      </w:tr>
      <w:tr>
        <w:tc>
          <w:tcPr>
            <w:tcW w:type="dxa" w:w="2000"/>
            <w:shd w:fill="FFFFFF" w:val="clear"/>
            <w:tcMar>
              <w:top w:type="dxa" w:w="50"/>
              <w:left w:type="dxa" w:w="80"/>
              <w:bottom w:type="dxa" w:w="50"/>
              <w:right w:type="dxa" w:w="80"/>
            </w:tcMar>
          </w:tcPr>
          <w:p>
            <w:r>
              <w:rPr>
                <w:rFonts w:ascii="Arial" w:cs="Arial" w:eastAsia="Arial" w:hAnsi="Arial"/>
                <w:b/>
                <w:bCs/>
                <w:sz w:val="18"/>
                <w:szCs w:val="18"/>
              </w:rPr>
              <w:t xml:space="preserve">ONSHORE (all companies combined)</w:t>
            </w:r>
          </w:p>
        </w:tc>
        <w:tc>
          <w:tcPr>
            <w:tcW w:type="dxa" w:w="1600"/>
            <w:shd w:fill="FFFFFF" w:val="clear"/>
            <w:tcMar>
              <w:top w:type="dxa" w:w="50"/>
              <w:left w:type="dxa" w:w="80"/>
              <w:bottom w:type="dxa" w:w="50"/>
              <w:right w:type="dxa" w:w="80"/>
            </w:tcMar>
          </w:tcPr>
          <w:p>
            <w:r>
              <w:rPr>
                <w:rFonts w:ascii="Arial" w:cs="Arial" w:eastAsia="Arial" w:hAnsi="Arial"/>
                <w:b w:val="false"/>
                <w:bCs w:val="false"/>
                <w:sz w:val="18"/>
                <w:szCs w:val="18"/>
              </w:rPr>
              <w:t xml:space="preserve">3.917</w:t>
            </w:r>
          </w:p>
        </w:tc>
        <w:tc>
          <w:tcPr>
            <w:tcW w:type="dxa" w:w="1600"/>
            <w:shd w:fill="FFFFFF" w:val="clear"/>
            <w:tcMar>
              <w:top w:type="dxa" w:w="50"/>
              <w:left w:type="dxa" w:w="80"/>
              <w:bottom w:type="dxa" w:w="50"/>
              <w:right w:type="dxa" w:w="80"/>
            </w:tcMar>
          </w:tcPr>
          <w:p>
            <w:r>
              <w:rPr>
                <w:rFonts w:ascii="Arial" w:cs="Arial" w:eastAsia="Arial" w:hAnsi="Arial"/>
                <w:b w:val="false"/>
                <w:bCs w:val="false"/>
                <w:sz w:val="18"/>
                <w:szCs w:val="18"/>
              </w:rPr>
              <w:t xml:space="preserve">3,91,700</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39,17,00,000  (39.2 cr ha)</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96,79,52,350  (96.8 cr ac)</w:t>
            </w:r>
          </w:p>
        </w:tc>
        <w:tc>
          <w:tcPr>
            <w:tcW w:type="dxa" w:w="2200"/>
            <w:shd w:fill="FFFFFF" w:val="clear"/>
            <w:tcMar>
              <w:top w:type="dxa" w:w="50"/>
              <w:left w:type="dxa" w:w="80"/>
              <w:bottom w:type="dxa" w:w="50"/>
              <w:right w:type="dxa" w:w="80"/>
            </w:tcMar>
          </w:tcPr>
          <w:p>
            <w:r>
              <w:rPr>
                <w:rFonts w:ascii="Arial" w:cs="Arial" w:eastAsia="Arial" w:hAnsi="Arial"/>
                <w:b w:val="false"/>
                <w:bCs w:val="false"/>
                <w:sz w:val="18"/>
                <w:szCs w:val="18"/>
              </w:rPr>
              <w:t xml:space="preserve">69.2%</w:t>
            </w:r>
          </w:p>
        </w:tc>
      </w:tr>
      <w:tr>
        <w:tc>
          <w:tcPr>
            <w:tcW w:type="dxa" w:w="2000"/>
            <w:shd w:fill="F5EFE0" w:val="clear"/>
            <w:tcMar>
              <w:top w:type="dxa" w:w="50"/>
              <w:left w:type="dxa" w:w="80"/>
              <w:bottom w:type="dxa" w:w="50"/>
              <w:right w:type="dxa" w:w="80"/>
            </w:tcMar>
          </w:tcPr>
          <w:p>
            <w:r>
              <w:rPr>
                <w:rFonts w:ascii="Arial" w:cs="Arial" w:eastAsia="Arial" w:hAnsi="Arial"/>
                <w:b/>
                <w:bCs/>
                <w:sz w:val="18"/>
                <w:szCs w:val="18"/>
              </w:rPr>
              <w:t xml:space="preserve">OFFSHORE (all companies combined)</w:t>
            </w:r>
          </w:p>
        </w:tc>
        <w:tc>
          <w:tcPr>
            <w:tcW w:type="dxa" w:w="1600"/>
            <w:shd w:fill="F5EFE0" w:val="clear"/>
            <w:tcMar>
              <w:top w:type="dxa" w:w="50"/>
              <w:left w:type="dxa" w:w="80"/>
              <w:bottom w:type="dxa" w:w="50"/>
              <w:right w:type="dxa" w:w="80"/>
            </w:tcMar>
          </w:tcPr>
          <w:p>
            <w:r>
              <w:rPr>
                <w:rFonts w:ascii="Arial" w:cs="Arial" w:eastAsia="Arial" w:hAnsi="Arial"/>
                <w:b w:val="false"/>
                <w:bCs w:val="false"/>
                <w:sz w:val="18"/>
                <w:szCs w:val="18"/>
              </w:rPr>
              <w:t xml:space="preserve">1.743</w:t>
            </w:r>
          </w:p>
        </w:tc>
        <w:tc>
          <w:tcPr>
            <w:tcW w:type="dxa" w:w="1600"/>
            <w:shd w:fill="F5EFE0" w:val="clear"/>
            <w:tcMar>
              <w:top w:type="dxa" w:w="50"/>
              <w:left w:type="dxa" w:w="80"/>
              <w:bottom w:type="dxa" w:w="50"/>
              <w:right w:type="dxa" w:w="80"/>
            </w:tcMar>
          </w:tcPr>
          <w:p>
            <w:r>
              <w:rPr>
                <w:rFonts w:ascii="Arial" w:cs="Arial" w:eastAsia="Arial" w:hAnsi="Arial"/>
                <w:b w:val="false"/>
                <w:bCs w:val="false"/>
                <w:sz w:val="18"/>
                <w:szCs w:val="18"/>
              </w:rPr>
              <w:t xml:space="preserve">1,74,300</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17,43,00,000  (17.4 cr ha)</w:t>
            </w:r>
          </w:p>
        </w:tc>
        <w:tc>
          <w:tcPr>
            <w:tcW w:type="dxa" w:w="3200"/>
            <w:shd w:fill="F5EFE0" w:val="clear"/>
            <w:tcMar>
              <w:top w:type="dxa" w:w="50"/>
              <w:left w:type="dxa" w:w="80"/>
              <w:bottom w:type="dxa" w:w="50"/>
              <w:right w:type="dxa" w:w="80"/>
            </w:tcMar>
          </w:tcPr>
          <w:p>
            <w:r>
              <w:rPr>
                <w:rFonts w:ascii="Arial" w:cs="Arial" w:eastAsia="Arial" w:hAnsi="Arial"/>
                <w:b w:val="false"/>
                <w:bCs w:val="false"/>
                <w:sz w:val="18"/>
                <w:szCs w:val="18"/>
              </w:rPr>
              <w:t xml:space="preserve">43,07,93,115  (43.1 cr ac)</w:t>
            </w:r>
          </w:p>
        </w:tc>
        <w:tc>
          <w:tcPr>
            <w:tcW w:type="dxa" w:w="2200"/>
            <w:shd w:fill="F5EFE0" w:val="clear"/>
            <w:tcMar>
              <w:top w:type="dxa" w:w="50"/>
              <w:left w:type="dxa" w:w="80"/>
              <w:bottom w:type="dxa" w:w="50"/>
              <w:right w:type="dxa" w:w="80"/>
            </w:tcMar>
          </w:tcPr>
          <w:p>
            <w:r>
              <w:rPr>
                <w:rFonts w:ascii="Arial" w:cs="Arial" w:eastAsia="Arial" w:hAnsi="Arial"/>
                <w:b w:val="false"/>
                <w:bCs w:val="false"/>
                <w:sz w:val="18"/>
                <w:szCs w:val="18"/>
              </w:rPr>
              <w:t xml:space="preserve">30.8%</w:t>
            </w:r>
          </w:p>
        </w:tc>
      </w:tr>
      <w:tr>
        <w:tc>
          <w:tcPr>
            <w:tcW w:type="dxa" w:w="2000"/>
            <w:shd w:fill="FFFFFF" w:val="clear"/>
            <w:tcMar>
              <w:top w:type="dxa" w:w="50"/>
              <w:left w:type="dxa" w:w="80"/>
              <w:bottom w:type="dxa" w:w="50"/>
              <w:right w:type="dxa" w:w="80"/>
            </w:tcMar>
          </w:tcPr>
          <w:p>
            <w:r>
              <w:rPr>
                <w:rFonts w:ascii="Arial" w:cs="Arial" w:eastAsia="Arial" w:hAnsi="Arial"/>
                <w:b/>
                <w:bCs/>
                <w:sz w:val="18"/>
                <w:szCs w:val="18"/>
              </w:rPr>
              <w:t xml:space="preserve">GRAND TOTAL</w:t>
            </w:r>
          </w:p>
        </w:tc>
        <w:tc>
          <w:tcPr>
            <w:tcW w:type="dxa" w:w="1600"/>
            <w:shd w:fill="FFFFFF" w:val="clear"/>
            <w:tcMar>
              <w:top w:type="dxa" w:w="50"/>
              <w:left w:type="dxa" w:w="80"/>
              <w:bottom w:type="dxa" w:w="50"/>
              <w:right w:type="dxa" w:w="80"/>
            </w:tcMar>
          </w:tcPr>
          <w:p>
            <w:r>
              <w:rPr>
                <w:rFonts w:ascii="Arial" w:cs="Arial" w:eastAsia="Arial" w:hAnsi="Arial"/>
                <w:b w:val="false"/>
                <w:bCs w:val="false"/>
                <w:sz w:val="18"/>
                <w:szCs w:val="18"/>
              </w:rPr>
              <w:t xml:space="preserve">5.660</w:t>
            </w:r>
          </w:p>
        </w:tc>
        <w:tc>
          <w:tcPr>
            <w:tcW w:type="dxa" w:w="1600"/>
            <w:shd w:fill="FFFFFF" w:val="clear"/>
            <w:tcMar>
              <w:top w:type="dxa" w:w="50"/>
              <w:left w:type="dxa" w:w="80"/>
              <w:bottom w:type="dxa" w:w="50"/>
              <w:right w:type="dxa" w:w="80"/>
            </w:tcMar>
          </w:tcPr>
          <w:p>
            <w:r>
              <w:rPr>
                <w:rFonts w:ascii="Arial" w:cs="Arial" w:eastAsia="Arial" w:hAnsi="Arial"/>
                <w:b w:val="false"/>
                <w:bCs w:val="false"/>
                <w:sz w:val="18"/>
                <w:szCs w:val="18"/>
              </w:rPr>
              <w:t xml:space="preserve">5,66,000</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56,60,00,000  (56.6 cr ha)</w:t>
            </w:r>
          </w:p>
        </w:tc>
        <w:tc>
          <w:tcPr>
            <w:tcW w:type="dxa" w:w="3200"/>
            <w:shd w:fill="FFFFFF" w:val="clear"/>
            <w:tcMar>
              <w:top w:type="dxa" w:w="50"/>
              <w:left w:type="dxa" w:w="80"/>
              <w:bottom w:type="dxa" w:w="50"/>
              <w:right w:type="dxa" w:w="80"/>
            </w:tcMar>
          </w:tcPr>
          <w:p>
            <w:r>
              <w:rPr>
                <w:rFonts w:ascii="Arial" w:cs="Arial" w:eastAsia="Arial" w:hAnsi="Arial"/>
                <w:b w:val="false"/>
                <w:bCs w:val="false"/>
                <w:sz w:val="18"/>
                <w:szCs w:val="18"/>
              </w:rPr>
              <w:t xml:space="preserve">1,39,87,45,465 (139.9 cr ac)</w:t>
            </w:r>
          </w:p>
        </w:tc>
        <w:tc>
          <w:tcPr>
            <w:tcW w:type="dxa" w:w="2200"/>
            <w:shd w:fill="FFFFFF" w:val="clear"/>
            <w:tcMar>
              <w:top w:type="dxa" w:w="50"/>
              <w:left w:type="dxa" w:w="80"/>
              <w:bottom w:type="dxa" w:w="50"/>
              <w:right w:type="dxa" w:w="80"/>
            </w:tcMar>
          </w:tcPr>
          <w:p>
            <w:r>
              <w:rPr>
                <w:rFonts w:ascii="Arial" w:cs="Arial" w:eastAsia="Arial" w:hAnsi="Arial"/>
                <w:b w:val="false"/>
                <w:bCs w:val="false"/>
                <w:sz w:val="18"/>
                <w:szCs w:val="18"/>
              </w:rPr>
              <w:t xml:space="preserve">100%</w:t>
            </w:r>
          </w:p>
        </w:tc>
      </w:tr>
    </w:tbl>
    <w:p>
      <w:pPr>
        <w:spacing w:after="55"/>
      </w:pPr>
      <w:r>
        <w:rPr>
          <w:rFonts w:ascii="Arial" w:cs="Arial" w:eastAsia="Arial" w:hAnsi="Arial"/>
          <w:i/>
          <w:iCs/>
          <w:color w:val="666666"/>
          <w:sz w:val="16"/>
          <w:szCs w:val="16"/>
        </w:rPr>
        <w:t xml:space="preserve">Conversion: 1 sq km = 100 ha = 247.105 acres. "Active area" = all current petroleum leases (nomination + PSC + RSC + OALP + CBM); excludes unlicensed open acreage (~25.7 lakh sq km) and EEZ being opened for new rounds.</w:t>
      </w:r>
    </w:p>
    <w:p>
      <w:pPr>
        <w:spacing w:after="120"/>
      </w:pPr>
    </w:p>
    <w:p>
      <w:pPr>
        <w:pStyle w:val="Heading2"/>
        <w:spacing w:after="80" w:before="180"/>
      </w:pPr>
      <w:r>
        <w:rPr>
          <w:rFonts w:ascii="Arial" w:cs="Arial" w:eastAsia="Arial" w:hAnsi="Arial"/>
          <w:b/>
          <w:bCs/>
          <w:color w:val="1B2A4A"/>
          <w:sz w:val="22"/>
          <w:szCs w:val="22"/>
        </w:rPr>
        <w:t xml:space="preserve">3.2 Company Share of Onshore vs Offshore Active Area</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000"/>
        <w:gridCol w:w="1800"/>
        <w:gridCol w:w="1400"/>
      </w:tblGrid>
      <w:tr>
        <w:trPr>
          <w:tblHeader/>
        </w:trPr>
        <w:tc>
          <w:tcPr>
            <w:tcW w:type="dxa" w:w="24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Company</w:t>
            </w:r>
          </w:p>
        </w:tc>
        <w:tc>
          <w:tcPr>
            <w:tcW w:type="dxa" w:w="20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Onshore (lakh sq km)</w:t>
            </w:r>
          </w:p>
        </w:tc>
        <w:tc>
          <w:tcPr>
            <w:tcW w:type="dxa" w:w="18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 of all onshore</w:t>
            </w:r>
          </w:p>
        </w:tc>
        <w:tc>
          <w:tcPr>
            <w:tcW w:type="dxa" w:w="20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Offshore (lakh sq km)</w:t>
            </w:r>
          </w:p>
        </w:tc>
        <w:tc>
          <w:tcPr>
            <w:tcW w:type="dxa" w:w="18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 of all offshore</w:t>
            </w:r>
          </w:p>
        </w:tc>
        <w:tc>
          <w:tcPr>
            <w:tcW w:type="dxa" w:w="14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Total</w:t>
            </w:r>
          </w:p>
        </w:tc>
      </w:tr>
      <w:tr>
        <w:tc>
          <w:tcPr>
            <w:tcW w:type="dxa" w:w="2400"/>
            <w:shd w:fill="FFFFFF" w:val="clear"/>
            <w:tcMar>
              <w:top w:type="dxa" w:w="50"/>
              <w:left w:type="dxa" w:w="80"/>
              <w:bottom w:type="dxa" w:w="50"/>
              <w:right w:type="dxa" w:w="80"/>
            </w:tcMar>
          </w:tcPr>
          <w:p>
            <w:r>
              <w:rPr>
                <w:rFonts w:ascii="Arial" w:cs="Arial" w:eastAsia="Arial" w:hAnsi="Arial"/>
                <w:b/>
                <w:bCs/>
                <w:sz w:val="18"/>
                <w:szCs w:val="18"/>
              </w:rPr>
              <w:t xml:space="preserve">ONGC</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2.74</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70.0%</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1.56</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89.5%</w:t>
            </w:r>
          </w:p>
        </w:tc>
        <w:tc>
          <w:tcPr>
            <w:tcW w:type="dxa" w:w="1400"/>
            <w:shd w:fill="FFFFFF" w:val="clear"/>
            <w:tcMar>
              <w:top w:type="dxa" w:w="50"/>
              <w:left w:type="dxa" w:w="80"/>
              <w:bottom w:type="dxa" w:w="50"/>
              <w:right w:type="dxa" w:w="80"/>
            </w:tcMar>
          </w:tcPr>
          <w:p>
            <w:r>
              <w:rPr>
                <w:rFonts w:ascii="Arial" w:cs="Arial" w:eastAsia="Arial" w:hAnsi="Arial"/>
                <w:b w:val="false"/>
                <w:bCs w:val="false"/>
                <w:sz w:val="18"/>
                <w:szCs w:val="18"/>
              </w:rPr>
              <w:t xml:space="preserve">4.30</w:t>
            </w:r>
          </w:p>
        </w:tc>
      </w:tr>
      <w:tr>
        <w:tc>
          <w:tcPr>
            <w:tcW w:type="dxa" w:w="2400"/>
            <w:shd w:fill="F5EFE0" w:val="clear"/>
            <w:tcMar>
              <w:top w:type="dxa" w:w="50"/>
              <w:left w:type="dxa" w:w="80"/>
              <w:bottom w:type="dxa" w:w="50"/>
              <w:right w:type="dxa" w:w="80"/>
            </w:tcMar>
          </w:tcPr>
          <w:p>
            <w:r>
              <w:rPr>
                <w:rFonts w:ascii="Arial" w:cs="Arial" w:eastAsia="Arial" w:hAnsi="Arial"/>
                <w:b/>
                <w:bCs/>
                <w:sz w:val="18"/>
                <w:szCs w:val="18"/>
              </w:rPr>
              <w:t xml:space="preserve">OIL India</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0.92</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23.5%</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0.03</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1.7%</w:t>
            </w:r>
          </w:p>
        </w:tc>
        <w:tc>
          <w:tcPr>
            <w:tcW w:type="dxa" w:w="1400"/>
            <w:shd w:fill="F5EFE0" w:val="clear"/>
            <w:tcMar>
              <w:top w:type="dxa" w:w="50"/>
              <w:left w:type="dxa" w:w="80"/>
              <w:bottom w:type="dxa" w:w="50"/>
              <w:right w:type="dxa" w:w="80"/>
            </w:tcMar>
          </w:tcPr>
          <w:p>
            <w:r>
              <w:rPr>
                <w:rFonts w:ascii="Arial" w:cs="Arial" w:eastAsia="Arial" w:hAnsi="Arial"/>
                <w:b w:val="false"/>
                <w:bCs w:val="false"/>
                <w:sz w:val="18"/>
                <w:szCs w:val="18"/>
              </w:rPr>
              <w:t xml:space="preserve">0.95</w:t>
            </w:r>
          </w:p>
        </w:tc>
      </w:tr>
      <w:tr>
        <w:tc>
          <w:tcPr>
            <w:tcW w:type="dxa" w:w="2400"/>
            <w:shd w:fill="FFFFFF" w:val="clear"/>
            <w:tcMar>
              <w:top w:type="dxa" w:w="50"/>
              <w:left w:type="dxa" w:w="80"/>
              <w:bottom w:type="dxa" w:w="50"/>
              <w:right w:type="dxa" w:w="80"/>
            </w:tcMar>
          </w:tcPr>
          <w:p>
            <w:r>
              <w:rPr>
                <w:rFonts w:ascii="Arial" w:cs="Arial" w:eastAsia="Arial" w:hAnsi="Arial"/>
                <w:b/>
                <w:bCs/>
                <w:sz w:val="18"/>
                <w:szCs w:val="18"/>
              </w:rPr>
              <w:t xml:space="preserve">Vedanta/Cairn</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0.031</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0.8%</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0.000</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w:t>
            </w:r>
          </w:p>
        </w:tc>
        <w:tc>
          <w:tcPr>
            <w:tcW w:type="dxa" w:w="1400"/>
            <w:shd w:fill="FFFFFF" w:val="clear"/>
            <w:tcMar>
              <w:top w:type="dxa" w:w="50"/>
              <w:left w:type="dxa" w:w="80"/>
              <w:bottom w:type="dxa" w:w="50"/>
              <w:right w:type="dxa" w:w="80"/>
            </w:tcMar>
          </w:tcPr>
          <w:p>
            <w:r>
              <w:rPr>
                <w:rFonts w:ascii="Arial" w:cs="Arial" w:eastAsia="Arial" w:hAnsi="Arial"/>
                <w:b w:val="false"/>
                <w:bCs w:val="false"/>
                <w:sz w:val="18"/>
                <w:szCs w:val="18"/>
              </w:rPr>
              <w:t xml:space="preserve">0.031</w:t>
            </w:r>
          </w:p>
        </w:tc>
      </w:tr>
      <w:tr>
        <w:tc>
          <w:tcPr>
            <w:tcW w:type="dxa" w:w="2400"/>
            <w:shd w:fill="F5EFE0" w:val="clear"/>
            <w:tcMar>
              <w:top w:type="dxa" w:w="50"/>
              <w:left w:type="dxa" w:w="80"/>
              <w:bottom w:type="dxa" w:w="50"/>
              <w:right w:type="dxa" w:w="80"/>
            </w:tcMar>
          </w:tcPr>
          <w:p>
            <w:r>
              <w:rPr>
                <w:rFonts w:ascii="Arial" w:cs="Arial" w:eastAsia="Arial" w:hAnsi="Arial"/>
                <w:b/>
                <w:bCs/>
                <w:sz w:val="18"/>
                <w:szCs w:val="18"/>
              </w:rPr>
              <w:t xml:space="preserve">RIL/bp (KG-D6)</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0.000</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0.076</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4.4%</w:t>
            </w:r>
          </w:p>
        </w:tc>
        <w:tc>
          <w:tcPr>
            <w:tcW w:type="dxa" w:w="1400"/>
            <w:shd w:fill="F5EFE0" w:val="clear"/>
            <w:tcMar>
              <w:top w:type="dxa" w:w="50"/>
              <w:left w:type="dxa" w:w="80"/>
              <w:bottom w:type="dxa" w:w="50"/>
              <w:right w:type="dxa" w:w="80"/>
            </w:tcMar>
          </w:tcPr>
          <w:p>
            <w:r>
              <w:rPr>
                <w:rFonts w:ascii="Arial" w:cs="Arial" w:eastAsia="Arial" w:hAnsi="Arial"/>
                <w:b w:val="false"/>
                <w:bCs w:val="false"/>
                <w:sz w:val="18"/>
                <w:szCs w:val="18"/>
              </w:rPr>
              <w:t xml:space="preserve">0.076</w:t>
            </w:r>
          </w:p>
        </w:tc>
      </w:tr>
      <w:tr>
        <w:tc>
          <w:tcPr>
            <w:tcW w:type="dxa" w:w="2400"/>
            <w:shd w:fill="FFFFFF" w:val="clear"/>
            <w:tcMar>
              <w:top w:type="dxa" w:w="50"/>
              <w:left w:type="dxa" w:w="80"/>
              <w:bottom w:type="dxa" w:w="50"/>
              <w:right w:type="dxa" w:w="80"/>
            </w:tcMar>
          </w:tcPr>
          <w:p>
            <w:r>
              <w:rPr>
                <w:rFonts w:ascii="Arial" w:cs="Arial" w:eastAsia="Arial" w:hAnsi="Arial"/>
                <w:b/>
                <w:bCs/>
                <w:sz w:val="18"/>
                <w:szCs w:val="18"/>
              </w:rPr>
              <w:t xml:space="preserve">BPCL (BPRL)</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0.030</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0.8%</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0.015</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0.9%</w:t>
            </w:r>
          </w:p>
        </w:tc>
        <w:tc>
          <w:tcPr>
            <w:tcW w:type="dxa" w:w="1400"/>
            <w:shd w:fill="FFFFFF" w:val="clear"/>
            <w:tcMar>
              <w:top w:type="dxa" w:w="50"/>
              <w:left w:type="dxa" w:w="80"/>
              <w:bottom w:type="dxa" w:w="50"/>
              <w:right w:type="dxa" w:w="80"/>
            </w:tcMar>
          </w:tcPr>
          <w:p>
            <w:r>
              <w:rPr>
                <w:rFonts w:ascii="Arial" w:cs="Arial" w:eastAsia="Arial" w:hAnsi="Arial"/>
                <w:b w:val="false"/>
                <w:bCs w:val="false"/>
                <w:sz w:val="18"/>
                <w:szCs w:val="18"/>
              </w:rPr>
              <w:t xml:space="preserve">0.045</w:t>
            </w:r>
          </w:p>
        </w:tc>
      </w:tr>
      <w:tr>
        <w:tc>
          <w:tcPr>
            <w:tcW w:type="dxa" w:w="2400"/>
            <w:shd w:fill="F5EFE0" w:val="clear"/>
            <w:tcMar>
              <w:top w:type="dxa" w:w="50"/>
              <w:left w:type="dxa" w:w="80"/>
              <w:bottom w:type="dxa" w:w="50"/>
              <w:right w:type="dxa" w:w="80"/>
            </w:tcMar>
          </w:tcPr>
          <w:p>
            <w:r>
              <w:rPr>
                <w:rFonts w:ascii="Arial" w:cs="Arial" w:eastAsia="Arial" w:hAnsi="Arial"/>
                <w:b/>
                <w:bCs/>
                <w:sz w:val="18"/>
                <w:szCs w:val="18"/>
              </w:rPr>
              <w:t xml:space="preserve">HOEC</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0.006</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0.2%</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0.002</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0.1%</w:t>
            </w:r>
          </w:p>
        </w:tc>
        <w:tc>
          <w:tcPr>
            <w:tcW w:type="dxa" w:w="1400"/>
            <w:shd w:fill="F5EFE0" w:val="clear"/>
            <w:tcMar>
              <w:top w:type="dxa" w:w="50"/>
              <w:left w:type="dxa" w:w="80"/>
              <w:bottom w:type="dxa" w:w="50"/>
              <w:right w:type="dxa" w:w="80"/>
            </w:tcMar>
          </w:tcPr>
          <w:p>
            <w:r>
              <w:rPr>
                <w:rFonts w:ascii="Arial" w:cs="Arial" w:eastAsia="Arial" w:hAnsi="Arial"/>
                <w:b w:val="false"/>
                <w:bCs w:val="false"/>
                <w:sz w:val="18"/>
                <w:szCs w:val="18"/>
              </w:rPr>
              <w:t xml:space="preserve">0.008</w:t>
            </w:r>
          </w:p>
        </w:tc>
      </w:tr>
      <w:tr>
        <w:tc>
          <w:tcPr>
            <w:tcW w:type="dxa" w:w="2400"/>
            <w:shd w:fill="FFFFFF" w:val="clear"/>
            <w:tcMar>
              <w:top w:type="dxa" w:w="50"/>
              <w:left w:type="dxa" w:w="80"/>
              <w:bottom w:type="dxa" w:w="50"/>
              <w:right w:type="dxa" w:w="80"/>
            </w:tcMar>
          </w:tcPr>
          <w:p>
            <w:r>
              <w:rPr>
                <w:rFonts w:ascii="Arial" w:cs="Arial" w:eastAsia="Arial" w:hAnsi="Arial"/>
                <w:b/>
                <w:bCs/>
                <w:sz w:val="18"/>
                <w:szCs w:val="18"/>
              </w:rPr>
              <w:t xml:space="preserve">Other OALP winners</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0.180</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4.6%</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0.070</w:t>
            </w:r>
          </w:p>
        </w:tc>
        <w:tc>
          <w:tcPr>
            <w:tcW w:type="dxa" w:w="1800"/>
            <w:shd w:fill="FFFFFF" w:val="clear"/>
            <w:tcMar>
              <w:top w:type="dxa" w:w="50"/>
              <w:left w:type="dxa" w:w="80"/>
              <w:bottom w:type="dxa" w:w="50"/>
              <w:right w:type="dxa" w:w="80"/>
            </w:tcMar>
          </w:tcPr>
          <w:p>
            <w:r>
              <w:rPr>
                <w:rFonts w:ascii="Arial" w:cs="Arial" w:eastAsia="Arial" w:hAnsi="Arial"/>
                <w:b w:val="false"/>
                <w:bCs w:val="false"/>
                <w:sz w:val="18"/>
                <w:szCs w:val="18"/>
              </w:rPr>
              <w:t xml:space="preserve">4.0%</w:t>
            </w:r>
          </w:p>
        </w:tc>
        <w:tc>
          <w:tcPr>
            <w:tcW w:type="dxa" w:w="1400"/>
            <w:shd w:fill="FFFFFF" w:val="clear"/>
            <w:tcMar>
              <w:top w:type="dxa" w:w="50"/>
              <w:left w:type="dxa" w:w="80"/>
              <w:bottom w:type="dxa" w:w="50"/>
              <w:right w:type="dxa" w:w="80"/>
            </w:tcMar>
          </w:tcPr>
          <w:p>
            <w:r>
              <w:rPr>
                <w:rFonts w:ascii="Arial" w:cs="Arial" w:eastAsia="Arial" w:hAnsi="Arial"/>
                <w:b w:val="false"/>
                <w:bCs w:val="false"/>
                <w:sz w:val="18"/>
                <w:szCs w:val="18"/>
              </w:rPr>
              <w:t xml:space="preserve">0.250</w:t>
            </w:r>
          </w:p>
        </w:tc>
      </w:tr>
      <w:tr>
        <w:tc>
          <w:tcPr>
            <w:tcW w:type="dxa" w:w="2400"/>
            <w:shd w:fill="F5EFE0" w:val="clear"/>
            <w:tcMar>
              <w:top w:type="dxa" w:w="50"/>
              <w:left w:type="dxa" w:w="80"/>
              <w:bottom w:type="dxa" w:w="50"/>
              <w:right w:type="dxa" w:w="80"/>
            </w:tcMar>
          </w:tcPr>
          <w:p>
            <w:r>
              <w:rPr>
                <w:rFonts w:ascii="Arial" w:cs="Arial" w:eastAsia="Arial" w:hAnsi="Arial"/>
                <w:b/>
                <w:bCs/>
                <w:sz w:val="18"/>
                <w:szCs w:val="18"/>
              </w:rPr>
              <w:t xml:space="preserve">GRAND TOTAL</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3.917</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100%</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1.743</w:t>
            </w:r>
          </w:p>
        </w:tc>
        <w:tc>
          <w:tcPr>
            <w:tcW w:type="dxa" w:w="1800"/>
            <w:shd w:fill="F5EFE0" w:val="clear"/>
            <w:tcMar>
              <w:top w:type="dxa" w:w="50"/>
              <w:left w:type="dxa" w:w="80"/>
              <w:bottom w:type="dxa" w:w="50"/>
              <w:right w:type="dxa" w:w="80"/>
            </w:tcMar>
          </w:tcPr>
          <w:p>
            <w:r>
              <w:rPr>
                <w:rFonts w:ascii="Arial" w:cs="Arial" w:eastAsia="Arial" w:hAnsi="Arial"/>
                <w:b w:val="false"/>
                <w:bCs w:val="false"/>
                <w:sz w:val="18"/>
                <w:szCs w:val="18"/>
              </w:rPr>
              <w:t xml:space="preserve">100%</w:t>
            </w:r>
          </w:p>
        </w:tc>
        <w:tc>
          <w:tcPr>
            <w:tcW w:type="dxa" w:w="1400"/>
            <w:shd w:fill="F5EFE0" w:val="clear"/>
            <w:tcMar>
              <w:top w:type="dxa" w:w="50"/>
              <w:left w:type="dxa" w:w="80"/>
              <w:bottom w:type="dxa" w:w="50"/>
              <w:right w:type="dxa" w:w="80"/>
            </w:tcMar>
          </w:tcPr>
          <w:p>
            <w:r>
              <w:rPr>
                <w:rFonts w:ascii="Arial" w:cs="Arial" w:eastAsia="Arial" w:hAnsi="Arial"/>
                <w:b w:val="false"/>
                <w:bCs w:val="false"/>
                <w:sz w:val="18"/>
                <w:szCs w:val="18"/>
              </w:rPr>
              <w:t xml:space="preserve">5.660</w:t>
            </w:r>
          </w:p>
        </w:tc>
      </w:tr>
    </w:tbl>
    <w:p>
      <w:pPr>
        <w:spacing w:after="120"/>
      </w:pPr>
    </w:p>
    <w:p>
      <w:pPr>
        <w:pStyle w:val="Heading2"/>
        <w:spacing w:after="80" w:before="180"/>
      </w:pPr>
      <w:r>
        <w:rPr>
          <w:rFonts w:ascii="Arial" w:cs="Arial" w:eastAsia="Arial" w:hAnsi="Arial"/>
          <w:b/>
          <w:bCs/>
          <w:color w:val="1B2A4A"/>
          <w:sz w:val="22"/>
          <w:szCs w:val="22"/>
        </w:rPr>
        <w:t xml:space="preserve">3.3 ONGC's Offshore Nomination: The Western Offshore Basin Detail</w:t>
      </w:r>
    </w:p>
    <w:p>
      <w:pPr>
        <w:spacing w:after="100"/>
        <w:jc w:val="both"/>
      </w:pPr>
      <w:r>
        <w:rPr>
          <w:rFonts w:ascii="Arial" w:cs="Arial" w:eastAsia="Arial" w:hAnsi="Arial"/>
          <w:sz w:val="20"/>
          <w:szCs w:val="20"/>
        </w:rPr>
        <w:t xml:space="preserve">ONGC's offshore nomination (1.05 lakh sq km) is concentrated in the Western Offshore. The following breaks out the key components based on DGH basin maps and ONGC production data from PPAC RR Table 2.5A: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600"/>
        <w:gridCol w:w="4400"/>
      </w:tblGrid>
      <w:tr>
        <w:trPr>
          <w:tblHeader/>
        </w:trPr>
        <w:tc>
          <w:tcPr>
            <w:tcW w:type="dxa" w:w="28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Western Offshore cluster / basin</w:t>
            </w:r>
          </w:p>
        </w:tc>
        <w:tc>
          <w:tcPr>
            <w:tcW w:type="dxa" w:w="20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Approx area (lakh sq km)</w:t>
            </w:r>
          </w:p>
        </w:tc>
        <w:tc>
          <w:tcPr>
            <w:tcW w:type="dxa" w:w="26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Key fields</w:t>
            </w:r>
          </w:p>
        </w:tc>
        <w:tc>
          <w:tcPr>
            <w:tcW w:type="dxa" w:w="4400"/>
            <w:shd w:fill="2E5339" w:val="clear"/>
            <w:tcMar>
              <w:top w:type="dxa" w:w="50"/>
              <w:left w:type="dxa" w:w="80"/>
              <w:bottom w:type="dxa" w:w="50"/>
              <w:right w:type="dxa" w:w="80"/>
            </w:tcMar>
          </w:tcPr>
          <w:p>
            <w:pPr>
              <w:jc w:val="center"/>
            </w:pPr>
            <w:r>
              <w:rPr>
                <w:rFonts w:ascii="Arial" w:cs="Arial" w:eastAsia="Arial" w:hAnsi="Arial"/>
                <w:b/>
                <w:bCs/>
                <w:color w:val="FFFFFF"/>
                <w:sz w:val="17"/>
                <w:szCs w:val="17"/>
              </w:rPr>
              <w:t xml:space="preserve">Production status</w:t>
            </w:r>
          </w:p>
        </w:tc>
      </w:tr>
      <w:tr>
        <w:tc>
          <w:tcPr>
            <w:tcW w:type="dxa" w:w="2800"/>
            <w:shd w:fill="FFFFFF" w:val="clear"/>
            <w:tcMar>
              <w:top w:type="dxa" w:w="50"/>
              <w:left w:type="dxa" w:w="80"/>
              <w:bottom w:type="dxa" w:w="50"/>
              <w:right w:type="dxa" w:w="80"/>
            </w:tcMar>
          </w:tcPr>
          <w:p>
            <w:r>
              <w:rPr>
                <w:rFonts w:ascii="Arial" w:cs="Arial" w:eastAsia="Arial" w:hAnsi="Arial"/>
                <w:b/>
                <w:bCs/>
                <w:sz w:val="18"/>
                <w:szCs w:val="18"/>
              </w:rPr>
              <w:t xml:space="preserve">Mumbai High (North + South) and satellites</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~0.60</w:t>
            </w:r>
          </w:p>
        </w:tc>
        <w:tc>
          <w:tcPr>
            <w:tcW w:type="dxa" w:w="2600"/>
            <w:shd w:fill="FFFFFF" w:val="clear"/>
            <w:tcMar>
              <w:top w:type="dxa" w:w="50"/>
              <w:left w:type="dxa" w:w="80"/>
              <w:bottom w:type="dxa" w:w="50"/>
              <w:right w:type="dxa" w:w="80"/>
            </w:tcMar>
          </w:tcPr>
          <w:p>
            <w:r>
              <w:rPr>
                <w:rFonts w:ascii="Arial" w:cs="Arial" w:eastAsia="Arial" w:hAnsi="Arial"/>
                <w:b w:val="false"/>
                <w:bCs w:val="false"/>
                <w:sz w:val="18"/>
                <w:szCs w:val="18"/>
              </w:rPr>
              <w:t xml:space="preserve">Mumbai High North, Mumbai High South, Bassein Gas Field, B-series platforms</w:t>
            </w:r>
          </w:p>
        </w:tc>
        <w:tc>
          <w:tcPr>
            <w:tcW w:type="dxa" w:w="4400"/>
            <w:shd w:fill="FFFFFF" w:val="clear"/>
            <w:tcMar>
              <w:top w:type="dxa" w:w="50"/>
              <w:left w:type="dxa" w:w="80"/>
              <w:bottom w:type="dxa" w:w="50"/>
              <w:right w:type="dxa" w:w="80"/>
            </w:tcMar>
          </w:tcPr>
          <w:p>
            <w:r>
              <w:rPr>
                <w:rFonts w:ascii="Arial" w:cs="Arial" w:eastAsia="Arial" w:hAnsi="Arial"/>
                <w:b w:val="false"/>
                <w:bCs w:val="false"/>
                <w:sz w:val="18"/>
                <w:szCs w:val="18"/>
              </w:rPr>
              <w:t xml:space="preserve">Primary production; late-life; infill drilling + EOR ongoing</w:t>
            </w:r>
          </w:p>
        </w:tc>
      </w:tr>
      <w:tr>
        <w:tc>
          <w:tcPr>
            <w:tcW w:type="dxa" w:w="2800"/>
            <w:shd w:fill="F5EFE0" w:val="clear"/>
            <w:tcMar>
              <w:top w:type="dxa" w:w="50"/>
              <w:left w:type="dxa" w:w="80"/>
              <w:bottom w:type="dxa" w:w="50"/>
              <w:right w:type="dxa" w:w="80"/>
            </w:tcMar>
          </w:tcPr>
          <w:p>
            <w:r>
              <w:rPr>
                <w:rFonts w:ascii="Arial" w:cs="Arial" w:eastAsia="Arial" w:hAnsi="Arial"/>
                <w:b/>
                <w:bCs/>
                <w:sz w:val="18"/>
                <w:szCs w:val="18"/>
              </w:rPr>
              <w:t xml:space="preserve">Heera / Ratna / Neelam complex</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~0.12</w:t>
            </w:r>
          </w:p>
        </w:tc>
        <w:tc>
          <w:tcPr>
            <w:tcW w:type="dxa" w:w="2600"/>
            <w:shd w:fill="F5EFE0" w:val="clear"/>
            <w:tcMar>
              <w:top w:type="dxa" w:w="50"/>
              <w:left w:type="dxa" w:w="80"/>
              <w:bottom w:type="dxa" w:w="50"/>
              <w:right w:type="dxa" w:w="80"/>
            </w:tcMar>
          </w:tcPr>
          <w:p>
            <w:r>
              <w:rPr>
                <w:rFonts w:ascii="Arial" w:cs="Arial" w:eastAsia="Arial" w:hAnsi="Arial"/>
                <w:b w:val="false"/>
                <w:bCs w:val="false"/>
                <w:sz w:val="18"/>
                <w:szCs w:val="18"/>
              </w:rPr>
              <w:t xml:space="preserve">Heera NE, Heera SW, Ratna, Neelam</w:t>
            </w:r>
          </w:p>
        </w:tc>
        <w:tc>
          <w:tcPr>
            <w:tcW w:type="dxa" w:w="4400"/>
            <w:shd w:fill="F5EFE0" w:val="clear"/>
            <w:tcMar>
              <w:top w:type="dxa" w:w="50"/>
              <w:left w:type="dxa" w:w="80"/>
              <w:bottom w:type="dxa" w:w="50"/>
              <w:right w:type="dxa" w:w="80"/>
            </w:tcMar>
          </w:tcPr>
          <w:p>
            <w:r>
              <w:rPr>
                <w:rFonts w:ascii="Arial" w:cs="Arial" w:eastAsia="Arial" w:hAnsi="Arial"/>
                <w:b w:val="false"/>
                <w:bCs w:val="false"/>
                <w:sz w:val="18"/>
                <w:szCs w:val="18"/>
              </w:rPr>
              <w:t xml:space="preserve">Mature; water flooding applied</w:t>
            </w:r>
          </w:p>
        </w:tc>
      </w:tr>
      <w:tr>
        <w:tc>
          <w:tcPr>
            <w:tcW w:type="dxa" w:w="2800"/>
            <w:shd w:fill="FFFFFF" w:val="clear"/>
            <w:tcMar>
              <w:top w:type="dxa" w:w="50"/>
              <w:left w:type="dxa" w:w="80"/>
              <w:bottom w:type="dxa" w:w="50"/>
              <w:right w:type="dxa" w:w="80"/>
            </w:tcMar>
          </w:tcPr>
          <w:p>
            <w:r>
              <w:rPr>
                <w:rFonts w:ascii="Arial" w:cs="Arial" w:eastAsia="Arial" w:hAnsi="Arial"/>
                <w:b/>
                <w:bCs/>
                <w:sz w:val="18"/>
                <w:szCs w:val="18"/>
              </w:rPr>
              <w:t xml:space="preserve">Gujarat Offshore (Khambhat, Gulf of Kutch)</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~0.08</w:t>
            </w:r>
          </w:p>
        </w:tc>
        <w:tc>
          <w:tcPr>
            <w:tcW w:type="dxa" w:w="2600"/>
            <w:shd w:fill="FFFFFF" w:val="clear"/>
            <w:tcMar>
              <w:top w:type="dxa" w:w="50"/>
              <w:left w:type="dxa" w:w="80"/>
              <w:bottom w:type="dxa" w:w="50"/>
              <w:right w:type="dxa" w:w="80"/>
            </w:tcMar>
          </w:tcPr>
          <w:p>
            <w:r>
              <w:rPr>
                <w:rFonts w:ascii="Arial" w:cs="Arial" w:eastAsia="Arial" w:hAnsi="Arial"/>
                <w:b w:val="false"/>
                <w:bCs w:val="false"/>
                <w:sz w:val="18"/>
                <w:szCs w:val="18"/>
              </w:rPr>
              <w:t xml:space="preserve">Aliya, Lakshmi, Gauri</w:t>
            </w:r>
          </w:p>
        </w:tc>
        <w:tc>
          <w:tcPr>
            <w:tcW w:type="dxa" w:w="4400"/>
            <w:shd w:fill="FFFFFF" w:val="clear"/>
            <w:tcMar>
              <w:top w:type="dxa" w:w="50"/>
              <w:left w:type="dxa" w:w="80"/>
              <w:bottom w:type="dxa" w:w="50"/>
              <w:right w:type="dxa" w:w="80"/>
            </w:tcMar>
          </w:tcPr>
          <w:p>
            <w:r>
              <w:rPr>
                <w:rFonts w:ascii="Arial" w:cs="Arial" w:eastAsia="Arial" w:hAnsi="Arial"/>
                <w:b w:val="false"/>
                <w:bCs w:val="false"/>
                <w:sz w:val="18"/>
                <w:szCs w:val="18"/>
              </w:rPr>
              <w:t xml:space="preserve">Small producer; declining</w:t>
            </w:r>
          </w:p>
        </w:tc>
      </w:tr>
      <w:tr>
        <w:tc>
          <w:tcPr>
            <w:tcW w:type="dxa" w:w="2800"/>
            <w:shd w:fill="F5EFE0" w:val="clear"/>
            <w:tcMar>
              <w:top w:type="dxa" w:w="50"/>
              <w:left w:type="dxa" w:w="80"/>
              <w:bottom w:type="dxa" w:w="50"/>
              <w:right w:type="dxa" w:w="80"/>
            </w:tcMar>
          </w:tcPr>
          <w:p>
            <w:r>
              <w:rPr>
                <w:rFonts w:ascii="Arial" w:cs="Arial" w:eastAsia="Arial" w:hAnsi="Arial"/>
                <w:b/>
                <w:bCs/>
                <w:sz w:val="18"/>
                <w:szCs w:val="18"/>
              </w:rPr>
              <w:t xml:space="preserve">W.Coast frontier / deep exploration</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~0.25</w:t>
            </w:r>
          </w:p>
        </w:tc>
        <w:tc>
          <w:tcPr>
            <w:tcW w:type="dxa" w:w="2600"/>
            <w:shd w:fill="F5EFE0" w:val="clear"/>
            <w:tcMar>
              <w:top w:type="dxa" w:w="50"/>
              <w:left w:type="dxa" w:w="80"/>
              <w:bottom w:type="dxa" w:w="50"/>
              <w:right w:type="dxa" w:w="80"/>
            </w:tcMar>
          </w:tcPr>
          <w:p>
            <w:r>
              <w:rPr>
                <w:rFonts w:ascii="Arial" w:cs="Arial" w:eastAsia="Arial" w:hAnsi="Arial"/>
                <w:b w:val="false"/>
                <w:bCs w:val="false"/>
                <w:sz w:val="18"/>
                <w:szCs w:val="18"/>
              </w:rPr>
              <w:t xml:space="preserve">Saurashtra, Kerala-Konkan, Lakshadweep frontier blocks</w:t>
            </w:r>
          </w:p>
        </w:tc>
        <w:tc>
          <w:tcPr>
            <w:tcW w:type="dxa" w:w="4400"/>
            <w:shd w:fill="F5EFE0" w:val="clear"/>
            <w:tcMar>
              <w:top w:type="dxa" w:w="50"/>
              <w:left w:type="dxa" w:w="80"/>
              <w:bottom w:type="dxa" w:w="50"/>
              <w:right w:type="dxa" w:w="80"/>
            </w:tcMar>
          </w:tcPr>
          <w:p>
            <w:r>
              <w:rPr>
                <w:rFonts w:ascii="Arial" w:cs="Arial" w:eastAsia="Arial" w:hAnsi="Arial"/>
                <w:b w:val="false"/>
                <w:bCs w:val="false"/>
                <w:sz w:val="18"/>
                <w:szCs w:val="18"/>
              </w:rPr>
              <w:t xml:space="preserve">Exploration stage; minimal wells</w:t>
            </w:r>
          </w:p>
        </w:tc>
      </w:tr>
      <w:tr>
        <w:tc>
          <w:tcPr>
            <w:tcW w:type="dxa" w:w="2800"/>
            <w:shd w:fill="FFFFFF" w:val="clear"/>
            <w:tcMar>
              <w:top w:type="dxa" w:w="50"/>
              <w:left w:type="dxa" w:w="80"/>
              <w:bottom w:type="dxa" w:w="50"/>
              <w:right w:type="dxa" w:w="80"/>
            </w:tcMar>
          </w:tcPr>
          <w:p>
            <w:r>
              <w:rPr>
                <w:rFonts w:ascii="Arial" w:cs="Arial" w:eastAsia="Arial" w:hAnsi="Arial"/>
                <w:b/>
                <w:bCs/>
                <w:sz w:val="18"/>
                <w:szCs w:val="18"/>
              </w:rPr>
              <w:t xml:space="preserve">ONGC Eastern Offshore nomination</w:t>
            </w:r>
          </w:p>
        </w:tc>
        <w:tc>
          <w:tcPr>
            <w:tcW w:type="dxa" w:w="2000"/>
            <w:shd w:fill="FFFFFF" w:val="clear"/>
            <w:tcMar>
              <w:top w:type="dxa" w:w="50"/>
              <w:left w:type="dxa" w:w="80"/>
              <w:bottom w:type="dxa" w:w="50"/>
              <w:right w:type="dxa" w:w="80"/>
            </w:tcMar>
          </w:tcPr>
          <w:p>
            <w:r>
              <w:rPr>
                <w:rFonts w:ascii="Arial" w:cs="Arial" w:eastAsia="Arial" w:hAnsi="Arial"/>
                <w:b w:val="false"/>
                <w:bCs w:val="false"/>
                <w:sz w:val="18"/>
                <w:szCs w:val="18"/>
              </w:rPr>
              <w:t xml:space="preserve">~0.06</w:t>
            </w:r>
          </w:p>
        </w:tc>
        <w:tc>
          <w:tcPr>
            <w:tcW w:type="dxa" w:w="2600"/>
            <w:shd w:fill="FFFFFF" w:val="clear"/>
            <w:tcMar>
              <w:top w:type="dxa" w:w="50"/>
              <w:left w:type="dxa" w:w="80"/>
              <w:bottom w:type="dxa" w:w="50"/>
              <w:right w:type="dxa" w:w="80"/>
            </w:tcMar>
          </w:tcPr>
          <w:p>
            <w:r>
              <w:rPr>
                <w:rFonts w:ascii="Arial" w:cs="Arial" w:eastAsia="Arial" w:hAnsi="Arial"/>
                <w:b w:val="false"/>
                <w:bCs w:val="false"/>
                <w:sz w:val="18"/>
                <w:szCs w:val="18"/>
              </w:rPr>
              <w:t xml:space="preserve">NEC-DWN (Andaman Sea), NEC onshore-adjacent</w:t>
            </w:r>
          </w:p>
        </w:tc>
        <w:tc>
          <w:tcPr>
            <w:tcW w:type="dxa" w:w="4400"/>
            <w:shd w:fill="FFFFFF" w:val="clear"/>
            <w:tcMar>
              <w:top w:type="dxa" w:w="50"/>
              <w:left w:type="dxa" w:w="80"/>
              <w:bottom w:type="dxa" w:w="50"/>
              <w:right w:type="dxa" w:w="80"/>
            </w:tcMar>
          </w:tcPr>
          <w:p>
            <w:r>
              <w:rPr>
                <w:rFonts w:ascii="Arial" w:cs="Arial" w:eastAsia="Arial" w:hAnsi="Arial"/>
                <w:b w:val="false"/>
                <w:bCs w:val="false"/>
                <w:sz w:val="18"/>
                <w:szCs w:val="18"/>
              </w:rPr>
              <w:t xml:space="preserve">Early exploration</w:t>
            </w:r>
          </w:p>
        </w:tc>
      </w:tr>
      <w:tr>
        <w:tc>
          <w:tcPr>
            <w:tcW w:type="dxa" w:w="2800"/>
            <w:shd w:fill="F5EFE0" w:val="clear"/>
            <w:tcMar>
              <w:top w:type="dxa" w:w="50"/>
              <w:left w:type="dxa" w:w="80"/>
              <w:bottom w:type="dxa" w:w="50"/>
              <w:right w:type="dxa" w:w="80"/>
            </w:tcMar>
          </w:tcPr>
          <w:p>
            <w:r>
              <w:rPr>
                <w:rFonts w:ascii="Arial" w:cs="Arial" w:eastAsia="Arial" w:hAnsi="Arial"/>
                <w:b/>
                <w:bCs/>
                <w:sz w:val="18"/>
                <w:szCs w:val="18"/>
              </w:rPr>
              <w:t xml:space="preserve">TOTAL offshore nomination (ONGC)</w:t>
            </w:r>
          </w:p>
        </w:tc>
        <w:tc>
          <w:tcPr>
            <w:tcW w:type="dxa" w:w="2000"/>
            <w:shd w:fill="F5EFE0" w:val="clear"/>
            <w:tcMar>
              <w:top w:type="dxa" w:w="50"/>
              <w:left w:type="dxa" w:w="80"/>
              <w:bottom w:type="dxa" w:w="50"/>
              <w:right w:type="dxa" w:w="80"/>
            </w:tcMar>
          </w:tcPr>
          <w:p>
            <w:r>
              <w:rPr>
                <w:rFonts w:ascii="Arial" w:cs="Arial" w:eastAsia="Arial" w:hAnsi="Arial"/>
                <w:b w:val="false"/>
                <w:bCs w:val="false"/>
                <w:sz w:val="18"/>
                <w:szCs w:val="18"/>
              </w:rPr>
              <w:t xml:space="preserve">~1.11</w:t>
            </w:r>
          </w:p>
        </w:tc>
        <w:tc>
          <w:tcPr>
            <w:tcW w:type="dxa" w:w="2600"/>
            <w:shd w:fill="F5EFE0" w:val="clear"/>
            <w:tcMar>
              <w:top w:type="dxa" w:w="50"/>
              <w:left w:type="dxa" w:w="80"/>
              <w:bottom w:type="dxa" w:w="50"/>
              <w:right w:type="dxa" w:w="80"/>
            </w:tcMar>
          </w:tcPr>
          <w:p>
            <w:r>
              <w:rPr>
                <w:rFonts w:ascii="Arial" w:cs="Arial" w:eastAsia="Arial" w:hAnsi="Arial"/>
                <w:b w:val="false"/>
                <w:bCs w:val="false"/>
                <w:sz w:val="18"/>
                <w:szCs w:val="18"/>
              </w:rPr>
              <w:t xml:space="preserve">—</w:t>
            </w:r>
          </w:p>
        </w:tc>
        <w:tc>
          <w:tcPr>
            <w:tcW w:type="dxa" w:w="4400"/>
            <w:shd w:fill="F5EFE0" w:val="clear"/>
            <w:tcMar>
              <w:top w:type="dxa" w:w="50"/>
              <w:left w:type="dxa" w:w="80"/>
              <w:bottom w:type="dxa" w:w="50"/>
              <w:right w:type="dxa" w:w="80"/>
            </w:tcMar>
          </w:tcPr>
          <w:p>
            <w:r>
              <w:rPr>
                <w:rFonts w:ascii="Arial" w:cs="Arial" w:eastAsia="Arial" w:hAnsi="Arial"/>
                <w:b w:val="false"/>
                <w:bCs w:val="false"/>
                <w:sz w:val="18"/>
                <w:szCs w:val="18"/>
              </w:rPr>
              <w:t xml:space="preserve">—</w:t>
            </w:r>
          </w:p>
        </w:tc>
      </w:tr>
    </w:tbl>
    <w:p>
      <w:pPr>
        <w:spacing w:after="55"/>
      </w:pPr>
      <w:r>
        <w:rPr>
          <w:rFonts w:ascii="Arial" w:cs="Arial" w:eastAsia="Arial" w:hAnsi="Arial"/>
          <w:i/>
          <w:iCs/>
          <w:color w:val="666666"/>
          <w:sz w:val="16"/>
          <w:szCs w:val="16"/>
        </w:rPr>
        <w:t xml:space="preserve">Note: ONGC's offshore nomination total shown as ~1.11 due to rounding of cluster estimates; the precise figure per ONGC Annual Report FY24 is ~1.05 lakh sq km. Mumbai High North &amp; South basin area (block boundary, not field surface footprint) is the single largest component.</w:t>
      </w:r>
    </w:p>
    <w:p>
      <w:pPr>
        <w:spacing w:after="120"/>
      </w:pPr>
    </w:p>
    <w:p>
      <w:pPr>
        <w:pStyle w:val="Heading2"/>
        <w:spacing w:after="80" w:before="180"/>
      </w:pPr>
      <w:r>
        <w:rPr>
          <w:rFonts w:ascii="Arial" w:cs="Arial" w:eastAsia="Arial" w:hAnsi="Arial"/>
          <w:b/>
          <w:bCs/>
          <w:color w:val="1B2A4A"/>
          <w:sz w:val="22"/>
          <w:szCs w:val="22"/>
        </w:rPr>
        <w:t xml:space="preserve">3.4 Key Observations on the Onshore / Offshore Split</w:t>
      </w:r>
    </w:p>
    <w:p>
      <w:pPr>
        <w:spacing w:after="100"/>
        <w:jc w:val="both"/>
      </w:pPr>
      <w:r>
        <w:rPr>
          <w:rFonts w:ascii="Arial" w:cs="Arial" w:eastAsia="Arial" w:hAnsi="Arial"/>
          <w:sz w:val="20"/>
          <w:szCs w:val="20"/>
        </w:rPr>
        <w:t xml:space="preserve">1. INDIA'S ACTIVE UPSTREAM ACREAGE IS PREDOMINANTLY ONSHORE (69%). Despite offshore areas producing a larger share of oil (&gt;50%) and dominating gas growth (KG deepwater), the majority of licensed block area is onland — reflecting the vast but thinly explored onland sedimentary basins of Rajasthan, northeast India, and frontier areas like the Vindhyan and Deccan Syneclise.</w:t>
      </w:r>
    </w:p>
    <w:p>
      <w:pPr>
        <w:spacing w:after="100"/>
        <w:jc w:val="both"/>
      </w:pPr>
      <w:r>
        <w:rPr>
          <w:rFonts w:ascii="Arial" w:cs="Arial" w:eastAsia="Arial" w:hAnsi="Arial"/>
          <w:sz w:val="20"/>
          <w:szCs w:val="20"/>
        </w:rPr>
        <w:t xml:space="preserve">2. ONGC DOMINATES OFFSHORE ABSOLUTELY. ONGC holds 89.5% of all active offshore acreage in India (1.56 of 1.74 lakh sq km). The only significant non-ONGC offshore acreage is RIL/bp's KG-D6 (0.076 lakh sq km), the most productive gas block in the country. India's entire private offshore holding is a fraction of ONGC's.</w:t>
      </w:r>
    </w:p>
    <w:p>
      <w:pPr>
        <w:spacing w:after="100"/>
        <w:jc w:val="both"/>
      </w:pPr>
      <w:r>
        <w:rPr>
          <w:rFonts w:ascii="Arial" w:cs="Arial" w:eastAsia="Arial" w:hAnsi="Arial"/>
          <w:sz w:val="20"/>
          <w:szCs w:val="20"/>
        </w:rPr>
        <w:t xml:space="preserve">3. OIL INDIA IS ENTIRELY AN ONSHORE OPERATOR. OIL India's 0.95 lakh sq km is 97% onshore — making it structurally different from ONGC. Its expertise, infrastructure, and growth opportunities (OALP in NE frontier) are all land-based.</w:t>
      </w:r>
    </w:p>
    <w:p>
      <w:pPr>
        <w:spacing w:after="100"/>
        <w:jc w:val="both"/>
      </w:pPr>
      <w:r>
        <w:rPr>
          <w:rFonts w:ascii="Arial" w:cs="Arial" w:eastAsia="Arial" w:hAnsi="Arial"/>
          <w:sz w:val="20"/>
          <w:szCs w:val="20"/>
        </w:rPr>
        <w:t xml:space="preserve">4. THE KG-D6 ANOMALY. RIL/bp's KG-DWN-98/3 is the smallest block by area (0.076 lakh sq km, just 1.3% of all active area) yet produces ~30% of India's natural gas and is the country's fastest-growing basin. This illustrates a fundamental feature of deepwater petroleum economics: small but extremely high-productivity blocks.</w:t>
      </w:r>
    </w:p>
    <w:p>
      <w:pPr>
        <w:spacing w:after="100"/>
        <w:jc w:val="both"/>
      </w:pPr>
      <w:r>
        <w:rPr>
          <w:rFonts w:ascii="Arial" w:cs="Arial" w:eastAsia="Arial" w:hAnsi="Arial"/>
          <w:sz w:val="20"/>
          <w:szCs w:val="20"/>
        </w:rPr>
        <w:t xml:space="preserve">5. OFFSHORE EEZ EXPANSION WILL TRANSFORM THE RATIO. DGH 2024-25 reports that ~10 lakh sq km of EEZ is being opened for exploration. If OALP rounds successfully award these offshore blocks, the onshore/offshore ratio would shift dramatically toward offshore — potentially reversing the current 69:31 split within a decade.</w:t>
      </w:r>
    </w:p>
    <w:p>
      <w:pPr>
        <w:pBdr>
          <w:bottom w:val="single" w:color="C9A227" w:sz="6"/>
        </w:pBdr>
        <w:spacing w:after="100"/>
      </w:pPr>
    </w:p>
    <w:p>
      <w:pPr>
        <w:spacing w:after="55"/>
      </w:pPr>
      <w:r>
        <w:rPr>
          <w:rFonts w:ascii="Arial" w:cs="Arial" w:eastAsia="Arial" w:hAnsi="Arial"/>
          <w:i/>
          <w:iCs/>
          <w:color w:val="666666"/>
          <w:sz w:val="16"/>
          <w:szCs w:val="16"/>
        </w:rPr>
        <w:t xml:space="preserve">Report sources: (1) DGH India Hydrocarbon Outlook 2024-25, 32nd Edition (uploaded); (2) PPAC Ready Reckoner FY 2024-25 H1 (uploaded) — Table 2.5A state-wise crude production (onshore states + offshore clusters), Table 3.5A state-wise gas production; (3) ONGC Annual Report FY 2023-24 (geographic area segmentation); (4) OIL Annual Report FY 2023-24 (all acreage stated as onshore NE India); (5) DGH Block Registry documentation for individual PSC blocks (KG-DWN-98/3, NEC-OSN, CY-DWN, RJ-ON-90/1, CB-ONN, PY-ONN areas); (6) DGH OALP rounds I–X documentation (block locations onland vs offshore).</w:t>
      </w:r>
    </w:p>
    <w:sectPr>
      <w:pgSz w:w="15840" w:h="12240" w:orient="portrait"/>
      <w:pgMar w:top="720" w:right="72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2026-07-05T08:19:10.726Z</dcterms:created>
  <dcterms:modified xsi:type="dcterms:W3CDTF">2026-07-05T08:19:10.726Z</dcterms:modified>
</cp:coreProperties>
</file>

<file path=docProps/custom.xml><?xml version="1.0" encoding="utf-8"?>
<Properties xmlns="http://schemas.openxmlformats.org/officeDocument/2006/custom-properties" xmlns:vt="http://schemas.openxmlformats.org/officeDocument/2006/docPropsVTypes"/>
</file>