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00"/>
        <w:jc w:val="center"/>
      </w:pPr>
      <w:r>
        <w:rPr>
          <w:rFonts w:ascii="Arial" w:cs="Arial" w:eastAsia="Arial" w:hAnsi="Arial"/>
          <w:b/>
          <w:bCs/>
          <w:color w:val="2E5339"/>
          <w:sz w:val="52"/>
          <w:szCs w:val="52"/>
        </w:rPr>
        <w:t xml:space="preserve">OILFIELD LAND REUSE IN INDIA</w:t>
      </w:r>
    </w:p>
    <w:p>
      <w:pPr>
        <w:spacing w:after="70"/>
        <w:jc w:val="center"/>
      </w:pPr>
      <w:r>
        <w:rPr>
          <w:rFonts w:ascii="Arial" w:cs="Arial" w:eastAsia="Arial" w:hAnsi="Arial"/>
          <w:i/>
          <w:iCs/>
          <w:color w:val="C9A227"/>
          <w:sz w:val="24"/>
          <w:szCs w:val="24"/>
        </w:rPr>
        <w:t xml:space="preserve">Legal Framework for Solar, Wind, Biogas, Ethanol &amp; Other Projects on Petroleum Lease Areas</w:t>
      </w:r>
    </w:p>
    <w:p>
      <w:pPr>
        <w:spacing w:after="50"/>
        <w:jc w:val="center"/>
      </w:pPr>
      <w:r>
        <w:rPr>
          <w:rFonts w:ascii="Arial" w:cs="Arial" w:eastAsia="Arial" w:hAnsi="Arial"/>
          <w:color w:val="555555"/>
          <w:sz w:val="18"/>
          <w:szCs w:val="18"/>
        </w:rPr>
        <w:t xml:space="preserve">Based on: ORDA 2025 | PNG Rules 2025 | DGH India Hydrocarbon Outlook 2024-25 | MoPNG Policy</w:t>
      </w:r>
    </w:p>
    <w:p>
      <w:pPr>
        <w:spacing w:after="60"/>
        <w:jc w:val="center"/>
      </w:pPr>
      <w:r>
        <w:rPr>
          <w:rFonts w:ascii="Arial" w:cs="Arial" w:eastAsia="Arial" w:hAnsi="Arial"/>
          <w:color w:val="888888"/>
          <w:sz w:val="17"/>
          <w:szCs w:val="17"/>
        </w:rPr>
        <w:t xml:space="preserve">Effective law as of July 2026</w:t>
      </w:r>
    </w:p>
    <w:p>
      <w:pPr>
        <w:pBdr>
          <w:bottom w:val="single" w:color="C9A227" w:sz="6"/>
        </w:pBdr>
        <w:spacing w:after="100"/>
      </w:pPr>
    </w:p>
    <w:p>
      <w:pPr>
        <w:pStyle w:val="Heading1"/>
        <w:spacing w:after="130" w:before="320"/>
      </w:pPr>
      <w:r>
        <w:rPr>
          <w:rFonts w:ascii="Arial" w:cs="Arial" w:eastAsia="Arial" w:hAnsi="Arial"/>
          <w:b/>
          <w:bCs/>
          <w:color w:val="2E5339"/>
          <w:sz w:val="26"/>
          <w:szCs w:val="26"/>
        </w:rPr>
        <w:t xml:space="preserve">1. The Short Answer: Yes — But Three Distinct Legal Tracks Apply</w:t>
      </w:r>
    </w:p>
    <w:p>
      <w:pPr>
        <w:spacing w:after="100"/>
        <w:jc w:val="both"/>
      </w:pPr>
      <w:r>
        <w:rPr>
          <w:rFonts w:ascii="Arial" w:cs="Arial" w:eastAsia="Arial" w:hAnsi="Arial"/>
          <w:sz w:val="20"/>
          <w:szCs w:val="20"/>
        </w:rPr>
        <w:t xml:space="preserve">As of 15 April 2025 (when the Oilfields (Regulation and Development) Amendment Act, 2025 came into force), India's law explicitly and unambiguously permits solar, wind, hydrogen, geothermal and other renewable energy projects on oilfield land — within, alongside, and even after the petroleum lease expires. The Petroleum and Natural Gas Rules, 2025 (notified 9 December 2025) operationalise this permission with procedural requirements. This is a landmark change from the pre-2025 position, where such co-location was legally ambiguous and commercially impractical.</w:t>
      </w:r>
    </w:p>
    <w:p>
      <w:pPr>
        <w:spacing w:after="100"/>
        <w:jc w:val="both"/>
      </w:pPr>
      <w:r>
        <w:rPr>
          <w:rFonts w:ascii="Arial" w:cs="Arial" w:eastAsia="Arial" w:hAnsi="Arial"/>
          <w:sz w:val="20"/>
          <w:szCs w:val="20"/>
        </w:rPr>
        <w:t xml:space="preserve">However, the answer differs significantly depending on which of three land-tenure situations applies: (A) active petroleum lease area held by the operator, (B) land within a petroleum block but where the operator has relinquished surface rights, and (C) land on which the petroleum lease has expired or been surrendered. The key distinction — which often surprises — is that petroleum lease holders do not own the land. Title remains with the Union of India (offshore) or the relevant State Government (onland). This creates specific legal constraints on what can be done, by whom, and under what approvals.</w:t>
      </w:r>
    </w:p>
    <w:p>
      <w:pPr>
        <w:spacing w:after="1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2400"/>
      </w:tblGrid>
      <w:tr>
        <w:trPr>
          <w:tblHeader/>
        </w:trPr>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Use case / Project type</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On active petroleum lease land (co-located)</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On relinquished / expired lease land</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Primary legal authority</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Solar (ground-mounted PV)</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ORDA 2025 s.6(q); PNG Rules 2025</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Wind energy</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ORDA 2025 s.6(q); PNG Rules 2025</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Green hydrogen production</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ORDA 2025; National Green Hydrogen Mission</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Geothermal energy</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PNG Rules 2025 Rule on comprehensive energy projects</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Biogas / CBG (from crop/waste)</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SATAT 2018; PNGRB CBG blending regulations (proposed)</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Ethanol production (on oilfield land)</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DFPD IS Scheme; Ethanol Blended Petrol Programme; separate land/licence needed</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Carbon capture &amp; storage (CCUS)</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ORDA 2025 s.6; PNG Rules 2025 (GHG chapter)</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Agrivoltaic (solar + farming)</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PNG Rules 2025; State land laws</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Abandoned well decommissioning / repurpose</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PNG Rules 2025 (decommissioning chapter)</w:t>
            </w:r>
          </w:p>
        </w:tc>
      </w:tr>
    </w:tbl>
    <w:p>
      <w:pPr>
        <w:spacing w:after="55"/>
      </w:pPr>
      <w:r>
        <w:rPr>
          <w:rFonts w:ascii="Arial" w:cs="Arial" w:eastAsia="Arial" w:hAnsi="Arial"/>
          <w:i/>
          <w:iCs/>
          <w:color w:val="666666"/>
          <w:sz w:val="16"/>
          <w:szCs w:val="16"/>
        </w:rPr>
        <w:t xml:space="preserve">Sources: ORDA 2025 (Section 6(q)); PNG Rules 2025 (notified 9 Dec 2025, Rule on comprehensive energy projects and GHG chapter); SCC Online 14 Mar 2026 (analysis); Chambers &amp; Partners India Oil, Gas &amp; Renewables 2025; SATAT scheme MoPNG 2018; DFPD IS Scheme (ethanol). "Active petroleum lease land" = land covered by a current petroleum lease (PEL/PML/new unified PL).</w:t>
      </w:r>
    </w:p>
    <w:p>
      <w:r>
        <w:br w:type="page"/>
      </w:r>
    </w:p>
    <w:p>
      <w:pPr>
        <w:pStyle w:val="Heading1"/>
        <w:spacing w:after="130" w:before="320"/>
      </w:pPr>
      <w:r>
        <w:rPr>
          <w:rFonts w:ascii="Arial" w:cs="Arial" w:eastAsia="Arial" w:hAnsi="Arial"/>
          <w:b/>
          <w:bCs/>
          <w:color w:val="2E5339"/>
          <w:sz w:val="26"/>
          <w:szCs w:val="26"/>
        </w:rPr>
        <w:t xml:space="preserve">2. What the Law Now Says: The ORDA 2025 and PNG Rules 2025 Framework</w:t>
      </w:r>
    </w:p>
    <w:p>
      <w:pPr>
        <w:pStyle w:val="Heading2"/>
        <w:spacing w:after="90" w:before="200"/>
      </w:pPr>
      <w:r>
        <w:rPr>
          <w:rFonts w:ascii="Arial" w:cs="Arial" w:eastAsia="Arial" w:hAnsi="Arial"/>
          <w:b/>
          <w:bCs/>
          <w:color w:val="1B2A4A"/>
          <w:sz w:val="22"/>
          <w:szCs w:val="22"/>
        </w:rPr>
        <w:t xml:space="preserve">2.1 The Statutory Permission — ORDA 2025 Section 6(q)</w:t>
      </w:r>
    </w:p>
    <w:p>
      <w:pPr>
        <w:spacing w:after="100"/>
        <w:jc w:val="both"/>
      </w:pPr>
      <w:r>
        <w:rPr>
          <w:rFonts w:ascii="Arial" w:cs="Arial" w:eastAsia="Arial" w:hAnsi="Arial"/>
          <w:sz w:val="20"/>
          <w:szCs w:val="20"/>
        </w:rPr>
        <w:t xml:space="preserve">The Oilfields (Regulation and Development) Amendment Act, 2025 — which received Presidential assent on 28 March 2025 and came into force on 15 April 2025 — inserts a new Section 6(q) into the parent Act, empowering the Central Government to make rules to:</w:t>
      </w:r>
    </w:p>
    <w:p>
      <w:pPr>
        <w:spacing w:after="100"/>
        <w:jc w:val="both"/>
      </w:pPr>
      <w:r>
        <w:rPr>
          <w:rFonts w:ascii="Arial" w:cs="Arial" w:eastAsia="Arial" w:hAnsi="Arial"/>
          <w:sz w:val="20"/>
          <w:szCs w:val="20"/>
        </w:rPr>
        <w:t xml:space="preserve">"promote and facilitate development of comprehensive energy projects at oilfields, including planning, development, installation, sharing and use of infrastructure for carrying out mineral oil operations and solar, wind or other form of renewable energy projects."</w:t>
      </w:r>
    </w:p>
    <w:p>
      <w:pPr>
        <w:spacing w:after="100"/>
        <w:jc w:val="both"/>
      </w:pPr>
      <w:r>
        <w:rPr>
          <w:rFonts w:ascii="Arial" w:cs="Arial" w:eastAsia="Arial" w:hAnsi="Arial"/>
          <w:sz w:val="20"/>
          <w:szCs w:val="20"/>
        </w:rPr>
        <w:t xml:space="preserve">This is the primary statutory hook. It is not a permission to a specific company; it is an enabling provision that allows the Central Government to create a regulatory framework — which it then did through the PNG Rules 2025. The phrase "or other form of renewable energy" is deliberately open-ended and covers hydrogen, geothermal, and any future renewable technology.</w:t>
      </w:r>
    </w:p>
    <w:p>
      <w:pPr>
        <w:spacing w:after="100"/>
      </w:pPr>
    </w:p>
    <w:p>
      <w:pPr>
        <w:pStyle w:val="Heading2"/>
        <w:spacing w:after="90" w:before="200"/>
      </w:pPr>
      <w:r>
        <w:rPr>
          <w:rFonts w:ascii="Arial" w:cs="Arial" w:eastAsia="Arial" w:hAnsi="Arial"/>
          <w:b/>
          <w:bCs/>
          <w:color w:val="1B2A4A"/>
          <w:sz w:val="22"/>
          <w:szCs w:val="22"/>
        </w:rPr>
        <w:t xml:space="preserve">2.2 The Operational Framework — PNG Rules 2025 (Notified 9 December 2025)</w:t>
      </w:r>
    </w:p>
    <w:p>
      <w:pPr>
        <w:spacing w:after="100"/>
        <w:jc w:val="both"/>
      </w:pPr>
      <w:r>
        <w:rPr>
          <w:rFonts w:ascii="Arial" w:cs="Arial" w:eastAsia="Arial" w:hAnsi="Arial"/>
          <w:sz w:val="20"/>
          <w:szCs w:val="20"/>
        </w:rPr>
        <w:t xml:space="preserve">The Petroleum and Natural Gas Rules, 2025 replace the 1959 framework entirely. The key provisions for land reuse are: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800"/>
      </w:tblGrid>
      <w:tr>
        <w:trPr>
          <w:tblHeader/>
        </w:trPr>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PNG Rules 2025 provision</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What it enables</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Key condition / constraint</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Rule on comprehensive energy projects</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Lessees may develop solar, wind, hydrogen and geothermal projects within the same lease area</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Lessee must submit a Development Plan to DGH showing how renewable project operates alongside petroleum activities without compromising safety or production</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Rule on post-lease renewable projects</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Renewable/alternative energy projects allowed even BEYOND the term of the petroleum lease</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Requires separate regulatory approvals once petroleum lease expires; land reverts to State/Centre title</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GHG emissions chapter (Rules 37-42)</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Mandates GHG monitoring, flaring caps (0.5% of monthly production), permits GHG injection and carbon storage</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Mandatory compliance; not optional; creates pathway for CCUS at oilfields</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Infrastructure sharing</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Lessees must declare installed/utilised/excess infrastructure capacity annually; third-party access on mutual agreement</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Subject to Central Government oversight; pipeline and processing infrastructure shareable with renewable projects</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Decommissioning</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Time-bound abandonment and site restoration plan required for all wells; well plugging mandatory</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Site restoration opens land for post-petroleum use; DGH must certify restoration before relinquishment</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Unified petroleum lease (PL)</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Single lease replaces PEL + PML; covers exploration, development, production, and related renewable activities</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Renewable component must be ancillary to petroleum operations while lease is active</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Lease term</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Up to 30 years initial; extendable to economic life of the field</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Renewable project duration can align with or outlast the petroleum lease term</w:t>
            </w:r>
          </w:p>
        </w:tc>
      </w:tr>
    </w:tbl>
    <w:p>
      <w:pPr>
        <w:spacing w:after="55"/>
      </w:pPr>
      <w:r>
        <w:rPr>
          <w:rFonts w:ascii="Arial" w:cs="Arial" w:eastAsia="Arial" w:hAnsi="Arial"/>
          <w:i/>
          <w:iCs/>
          <w:color w:val="666666"/>
          <w:sz w:val="16"/>
          <w:szCs w:val="16"/>
        </w:rPr>
        <w:t xml:space="preserve">Source: PNG Rules 2025, notified by MoP&amp;NG on 9 December 2025 (draft available; final notified). Analysis per SCC Online (March 2026), Lexology (July 2025), and Bureaucratsindia.in (July 2025).</w:t>
      </w:r>
    </w:p>
    <w:p>
      <w:pPr>
        <w:spacing w:after="120"/>
      </w:pPr>
    </w:p>
    <w:p>
      <w:pPr>
        <w:pStyle w:val="Heading2"/>
        <w:spacing w:after="90" w:before="200"/>
      </w:pPr>
      <w:r>
        <w:rPr>
          <w:rFonts w:ascii="Arial" w:cs="Arial" w:eastAsia="Arial" w:hAnsi="Arial"/>
          <w:b/>
          <w:bCs/>
          <w:color w:val="1B2A4A"/>
          <w:sz w:val="22"/>
          <w:szCs w:val="22"/>
        </w:rPr>
        <w:t xml:space="preserve">2.3 The Critical Land-Title Constraint</w:t>
      </w:r>
    </w:p>
    <w:p>
      <w:pPr>
        <w:spacing w:after="100"/>
        <w:jc w:val="both"/>
      </w:pPr>
      <w:r>
        <w:rPr>
          <w:rFonts w:ascii="Arial" w:cs="Arial" w:eastAsia="Arial" w:hAnsi="Arial"/>
          <w:sz w:val="20"/>
          <w:szCs w:val="20"/>
        </w:rPr>
        <w:t xml:space="preserve">The single most important legal constraint is this: petroleum lease holders do not own the land. Title to the surface (and all subsurface resources) remains with either the State Government (onland) or the Union of India (offshore). This has three practical consequences:</w:t>
      </w:r>
    </w:p>
    <w:p>
      <w:pPr>
        <w:pStyle w:val="ListParagraph"/>
        <w:numPr>
          <w:ilvl w:val="0"/>
          <w:numId w:val="2"/>
        </w:numPr>
        <w:spacing w:after="70"/>
      </w:pPr>
      <w:r>
        <w:rPr>
          <w:rFonts w:ascii="Arial" w:cs="Arial" w:eastAsia="Arial" w:hAnsi="Arial"/>
          <w:sz w:val="20"/>
          <w:szCs w:val="20"/>
        </w:rPr>
        <w:t xml:space="preserve">Co-located renewable projects on active lease land require the petroleum lessee's own initiative — a third party cannot enter the lease area and build a solar farm without the petroleum operator's consent and DGH approval.</w:t>
      </w:r>
    </w:p>
    <w:p>
      <w:pPr>
        <w:pStyle w:val="ListParagraph"/>
        <w:numPr>
          <w:ilvl w:val="0"/>
          <w:numId w:val="2"/>
        </w:numPr>
        <w:spacing w:after="70"/>
      </w:pPr>
      <w:r>
        <w:rPr>
          <w:rFonts w:ascii="Arial" w:cs="Arial" w:eastAsia="Arial" w:hAnsi="Arial"/>
          <w:sz w:val="20"/>
          <w:szCs w:val="20"/>
        </w:rPr>
        <w:t xml:space="preserve">When a petroleum lease expires, is surrendered, or is relinquished, the land does not automatically become available for other uses. The State Government (for onland blocks) or the Central Government (for offshore) decides what happens next — it could be offered for OALP, used for other infrastructure, or released to agricultural/industrial use under State land laws.</w:t>
      </w:r>
    </w:p>
    <w:p>
      <w:pPr>
        <w:pStyle w:val="ListParagraph"/>
        <w:numPr>
          <w:ilvl w:val="0"/>
          <w:numId w:val="2"/>
        </w:numPr>
        <w:spacing w:after="70"/>
      </w:pPr>
      <w:r>
        <w:rPr>
          <w:rFonts w:ascii="Arial" w:cs="Arial" w:eastAsia="Arial" w:hAnsi="Arial"/>
          <w:sz w:val="20"/>
          <w:szCs w:val="20"/>
        </w:rPr>
        <w:t xml:space="preserve">Onland petroleum leases involve a parallel surface-rights arrangement: the petroleum operator holds the sub-surface mining/petroleum lease but typically acquires surface access through separate land acquisition or easement agreements with the State and individual landowners. This surface layer is governed by State land laws (Land Acquisition Act, State revenue codes) independently of the petroleum lease.</w:t>
      </w:r>
    </w:p>
    <w:p>
      <w:r>
        <w:br w:type="page"/>
      </w:r>
    </w:p>
    <w:p>
      <w:pPr>
        <w:pStyle w:val="Heading1"/>
        <w:spacing w:after="130" w:before="320"/>
      </w:pPr>
      <w:r>
        <w:rPr>
          <w:rFonts w:ascii="Arial" w:cs="Arial" w:eastAsia="Arial" w:hAnsi="Arial"/>
          <w:b/>
          <w:bCs/>
          <w:color w:val="2E5339"/>
          <w:sz w:val="26"/>
          <w:szCs w:val="26"/>
        </w:rPr>
        <w:t xml:space="preserve">3. Use-Case Analysis: What Works, What Doesn't, and Why</w:t>
      </w:r>
    </w:p>
    <w:p>
      <w:pPr>
        <w:pStyle w:val="Heading2"/>
        <w:spacing w:after="90" w:before="200"/>
      </w:pPr>
      <w:r>
        <w:rPr>
          <w:rFonts w:ascii="Arial" w:cs="Arial" w:eastAsia="Arial" w:hAnsi="Arial"/>
          <w:b/>
          <w:bCs/>
          <w:color w:val="1B2A4A"/>
          <w:sz w:val="22"/>
          <w:szCs w:val="22"/>
        </w:rPr>
        <w:t xml:space="preserve">3.1 Solar Energy — Legally Clearest, Most Commercially Attractive</w:t>
      </w:r>
    </w:p>
    <w:p>
      <w:pPr>
        <w:spacing w:after="100"/>
        <w:jc w:val="both"/>
      </w:pPr>
      <w:r>
        <w:rPr>
          <w:rFonts w:ascii="Arial" w:cs="Arial" w:eastAsia="Arial" w:hAnsi="Arial"/>
          <w:sz w:val="20"/>
          <w:szCs w:val="20"/>
        </w:rPr>
        <w:t xml:space="preserve">Solar is the most legally straightforward co-location use case. ORDA 2025 Section 6(q) names it explicitly. PNG Rules 2025 operationalise it with a development plan requirement. The commercial logic is strong: many of India's largest petroleum blocks (Gujarat Cambay, Rajasthan Barmer, Assam flat terrain) have high solar irradiance (5.0–5.5 kWh/m²/day), existing grid connectivity (built for oilfield electricity), existing road infrastructure, and security perimeters. ONGC has already announced rooftop solar at its refineries; the 2025 legal reform enables it to co-locate utility-scale solar within its vast nomination acreage.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400"/>
      </w:tblGrid>
      <w:tr>
        <w:trPr>
          <w:tblHeader/>
        </w:trPr>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Solar co-location scenario</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Legal basis</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Who approves</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Key steps</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Solar on active petroleum lease (ONGC/OIL nomination acreage)</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ORDA 2025 s.6(q); PNG Rules 2025</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DGH development plan approval; MoEF environmental clearance; State grid connectivity (DISCOM)</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Submit development plan to DGH; obtain EC; Power Purchase Agreement with DISCOM or open access; no separate land purchase needed (already under petroleum lease)</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Solar on relinquished petroleum block (post-OALP relinquishment)</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State land law + MNRE/State renewable energy policy</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State Government (land lease); MNRE (if central scheme); SECI</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Block offered through MNRE/SECI auction or State RE authority; separate land lease from State Government; forest/environmental clearances if applicable</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Agrivoltaic (solar + crop farming on lease land)</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ORDA 2025 + State agricultural law (for surface farming)</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DGH + State revenue authority</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Surface farming may continue on non-disturbed petroleum lease land; solar panels on same land; dual-use plan submitted to DGH and State lessor</w:t>
            </w:r>
          </w:p>
        </w:tc>
      </w:tr>
    </w:tbl>
    <w:p>
      <w:pPr>
        <w:pStyle w:val="Heading2"/>
        <w:spacing w:after="90" w:before="200"/>
      </w:pPr>
      <w:r>
        <w:rPr>
          <w:rFonts w:ascii="Arial" w:cs="Arial" w:eastAsia="Arial" w:hAnsi="Arial"/>
          <w:b/>
          <w:bCs/>
          <w:color w:val="1B2A4A"/>
          <w:sz w:val="22"/>
          <w:szCs w:val="22"/>
        </w:rPr>
        <w:t xml:space="preserve">3.2 Wind Energy — Legally Permitted, Terrain-Dependent</w:t>
      </w:r>
    </w:p>
    <w:p>
      <w:pPr>
        <w:spacing w:after="100"/>
        <w:jc w:val="both"/>
      </w:pPr>
      <w:r>
        <w:rPr>
          <w:rFonts w:ascii="Arial" w:cs="Arial" w:eastAsia="Arial" w:hAnsi="Arial"/>
          <w:sz w:val="20"/>
          <w:szCs w:val="20"/>
        </w:rPr>
        <w:t xml:space="preserve">Wind energy is explicitly named in ORDA 2025 alongside solar. The constraint is physical rather than legal: most of India's major petroleum blocks are not in high-wind corridors. Gujarat offshore (wind speed 7–8 m/s) is the exception — and the DGH's announcement of opening the Exclusive Economic Zone for exploration simultaneously opens the EEZ for offshore wind (the Oilfields Amendment Act explicitly mentions "supporting offshore renewables and hydrocarbon integration"). Offshore hybrid petroleum+wind structures are emerging globally (UK North Sea, Gulf of Mexico) and India's legal framework now supports them.</w:t>
      </w:r>
    </w:p>
    <w:p>
      <w:pPr>
        <w:pStyle w:val="Heading2"/>
        <w:spacing w:after="90" w:before="200"/>
      </w:pPr>
      <w:r>
        <w:rPr>
          <w:rFonts w:ascii="Arial" w:cs="Arial" w:eastAsia="Arial" w:hAnsi="Arial"/>
          <w:b/>
          <w:bCs/>
          <w:color w:val="1B2A4A"/>
          <w:sz w:val="22"/>
          <w:szCs w:val="22"/>
        </w:rPr>
        <w:t xml:space="preserve">3.3 Biogas and CBG (Compressed Biogas) — Parallel Framework, Not Oilfield Land</w:t>
      </w:r>
    </w:p>
    <w:p>
      <w:pPr>
        <w:spacing w:after="100"/>
        <w:jc w:val="both"/>
      </w:pPr>
      <w:r>
        <w:rPr>
          <w:rFonts w:ascii="Arial" w:cs="Arial" w:eastAsia="Arial" w:hAnsi="Arial"/>
          <w:sz w:val="20"/>
          <w:szCs w:val="20"/>
        </w:rPr>
        <w:t xml:space="preserve">Biogas and CBG (used to substitute CNG) operate under an entirely separate legal framework — SATAT (Sustainable Alternative Towards Affordable Transportation, 2018) and the proposed PNGRB CBG Blending Regulations. These projects are set up on agricultural or industrial land, not petroleum lease areas, and use crop residue, cattle dung, municipal solid waste or press mud as feedstock. The PNGRB (Blending of Biogas/CBG with Natural Gas) Regulations, once notified, will impose statutory blending obligations on city gas distribution entities.</w:t>
      </w:r>
    </w:p>
    <w:p>
      <w:pPr>
        <w:spacing w:after="100"/>
        <w:jc w:val="both"/>
      </w:pPr>
      <w:r>
        <w:rPr>
          <w:rFonts w:ascii="Arial" w:cs="Arial" w:eastAsia="Arial" w:hAnsi="Arial"/>
          <w:sz w:val="20"/>
          <w:szCs w:val="20"/>
        </w:rPr>
        <w:t xml:space="preserve">Biogas is not listed in ORDA 2025 Section 6(q) alongside solar and wind. The reason is structural: biogas plants require crop or organic feedstock — not petroleum lease land. The intersection with petroleum infrastructure is in the gas grid: CBG is injected into natural gas pipelines (GAIL, IGL) after compression and quality certification, using ONGC/OIL pipeline rights-of-way. There is therefore no co-location on oilfield land; the link is at the pipeline infrastructure level only.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600"/>
        <w:gridCol w:w="3200"/>
      </w:tblGrid>
      <w:tr>
        <w:trPr>
          <w:tblHeader/>
        </w:trPr>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Biogas / CBG scenario</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Legally possible?</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Framework</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Constraint</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CBG plant adjacent to oilfield (independent land)</w:t>
            </w:r>
          </w:p>
        </w:tc>
        <w:tc>
          <w:tcPr>
            <w:shd w:fill="E8F5E9" w:val="clear"/>
            <w:tcMar>
              <w:top w:type="dxa" w:w="55"/>
              <w:left w:type="dxa" w:w="90"/>
              <w:bottom w:type="dxa" w:w="55"/>
              <w:right w:type="dxa" w:w="90"/>
            </w:tcMar>
          </w:tcPr>
          <w:p>
            <w:pPr>
              <w:jc w:val="center"/>
            </w:pPr>
            <w:r>
              <w:rPr>
                <w:rFonts w:ascii="Arial" w:cs="Arial" w:eastAsia="Arial" w:hAnsi="Arial"/>
                <w:b/>
                <w:bCs/>
                <w:color w:val="1E8449"/>
                <w:sz w:val="18"/>
                <w:szCs w:val="18"/>
              </w:rPr>
              <w:t xml:space="preserve">✓ YES</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SATAT 2018; PNGRB CBG regulations (proposed); DFPD IS scheme for feedstock</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Separate land (not petroleum lease land); State land laws; PNGRB registration; feedstock access</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CBG injected into ONGC/OIL gas pipeline</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PNGRB open access; Third-Party Access (ToA) to pipelines</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Pipeline operator (ONGC/GAIL) must allow ToA; quality standards (Wobbe index); compression to pipeline pressure</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Biogas plant on active petroleum lease land</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Not covered by ORDA 2025 s.6(q)</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Biogas is agricultural/industrial activity, not a petroleum or renewable energy project within ORDA scope; would require MoPNG + DFPD coordination; no precedent</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Using oilfield water/associated gas for biogas digestion</w:t>
            </w:r>
          </w:p>
        </w:tc>
        <w:tc>
          <w:tcPr>
            <w:shd w:fill="FFF8E1" w:val="clear"/>
            <w:tcMar>
              <w:top w:type="dxa" w:w="55"/>
              <w:left w:type="dxa" w:w="90"/>
              <w:bottom w:type="dxa" w:w="55"/>
              <w:right w:type="dxa" w:w="90"/>
            </w:tcMar>
          </w:tcPr>
          <w:p>
            <w:pPr>
              <w:jc w:val="center"/>
            </w:pPr>
            <w:r>
              <w:rPr>
                <w:rFonts w:ascii="Arial" w:cs="Arial" w:eastAsia="Arial" w:hAnsi="Arial"/>
                <w:b/>
                <w:bCs/>
                <w:color w:val="D4A017"/>
                <w:sz w:val="18"/>
                <w:szCs w:val="18"/>
              </w:rPr>
              <w:t xml:space="preserve">⚠ CONDITIONAL</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R&amp;D within petroleum operations scope</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Associated gas already used for power at oilfields; biogas digestion using oilfield organic waste not specifically prohibited but no enabling rule exists</w:t>
            </w:r>
          </w:p>
        </w:tc>
      </w:tr>
    </w:tbl>
    <w:p>
      <w:pPr>
        <w:pStyle w:val="Heading2"/>
        <w:spacing w:after="90" w:before="200"/>
      </w:pPr>
      <w:r>
        <w:rPr>
          <w:rFonts w:ascii="Arial" w:cs="Arial" w:eastAsia="Arial" w:hAnsi="Arial"/>
          <w:b/>
          <w:bCs/>
          <w:color w:val="1B2A4A"/>
          <w:sz w:val="22"/>
          <w:szCs w:val="22"/>
        </w:rPr>
        <w:t xml:space="preserve">3.4 Ethanol Production — Cannot Use Oilfield Land; Entirely Separate Regime</w:t>
      </w:r>
    </w:p>
    <w:p>
      <w:pPr>
        <w:spacing w:after="100"/>
        <w:jc w:val="both"/>
      </w:pPr>
      <w:r>
        <w:rPr>
          <w:rFonts w:ascii="Arial" w:cs="Arial" w:eastAsia="Arial" w:hAnsi="Arial"/>
          <w:sz w:val="20"/>
          <w:szCs w:val="20"/>
        </w:rPr>
        <w:t xml:space="preserve">Ethanol production (for fuel blending under the Ethanol Blended Petrol Programme) is categorically outside the petroleum lease framework. It is governed by: (i) the Department of Food &amp; Public Distribution (DFPD) Interest Subvention Scheme for grain/molasses distilleries; (ii) the Ministry of Food Processing Industries (MoFPI) for distillery licensing; (iii) State Excise Departments for alcohol production licences; and (iv) the Ethanol Blended Petrol Programme administered by OMCs. None of these intersect with petroleum leases or the ORDA framework.</w:t>
      </w:r>
    </w:p>
    <w:p>
      <w:pPr>
        <w:spacing w:after="100"/>
        <w:jc w:val="both"/>
      </w:pPr>
      <w:r>
        <w:rPr>
          <w:rFonts w:ascii="Arial" w:cs="Arial" w:eastAsia="Arial" w:hAnsi="Arial"/>
          <w:sz w:val="20"/>
          <w:szCs w:val="20"/>
        </w:rPr>
        <w:t xml:space="preserve">An ethanol distillery requires: an independent plot of agricultural/industrial land acquired under State laws (not a petroleum lease); a manufacturing licence under the Industries (Development and Regulation) Act; a State excise distillery licence; and conformance with DFPD feedstock norms (grain, sugarcane, molasses). Oilfield land cannot be "repurposed" for a distillery — the petroleum lease does not authorise industrial food processing, and a distillery licence cannot be obtained for land under a petroleum lease. The DFPD scheme loan (Rs 96.8 cr avg, as analysed in the ethanol report) finances distillery construction on separately acquired industrial land.</w:t>
      </w:r>
    </w:p>
    <w:p>
      <w:pPr>
        <w:spacing w:after="100"/>
        <w:jc w:val="both"/>
      </w:pPr>
      <w:r>
        <w:rPr>
          <w:rFonts w:ascii="Arial" w:cs="Arial" w:eastAsia="Arial" w:hAnsi="Arial"/>
          <w:sz w:val="20"/>
          <w:szCs w:val="20"/>
        </w:rPr>
        <w:t xml:space="preserve">The only genuine intersection between ethanol and the petroleum sector is the supply of ethanol to OMCs for the EBP programme — but that is a product supply relationship, not a land-use relationship.</w:t>
      </w:r>
    </w:p>
    <w:p>
      <w:pPr>
        <w:pStyle w:val="Heading2"/>
        <w:spacing w:after="90" w:before="200"/>
      </w:pPr>
      <w:r>
        <w:rPr>
          <w:rFonts w:ascii="Arial" w:cs="Arial" w:eastAsia="Arial" w:hAnsi="Arial"/>
          <w:b/>
          <w:bCs/>
          <w:color w:val="1B2A4A"/>
          <w:sz w:val="22"/>
          <w:szCs w:val="22"/>
        </w:rPr>
        <w:t xml:space="preserve">3.5 Green Hydrogen — Highest Potential, Emerging Framework</w:t>
      </w:r>
    </w:p>
    <w:p>
      <w:pPr>
        <w:spacing w:after="100"/>
        <w:jc w:val="both"/>
      </w:pPr>
      <w:r>
        <w:rPr>
          <w:rFonts w:ascii="Arial" w:cs="Arial" w:eastAsia="Arial" w:hAnsi="Arial"/>
          <w:sz w:val="20"/>
          <w:szCs w:val="20"/>
        </w:rPr>
        <w:t xml:space="preserve">Green hydrogen is the use case with the strongest policy tailwind and the most explicit legal support. ORDA 2025 Section 6 enables decarbonisation activities and hydrogen production within licensed areas. PNG Rules 2025 permit GHG injection (relevant for blue hydrogen + CCUS). The National Green Hydrogen Mission (2023) targets 5 MMT/yr by 2030, and several of India's largest petroleum operators — ONGC, IOCL, BPCL, HPCL — have announced green hydrogen roadmaps.</w:t>
      </w:r>
    </w:p>
    <w:p>
      <w:pPr>
        <w:spacing w:after="100"/>
        <w:jc w:val="both"/>
      </w:pPr>
      <w:r>
        <w:rPr>
          <w:rFonts w:ascii="Arial" w:cs="Arial" w:eastAsia="Arial" w:hAnsi="Arial"/>
          <w:sz w:val="20"/>
          <w:szCs w:val="20"/>
        </w:rPr>
        <w:t xml:space="preserve">The logic for co-locating green hydrogen on petroleum lease land is compelling: electrolysis requires large-scale renewable electricity (which can be co-located per ORDA 2025); hydrogen compression and storage infrastructure overlaps with gas field infrastructure; existing oilfield pipelines could potentially carry hydrogen blends; and oilfield water disposal can supply electrolysis feed water. ONGC is already piloting green hydrogen at Jorhat (Assam) within its nomination acreage.</w:t>
      </w:r>
    </w:p>
    <w:p>
      <w:pPr>
        <w:pStyle w:val="Heading2"/>
        <w:spacing w:after="90" w:before="200"/>
      </w:pPr>
      <w:r>
        <w:rPr>
          <w:rFonts w:ascii="Arial" w:cs="Arial" w:eastAsia="Arial" w:hAnsi="Arial"/>
          <w:b/>
          <w:bCs/>
          <w:color w:val="1B2A4A"/>
          <w:sz w:val="22"/>
          <w:szCs w:val="22"/>
        </w:rPr>
        <w:t xml:space="preserve">3.6 Carbon Capture, Utilisation and Storage (CCUS) — Explicitly Enabled</w:t>
      </w:r>
    </w:p>
    <w:p>
      <w:pPr>
        <w:spacing w:after="100"/>
        <w:jc w:val="both"/>
      </w:pPr>
      <w:r>
        <w:rPr>
          <w:rFonts w:ascii="Arial" w:cs="Arial" w:eastAsia="Arial" w:hAnsi="Arial"/>
          <w:sz w:val="20"/>
          <w:szCs w:val="20"/>
        </w:rPr>
        <w:t xml:space="preserve">PNG Rules 2025 specifically mandate a GHG emissions chapter (Rules 37-42) requiring flaring caps (0.5% monthly production), GHG injection permits, and sequestration frameworks. ORDA 2025 Section 6 enables decarbonisation activities. Depleted oil and gas reservoirs are globally the preferred sites for CO2 sequestration — India's depleted fields in the Cambay, Assam and Mumbai Offshore basins represent multi-billion-cubic-metre storage potential. CCUS on petroleum lease land is legally enabled, MoEF environmental clearance is required for CO2 injection, and the regulatory pathway now exists through the PNG Rules 2025.</w:t>
      </w:r>
    </w:p>
    <w:p>
      <w:r>
        <w:br w:type="page"/>
      </w:r>
    </w:p>
    <w:p>
      <w:pPr>
        <w:pStyle w:val="Heading1"/>
        <w:spacing w:after="130" w:before="320"/>
      </w:pPr>
      <w:r>
        <w:rPr>
          <w:rFonts w:ascii="Arial" w:cs="Arial" w:eastAsia="Arial" w:hAnsi="Arial"/>
          <w:b/>
          <w:bCs/>
          <w:color w:val="2E5339"/>
          <w:sz w:val="26"/>
          <w:szCs w:val="26"/>
        </w:rPr>
        <w:t xml:space="preserve">4. The Three Land-Tenure Tracks: Rights, Process and Constraints</w:t>
      </w:r>
    </w:p>
    <w:p>
      <w:pPr>
        <w:pStyle w:val="Heading2"/>
        <w:spacing w:after="90" w:before="200"/>
      </w:pPr>
      <w:r>
        <w:rPr>
          <w:rFonts w:ascii="Arial" w:cs="Arial" w:eastAsia="Arial" w:hAnsi="Arial"/>
          <w:b/>
          <w:bCs/>
          <w:color w:val="1B2A4A"/>
          <w:sz w:val="22"/>
          <w:szCs w:val="22"/>
        </w:rPr>
        <w:t xml:space="preserve">4.1 Track A: Active Petroleum Lease Land (Co-Location)</w:t>
      </w:r>
    </w:p>
    <w:p>
      <w:pPr>
        <w:spacing w:after="100"/>
        <w:jc w:val="both"/>
      </w:pPr>
      <w:r>
        <w:rPr>
          <w:rFonts w:ascii="Arial" w:cs="Arial" w:eastAsia="Arial" w:hAnsi="Arial"/>
          <w:sz w:val="20"/>
          <w:szCs w:val="20"/>
        </w:rPr>
        <w:t xml:space="preserve">This is where ORDA 2025 most directly applies. On land currently under an active petroleum lease (PL), the lessee — ONGC, OIL or a PSC/RSC operator — may develop comprehensive energy projects (solar, wind, hydrogen, geothermal) alongside petroleum operations.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200"/>
      </w:tblGrid>
      <w:tr>
        <w:trPr>
          <w:tblHeader/>
        </w:trPr>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Step</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Requirement</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Authority</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1. Development Plan submission</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Submit a plan showing how the renewable project operates alongside petroleum activities without impacting safety or production</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DGH (Directorate General of Hydrocarbons)</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2. No-objection from State surface-right authority</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For onland blocks, inform the State Government (which holds title to the surface)</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State Revenue / Land Department</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3. Environmental Clearance</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EC for solar ≥500 MW or wind ≥50 MW; smaller projects may be Category B or exempt</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MoEF&amp;CC (Central); SEIAA (State Category B)</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4. Grid connectivity</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DISCOM or SECI open access approval; evacuation infrastructure</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State DISCOM; ISTS for large projects (CEA/PGCIL)</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5. Power Purchase Agreement</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PPA with DISCOM, SECI or direct industrial buyer (open access)</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Commercial negotiation; SERC oversight</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6. DGH annual declaration</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Annual declaration of installed/utilised/excess capacity of all infrastructure</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DGH (under PNG Rules 2025)</w:t>
            </w:r>
          </w:p>
        </w:tc>
      </w:tr>
    </w:tbl>
    <w:p>
      <w:pPr>
        <w:pStyle w:val="Heading2"/>
        <w:spacing w:after="90" w:before="200"/>
      </w:pPr>
      <w:r>
        <w:rPr>
          <w:rFonts w:ascii="Arial" w:cs="Arial" w:eastAsia="Arial" w:hAnsi="Arial"/>
          <w:b/>
          <w:bCs/>
          <w:color w:val="1B2A4A"/>
          <w:sz w:val="22"/>
          <w:szCs w:val="22"/>
        </w:rPr>
        <w:t xml:space="preserve">4.2 Track B: Relinquished / Block Surrendered During PSC/RSC Term</w:t>
      </w:r>
    </w:p>
    <w:p>
      <w:pPr>
        <w:spacing w:after="100"/>
        <w:jc w:val="both"/>
      </w:pPr>
      <w:r>
        <w:rPr>
          <w:rFonts w:ascii="Arial" w:cs="Arial" w:eastAsia="Arial" w:hAnsi="Arial"/>
          <w:sz w:val="20"/>
          <w:szCs w:val="20"/>
        </w:rPr>
        <w:t xml:space="preserve">Under PSC (NELP) and RSC (OALP), operators must relinquish 25% of block area at each phase end. Relinquished blocks revert to the government's open acreage — available for OALP re-offering or other uses. The surface land reverts to State Government title. Once relinquished, the block exits the petroleum regulatory framework. Renewable energy projects on relinquished land follow the normal MNRE/State renewable energy licensing pathway (separate from ORDA), with land acquired through State government lease or purchase.</w:t>
      </w:r>
    </w:p>
    <w:p>
      <w:pPr>
        <w:pStyle w:val="Heading2"/>
        <w:spacing w:after="90" w:before="200"/>
      </w:pPr>
      <w:r>
        <w:rPr>
          <w:rFonts w:ascii="Arial" w:cs="Arial" w:eastAsia="Arial" w:hAnsi="Arial"/>
          <w:b/>
          <w:bCs/>
          <w:color w:val="1B2A4A"/>
          <w:sz w:val="22"/>
          <w:szCs w:val="22"/>
        </w:rPr>
        <w:t xml:space="preserve">4.3 Track C: Post-Petroleum Lease Expiry or Field Abandonment</w:t>
      </w:r>
    </w:p>
    <w:p>
      <w:pPr>
        <w:spacing w:after="100"/>
        <w:jc w:val="both"/>
      </w:pPr>
      <w:r>
        <w:rPr>
          <w:rFonts w:ascii="Arial" w:cs="Arial" w:eastAsia="Arial" w:hAnsi="Arial"/>
          <w:sz w:val="20"/>
          <w:szCs w:val="20"/>
        </w:rPr>
        <w:t xml:space="preserve">When a petroleum lease expires, is not renewed, or a field is formally abandoned, the PNG Rules 2025 require: (i) a time-bound decommissioning and abandonment plan; (ii) mandatory well plugging and site restoration certified by DGH; (iii) site restoration to pre-drilling ecological baseline (or agreed standard). After DGH certification of restoration, the land reverts to State/Central Government title and can be used for any purpose permitted under State land laws — including renewable energy, agriculture, or industrial development.</w:t>
      </w:r>
    </w:p>
    <w:p>
      <w:pPr>
        <w:spacing w:after="100"/>
        <w:jc w:val="both"/>
      </w:pPr>
      <w:r>
        <w:rPr>
          <w:rFonts w:ascii="Arial" w:cs="Arial" w:eastAsia="Arial" w:hAnsi="Arial"/>
          <w:sz w:val="20"/>
          <w:szCs w:val="20"/>
        </w:rPr>
        <w:t xml:space="preserve">Critically, the PNG Rules 2025 explicitly state that renewable energy projects may be developed even BEYOND the petroleum lease term. This means a company could develop solar infrastructure on its current lease land and continue operating the solar plant after the petroleum lease expires, provided it separately licenses the surface land from the State Government at that point.</w:t>
      </w:r>
    </w:p>
    <w:p>
      <w:r>
        <w:br w:type="page"/>
      </w:r>
    </w:p>
    <w:p>
      <w:pPr>
        <w:pStyle w:val="Heading1"/>
        <w:spacing w:after="130" w:before="320"/>
      </w:pPr>
      <w:r>
        <w:rPr>
          <w:rFonts w:ascii="Arial" w:cs="Arial" w:eastAsia="Arial" w:hAnsi="Arial"/>
          <w:b/>
          <w:bCs/>
          <w:color w:val="2E5339"/>
          <w:sz w:val="26"/>
          <w:szCs w:val="26"/>
        </w:rPr>
        <w:t xml:space="preserve">5. What This Means for ONGC and OIL: The Nomination Acreage Opportunity</w:t>
      </w:r>
    </w:p>
    <w:p>
      <w:pPr>
        <w:spacing w:after="100"/>
        <w:jc w:val="both"/>
      </w:pPr>
      <w:r>
        <w:rPr>
          <w:rFonts w:ascii="Arial" w:cs="Arial" w:eastAsia="Arial" w:hAnsi="Arial"/>
          <w:sz w:val="20"/>
          <w:szCs w:val="20"/>
        </w:rPr>
        <w:t xml:space="preserve">ONGC holds 4.30 lakh sq km (~43 crore hectares) and OIL holds 0.95 lakh sq km (~9.5 crore hectares) — together ~52.5 crore hectares — under nomination acreage and other blocks. Most of this acreage is mature, partially explored, and significantly under-utilised. The ORDA 2025 and PNG Rules 2025 now create a legal basis for a systematic "energy integration" strategy across this vast holding.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3600"/>
      </w:tblGrid>
      <w:tr>
        <w:trPr>
          <w:tblHeader/>
        </w:trPr>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Opportunity</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Scale estimate</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Feasibility under ORDA 2025</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Key constraint</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Solar on ONGC Gujarat nomination land (Cambay basin)</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~4,950 sq km of oilfield footprint; even 10% = 495 sq km ≈ 35 GW solar potential</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HIGH — flat terrain, high irradiance, existing grid</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Grid evacuation infrastructure; DGH development plan; surface lessor (State of Gujarat) concurrence</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Solar on ONGC Rajasthan nomination blocks</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~800 sq km oilfield area; 10% ≈ 80 sq km ≈ 5.7 GW</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HIGH — Rajasthan is India's best solar resource; existing roads</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DGH plan; State of Rajasthan concurrence; water access for panel cleaning scarce</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Offshore wind at ONGC Western Offshore (Mumbai)</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Western Offshore: ~14,000 sq km; wind speed 6-8 m/s</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MEDIUM — ORDA 2025 offshore renewables provision; MNRE offshore wind policy 2022</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Subsea infrastructure complexity; OISD safety zone requirements around platforms; no offshore wind precedent in India yet</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Green hydrogen at OIL Assam nomination fields</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Digboi, Duliajan, Geleki fields with grid connection</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MEDIUM — ONGC piloting at Jorhat; legal framework exists</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Solar resource lower in northeast; grid stability; MNRE subsidy eligibility for green H2</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CCUS at depleted Cambay / Mumbai High fields</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Estimated 2+ billion cubic metres storage capacity in depleted reservoirs</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MEDIUM-HIGH — PNG Rules 2025 explicitly permit GHG injection</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MoEF clearance for CO2 injection; commercial carbon price (CCTS) still low; monitoring requirements</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Agrivoltaic on partial Assam oilfield lease land</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Flat agricultural land in Assam blocks; dual farming + solar</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LOW-MEDIUM — State of Assam concurrence needed for surface farming layer</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Complex multi-authority approval; no specific agrivoltaic policy at national level</w:t>
            </w:r>
          </w:p>
        </w:tc>
      </w:tr>
    </w:tbl>
    <w:p>
      <w:pPr>
        <w:spacing w:after="55"/>
      </w:pPr>
      <w:r>
        <w:rPr>
          <w:rFonts w:ascii="Arial" w:cs="Arial" w:eastAsia="Arial" w:hAnsi="Arial"/>
          <w:i/>
          <w:iCs/>
          <w:color w:val="666666"/>
          <w:sz w:val="16"/>
          <w:szCs w:val="16"/>
        </w:rPr>
        <w:t xml:space="preserve">Scale estimates are indicative. 1 sq km of solar (ground-mounted, ~40% coverage, panel efficiency 20%) ≈ ~70-80 MW installed capacity. Source: ORDA 2025; PNG Rules 2025; MNRE Offshore Wind Policy 2022; ONGC Annual Report FY24; author analysis.</w:t>
      </w:r>
    </w:p>
    <w:p>
      <w:pPr>
        <w:spacing w:after="120"/>
      </w:pPr>
    </w:p>
    <w:p>
      <w:pPr>
        <w:pStyle w:val="Heading2"/>
        <w:spacing w:after="90" w:before="200"/>
      </w:pPr>
      <w:r>
        <w:rPr>
          <w:rFonts w:ascii="Arial" w:cs="Arial" w:eastAsia="Arial" w:hAnsi="Arial"/>
          <w:b/>
          <w:bCs/>
          <w:color w:val="1B2A4A"/>
          <w:sz w:val="22"/>
          <w:szCs w:val="22"/>
        </w:rPr>
        <w:t xml:space="preserve">5.1 The One-Stop Approval Pathway (As Designed by PNG Rules 2025)</w:t>
      </w:r>
    </w:p>
    <w:p>
      <w:pPr>
        <w:spacing w:after="100"/>
        <w:jc w:val="both"/>
      </w:pPr>
      <w:r>
        <w:rPr>
          <w:rFonts w:ascii="Arial" w:cs="Arial" w:eastAsia="Arial" w:hAnsi="Arial"/>
          <w:sz w:val="20"/>
          <w:szCs w:val="20"/>
        </w:rPr>
        <w:t xml:space="preserve">Before ORDA 2025, a company wanting to co-locate solar on an oilfield would have needed: a petroleum mining lease, a separate land-use permission from the State, an environmental clearance for the solar project, a separate grid connectivity approval, and no legal authority to consolidate these under one framework. Post-ORDA 2025 and PNG Rules 2025, the single petroleum lease now covers the integrated project, DGH is the primary regulator, and the 180-day approval deadline for petroleum lease applications has been introduced. The key remaining complexity is the State Government surface layer — which is outside the Central ORDA framework and must be navigated separately.</w:t>
      </w:r>
    </w:p>
    <w:p>
      <w:r>
        <w:br w:type="page"/>
      </w:r>
    </w:p>
    <w:p>
      <w:pPr>
        <w:pStyle w:val="Heading1"/>
        <w:spacing w:after="130" w:before="320"/>
      </w:pPr>
      <w:r>
        <w:rPr>
          <w:rFonts w:ascii="Arial" w:cs="Arial" w:eastAsia="Arial" w:hAnsi="Arial"/>
          <w:b/>
          <w:bCs/>
          <w:color w:val="2E5339"/>
          <w:sz w:val="26"/>
          <w:szCs w:val="26"/>
        </w:rPr>
        <w:t xml:space="preserve">6. What Cannot Be Done — Legal Boundaries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200"/>
      </w:tblGrid>
      <w:tr>
        <w:trPr>
          <w:tblHeader/>
        </w:trPr>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Proposed use</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Can it be done on petroleum lease land?</w:t>
            </w:r>
          </w:p>
        </w:tc>
        <w:tc>
          <w:tcPr>
            <w:shd w:fill="2E5339" w:val="clear"/>
            <w:tcMar>
              <w:top w:type="dxa" w:w="55"/>
              <w:left w:type="dxa" w:w="90"/>
              <w:bottom w:type="dxa" w:w="55"/>
              <w:right w:type="dxa" w:w="90"/>
            </w:tcMar>
          </w:tcPr>
          <w:p>
            <w:pPr>
              <w:jc w:val="center"/>
            </w:pPr>
            <w:r>
              <w:rPr>
                <w:rFonts w:ascii="Arial" w:cs="Arial" w:eastAsia="Arial" w:hAnsi="Arial"/>
                <w:b/>
                <w:bCs/>
                <w:color w:val="FFFFFF"/>
                <w:sz w:val="18"/>
                <w:szCs w:val="18"/>
              </w:rPr>
              <w:t xml:space="preserve">Reason / Legal constraint</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Ethanol distillery on oilfield land</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NO</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Ethanol production is governed by DFPD, MoFPI and State Excise — none of which intersect with ORDA/PNG Rules. A distillery licence cannot be obtained for petroleum lease land. Requires separate industrial land, State excise licence and DFPD approval.</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Biogas plant on oilfield land</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NO (direct basis)</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SATAT-scheme biogas plants are agricultural/industrial projects on independent land. ORDA 2025 s.6(q) covers "renewable energy" not bioenergy processing. No enabling rule under PNG Rules 2025 for biogas on oilfield land.</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Third party building solar without petroleum operator's consent</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NO</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Active petroleum lease gives the lessee exclusive rights to the lease area. A third party cannot enter or develop on that land without the operator's consent and DGH approval (plus State Government concurrence).</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Selling/transferring oilfield land to a renewable developer</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NO (title cannot be transferred)</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The operator does not own the land — it holds a lease right. Land title is with State/Central Government. Only the lease right (not the land) can be assigned, and only with Government approval.</w:t>
            </w:r>
          </w:p>
        </w:tc>
      </w:tr>
      <w:tr>
        <w:tc>
          <w:tcPr>
            <w:shd w:fill="FFFFFF" w:val="clear"/>
            <w:tcMar>
              <w:top w:type="dxa" w:w="55"/>
              <w:left w:type="dxa" w:w="90"/>
              <w:bottom w:type="dxa" w:w="55"/>
              <w:right w:type="dxa" w:w="90"/>
            </w:tcMar>
          </w:tcPr>
          <w:p>
            <w:r>
              <w:rPr>
                <w:rFonts w:ascii="Arial" w:cs="Arial" w:eastAsia="Arial" w:hAnsi="Arial"/>
                <w:b/>
                <w:bCs/>
                <w:color w:val="000000"/>
                <w:sz w:val="18"/>
                <w:szCs w:val="18"/>
              </w:rPr>
              <w:t xml:space="preserve">Coal mining on petroleum lease land</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NO</w:t>
            </w:r>
          </w:p>
        </w:tc>
        <w:tc>
          <w:tcPr>
            <w:shd w:fill="FFFFFF" w:val="clear"/>
            <w:tcMar>
              <w:top w:type="dxa" w:w="55"/>
              <w:left w:type="dxa" w:w="90"/>
              <w:bottom w:type="dxa" w:w="55"/>
              <w:right w:type="dxa" w:w="90"/>
            </w:tcMar>
          </w:tcPr>
          <w:p>
            <w:r>
              <w:rPr>
                <w:rFonts w:ascii="Arial" w:cs="Arial" w:eastAsia="Arial" w:hAnsi="Arial"/>
                <w:b w:val="false"/>
                <w:bCs w:val="false"/>
                <w:color w:val="000000"/>
                <w:sz w:val="18"/>
                <w:szCs w:val="18"/>
              </w:rPr>
              <w:t xml:space="preserve">Petroleum lease covers mineral oils; coal and lignite are governed by the Mines &amp; Minerals (Development &amp; Regulation) Act, 1957 — a separate legislation. ORDA 2025 explicitly excludes coal and helium from its scope.</w:t>
            </w:r>
          </w:p>
        </w:tc>
      </w:tr>
      <w:tr>
        <w:tc>
          <w:tcPr>
            <w:shd w:fill="F5EFE0" w:val="clear"/>
            <w:tcMar>
              <w:top w:type="dxa" w:w="55"/>
              <w:left w:type="dxa" w:w="90"/>
              <w:bottom w:type="dxa" w:w="55"/>
              <w:right w:type="dxa" w:w="90"/>
            </w:tcMar>
          </w:tcPr>
          <w:p>
            <w:r>
              <w:rPr>
                <w:rFonts w:ascii="Arial" w:cs="Arial" w:eastAsia="Arial" w:hAnsi="Arial"/>
                <w:b/>
                <w:bCs/>
                <w:color w:val="000000"/>
                <w:sz w:val="18"/>
                <w:szCs w:val="18"/>
              </w:rPr>
              <w:t xml:space="preserve">Agriculture / industrial use while petroleum lease is active</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CONDITIONAL</w:t>
            </w:r>
          </w:p>
        </w:tc>
        <w:tc>
          <w:tcPr>
            <w:shd w:fill="F5EFE0" w:val="clear"/>
            <w:tcMar>
              <w:top w:type="dxa" w:w="55"/>
              <w:left w:type="dxa" w:w="90"/>
              <w:bottom w:type="dxa" w:w="55"/>
              <w:right w:type="dxa" w:w="90"/>
            </w:tcMar>
          </w:tcPr>
          <w:p>
            <w:r>
              <w:rPr>
                <w:rFonts w:ascii="Arial" w:cs="Arial" w:eastAsia="Arial" w:hAnsi="Arial"/>
                <w:b w:val="false"/>
                <w:bCs w:val="false"/>
                <w:color w:val="000000"/>
                <w:sz w:val="18"/>
                <w:szCs w:val="18"/>
              </w:rPr>
              <w:t xml:space="preserve">Surface farming may continue on undisturbed parts of the lease with State Government permission; but large-scale land use change (e.g., building a factory) on active petroleum lease land requires surrender of that portion of the lease and reversion to State land.</w:t>
            </w:r>
          </w:p>
        </w:tc>
      </w:tr>
    </w:tbl>
    <w:p>
      <w:r>
        <w:br w:type="page"/>
      </w:r>
    </w:p>
    <w:p>
      <w:pPr>
        <w:pStyle w:val="Heading1"/>
        <w:spacing w:after="130" w:before="320"/>
      </w:pPr>
      <w:r>
        <w:rPr>
          <w:rFonts w:ascii="Arial" w:cs="Arial" w:eastAsia="Arial" w:hAnsi="Arial"/>
          <w:b/>
          <w:bCs/>
          <w:color w:val="2E5339"/>
          <w:sz w:val="26"/>
          <w:szCs w:val="26"/>
        </w:rPr>
        <w:t xml:space="preserve">7. Key Legal and Commercial Observations</w:t>
      </w:r>
    </w:p>
    <w:p>
      <w:pPr>
        <w:spacing w:after="100"/>
        <w:jc w:val="both"/>
      </w:pPr>
      <w:r>
        <w:rPr>
          <w:rFonts w:ascii="Arial" w:cs="Arial" w:eastAsia="Arial" w:hAnsi="Arial"/>
          <w:sz w:val="20"/>
          <w:szCs w:val="20"/>
        </w:rPr>
        <w:t xml:space="preserve">1. THE 2025 REFORM IS GENUINELY TRANSFORMATIONAL. Before April 2025, there was no statutory basis for co-locating renewable energy on petroleum lease land — it required case-by-case government approval with no clear regulatory framework. ORDA 2025 Section 6(q) and PNG Rules 2025 have created that framework from scratch, explicitly naming solar, wind, hydrogen and geothermal.</w:t>
      </w:r>
    </w:p>
    <w:p>
      <w:pPr>
        <w:spacing w:after="100"/>
        <w:jc w:val="both"/>
      </w:pPr>
      <w:r>
        <w:rPr>
          <w:rFonts w:ascii="Arial" w:cs="Arial" w:eastAsia="Arial" w:hAnsi="Arial"/>
          <w:sz w:val="20"/>
          <w:szCs w:val="20"/>
        </w:rPr>
        <w:t xml:space="preserve">2. THE OPPORTUNITY SCALE IS ENORMOUS BUT THE BOTTLENECK IS STATE GOVERNMENTS. ONGC and OIL's combined ~52.5 crore hectares include millions of hectares of non-operational but licensed land. The Central Government (through ORDA and PNG Rules) has enabled co-location; but for onland blocks, the State Government must concur as the surface-right holder. This creates state-by-state variability: Gujarat (investor-friendly) is likely to move faster than states with complex land-right disputes.</w:t>
      </w:r>
    </w:p>
    <w:p>
      <w:pPr>
        <w:spacing w:after="100"/>
        <w:jc w:val="both"/>
      </w:pPr>
      <w:r>
        <w:rPr>
          <w:rFonts w:ascii="Arial" w:cs="Arial" w:eastAsia="Arial" w:hAnsi="Arial"/>
          <w:sz w:val="20"/>
          <w:szCs w:val="20"/>
        </w:rPr>
        <w:t xml:space="preserve">3. ETHANOL AND BIOGAS DO NOT BELONG ON PETROLEUM LEASE LAND — LEGALLY OR PRACTICALLY. The ethanol blending programme (analysed separately) operates through DFPD-licensed distilleries on independently acquired industrial land. Trying to locate an ethanol distillery on oilfield land would require simultaneously complying with DFPD/State excise rules, ORDA/PNG Rules, and State land laws — with no enabling provision in any of these frameworks for such co-location.</w:t>
      </w:r>
    </w:p>
    <w:p>
      <w:pPr>
        <w:spacing w:after="100"/>
        <w:jc w:val="both"/>
      </w:pPr>
      <w:r>
        <w:rPr>
          <w:rFonts w:ascii="Arial" w:cs="Arial" w:eastAsia="Arial" w:hAnsi="Arial"/>
          <w:sz w:val="20"/>
          <w:szCs w:val="20"/>
        </w:rPr>
        <w:t xml:space="preserve">4. THE POST-LEASE WINDOW IS SIGNIFICANT FOR LONG-DURATION RENEWABLE PROJECTS. The PNG Rules 2025 provision allowing renewable energy projects to continue beyond the petroleum lease term means a 30-year petroleum lease could transition into a long-term solar or wind site without the surface land reverting to the State immediately. This is commercially valuable for project financing.</w:t>
      </w:r>
    </w:p>
    <w:p>
      <w:pPr>
        <w:spacing w:after="100"/>
        <w:jc w:val="both"/>
      </w:pPr>
      <w:r>
        <w:rPr>
          <w:rFonts w:ascii="Arial" w:cs="Arial" w:eastAsia="Arial" w:hAnsi="Arial"/>
          <w:sz w:val="20"/>
          <w:szCs w:val="20"/>
        </w:rPr>
        <w:t xml:space="preserve">5. CCUS IS THE MOST NATURAL INTERSECTION. Depleted oil reservoirs are already proved geological structures with known permeability, existing wellbores, and measurement infrastructure. CCUS on depleted Indian fields (Mumbai High, Cambay, Assam) is the single use case where the petroleum legacy infrastructure directly enables the next use, rather than simply co-existing with it.</w:t>
      </w:r>
    </w:p>
    <w:p>
      <w:pPr>
        <w:spacing w:after="100"/>
        <w:jc w:val="both"/>
      </w:pPr>
      <w:r>
        <w:rPr>
          <w:rFonts w:ascii="Arial" w:cs="Arial" w:eastAsia="Arial" w:hAnsi="Arial"/>
          <w:sz w:val="20"/>
          <w:szCs w:val="20"/>
        </w:rPr>
        <w:t xml:space="preserve">6. ONGC IS ALREADY MOVING. ONGC has commissioned rooftop solar at facilities, is piloting green hydrogen at Jorhat (Assam), and has a net-zero roadmap. The ORDA 2025 legal reform formalises what ONGC was already attempting on an ad-hoc basis. For OIL, the northeast blocks with significant undeveloped land offer solar potential if northeast grid infrastructure improves.</w:t>
      </w:r>
    </w:p>
    <w:p>
      <w:pPr>
        <w:pBdr>
          <w:bottom w:val="single" w:color="C9A227" w:sz="6"/>
        </w:pBdr>
        <w:spacing w:after="100"/>
      </w:pPr>
    </w:p>
    <w:p>
      <w:pPr>
        <w:spacing w:after="55"/>
      </w:pPr>
      <w:r>
        <w:rPr>
          <w:rFonts w:ascii="Arial" w:cs="Arial" w:eastAsia="Arial" w:hAnsi="Arial"/>
          <w:i/>
          <w:iCs/>
          <w:color w:val="666666"/>
          <w:sz w:val="16"/>
          <w:szCs w:val="16"/>
        </w:rPr>
        <w:t xml:space="preserve">Report sources: (1) Oilfields (Regulation and Development) Amendment Act, 2025 (No. 6 of 2025), assented 28 March 2025, in force 15 April 2025 — Section 6(q) renewable energy provision; (2) Petroleum and Natural Gas Rules, 2025, notified 9 December 2025 by MoP&amp;NG — comprehensive energy projects, GHG chapter, post-lease renewable provision; (3) DGH India Hydrocarbon Outlook 2024-25, 32nd Edition (uploaded); (4) SATAT scheme, MoPNG 2018; (5) DFPD Ethanol IS Scheme (distillery land requirements); (6) TeamLease RegTech analysis, March 2025; (7) SCC Online / IJLSSS legislative analysis, August 2025 / March 2026; (8) Chambers &amp; Partners India Oil, Gas &amp; Renewables 2025; (9) Lakshmikumaran &amp; Sridharan / Lexology, June 2025; (10) Bureaucratsindia.in, July 2025 (PNG Rules draft); (11) ICLG India Oil &amp; Gas 2026; (12) MNRE Offshore Wind Energy Policy, 2022.</w:t>
      </w:r>
    </w:p>
    <w:sectPr>
      <w:pgSz w:w="12240" w:h="15840"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2026-07-05T08:13:55.075Z</dcterms:created>
  <dcterms:modified xsi:type="dcterms:W3CDTF">2026-07-05T08:13:55.076Z</dcterms:modified>
</cp:coreProperties>
</file>

<file path=docProps/custom.xml><?xml version="1.0" encoding="utf-8"?>
<Properties xmlns="http://schemas.openxmlformats.org/officeDocument/2006/custom-properties" xmlns:vt="http://schemas.openxmlformats.org/officeDocument/2006/docPropsVTypes"/>
</file>