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2026-07-21)</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r>
        <w:tc>
          <w:tcPr>
            <w:tcW w:type="dxa" w:w="1728"/>
          </w:tcPr>
          <w:p>
            <w:r>
              <w:t>46</w:t>
            </w:r>
          </w:p>
        </w:tc>
        <w:tc>
          <w:tcPr>
            <w:tcW w:type="dxa" w:w="1728"/>
          </w:tcPr>
          <w:p>
            <w:r>
              <w:t>n8n local install -- Node-26 incompatibility found and worked around via nvm Node 22</w:t>
            </w:r>
          </w:p>
        </w:tc>
        <w:tc>
          <w:tcPr>
            <w:tcW w:type="dxa" w:w="1728"/>
          </w:tcPr>
          <w:p>
            <w:r>
              <w:t>machine setup (no repo changes; workflow JSON already pushed in phase 45)</w:t>
            </w:r>
          </w:p>
        </w:tc>
        <w:tc>
          <w:tcPr>
            <w:tcW w:type="dxa" w:w="1728"/>
          </w:tcPr>
          <w:p>
            <w:r>
              <w:t>The first npm install -g n8n under Homebrew Node v26 FAILED SILENTLY: exit code 0 but npm rolled the package back because n8n's isolated-vm native dependency does not compile on Node 26 (n8n targets LTS 20/22) -- leaving only a dangling /opt/homebrew/bin/n8n symlink (removed). T…</w:t>
            </w:r>
          </w:p>
        </w:tc>
        <w:tc>
          <w:tcPr>
            <w:tcW w:type="dxa" w:w="1728"/>
          </w:tcPr>
          <w:p>
            <w:r>
              <w:t>Workaround in progress at time of writing: Node 22.23.1 installed via the machi…; Next step once it lands: n8n import:workflow --input=workflows/n8n_twin_refresh…; Scheduler stance unchanged: crontab stays primary; n8n adds the CHANGE-detectio…</w:t>
            </w:r>
          </w:p>
        </w:tc>
      </w:tr>
      <w:tr>
        <w:tc>
          <w:tcPr>
            <w:tcW w:type="dxa" w:w="1728"/>
          </w:tcPr>
          <w:p>
            <w:r>
              <w:t>47</w:t>
            </w:r>
          </w:p>
        </w:tc>
        <w:tc>
          <w:tcPr>
            <w:tcW w:type="dxa" w:w="1728"/>
          </w:tcPr>
          <w:p>
            <w:r>
              <w:t>n8n installed under Node 22 and the twin workflow imported -- TwinRefreshIPA001 registered</w:t>
            </w:r>
          </w:p>
        </w:tc>
        <w:tc>
          <w:tcPr>
            <w:tcW w:type="dxa" w:w="1728"/>
          </w:tcPr>
          <w:p>
            <w:r>
              <w:t>digital-twin-for-ipa (workflows/n8n_twin_refresh.json id-fix) + machine setup</w:t>
            </w:r>
          </w:p>
        </w:tc>
        <w:tc>
          <w:tcPr>
            <w:tcW w:type="dxa" w:w="1728"/>
          </w:tcPr>
          <w:p>
            <w:r>
              <w:t>n8n installed cleanly under nvm Node 22.23.1 (~/.nvm/versions/node/v22.23.1/bin/n8n) after the Node-26 isolated-vm build failure, and the workflow imported and verified: n8n list:workflow shows 'TwinRefreshIPA001 | Digital Twin IPA -- auto-refresh'. The import surfaced one final…</w:t>
            </w:r>
          </w:p>
        </w:tc>
        <w:tc>
          <w:tcPr>
            <w:tcW w:type="dxa" w:w="1728"/>
          </w:tcPr>
          <w:p>
            <w:r>
              <w:t>Imported INACTIVE by design: the crontab remains the primary scheduler; activat…; Timezone pinned Asia/Kolkata in workflow settings; the dangling /opt/homebrew/b…</w:t>
            </w:r>
          </w:p>
        </w:tc>
      </w:tr>
      <w:tr>
        <w:tc>
          <w:tcPr>
            <w:tcW w:type="dxa" w:w="1728"/>
          </w:tcPr>
          <w:p>
            <w:r>
              <w:t>48</w:t>
            </w:r>
          </w:p>
        </w:tc>
        <w:tc>
          <w:tcPr>
            <w:tcW w:type="dxa" w:w="1728"/>
          </w:tcPr>
          <w:p>
            <w:r>
              <w:t>Email alerting live and tested -- credential-free design via runtime plist sourcing</w:t>
            </w:r>
          </w:p>
        </w:tc>
        <w:tc>
          <w:tcPr>
            <w:tcW w:type="dxa" w:w="1728"/>
          </w:tcPr>
          <w:p>
            <w:r>
              <w:t>digital-twin-for-ipa (scripts/send_twin_alert.py; cron weekly pipe; n8n workflow re-imported)</w:t>
            </w:r>
          </w:p>
        </w:tc>
        <w:tc>
          <w:tcPr>
            <w:tcW w:type="dxa" w:w="1728"/>
          </w:tcPr>
          <w:p>
            <w:r>
              <w:t>Rather than attaching the Gmail app password to n8n's credential store (which would mean handling the secret in plain text -- the established credential boundary), the alert path was built credential-free: send_twin_alert.py sources GMAIL_USER/GMAIL_APP_PASSWORD/MAIL_TO at runti…</w:t>
            </w:r>
          </w:p>
        </w:tc>
        <w:tc>
          <w:tcPr>
            <w:tcW w:type="dxa" w:w="1728"/>
          </w:tcPr>
          <w:p>
            <w:r>
              <w:t>Tested with three delivered emails: basic --test send; silent path verified (no…; Cron: the weekly Monday line now pipes refresh output through send_twin_alert.p…; n8n: the emailSend node was replaced with a credential-free executeCommand call…</w:t>
            </w:r>
          </w:p>
        </w:tc>
      </w:tr>
      <w:tr>
        <w:tc>
          <w:tcPr>
            <w:tcW w:type="dxa" w:w="1728"/>
          </w:tcPr>
          <w:p>
            <w:r>
              <w:t>49</w:t>
            </w:r>
          </w:p>
        </w:tc>
        <w:tc>
          <w:tcPr>
            <w:tcW w:type="dxa" w:w="1728"/>
          </w:tcPr>
          <w:p>
            <w:r>
              <w:t>End-to-end weekly pipeline test -- validated by a real, organic route-recovery event</w:t>
            </w:r>
          </w:p>
        </w:tc>
        <w:tc>
          <w:tcPr>
            <w:tcW w:type="dxa" w:w="1728"/>
          </w:tcPr>
          <w:p>
            <w:r>
              <w:t>digital-twin-for-ipa (state/ snapshots + cron.log evidence, committed)</w:t>
            </w:r>
          </w:p>
        </w:tc>
        <w:tc>
          <w:tcPr>
            <w:tcW w:type="dxa" w:w="1728"/>
          </w:tcPr>
          <w:p>
            <w:r>
              <w:t>The full weekly pipeline was run once under the exact installed cron invocation (env -i with the crontab's PATH) and validated itself with a REAL event rather than a synthetic trigger: UP Nivesh Mitra had come back online since the afternoon snapshot, producing 'CHANGE route UP…</w:t>
            </w:r>
          </w:p>
        </w:tc>
        <w:tc>
          <w:tcPr>
            <w:tcW w:type="dxa" w:w="1728"/>
          </w:tcPr>
          <w:p>
            <w:r>
              <w:t>Full chain in one pass: 64 routes checked (3 down -- DSIR CMS, BIRAC, Silpasath…; Snapshot-diff mechanics proven: same-day re-run compared against the afternoon…; Evidence committed and pushed. Next scheduled firings: daily PIB 07:17 tomorrow…</w:t>
            </w:r>
          </w:p>
        </w:tc>
      </w:tr>
      <w:tr>
        <w:tc>
          <w:tcPr>
            <w:tcW w:type="dxa" w:w="1728"/>
          </w:tcPr>
          <w:p>
            <w:r>
              <w:t>50</w:t>
            </w:r>
          </w:p>
        </w:tc>
        <w:tc>
          <w:tcPr>
            <w:tcW w:type="dxa" w:w="1728"/>
          </w:tcPr>
          <w:p>
            <w:r>
              <w:t>Interlinkage graph verified against Drishti IAS + 6 other IAS sources -- 12 confirmed, 3 resolved, 1 disputed, NIPU-2026 vindicated</w:t>
            </w:r>
          </w:p>
        </w:tc>
        <w:tc>
          <w:tcPr>
            <w:tcW w:type="dxa" w:w="1728"/>
          </w:tcPr>
          <w:p>
            <w:r>
              <w:t>digital-twin-for-ipa (layers/10_interlinkages.json: verification block, 12 new edges, 3 corrections)</w:t>
            </w:r>
          </w:p>
        </w:tc>
        <w:tc>
          <w:tcPr>
            <w:tcW w:type="dxa" w:w="1728"/>
          </w:tcPr>
          <w:p>
            <w:r>
              <w:t>Two agents checked all 23 edges' RELATIONSHIP claims against drishtiias.com and vajiram/pwonlyias/insights/clearias/forumias/nextias/visionias. Twelve edges confirmed (AIF-PMFME 'over and above the 35% subsidy' verbatim on two source families; ECMS-ISM boundary; RoDTEP halt-and-…</w:t>
            </w:r>
          </w:p>
        </w:tc>
        <w:tc>
          <w:tcPr>
            <w:tcW w:type="dxa" w:w="1728"/>
          </w:tcPr>
          <w:p>
            <w:r>
              <w:t>Resolved: (1) ECMS-MPMS boundary -- finished phones (sales-linked 2.25-5%) vs c…; Downgraded to DISPUTED: coal-gasification incentive percentage -- the secondary…; Still open: SEZ+PLI eligibility (no source resolves it; new context: SEZ Rule 1…; 12 new edges added (all SECONDARY…</w:t>
            </w:r>
          </w:p>
        </w:tc>
      </w:tr>
      <w:tr>
        <w:tc>
          <w:tcPr>
            <w:tcW w:type="dxa" w:w="1728"/>
          </w:tcPr>
          <w:p>
            <w:r>
              <w:t>51</w:t>
            </w:r>
          </w:p>
        </w:tc>
        <w:tc>
          <w:tcPr>
            <w:tcW w:type="dxa" w:w="1728"/>
          </w:tcPr>
          <w:p>
            <w:r>
              <w:t>Reportage gap audit + EV decks analysed and updated with twin-verified data</w:t>
            </w:r>
          </w:p>
        </w:tc>
        <w:tc>
          <w:tcPr>
            <w:tcW w:type="dxa" w:w="1728"/>
          </w:tcPr>
          <w:p>
            <w:r>
              <w:t>digital-twin-for-ipa (reportage fixes) + Google Drive / Dropbox (updated decks)</w:t>
            </w:r>
          </w:p>
        </w:tc>
        <w:tc>
          <w:tcPr>
            <w:tcW w:type="dxa" w:w="1728"/>
          </w:tcPr>
          <w:p>
            <w:r>
              <w:t>Two workstreams closed. (1) REPORTAGE GAP AUDIT vs Drishti IAS, Vision IAS and all 18 PRS Monthly Policy Reviews: pre-audit coverage was ~45-55% of PRS-recorded incentive actions, with a SYSTEMIC cause -- the SQL pre-filter only regex-scanned titles containing 'scheme/incentive/…</w:t>
            </w:r>
          </w:p>
        </w:tc>
        <w:tc>
          <w:tcPr>
            <w:tcW w:type="dxa" w:w="1728"/>
          </w:tcPr>
          <w:p>
            <w:r>
              <w:t>Audit resolutions of note: SHAKTI regex had to handle the scheme's own 'Koyala'…; Process error disclosed: one mis-directed commit landed in the policy repo swee…; Deck QA: all 4 changed slides rendered via LibreOffice and inspected (no overfl…; Sharing attempt: Dropbox MCP conn…</w:t>
            </w:r>
          </w:p>
        </w:tc>
      </w:tr>
      <w:tr>
        <w:tc>
          <w:tcPr>
            <w:tcW w:type="dxa" w:w="1728"/>
          </w:tcPr>
          <w:p>
            <w:r>
              <w:t>52</w:t>
            </w:r>
          </w:p>
        </w:tc>
        <w:tc>
          <w:tcPr>
            <w:tcW w:type="dxa" w:w="1728"/>
          </w:tcPr>
          <w:p>
            <w:r>
              <w:t>EV decks gain state-arrears + leads slides; machine Python resolution fixed to 3.14</w:t>
            </w:r>
          </w:p>
        </w:tc>
        <w:tc>
          <w:tcPr>
            <w:tcW w:type="dxa" w:w="1728"/>
          </w:tcPr>
          <w:p>
            <w:r>
              <w:t>Google Drive / Dropbox (deck v2s) + machine setup (~/.zshrc)</w:t>
            </w:r>
          </w:p>
        </w:tc>
        <w:tc>
          <w:tcPr>
            <w:tcW w:type="dxa" w:w="1728"/>
          </w:tcPr>
          <w:p>
            <w:r>
              <w:t>(1) Both EV decks extended with one design-matched slide each, built from twin layers: the Market Evaluation deck (now 11 slides) gains 'State Incentive Reality Check' -- the arrears divide (Telangana Rs 3,736cr confirmed arrears, AP Rs 3,000-5,000cr FIFO-promised) vs the payers…</w:t>
            </w:r>
          </w:p>
        </w:tc>
        <w:tc>
          <w:tcPr>
            <w:tcW w:type="dxa" w:w="1728"/>
          </w:tcPr>
          <w:p>
            <w:r>
              <w:t>(2) PYTHON FIX: bare python3 resolved to Apple's frozen 3.9.6 because /usr/bin…; Deliberately untouched: twin cron jobs pin /usr/bin/python3 (stdlib-only) and k…; Verification-method footnote: zsh -lc misleadingly showed the old python becaus…</w:t>
            </w:r>
          </w:p>
        </w:tc>
      </w:tr>
      <w:tr>
        <w:tc>
          <w:tcPr>
            <w:tcW w:type="dxa" w:w="1728"/>
          </w:tcPr>
          <w:p>
            <w:r>
              <w:t>53</w:t>
            </w:r>
          </w:p>
        </w:tc>
        <w:tc>
          <w:tcPr>
            <w:tcW w:type="dxa" w:w="1728"/>
          </w:tcPr>
          <w:p>
            <w:r>
              <w:t>Annual-report sweep extended to 4 uncovered market clusters; ministry-wise reportage view added</w:t>
            </w:r>
          </w:p>
        </w:tc>
        <w:tc>
          <w:tcPr>
            <w:tcW w:type="dxa" w:w="1728"/>
          </w:tcPr>
          <w:p>
            <w:r>
              <w:t>digital-twin-for-ipa</w:t>
            </w:r>
          </w:p>
        </w:tc>
        <w:tc>
          <w:tcPr>
            <w:tcW w:type="dxa" w:w="1728"/>
          </w:tcPr>
          <w:p>
            <w:r>
              <w:t>(1) The India/APAC intent analysis reached the markets the earlier rounds never touched -- ASEAN (Indonesia/Thailand/Malaysia/Philippines/Vietnam), Gulf-MENA ex-Saudi, Europe's thin tail (IT/ES/PT/BE/IE/PL/GR/NO/AT), LatAm ex-Brazil, and Turkey/New Zealand -- 60 yfinance-profitable large caps whose OWN latest annual report was mined for India/APAC investment language. 58 merged into the leads layer (2 deduped) -&gt; 321 leads across 45 countries; targeting shortlist now 79 priority + 57 warm. Thirteen new HIGH names, each on its own filing: Delta Electronics Thailand (board-approved INR 1,212m India investment Jul-2025, Bengaluru HQ+R&amp;D, Krishnagiri SEZ tax-exempt to 2034), Danieli (Sri City plant, Rs 2,511cr India order book), Fincantieri (CEO: India 'a market of central importance in our long-term international growth strategy', EUR 200m+ Indian Navy torpedo contract), Indra (EUR 55m+ AAI air-traffic systems, Bengaluru radar factory with Tata Advanced Systems), Kongsberg (Kochi waterjet plant, 18 waterjets for Indian Navy NGMVs), Andritz (seven Indian pumped-storage projects via local factories), SCG ('SCG's first manufacturing operation in India' -- AAC plant JV, Gujarat), SQM (20-F discloses SQM India Pvt Ltd incorporated 22-Apr-2024, Pune), ADNOC Gas (three long-term India LNG SPAs -- IOCL 14-yr, GAIL and HPCL 10-yr each), Kerry Group ('looking at our next phase of investment in India'), Grupo Bimbo (one of six new 2024 plants built in India, 14 Indian bakeries), Iveco (INBOUND special situation -- Tata Motors' ~EUR 3.8bn tender offer makes India ~35% of combined revenue), and Arcelik, whose 2024 report says VoltasBeko 'has set its sights on becoming a leading brand in India's home appliance market' through the 49% VoltBek JV with Voltas (Sanand, Gujarat plant + R&amp;D office, 2.8M+ refrigerators since 2020, now exporting to Bangladesh and Sri Lanka).</w:t>
            </w:r>
          </w:p>
        </w:tc>
        <w:tc>
          <w:tcPr>
            <w:tcW w:type="dxa" w:w="1728"/>
          </w:tcPr>
          <w:p>
            <w:r>
              <w:t>Grade distribution of the 58 merged leads: 13 HIGH, 20 MEDIUM, 15 LOW, 10 NONE. Cluster-level yields: Europe's tail was richest (7 HIGH of 14 -- engineering and defence), ASEAN weakest relative to its size (2 HIGH of 14; Indonesia produced none at all), Gulf/MENA 1 of 12, LatAm 2 of 10, Turkey/NZ 1 of 10.</w:t>
              <w:br/>
              <w:t>SECOND-ORDER FINDING (bigger than the leads framing shows): Gulf petrochemicals are quietly India-dependent by revenue share rather than by investment. Industries Qatar's fertilizer (QAFCO) segment saw the Indian sub-continent jump from 10% to 22% of segment revenue in ONE year (segment NP +36%), with QatarEnergy committing to double urea capacity to 12.4 MTPA; Mesaieed Petrochemical runs 26% of group revenue and 54% of its chlor-alkali segment into the sub-continent. Honest caveat recorded: no named Indian counterparty appears -- the urea relationship is contracted at QatarEnergy Marketing level (Muntajat consolidated into it in 2024), so IQ's own disclosures show the exposure only in geography charts.</w:t>
              <w:br/>
              <w:t>NEGATIVE signals captured, not just positive: Thai Union is REDUCING its Avanti Feeds stake (24.21% -&gt; 19.81%, Mar-2025), UCB's APAC direction is divestment ($680m China business sold to CBC/Mubadala, Nov-2024), Umicore's Asia battery-materials assets took 2024 impairments with Chinese CAM assumed to stay underutilized, and Orbia -- the strongest India story in LatAm (Netafim plants, Dura-Line, completed Vectus buyout) -- signed a Mar-2025 MoU to SELL its India pipes business to Supreme Industries. Hoa Phat carries both directions at once: its HRC won exemption from India's DGTR anti-dumping duty ('a strong competitive advantage in the Indian market') while the same report names cheap Indian steel as a threat.</w:t>
              <w:br/>
              <w:t>HONESTY RULES HELD THROUGHOUT. NONE is recorded as a finding, never imputed: Astra International and Barito Renewables are explicitly Indonesia-focused in their own words, Orlen's Strategy 2035 is entirely CEE/Atlantic, Grupo Mexico has zero India mentions and Americas-only capex. Unprofitable names were EXCLUDED rather than promoted -- Orbia (TTM margin -5.7%, flagged top re-test candidate), Ezz Steel (FY23 net loss), Indorama Ventures, Petronas Chemicals, PTT Global Chemical, Energy Absolute, VinFast, Stellantis, Talgo, Solvay/Syensqo -- each with the reason stated in its cluster file's excluded block. Three circulating rumours were checked and DISCARDED rather than repeated: the 'Indomie India variant', an LG tie-up at ANTAM, and Delta's widely-quoted ~USD 500m India figure (press-only, absent from every filing -- labelled as such).</w:t>
              <w:br/>
              <w:t>SOURCE-ACCESS REALITY LOGGED PER COMPANY in report_used: annual-report PDFs were bot-blocked or oversized for Danieli, Fincantieri, Indra, EDP, ICBP, ANTAM, Chandra Asri, Top Glove, Umicore and UCB -- those quotes come from official press releases, rating-agency documents (CARE Ratings for Danieli India) or Wayback-archived copies of the identical official PDFs (SCG, Thai Union), each flagged. Infrastructure finding: yfinance does NOT cover ADX/DFM at all (.AE tickers 404), so every UAE name carries UNVERIFIED profitability with annual-report figures; PSE returns null (URC's profitability was verified from its own SEC Form 17-C: Php12.5bn net income, ~7.7% margin); Turkish TAS-29 inflation accounting distorts ratios where it applies.</w:t>
              <w:br/>
              <w:t>TURKEY/NZ SPECIFICS: Arcelik is the cluster's only HIGH but is marked UNVERIFIED on the profitability screen -- TAS 29 hyperinflation accounting turns a TRY 1.69bn parent-attributable profit into a negative yfinance margin/ROE via a TRY 28.3bn non-cash monetary loss; the same caveat is recorded per Turkish name (Erdemir's largely USD-functional accounts are less distorted; Tofas's +188% 'revenue growth' is a nominal-TRY artifact). Sisecam MEDIUM on its 100%-owned Halol, Gujarat flat-glass plant ('updated its strategies in India, a key global market'); Fisher &amp; Paykel Healthcare MEDIUM (Bengaluru subsidiary, APAC revenue NZ$420.8m +14%); a2 Milk MEDIUM on SE Asia with ZERO India mentions across 156 pages; Aselsan MEDIUM with zero India, consistent with strained Turkey-India relations. Fonterra LOW -- it exited the Future Dairy India JV in 2022 and is divesting its Asian consumer arm to Lactalis. A rumour was caught and killed here too: the supposed Ford Otosan-Sanand engine deal is a conflation (Sanand went to Tata; Ford Otosan bought Craiova, Romania) -- Ford Otosan, Tofas and Ulker are honest NONEs.</w:t>
              <w:br/>
              <w:t>TOOLING: scripts/merge_cluster_leads.py folds staged cluster files into the leads layer using the SAME score as the original build (profitability 40 + expansion 25 + open lane 25 + state top-up 10), deduping on ticker then name so re-runs are idempotent -- which let the late-arriving Turkey/NZ cluster fold in cleanly afterwards (10 more leads, 0 duplicates). Raw per-cluster evidence archived under layers/16_enrichment/clusters/. Commit ee85a06.</w:t>
              <w:br/>
              <w:t>PROCESS NOTE worth keeping: five coordinator agents each fanned out to sub-researchers. Four delivered promptly; the Turkey/NZ coordinator went 36 minutes with a 129-byte transcript and was judged dead -- queued messages to a stopped agent are never delivered, so detection means stat-ing the transcript for growth rather than trusting the absence of an error. A replacement was launched, and then the ORIGINAL completed after ~41 minutes and delivered a full 10-company file. The duplicate was stopped before it could overwrite the same path. Lesson recorded: a silent agent is not necessarily a dead one, and a replacement writing to the same output path is a race -- give the replacement a distinct path or stop the original first.</w:t>
              <w:br/>
              <w:t>ALSO THIS PHASE (separate request): the quarterly reportage page gained a ministry-wise companion view. docs/reportage_ministry.html groups all 3,982 mapped announcements under their scheme's OWNING ministry (49 of them, Cabinet/CCEA rows filed under the line ministry, register attribution kept inline per row) with each row time-stamped by release date, newest first. The original quarter-wise docs/reportage.html was RESTORED unchanged from 096720b after the first attempt overwrote it -- the user asked for a separate file, not a replacement -- and the two now cross-link. Each has its own template; build_reportage.py emits both every run, so the weekly cron keeps them in sync. Commits 1e4d30b, 0da6312.</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53 phases logged. The leads layer now spans 321 companies in 45 countries, every foreign entry graded against its own annual report with verbatim evidence and honest report_used provenance, yielding 79 priority + 57 warm targets in docs/TARGET_LEADS.md. All five new market clusters are merged and pushed. The reportage site now offers both a quarter-wise and a ministry-wise view, cross-linked and rebuilt together by the weekly cron.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