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hina_proof_html_link_package"/>
      <w:r>
        <w:rPr>
          <w:rFonts w:eastAsia="georgia" w:cs="georgia" w:ascii="georgia" w:hAnsi="georgia"/>
          <w:b/>
          <w:color w:val="000000"/>
          <w:sz w:val="39"/>
        </w:rPr>
        <w:t xml:space="preserve">China-proof HTML link package</w:t>
      </w:r>
      <w:bookmarkEnd w:id="0"/>
    </w:p>
    <w:p>
      <w:pPr>
        <w:spacing w:line="360" w:after="210" w:lineRule="auto"/>
      </w:pPr>
      <w:r>
        <w:rPr>
          <w:rFonts w:eastAsia="georgia" w:cs="georgia" w:ascii="georgia" w:hAnsi="georgia"/>
          <w:color w:val="000000"/>
        </w:rPr>
        <w:t xml:space="preserve">This package provides paste-ready link blocks and footer literature blocks for the revised course website. The links prioritize official company pages, investor-relations pages, sustainability / ESG pages, and institutionally stable sources that are accessible and low-risk for a China-facing teaching context.</w:t>
      </w:r>
    </w:p>
    <w:p>
      <w:pPr>
        <w:spacing w:line="360" w:before="315" w:after="105" w:lineRule="auto"/>
        <w:ind w:left="-30"/>
        <w:jc w:val="left"/>
      </w:pPr>
      <w:bookmarkStart w:id="1" w:name="link_policy_for_the_html_pages"/>
      <w:r>
        <w:rPr>
          <w:rFonts w:eastAsia="georgia" w:cs="georgia" w:ascii="georgia" w:hAnsi="georgia"/>
          <w:b/>
          <w:color w:val="000000"/>
          <w:sz w:val="24"/>
        </w:rPr>
        <w:t xml:space="preserve">Link policy for the HTML pages</w:t>
      </w:r>
      <w:bookmarkEnd w:id="1"/>
    </w:p>
    <w:p>
      <w:pPr>
        <w:spacing w:line="360" w:after="210" w:lineRule="auto"/>
      </w:pPr>
      <w:r>
        <w:rPr>
          <w:rFonts w:eastAsia="georgia" w:cs="georgia" w:ascii="georgia" w:hAnsi="georgia"/>
          <w:color w:val="000000"/>
        </w:rPr>
        <w:t xml:space="preserve">Use the following rules consistently across all pages:</w:t>
      </w:r>
    </w:p>
    <w:p>
      <w:pPr>
        <w:numPr>
          <w:ilvl w:val="0"/>
          <w:numId w:val="1"/>
        </w:numPr>
        <w:spacing w:line="360" w:before="105" w:after="105" w:lineRule="auto"/>
      </w:pPr>
      <w:r>
        <w:rPr>
          <w:rFonts w:eastAsia="georgia" w:cs="georgia" w:ascii="georgia" w:hAnsi="georgia"/>
          <w:color w:val="000000"/>
          <w:sz w:val="21"/>
        </w:rPr>
        <w:t xml:space="preserve">Prefer official company websites, investor relations pages, sustainability/ESG pages, and stock-exchange filings.</w:t>
      </w:r>
    </w:p>
    <w:p>
      <w:pPr>
        <w:numPr>
          <w:ilvl w:val="0"/>
          <w:numId w:val="1"/>
        </w:numPr>
        <w:spacing w:line="360" w:before="105" w:after="105" w:lineRule="auto"/>
      </w:pPr>
      <w:r>
        <w:rPr>
          <w:rFonts w:eastAsia="georgia" w:cs="georgia" w:ascii="georgia" w:hAnsi="georgia"/>
          <w:color w:val="000000"/>
          <w:sz w:val="21"/>
        </w:rPr>
        <w:t xml:space="preserve">Avoid NGO confrontation pages, activist campaign pages, politically accusatory reporting, and regionally sensitive examples.</w:t>
      </w:r>
    </w:p>
    <w:p>
      <w:pPr>
        <w:numPr>
          <w:ilvl w:val="0"/>
          <w:numId w:val="1"/>
        </w:numPr>
        <w:spacing w:line="360" w:before="105" w:after="105" w:lineRule="auto"/>
      </w:pPr>
      <w:r>
        <w:rPr>
          <w:rFonts w:eastAsia="georgia" w:cs="georgia" w:ascii="georgia" w:hAnsi="georgia"/>
          <w:color w:val="000000"/>
          <w:sz w:val="21"/>
        </w:rPr>
        <w:t xml:space="preserve">Avoid examples centered on Xinjiang, whistleblowing against state actors, geopolitical protest campaigns, or values language that can be read as direct political mobilization.</w:t>
      </w:r>
    </w:p>
    <w:p>
      <w:pPr>
        <w:numPr>
          <w:ilvl w:val="0"/>
          <w:numId w:val="1"/>
        </w:numPr>
        <w:spacing w:line="360" w:before="105" w:after="105" w:lineRule="auto"/>
      </w:pPr>
      <w:r>
        <w:rPr>
          <w:rFonts w:eastAsia="georgia" w:cs="georgia" w:ascii="georgia" w:hAnsi="georgia"/>
          <w:color w:val="000000"/>
          <w:sz w:val="21"/>
        </w:rPr>
        <w:t xml:space="preserve">When mentioning a case with reputational risk, frame it as a question of governance, trust, product responsibility, stakeholder communication, or strategic consistency.</w:t>
      </w:r>
    </w:p>
    <w:p>
      <w:pPr>
        <w:numPr>
          <w:ilvl w:val="0"/>
          <w:numId w:val="1"/>
        </w:numPr>
        <w:spacing w:line="360" w:before="105" w:after="105" w:lineRule="auto"/>
      </w:pPr>
      <w:r>
        <w:rPr>
          <w:rFonts w:eastAsia="georgia" w:cs="georgia" w:ascii="georgia" w:hAnsi="georgia"/>
          <w:color w:val="000000"/>
          <w:sz w:val="21"/>
        </w:rPr>
        <w:t xml:space="preserve">Add </w:t>
      </w:r>
      <w:r>
        <w:rPr>
          <w:rStyle w:val="VerbatimChar"/>
          <w:rFonts w:eastAsia="menlo" w:cs="menlo" w:ascii="menlo" w:hAnsi="menlo"/>
          <w:color w:val="000000"/>
          <w:sz w:val="18"/>
          <w:shd w:val="clear" w:color="auto" w:fill="F8F8FA"/>
        </w:rPr>
        <w:t xml:space="preserve">target="_blank" rel="noopener noreferrer"</w:t>
      </w:r>
      <w:r>
        <w:rPr>
          <w:rFonts w:eastAsia="georgia" w:cs="georgia" w:ascii="georgia" w:hAnsi="georgia"/>
          <w:color w:val="000000"/>
          <w:sz w:val="21"/>
        </w:rPr>
        <w:t xml:space="preserve"> to external links.</w:t>
      </w:r>
    </w:p>
    <w:p>
      <w:pPr>
        <w:numPr>
          <w:ilvl w:val="0"/>
          <w:numId w:val="1"/>
        </w:numPr>
        <w:spacing w:line="360" w:before="105" w:after="105" w:lineRule="auto"/>
      </w:pPr>
      <w:r>
        <w:rPr>
          <w:rFonts w:eastAsia="georgia" w:cs="georgia" w:ascii="georgia" w:hAnsi="georgia"/>
          <w:color w:val="000000"/>
          <w:sz w:val="21"/>
        </w:rPr>
        <w:t xml:space="preserve">Put literature links in a footer section titled </w:t>
      </w:r>
      <w:r>
        <w:rPr>
          <w:rStyle w:val="VerbatimChar"/>
          <w:rFonts w:eastAsia="menlo" w:cs="menlo" w:ascii="menlo" w:hAnsi="menlo"/>
          <w:color w:val="000000"/>
          <w:sz w:val="18"/>
          <w:shd w:val="clear" w:color="auto" w:fill="F8F8FA"/>
        </w:rPr>
        <w:t xml:space="preserve">Further reading / Literature</w:t>
      </w:r>
      <w:r>
        <w:rPr>
          <w:rFonts w:eastAsia="georgia" w:cs="georgia" w:ascii="georgia" w:hAnsi="georgia"/>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homepage_index_html"/>
      <w:r>
        <w:rPr>
          <w:rFonts w:eastAsia="georgia" w:cs="georgia" w:ascii="georgia" w:hAnsi="georgia"/>
          <w:b/>
          <w:color w:val="000000"/>
          <w:sz w:val="24"/>
        </w:rPr>
        <w:t xml:space="preserve">Homepage (</w:t>
      </w:r>
      <w:r>
        <w:rPr>
          <w:rStyle w:val="VerbatimChar"/>
          <w:rFonts w:eastAsia="georgia" w:cs="georgia" w:ascii="georgia" w:hAnsi="georgia"/>
          <w:b/>
          <w:color w:val="000000"/>
          <w:sz w:val="24"/>
          <w:shd w:val="clear" w:color="auto" w:fill="F8F8FA"/>
        </w:rPr>
        <w:t xml:space="preserve">index.html</w:t>
      </w:r>
      <w:r>
        <w:rPr>
          <w:rFonts w:eastAsia="georgia" w:cs="georgia" w:ascii="georgia" w:hAnsi="georgia"/>
          <w:b/>
          <w:color w:val="000000"/>
          <w:sz w:val="24"/>
        </w:rPr>
        <w:t xml:space="preserve">)</w:t>
      </w:r>
      <w:bookmarkEnd w:id="2"/>
    </w:p>
    <w:p>
      <w:pPr>
        <w:spacing w:line="360" w:before="315" w:after="105" w:lineRule="auto"/>
        <w:ind w:left="-30"/>
        <w:jc w:val="left"/>
      </w:pPr>
      <w:bookmarkStart w:id="3" w:name="suggested_intro_note_below_the_hero"/>
      <w:r>
        <w:rPr>
          <w:rFonts w:eastAsia="georgia" w:cs="georgia" w:ascii="georgia" w:hAnsi="georgia"/>
          <w:b/>
          <w:color w:val="000000"/>
          <w:sz w:val="24"/>
        </w:rPr>
        <w:t xml:space="preserve">Suggested intro note below the hero</w:t>
      </w:r>
      <w:bookmarkEnd w:id="3"/>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The course combines international frameworks with company examples from China and global markets.</w:t>
        <w:br/>
        <w:t xml:space="preserve">  Featured recurring examples include Alibaba, Tencent, JD.com, BYD, ANTA, ICICLE, IKEA, Patagonia, and Microsoft.</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 w:name="suggested_example_links_block"/>
      <w:r>
        <w:rPr>
          <w:rFonts w:eastAsia="georgia" w:cs="georgia" w:ascii="georgia" w:hAnsi="georgia"/>
          <w:b/>
          <w:color w:val="000000"/>
          <w:sz w:val="24"/>
        </w:rPr>
        <w:t xml:space="preserve">Suggested example links block</w:t>
      </w:r>
      <w:bookmarkEnd w:id="4"/>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"example-links"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Featured company examples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Group ESG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"https://www.tencent.com/en-us/esg.html"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Tencent ESG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"https://corporate.jd.com/sustainability"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JD.com Sustainability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"https://www1.hkexnews.hk/listedco/listconews/sehk/2025/0324/2025032401244.pdf"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BYD Sustainability Report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"https://ir.anta.com/en/news_detail.php?id=133778"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ANTA ESG update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"https://www.icicle.com.cn/en/shanghai-where-the-journey-begins/"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ICICLE brand story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5" w:name="suggested_literature_footer"/>
      <w:r>
        <w:rPr>
          <w:rFonts w:eastAsia="georgia" w:cs="georgia" w:ascii="georgia" w:hAnsi="georgia"/>
          <w:b/>
          <w:color w:val="000000"/>
          <w:sz w:val="24"/>
        </w:rPr>
        <w:t xml:space="preserve">Suggested literature footer</w:t>
      </w:r>
      <w:bookmarkEnd w:id="5"/>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"literature-links"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Further reading / Literature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Group ESG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"https://www.tencent.com/en-us/esg.html"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Tencent ESG overview</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"https://corporate.jd.com/sustainability"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JD.com sustainability overview</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"https://www1.hkexnews.hk/listedco/listconews/sehk/2025/0324/2025032401244.pdf"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BYD Sustainability Report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"https://ir.anta.com/en/news_detail.php?id=133778"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ANTA sustainability / ESG disclosure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ession_1_session1_kickoff_html"/>
      <w:r>
        <w:rPr>
          <w:rFonts w:eastAsia="georgia" w:cs="georgia" w:ascii="georgia" w:hAnsi="georgia"/>
          <w:b/>
          <w:color w:val="000000"/>
          <w:sz w:val="24"/>
        </w:rPr>
        <w:t xml:space="preserve">Session 1 (</w:t>
      </w:r>
      <w:r>
        <w:rPr>
          <w:rStyle w:val="VerbatimChar"/>
          <w:rFonts w:eastAsia="georgia" w:cs="georgia" w:ascii="georgia" w:hAnsi="georgia"/>
          <w:b/>
          <w:color w:val="000000"/>
          <w:sz w:val="24"/>
          <w:shd w:val="clear" w:color="auto" w:fill="F8F8FA"/>
        </w:rPr>
        <w:t xml:space="preserve">session1-kickoff.html</w:t>
      </w:r>
      <w:r>
        <w:rPr>
          <w:rFonts w:eastAsia="georgia" w:cs="georgia" w:ascii="georgia" w:hAnsi="georgia"/>
          <w:b/>
          <w:color w:val="000000"/>
          <w:sz w:val="24"/>
        </w:rPr>
        <w:t xml:space="preserve">)</w:t>
      </w:r>
      <w:bookmarkEnd w:id="6"/>
    </w:p>
    <w:p>
      <w:pPr>
        <w:spacing w:line="360" w:before="315" w:after="105" w:lineRule="auto"/>
        <w:ind w:left="-30"/>
        <w:jc w:val="left"/>
      </w:pPr>
      <w:bookmarkStart w:id="7" w:name="insert_in_the_examples_area"/>
      <w:r>
        <w:rPr>
          <w:rFonts w:eastAsia="georgia" w:cs="georgia" w:ascii="georgia" w:hAnsi="georgia"/>
          <w:b/>
          <w:color w:val="000000"/>
          <w:sz w:val="24"/>
        </w:rPr>
        <w:t xml:space="preserve">Insert in the examples area</w:t>
      </w:r>
      <w:bookmarkEnd w:id="7"/>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"session-links"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Example brands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"https://www.alibabagroup.com/en/about-alibaba"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Group</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platform ecosystem and brand architecture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"https://www.tencent.com/en-us/about.html"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Tencent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technology ecosystem and corporate identity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"https://www.icicle.com.cn/en/shanghai-where-the-journey-begins/"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ICICLE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Chinese fashion brand with sustainability positioning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"https://www.ikea.com/global/en/our-business/our-view-on/"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IKEA</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purpose, affordability, and design-led identity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8" w:name="footer_literature_links"/>
      <w:r>
        <w:rPr>
          <w:rFonts w:eastAsia="georgia" w:cs="georgia" w:ascii="georgia" w:hAnsi="georgia"/>
          <w:b/>
          <w:color w:val="000000"/>
          <w:sz w:val="24"/>
        </w:rPr>
        <w:t xml:space="preserve">Footer literature links</w:t>
      </w:r>
      <w:bookmarkEnd w:id="8"/>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"literature-links"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Further reading / Literature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"https://www.alibabagroup.com/en/about-alibaba"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corporate overview</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"https://www.tencent.com/en-us/about.html"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Tencent corporate overview</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"https://www.icicle.com.cn/en/shanghai-where-the-journey-begins/"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ICICLE brand profile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"https://www.ikea.com/global/en/our-business/our-view-on/"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IKEA business overview</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session_2_session2_ordnungsethik_html"/>
      <w:r>
        <w:rPr>
          <w:rFonts w:eastAsia="georgia" w:cs="georgia" w:ascii="georgia" w:hAnsi="georgia"/>
          <w:b/>
          <w:color w:val="000000"/>
          <w:sz w:val="24"/>
        </w:rPr>
        <w:t xml:space="preserve">Session 2 (</w:t>
      </w:r>
      <w:r>
        <w:rPr>
          <w:rStyle w:val="VerbatimChar"/>
          <w:rFonts w:eastAsia="georgia" w:cs="georgia" w:ascii="georgia" w:hAnsi="georgia"/>
          <w:b/>
          <w:color w:val="000000"/>
          <w:sz w:val="24"/>
          <w:shd w:val="clear" w:color="auto" w:fill="F8F8FA"/>
        </w:rPr>
        <w:t xml:space="preserve">session2-ordnungsethik.html</w:t>
      </w:r>
      <w:r>
        <w:rPr>
          <w:rFonts w:eastAsia="georgia" w:cs="georgia" w:ascii="georgia" w:hAnsi="georgia"/>
          <w:b/>
          <w:color w:val="000000"/>
          <w:sz w:val="24"/>
        </w:rPr>
        <w:t xml:space="preserve">)</w:t>
      </w:r>
      <w:bookmarkEnd w:id="9"/>
    </w:p>
    <w:p>
      <w:pPr>
        <w:spacing w:line="360" w:before="315" w:after="105" w:lineRule="auto"/>
        <w:ind w:left="-30"/>
        <w:jc w:val="left"/>
      </w:pPr>
      <w:bookmarkStart w:id="10" w:name="insert_in_the_examples_area_2"/>
      <w:r>
        <w:rPr>
          <w:rFonts w:eastAsia="georgia" w:cs="georgia" w:ascii="georgia" w:hAnsi="georgia"/>
          <w:b/>
          <w:color w:val="000000"/>
          <w:sz w:val="24"/>
        </w:rPr>
        <w:t xml:space="preserve">Insert in the examples area</w:t>
      </w:r>
      <w:bookmarkEnd w:id="10"/>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"session-links"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Governance and institutional examples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ESG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governance policies and platform responsibility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"https://www.tencent.com/en-us/esg/environment/policy.html"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Tencent environmental management policy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rules, governance, and implementation logic</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"https://corporate.jd.com/sustainability"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JD.com sustainability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supply chain and logistics governance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1" w:name="footer_literature_links_2"/>
      <w:r>
        <w:rPr>
          <w:rFonts w:eastAsia="georgia" w:cs="georgia" w:ascii="georgia" w:hAnsi="georgia"/>
          <w:b/>
          <w:color w:val="000000"/>
          <w:sz w:val="24"/>
        </w:rPr>
        <w:t xml:space="preserve">Footer literature links</w:t>
      </w:r>
      <w:bookmarkEnd w:id="11"/>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"literature-links"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Further reading / Literature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ESG overview and policies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"https://www.tencent.com/en-us/esg/environment/policy.html"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Tencent environmental governance policy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"https://corporate.jd.com/sustainability"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JD.com sustainability overview</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ession_3_session3_legitimation_c_30d0b4"/>
      <w:r>
        <w:rPr>
          <w:rFonts w:eastAsia="georgia" w:cs="georgia" w:ascii="georgia" w:hAnsi="georgia"/>
          <w:b/>
          <w:color w:val="000000"/>
          <w:sz w:val="24"/>
        </w:rPr>
        <w:t xml:space="preserve">Session 3 (</w:t>
      </w:r>
      <w:r>
        <w:rPr>
          <w:rStyle w:val="VerbatimChar"/>
          <w:rFonts w:eastAsia="georgia" w:cs="georgia" w:ascii="georgia" w:hAnsi="georgia"/>
          <w:b/>
          <w:color w:val="000000"/>
          <w:sz w:val="24"/>
          <w:shd w:val="clear" w:color="auto" w:fill="F8F8FA"/>
        </w:rPr>
        <w:t xml:space="preserve">session3-legitimation-context.html</w:t>
      </w:r>
      <w:r>
        <w:rPr>
          <w:rFonts w:eastAsia="georgia" w:cs="georgia" w:ascii="georgia" w:hAnsi="georgia"/>
          <w:b/>
          <w:color w:val="000000"/>
          <w:sz w:val="24"/>
        </w:rPr>
        <w:t xml:space="preserve"> or equivalent corporate/marketing ethics page)</w:t>
      </w:r>
      <w:bookmarkEnd w:id="12"/>
    </w:p>
    <w:p>
      <w:pPr>
        <w:spacing w:line="360" w:before="315" w:after="105" w:lineRule="auto"/>
        <w:ind w:left="-30"/>
        <w:jc w:val="left"/>
      </w:pPr>
      <w:bookmarkStart w:id="13" w:name="insert_in_the_examples_area_3"/>
      <w:r>
        <w:rPr>
          <w:rFonts w:eastAsia="georgia" w:cs="georgia" w:ascii="georgia" w:hAnsi="georgia"/>
          <w:b/>
          <w:color w:val="000000"/>
          <w:sz w:val="24"/>
        </w:rPr>
        <w:t xml:space="preserve">Insert in the examples area</w:t>
      </w:r>
      <w:bookmarkEnd w:id="13"/>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"session-links"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Legitimacy and trust examples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ESG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legitimacy through access, inclusion, and platform governance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"https://www.tencent.net.cn/our-actions/environmental/"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Tencent sustainability actions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environmental and technology-for-good positioning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"https://www.ikea.com/global/en/our-business/our-view-on/"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IKEA corporate view</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legitimacy through affordability and everyday utility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4" w:name="footer_literature_links_3"/>
      <w:r>
        <w:rPr>
          <w:rFonts w:eastAsia="georgia" w:cs="georgia" w:ascii="georgia" w:hAnsi="georgia"/>
          <w:b/>
          <w:color w:val="000000"/>
          <w:sz w:val="24"/>
        </w:rPr>
        <w:t xml:space="preserve">Footer literature links</w:t>
      </w:r>
      <w:bookmarkEnd w:id="14"/>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"literature-links"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Further reading / Literature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ESG overview</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"https://www.tencent.net.cn/our-actions/environmental/"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Tencent sustainability actions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"https://www.ikea.com/global/en/our-business/our-view-on/"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IKEA corporate overview</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session_4_session4_csr1_html"/>
      <w:r>
        <w:rPr>
          <w:rFonts w:eastAsia="georgia" w:cs="georgia" w:ascii="georgia" w:hAnsi="georgia"/>
          <w:b/>
          <w:color w:val="000000"/>
          <w:sz w:val="24"/>
        </w:rPr>
        <w:t xml:space="preserve">Session 4 (</w:t>
      </w:r>
      <w:r>
        <w:rPr>
          <w:rStyle w:val="VerbatimChar"/>
          <w:rFonts w:eastAsia="georgia" w:cs="georgia" w:ascii="georgia" w:hAnsi="georgia"/>
          <w:b/>
          <w:color w:val="000000"/>
          <w:sz w:val="24"/>
          <w:shd w:val="clear" w:color="auto" w:fill="F8F8FA"/>
        </w:rPr>
        <w:t xml:space="preserve">session4-csr1.html</w:t>
      </w:r>
      <w:r>
        <w:rPr>
          <w:rFonts w:eastAsia="georgia" w:cs="georgia" w:ascii="georgia" w:hAnsi="georgia"/>
          <w:b/>
          <w:color w:val="000000"/>
          <w:sz w:val="24"/>
        </w:rPr>
        <w:t xml:space="preserve">)</w:t>
      </w:r>
      <w:bookmarkEnd w:id="15"/>
    </w:p>
    <w:p>
      <w:pPr>
        <w:spacing w:line="360" w:before="315" w:after="105" w:lineRule="auto"/>
        <w:ind w:left="-30"/>
        <w:jc w:val="left"/>
      </w:pPr>
      <w:bookmarkStart w:id="16" w:name="insert_in_the_examples_area_4"/>
      <w:r>
        <w:rPr>
          <w:rFonts w:eastAsia="georgia" w:cs="georgia" w:ascii="georgia" w:hAnsi="georgia"/>
          <w:b/>
          <w:color w:val="000000"/>
          <w:sz w:val="24"/>
        </w:rPr>
        <w:t xml:space="preserve">Insert in the examples area</w:t>
      </w:r>
      <w:bookmarkEnd w:id="16"/>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"session-links"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Ethics management examples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ESG and policy archive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ethics, governance, and responsible technology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"https://www.tencent.com/en-us/esg/environment/policy.html"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Tencent ESG policy framework</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governance and environmental commitments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"https://corporate.jd.com/sustainability"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JD.com sustainability overview</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green logistics and operational responsibility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7" w:name="footer_literature_links_4"/>
      <w:r>
        <w:rPr>
          <w:rFonts w:eastAsia="georgia" w:cs="georgia" w:ascii="georgia" w:hAnsi="georgia"/>
          <w:b/>
          <w:color w:val="000000"/>
          <w:sz w:val="24"/>
        </w:rPr>
        <w:t xml:space="preserve">Footer literature links</w:t>
      </w:r>
      <w:bookmarkEnd w:id="17"/>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"literature-links"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Further reading / Literature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ESG reports and policies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"https://www.tencent.com/en-us/esg/environment/policy.html"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Tencent environmental management policy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"https://corporate.jd.com/sustainability"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JD.com sustainability page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session_5_session5_csr_esg_html"/>
      <w:r>
        <w:rPr>
          <w:rFonts w:eastAsia="georgia" w:cs="georgia" w:ascii="georgia" w:hAnsi="georgia"/>
          <w:b/>
          <w:color w:val="000000"/>
          <w:sz w:val="24"/>
        </w:rPr>
        <w:t xml:space="preserve">Session 5 (</w:t>
      </w:r>
      <w:r>
        <w:rPr>
          <w:rStyle w:val="VerbatimChar"/>
          <w:rFonts w:eastAsia="georgia" w:cs="georgia" w:ascii="georgia" w:hAnsi="georgia"/>
          <w:b/>
          <w:color w:val="000000"/>
          <w:sz w:val="24"/>
          <w:shd w:val="clear" w:color="auto" w:fill="F8F8FA"/>
        </w:rPr>
        <w:t xml:space="preserve">session5-csr-esg.html</w:t>
      </w:r>
      <w:r>
        <w:rPr>
          <w:rFonts w:eastAsia="georgia" w:cs="georgia" w:ascii="georgia" w:hAnsi="georgia"/>
          <w:b/>
          <w:color w:val="000000"/>
          <w:sz w:val="24"/>
        </w:rPr>
        <w:t xml:space="preserve">)</w:t>
      </w:r>
      <w:bookmarkEnd w:id="18"/>
    </w:p>
    <w:p>
      <w:pPr>
        <w:spacing w:line="360" w:before="315" w:after="105" w:lineRule="auto"/>
        <w:ind w:left="-30"/>
        <w:jc w:val="left"/>
      </w:pPr>
      <w:bookmarkStart w:id="19" w:name="insert_in_the_examples_area_5"/>
      <w:r>
        <w:rPr>
          <w:rFonts w:eastAsia="georgia" w:cs="georgia" w:ascii="georgia" w:hAnsi="georgia"/>
          <w:b/>
          <w:color w:val="000000"/>
          <w:sz w:val="24"/>
        </w:rPr>
        <w:t xml:space="preserve">Insert in the examples area</w:t>
      </w:r>
      <w:bookmarkEnd w:id="19"/>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"session-links"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CSR and ESG examples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Group ESG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annual ESG reporting and policy structure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"https://corporate.jd.com/sustainability"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JD.com Sustainability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logistics, packaging, and low-carbon operations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"https://www1.hkexnews.hk/listedco/listconews/sehk/2025/0324/2025032401244.pdf"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BYD Sustainability Report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manufacturing, electrification, and value-chain disclosure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"https://ir.anta.com/en/news_detail.php?id=133778"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ANTA ESG disclosure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supply chain and low-carbon transformation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20" w:name="add_this_sentence_to_the_teaching_text"/>
      <w:r>
        <w:rPr>
          <w:rFonts w:eastAsia="georgia" w:cs="georgia" w:ascii="georgia" w:hAnsi="georgia"/>
          <w:b/>
          <w:color w:val="000000"/>
          <w:sz w:val="24"/>
        </w:rPr>
        <w:t xml:space="preserve">Add this sentence to the teaching text</w:t>
      </w:r>
      <w:bookmarkEnd w:id="20"/>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In the China-facing version of this course, CSR and ESG are illustrated not only through Western multinational examples, but also through Chinese companies such as Alibaba, JD.com, BYD, and ANTA, whose public disclosures show how sustainability, governance, and supply-chain responsibility are framed in practice.</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21" w:name="footer_literature_links_5"/>
      <w:r>
        <w:rPr>
          <w:rFonts w:eastAsia="georgia" w:cs="georgia" w:ascii="georgia" w:hAnsi="georgia"/>
          <w:b/>
          <w:color w:val="000000"/>
          <w:sz w:val="24"/>
        </w:rPr>
        <w:t xml:space="preserve">Footer literature links</w:t>
      </w:r>
      <w:bookmarkEnd w:id="21"/>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"literature-links"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Further reading / Literature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ESG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"https://corporate.jd.com/sustainability"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JD.com sustainability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"https://www1.hkexnews.hk/listedco/listconews/sehk/2025/0324/2025032401244.pdf"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BYD sustainability report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"https://ir.anta.com/en/news_detail.php?id=133778"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ANTA ESG update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session_6_session6_brand_purpose_html"/>
      <w:r>
        <w:rPr>
          <w:rFonts w:eastAsia="georgia" w:cs="georgia" w:ascii="georgia" w:hAnsi="georgia"/>
          <w:b/>
          <w:color w:val="000000"/>
          <w:sz w:val="24"/>
        </w:rPr>
        <w:t xml:space="preserve">Session 6 (</w:t>
      </w:r>
      <w:r>
        <w:rPr>
          <w:rStyle w:val="VerbatimChar"/>
          <w:rFonts w:eastAsia="georgia" w:cs="georgia" w:ascii="georgia" w:hAnsi="georgia"/>
          <w:b/>
          <w:color w:val="000000"/>
          <w:sz w:val="24"/>
          <w:shd w:val="clear" w:color="auto" w:fill="F8F8FA"/>
        </w:rPr>
        <w:t xml:space="preserve">session6-brand-purpose.html</w:t>
      </w:r>
      <w:r>
        <w:rPr>
          <w:rFonts w:eastAsia="georgia" w:cs="georgia" w:ascii="georgia" w:hAnsi="georgia"/>
          <w:b/>
          <w:color w:val="000000"/>
          <w:sz w:val="24"/>
        </w:rPr>
        <w:t xml:space="preserve">)</w:t>
      </w:r>
      <w:bookmarkEnd w:id="22"/>
    </w:p>
    <w:p>
      <w:pPr>
        <w:spacing w:line="360" w:before="315" w:after="105" w:lineRule="auto"/>
        <w:ind w:left="-30"/>
        <w:jc w:val="left"/>
      </w:pPr>
      <w:bookmarkStart w:id="23" w:name="insert_in_the_examples_area_6"/>
      <w:r>
        <w:rPr>
          <w:rFonts w:eastAsia="georgia" w:cs="georgia" w:ascii="georgia" w:hAnsi="georgia"/>
          <w:b/>
          <w:color w:val="000000"/>
          <w:sz w:val="24"/>
        </w:rPr>
        <w:t xml:space="preserve">Insert in the examples area</w:t>
      </w:r>
      <w:bookmarkEnd w:id="23"/>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"session-links"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Brand purpose examples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"https://www.icicle.com.cn/en/shanghai-where-the-journey-begins/"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ICICLE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nature-led fashion and long-term brand philosophy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ESG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technology for inclusion, accessibility, and rural support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"https://www.ikea.com/global/en/our-business/our-view-on/"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IKEA</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everyday life improvement as a brand purpose frame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"https://www.microsoft.com/en-us/about"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Microsoft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mission-led corporate positioning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24" w:name="add_this_sentence_to_the_teaching_text_2"/>
      <w:r>
        <w:rPr>
          <w:rFonts w:eastAsia="georgia" w:cs="georgia" w:ascii="georgia" w:hAnsi="georgia"/>
          <w:b/>
          <w:color w:val="000000"/>
          <w:sz w:val="24"/>
        </w:rPr>
        <w:t xml:space="preserve">Add this sentence to the teaching text</w:t>
      </w:r>
      <w:bookmarkEnd w:id="24"/>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Suitable China-facing purpose examples include ICICLE, Alibaba, and ANTA, because their public narratives emphasize long-term value, product philosophy, inclusion, craftsmanship, or sustainability without requiring politically confrontational framing.</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25" w:name="footer_literature_links_6"/>
      <w:r>
        <w:rPr>
          <w:rFonts w:eastAsia="georgia" w:cs="georgia" w:ascii="georgia" w:hAnsi="georgia"/>
          <w:b/>
          <w:color w:val="000000"/>
          <w:sz w:val="24"/>
        </w:rPr>
        <w:t xml:space="preserve">Footer literature links</w:t>
      </w:r>
      <w:bookmarkEnd w:id="25"/>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"literature-links"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Further reading / Literature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"https://www.icicle.com.cn/en/shanghai-where-the-journey-begins/"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ICICLE brand story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ESG overview</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"https://www.ikea.com/global/en/our-business/our-view-on/"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IKEA overview</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"https://www.microsoft.com/en-us/about"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Microsoft about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session_7_session7_brand_activism_html"/>
      <w:r>
        <w:rPr>
          <w:rFonts w:eastAsia="georgia" w:cs="georgia" w:ascii="georgia" w:hAnsi="georgia"/>
          <w:b/>
          <w:color w:val="000000"/>
          <w:sz w:val="24"/>
        </w:rPr>
        <w:t xml:space="preserve">Session 7 (</w:t>
      </w:r>
      <w:r>
        <w:rPr>
          <w:rStyle w:val="VerbatimChar"/>
          <w:rFonts w:eastAsia="georgia" w:cs="georgia" w:ascii="georgia" w:hAnsi="georgia"/>
          <w:b/>
          <w:color w:val="000000"/>
          <w:sz w:val="24"/>
          <w:shd w:val="clear" w:color="auto" w:fill="F8F8FA"/>
        </w:rPr>
        <w:t xml:space="preserve">session7-brand-activism.html</w:t>
      </w:r>
      <w:r>
        <w:rPr>
          <w:rFonts w:eastAsia="georgia" w:cs="georgia" w:ascii="georgia" w:hAnsi="georgia"/>
          <w:b/>
          <w:color w:val="000000"/>
          <w:sz w:val="24"/>
        </w:rPr>
        <w:t xml:space="preserve">)</w:t>
      </w:r>
      <w:bookmarkEnd w:id="26"/>
    </w:p>
    <w:p>
      <w:pPr>
        <w:spacing w:line="360" w:before="315" w:after="105" w:lineRule="auto"/>
        <w:ind w:left="-30"/>
        <w:jc w:val="left"/>
      </w:pPr>
      <w:bookmarkStart w:id="27" w:name="recommended_wording_change_in_the_b7303b"/>
      <w:r>
        <w:rPr>
          <w:rFonts w:eastAsia="georgia" w:cs="georgia" w:ascii="georgia" w:hAnsi="georgia"/>
          <w:b/>
          <w:color w:val="000000"/>
          <w:sz w:val="24"/>
        </w:rPr>
        <w:t xml:space="preserve">Recommended wording change in the page itself</w:t>
      </w:r>
      <w:bookmarkEnd w:id="27"/>
    </w:p>
    <w:p>
      <w:pPr>
        <w:spacing w:line="360" w:after="210" w:lineRule="auto"/>
      </w:pPr>
      <w:r>
        <w:rPr>
          <w:rFonts w:eastAsia="georgia" w:cs="georgia" w:ascii="georgia" w:hAnsi="georgia"/>
          <w:color w:val="000000"/>
        </w:rPr>
        <w:t xml:space="preserve">Replace highly political framing with the following heading and bridge paragraph:</w:t>
      </w:r>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Brand stance, public values, and strategic communication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Brands increasingly communicate positions on social expectations, sustainability, inclusion, public well-being, and long-term development. In this revised version, the focus is not on political confrontation, but on the strategic question of when a public value position is credible, relevant, and consistent with the company’s operations.</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28" w:name="insert_in_the_examples_area_7"/>
      <w:r>
        <w:rPr>
          <w:rFonts w:eastAsia="georgia" w:cs="georgia" w:ascii="georgia" w:hAnsi="georgia"/>
          <w:b/>
          <w:color w:val="000000"/>
          <w:sz w:val="24"/>
        </w:rPr>
        <w:t xml:space="preserve">Insert in the examples area</w:t>
      </w:r>
      <w:bookmarkEnd w:id="28"/>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"session-links"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Brand stance examples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ESG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accessibility, rural revitalization, and responsible technology narratives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"https://www.tencent.net.cn/our-actions/environmental/"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Tencent sustainability actions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carbon goals and technology-enabled public value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"https://ir.anta.com/en/news_detail.php?id=133778"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ANTA ESG update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low-carbon retail and supply-chain sustainability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"https://www.icicle.com.cn/en/shanghai-where-the-journey-begins/"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ICICLE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brand values expressed through materials, design, and lifestyle philosophy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29" w:name="add_this_sentence_to_the_teaching_text_3"/>
      <w:r>
        <w:rPr>
          <w:rFonts w:eastAsia="georgia" w:cs="georgia" w:ascii="georgia" w:hAnsi="georgia"/>
          <w:b/>
          <w:color w:val="000000"/>
          <w:sz w:val="24"/>
        </w:rPr>
        <w:t xml:space="preserve">Add this sentence to the teaching text</w:t>
      </w:r>
      <w:bookmarkEnd w:id="29"/>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In a China-proof classroom version, the most useful examples are usually not protest-centered campaigns, but companies that express a clear public value stance through sustainability, product design, inclusion, education, accessibility, or responsible innovation.</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30" w:name="footer_literature_links_7"/>
      <w:r>
        <w:rPr>
          <w:rFonts w:eastAsia="georgia" w:cs="georgia" w:ascii="georgia" w:hAnsi="georgia"/>
          <w:b/>
          <w:color w:val="000000"/>
          <w:sz w:val="24"/>
        </w:rPr>
        <w:t xml:space="preserve">Footer literature links</w:t>
      </w:r>
      <w:bookmarkEnd w:id="30"/>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"literature-links"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Further reading / Literature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ESG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"https://www.tencent.net.cn/our-actions/environmental/"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Tencent sustainability actions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"https://ir.anta.com/en/news_detail.php?id=133778"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ANTA ESG update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"https://www.icicle.com.cn/en/shanghai-where-the-journey-begins/"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ICICLE brand story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session_8_session8_individual_eth_e8fbe1"/>
      <w:r>
        <w:rPr>
          <w:rFonts w:eastAsia="georgia" w:cs="georgia" w:ascii="georgia" w:hAnsi="georgia"/>
          <w:b/>
          <w:color w:val="000000"/>
          <w:sz w:val="24"/>
        </w:rPr>
        <w:t xml:space="preserve">Session 8 (</w:t>
      </w:r>
      <w:r>
        <w:rPr>
          <w:rStyle w:val="VerbatimChar"/>
          <w:rFonts w:eastAsia="georgia" w:cs="georgia" w:ascii="georgia" w:hAnsi="georgia"/>
          <w:b/>
          <w:color w:val="000000"/>
          <w:sz w:val="24"/>
          <w:shd w:val="clear" w:color="auto" w:fill="F8F8FA"/>
        </w:rPr>
        <w:t xml:space="preserve">session8-individual-ethics.html</w:t>
      </w:r>
      <w:r>
        <w:rPr>
          <w:rFonts w:eastAsia="georgia" w:cs="georgia" w:ascii="georgia" w:hAnsi="georgia"/>
          <w:b/>
          <w:color w:val="000000"/>
          <w:sz w:val="24"/>
        </w:rPr>
        <w:t xml:space="preserve">)</w:t>
      </w:r>
      <w:bookmarkEnd w:id="31"/>
    </w:p>
    <w:p>
      <w:pPr>
        <w:spacing w:line="360" w:before="315" w:after="105" w:lineRule="auto"/>
        <w:ind w:left="-30"/>
        <w:jc w:val="left"/>
      </w:pPr>
      <w:bookmarkStart w:id="32" w:name="recommended_wording_change_in_the_442ce4"/>
      <w:r>
        <w:rPr>
          <w:rFonts w:eastAsia="georgia" w:cs="georgia" w:ascii="georgia" w:hAnsi="georgia"/>
          <w:b/>
          <w:color w:val="000000"/>
          <w:sz w:val="24"/>
        </w:rPr>
        <w:t xml:space="preserve">Recommended wording change in the page itself</w:t>
      </w:r>
      <w:bookmarkEnd w:id="32"/>
    </w:p>
    <w:p>
      <w:pPr>
        <w:spacing w:line="360" w:after="210" w:lineRule="auto"/>
      </w:pPr>
      <w:r>
        <w:rPr>
          <w:rFonts w:eastAsia="georgia" w:cs="georgia" w:ascii="georgia" w:hAnsi="georgia"/>
          <w:color w:val="000000"/>
        </w:rPr>
        <w:t xml:space="preserve">Soften the whistleblowing block into internal reporting / compliance language:</w:t>
      </w:r>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Individual ethics, professional judgment, and internal escalation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At the individual level, ethics concerns professional judgment, responsibility, conflicts of interest, and the willingness to raise concerns through appropriate internal processes when risks, misconduct, or safety issues arise.</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33" w:name="insert_in_the_examples_area_8"/>
      <w:r>
        <w:rPr>
          <w:rFonts w:eastAsia="georgia" w:cs="georgia" w:ascii="georgia" w:hAnsi="georgia"/>
          <w:b/>
          <w:color w:val="000000"/>
          <w:sz w:val="24"/>
        </w:rPr>
        <w:t xml:space="preserve">Insert in the examples area</w:t>
      </w:r>
      <w:bookmarkEnd w:id="33"/>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"session-links"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Management and ethics examples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ESG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employee initiatives, accessibility, and governance commitments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"https://www.tencent.com/en-us/esg/environment/policy.html"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Tencent ESG policy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governance structures and environmental accountability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"https://corporate.jd.com/sustainability"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JD.com sustainability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 operational standards and responsibility in logistics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34" w:name="footer_literature_links_8"/>
      <w:r>
        <w:rPr>
          <w:rFonts w:eastAsia="georgia" w:cs="georgia" w:ascii="georgia" w:hAnsi="georgia"/>
          <w:b/>
          <w:color w:val="000000"/>
          <w:sz w:val="24"/>
        </w:rPr>
        <w:t xml:space="preserve">Footer literature links</w:t>
      </w:r>
      <w:bookmarkEnd w:id="34"/>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"literature-links"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Further reading / Literature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ESG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"https://www.tencent.com/en-us/esg/environment/policy.html"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Tencent ESG policy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"https://corporate.jd.com/sustainability"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JD.com sustainability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safe_literature_block_for_all_pages"/>
      <w:r>
        <w:rPr>
          <w:rFonts w:eastAsia="georgia" w:cs="georgia" w:ascii="georgia" w:hAnsi="georgia"/>
          <w:b/>
          <w:color w:val="000000"/>
          <w:sz w:val="24"/>
        </w:rPr>
        <w:t xml:space="preserve">Safe literature block for all pages</w:t>
      </w:r>
      <w:bookmarkEnd w:id="35"/>
    </w:p>
    <w:p>
      <w:pPr>
        <w:spacing w:line="360" w:after="210" w:lineRule="auto"/>
      </w:pPr>
      <w:r>
        <w:rPr>
          <w:rFonts w:eastAsia="georgia" w:cs="georgia" w:ascii="georgia" w:hAnsi="georgia"/>
          <w:color w:val="000000"/>
        </w:rPr>
        <w:t xml:space="preserve">If you want one standardized footer everywhere, use this shared block:</w:t>
      </w:r>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"literature-links"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Further reading / Literature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h4</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"https://www.alibabagroup.com/esg"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Alibaba Group ESG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"https://www.tencent.com/en-us/esg.html"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Tencent ESG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"https://corporate.jd.com/sustainability"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JD.com Sustainability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"https://www1.hkexnews.hk/listedco/listconews/sehk/2025/0324/2025032401244.pdf"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BYD Sustainability Report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"https://ir.anta.com/en/news_detail.php?id=133778"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ANTA ESG disclosure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"https://www.icicle.com.cn/en/shanghai-where-the-journey-begins/"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ICICLE brand story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"https://www.ikea.com/global/en/our-business/our-view-on/"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IKEA corporate overview</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href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"https://www.microsoft.com/en-us/about"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"_blank"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"noopener noreferrer"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Microsoft about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recommended_note_to_add_once_in_t_bccdf1"/>
      <w:r>
        <w:rPr>
          <w:rFonts w:eastAsia="georgia" w:cs="georgia" w:ascii="georgia" w:hAnsi="georgia"/>
          <w:b/>
          <w:color w:val="000000"/>
          <w:sz w:val="24"/>
        </w:rPr>
        <w:t xml:space="preserve">Recommended note to add once in the course introduction</w:t>
      </w:r>
      <w:bookmarkEnd w:id="36"/>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Example links in this course intentionally prioritize official company disclosures, sustainability reports, investor materials, and stable institutional sources. This keeps the material suitable for international and China-facing teaching contexts while still allowing critical analysis of governance, responsibility, and brand strategy.</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source_basis_used_for_this_package"/>
      <w:r>
        <w:rPr>
          <w:rFonts w:eastAsia="georgia" w:cs="georgia" w:ascii="georgia" w:hAnsi="georgia"/>
          <w:b/>
          <w:color w:val="000000"/>
          <w:sz w:val="24"/>
        </w:rPr>
        <w:t xml:space="preserve">Source basis used for this package</w:t>
      </w:r>
      <w:bookmarkEnd w:id="37"/>
    </w:p>
    <w:p>
      <w:pPr>
        <w:numPr>
          <w:ilvl w:val="0"/>
          <w:numId w:val="2"/>
        </w:numPr>
        <w:spacing w:line="360" w:before="105" w:after="105" w:lineRule="auto"/>
      </w:pPr>
      <w:r>
        <w:rPr>
          <w:rFonts w:eastAsia="georgia" w:cs="georgia" w:ascii="georgia" w:hAnsi="georgia"/>
          <w:color w:val="000000"/>
          <w:sz w:val="21"/>
        </w:rPr>
        <w:t xml:space="preserve">Alibaba official ESG hub and reports</w:t>
      </w:r>
    </w:p>
    <w:p>
      <w:pPr>
        <w:numPr>
          <w:ilvl w:val="0"/>
          <w:numId w:val="2"/>
        </w:numPr>
        <w:spacing w:line="360" w:before="105" w:after="105" w:lineRule="auto"/>
      </w:pPr>
      <w:r>
        <w:rPr>
          <w:rFonts w:eastAsia="georgia" w:cs="georgia" w:ascii="georgia" w:hAnsi="georgia"/>
          <w:color w:val="000000"/>
          <w:sz w:val="21"/>
        </w:rPr>
        <w:t xml:space="preserve">Tencent official ESG / environmental policy pages</w:t>
      </w:r>
    </w:p>
    <w:p>
      <w:pPr>
        <w:numPr>
          <w:ilvl w:val="0"/>
          <w:numId w:val="2"/>
        </w:numPr>
        <w:spacing w:line="360" w:before="105" w:after="105" w:lineRule="auto"/>
      </w:pPr>
      <w:hyperlink r:id="rId5">
        <w:r>
          <w:rPr>
            <w:rFonts w:eastAsia="helvetica neue" w:cs="helvetica neue" w:ascii="helvetica neue" w:hAnsi="helvetica neue"/>
            <w:color w:val="#000"/>
            <w:sz w:val="21"/>
            <w:u w:val="single"/>
          </w:rPr>
          <w:t xml:space="preserve">JD.com</w:t>
        </w:r>
      </w:hyperlink>
      <w:r>
        <w:rPr>
          <w:rFonts w:eastAsia="georgia" w:cs="georgia" w:ascii="georgia" w:hAnsi="georgia"/>
          <w:color w:val="000000"/>
          <w:sz w:val="21"/>
        </w:rPr>
        <w:t xml:space="preserve"> official sustainability page</w:t>
      </w:r>
    </w:p>
    <w:p>
      <w:pPr>
        <w:numPr>
          <w:ilvl w:val="0"/>
          <w:numId w:val="2"/>
        </w:numPr>
        <w:spacing w:line="360" w:before="105" w:after="105" w:lineRule="auto"/>
      </w:pPr>
      <w:r>
        <w:rPr>
          <w:rFonts w:eastAsia="georgia" w:cs="georgia" w:ascii="georgia" w:hAnsi="georgia"/>
          <w:color w:val="000000"/>
          <w:sz w:val="21"/>
        </w:rPr>
        <w:t xml:space="preserve">BYD sustainability disclosure via HKEX filing</w:t>
      </w:r>
    </w:p>
    <w:p>
      <w:pPr>
        <w:numPr>
          <w:ilvl w:val="0"/>
          <w:numId w:val="2"/>
        </w:numPr>
        <w:spacing w:line="360" w:before="105" w:after="105" w:lineRule="auto"/>
      </w:pPr>
      <w:r>
        <w:rPr>
          <w:rFonts w:eastAsia="georgia" w:cs="georgia" w:ascii="georgia" w:hAnsi="georgia"/>
          <w:color w:val="000000"/>
          <w:sz w:val="21"/>
        </w:rPr>
        <w:t xml:space="preserve">ANTA investor / ESG disclosure page</w:t>
      </w:r>
    </w:p>
    <w:p>
      <w:pPr>
        <w:numPr>
          <w:ilvl w:val="0"/>
          <w:numId w:val="2"/>
        </w:numPr>
        <w:spacing w:line="360" w:before="105" w:after="105" w:lineRule="auto"/>
      </w:pPr>
      <w:r>
        <w:rPr>
          <w:rFonts w:eastAsia="georgia" w:cs="georgia" w:ascii="georgia" w:hAnsi="georgia"/>
          <w:color w:val="000000"/>
          <w:sz w:val="21"/>
        </w:rPr>
        <w:t xml:space="preserve">ICICLE official brand story page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JD.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2026-04-15T07:51:01.362Z</dcterms:created>
  <dcterms:modified xsi:type="dcterms:W3CDTF">2026-04-15T07:51:01.362Z</dcterms:modified>
</cp:coreProperties>
</file>