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SEO / AI Content Expansion</w:t>
      </w:r>
    </w:p>
    <w:p>
      <w:r>
        <w:rPr>
          <w:color w:val="000000"/>
          <w:sz w:val="22"/>
          <w:szCs w:val="22"/>
        </w:rPr>
        <w:t xml:space="preserve">https://www.fruth.com/products/bags/header-bags</w:t>
      </w:r>
    </w:p>
    <w:p>
      <w:r>
        <w:rPr>
          <w:b/>
          <w:bCs/>
          <w:color w:val="2E7D32"/>
          <w:sz w:val="20"/>
          <w:szCs w:val="20"/>
        </w:rPr>
        <w:t xml:space="preserve">✓ Implemented in HubSpot: 07/08/2026</w:t>
      </w:r>
    </w:p>
    <w:p>
      <w:r>
        <w:t xml:space="preserve"/>
      </w:r>
    </w:p>
    <w:p>
      <w:r>
        <w:t xml:space="preserve"/>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BEFORE  —  Current Content (Preserved)  </w:t>
      </w:r>
    </w:p>
    <w:p>
      <w:r>
        <w:t xml:space="preserve"/>
      </w:r>
    </w:p>
    <w:p>
      <w:r>
        <w:rPr>
          <w:sz w:val="22"/>
          <w:szCs w:val="22"/>
        </w:rPr>
        <w:t xml:space="preserve">Fruth manufactures poly header bags designed for convenient loading and easy tear-off functionality via perforated headers. These lightweight, flexible bags suit multiple industries including industrial, healthcare, business, and food service sectors.</w:t>
      </w:r>
    </w:p>
    <w:p>
      <w:r>
        <w:t xml:space="preserve"/>
      </w:r>
    </w:p>
    <w:p>
      <w:r>
        <w:rPr>
          <w:sz w:val="22"/>
          <w:szCs w:val="22"/>
        </w:rPr>
        <w:t xml:space="preserve">Industrial uses encompass storage and transport of small car parts, toys, decorative items, and accessories.</w:t>
      </w:r>
    </w:p>
    <w:p>
      <w:r>
        <w:t xml:space="preserve"/>
      </w:r>
    </w:p>
    <w:p>
      <w:pPr>
        <w:pStyle w:val="ListParagraph"/>
        <w:numPr>
          <w:ilvl w:val="0"/>
          <w:numId w:val="2"/>
        </w:numPr>
      </w:pPr>
      <w:r>
        <w:rPr>
          <w:sz w:val="22"/>
          <w:szCs w:val="22"/>
        </w:rPr>
        <w:t xml:space="preserve">Packaged on a convenient header with perforations for easy tear off</w:t>
      </w:r>
    </w:p>
    <w:p>
      <w:pPr>
        <w:pStyle w:val="ListParagraph"/>
        <w:numPr>
          <w:ilvl w:val="0"/>
          <w:numId w:val="2"/>
        </w:numPr>
      </w:pPr>
      <w:r>
        <w:rPr>
          <w:sz w:val="22"/>
          <w:szCs w:val="22"/>
        </w:rPr>
        <w:t xml:space="preserve">Lightweight and flexible construction</w:t>
      </w:r>
    </w:p>
    <w:p>
      <w:pPr>
        <w:pStyle w:val="ListParagraph"/>
        <w:numPr>
          <w:ilvl w:val="0"/>
          <w:numId w:val="2"/>
        </w:numPr>
      </w:pPr>
      <w:r>
        <w:rPr>
          <w:sz w:val="22"/>
          <w:szCs w:val="22"/>
        </w:rPr>
        <w:t xml:space="preserve">ISO 9001:2015 certified manufacturer and distributor</w:t>
      </w:r>
    </w:p>
    <w:p>
      <w:pPr>
        <w:pStyle w:val="ListParagraph"/>
        <w:numPr>
          <w:ilvl w:val="0"/>
          <w:numId w:val="2"/>
        </w:numPr>
      </w:pPr>
      <w:r>
        <w:rPr>
          <w:sz w:val="22"/>
          <w:szCs w:val="22"/>
        </w:rPr>
        <w:t xml:space="preserve">Meets all FDA and USDA food safety specifications</w:t>
      </w:r>
    </w:p>
    <w:p>
      <w:pPr>
        <w:pStyle w:val="ListParagraph"/>
        <w:numPr>
          <w:ilvl w:val="0"/>
          <w:numId w:val="2"/>
        </w:numPr>
      </w:pPr>
      <w:r>
        <w:rPr>
          <w:sz w:val="22"/>
          <w:szCs w:val="22"/>
        </w:rPr>
        <w:t xml:space="preserve">Made in the USA</w:t>
      </w:r>
    </w:p>
    <w:p>
      <w:r>
        <w:t xml:space="preserve"/>
      </w:r>
    </w:p>
    <w:p>
      <w:pPr>
        <w:pBdr>
          <w:bottom w:val="single" w:color="C41230" w:sz="4" w:space="1"/>
        </w:pBdr>
      </w:pPr>
      <w:r>
        <w:t xml:space="preserve"/>
      </w:r>
    </w:p>
    <w:p>
      <w:r>
        <w:t xml:space="preserve"/>
      </w:r>
    </w:p>
    <w:p>
      <w:pPr>
        <w:shd w:fill="C41230" w:val="clear"/>
        <w:spacing w:after="120" w:before="120"/>
      </w:pPr>
      <w:r>
        <w:rPr>
          <w:b/>
          <w:bCs/>
          <w:color w:val="FFFFFF"/>
          <w:sz w:val="22"/>
          <w:szCs w:val="22"/>
        </w:rPr>
        <w:t xml:space="preserve">  AFTER  —  New Content (Add Below Existing)  </w:t>
      </w:r>
    </w:p>
    <w:p>
      <w:r>
        <w:t xml:space="preserve"/>
      </w:r>
    </w:p>
    <w:p>
      <w:r>
        <w:t xml:space="preserve"/>
      </w:r>
    </w:p>
    <w:p>
      <w:r>
        <w:t xml:space="preserve"/>
      </w:r>
    </w:p>
    <w:p>
      <w:pPr>
        <w:pStyle w:val="Heading2"/>
      </w:pPr>
      <w:r>
        <w:t xml:space="preserve">Custom Header Bags for Retail Display &amp; Industrial Packaging</w:t>
      </w:r>
    </w:p>
    <w:p>
      <w:r>
        <w:rPr>
          <w:sz w:val="22"/>
          <w:szCs w:val="22"/>
        </w:rPr>
        <w:t xml:space="preserve">Fruth poly header bags are a versatile retail and industrial packaging solution for B2B buyers who need a simple, organized, and shelf-ready format. The perforated header design allows bags to be hung on pegboard displays or dispensed one at a time from a rack — making them a practical choice for retail, hardware, and industrial distribution applications.</w:t>
      </w:r>
    </w:p>
    <w:p>
      <w:r>
        <w:t xml:space="preserve"/>
      </w:r>
    </w:p>
    <w:p>
      <w:r>
        <w:rPr>
          <w:sz w:val="22"/>
          <w:szCs w:val="22"/>
        </w:rPr>
        <w:t xml:space="preserve">Common applications include:</w:t>
      </w:r>
    </w:p>
    <w:p>
      <w:pPr>
        <w:pStyle w:val="ListParagraph"/>
        <w:numPr>
          <w:ilvl w:val="0"/>
          <w:numId w:val="2"/>
        </w:numPr>
      </w:pPr>
      <w:r>
        <w:rPr>
          <w:sz w:val="22"/>
          <w:szCs w:val="22"/>
        </w:rPr>
        <w:t xml:space="preserve">Retail display — hang bags on pegboard for organized product presentation</w:t>
      </w:r>
    </w:p>
    <w:p>
      <w:pPr>
        <w:pStyle w:val="ListParagraph"/>
        <w:numPr>
          <w:ilvl w:val="0"/>
          <w:numId w:val="2"/>
        </w:numPr>
      </w:pPr>
      <w:r>
        <w:rPr>
          <w:sz w:val="22"/>
          <w:szCs w:val="22"/>
        </w:rPr>
        <w:t xml:space="preserve">Hardware and auto parts — small components, fasteners, and accessories</w:t>
      </w:r>
    </w:p>
    <w:p>
      <w:pPr>
        <w:pStyle w:val="ListParagraph"/>
        <w:numPr>
          <w:ilvl w:val="0"/>
          <w:numId w:val="2"/>
        </w:numPr>
      </w:pPr>
      <w:r>
        <w:rPr>
          <w:sz w:val="22"/>
          <w:szCs w:val="22"/>
        </w:rPr>
        <w:t xml:space="preserve">Toys and consumer goods — lightweight containment with visible product</w:t>
      </w:r>
    </w:p>
    <w:p>
      <w:pPr>
        <w:pStyle w:val="ListParagraph"/>
        <w:numPr>
          <w:ilvl w:val="0"/>
          <w:numId w:val="2"/>
        </w:numPr>
      </w:pPr>
      <w:r>
        <w:rPr>
          <w:sz w:val="22"/>
          <w:szCs w:val="22"/>
        </w:rPr>
        <w:t xml:space="preserve">Food service and healthcare — FDA and USDA compliant materials for regulated applications</w:t>
      </w:r>
    </w:p>
    <w:p>
      <w:pPr>
        <w:pStyle w:val="ListParagraph"/>
        <w:numPr>
          <w:ilvl w:val="0"/>
          <w:numId w:val="2"/>
        </w:numPr>
      </w:pPr>
      <w:r>
        <w:rPr>
          <w:sz w:val="22"/>
          <w:szCs w:val="22"/>
        </w:rPr>
        <w:t xml:space="preserve">Industrial distribution — bulk-packed header bags for high-volume dispensing</w:t>
      </w:r>
    </w:p>
    <w:p>
      <w:r>
        <w:t xml:space="preserve"/>
      </w:r>
    </w:p>
    <w:p>
      <w:pPr>
        <w:pStyle w:val="Heading2"/>
      </w:pPr>
      <w:r>
        <w:t xml:space="preserve">Custom Header Bag Specifications</w:t>
      </w:r>
    </w:p>
    <w:p>
      <w:r>
        <w:rPr>
          <w:sz w:val="22"/>
          <w:szCs w:val="22"/>
        </w:rPr>
        <w:t xml:space="preserve">Every header bag is built to your requirements:</w:t>
      </w:r>
    </w:p>
    <w:p>
      <w:pPr>
        <w:pStyle w:val="ListParagraph"/>
        <w:numPr>
          <w:ilvl w:val="0"/>
          <w:numId w:val="2"/>
        </w:numPr>
      </w:pPr>
      <w:r>
        <w:rPr>
          <w:sz w:val="22"/>
          <w:szCs w:val="22"/>
        </w:rPr>
        <w:t xml:space="preserve">Size — custom bag width, length, and header dimensions</w:t>
      </w:r>
    </w:p>
    <w:p>
      <w:pPr>
        <w:pStyle w:val="ListParagraph"/>
        <w:numPr>
          <w:ilvl w:val="0"/>
          <w:numId w:val="2"/>
        </w:numPr>
      </w:pPr>
      <w:r>
        <w:rPr>
          <w:sz w:val="22"/>
          <w:szCs w:val="22"/>
        </w:rPr>
        <w:t xml:space="preserve">Material — polyethylene in standard or specialty formulations</w:t>
      </w:r>
    </w:p>
    <w:p>
      <w:pPr>
        <w:pStyle w:val="ListParagraph"/>
        <w:numPr>
          <w:ilvl w:val="0"/>
          <w:numId w:val="2"/>
        </w:numPr>
      </w:pPr>
      <w:r>
        <w:rPr>
          <w:sz w:val="22"/>
          <w:szCs w:val="22"/>
        </w:rPr>
        <w:t xml:space="preserve">Thickness — matched to product weight and handling requirements</w:t>
      </w:r>
    </w:p>
    <w:p>
      <w:pPr>
        <w:pStyle w:val="ListParagraph"/>
        <w:numPr>
          <w:ilvl w:val="0"/>
          <w:numId w:val="2"/>
        </w:numPr>
      </w:pPr>
      <w:r>
        <w:rPr>
          <w:sz w:val="22"/>
          <w:szCs w:val="22"/>
        </w:rPr>
        <w:t xml:space="preserve">Header style — perforated for tear-off or standard hang hole</w:t>
      </w:r>
    </w:p>
    <w:p>
      <w:pPr>
        <w:pStyle w:val="ListParagraph"/>
        <w:numPr>
          <w:ilvl w:val="0"/>
          <w:numId w:val="2"/>
        </w:numPr>
      </w:pPr>
      <w:r>
        <w:rPr>
          <w:sz w:val="22"/>
          <w:szCs w:val="22"/>
        </w:rPr>
        <w:t xml:space="preserve">Print — unprinted or custom branded</w:t>
      </w:r>
    </w:p>
    <w:p>
      <w:r>
        <w:t xml:space="preserve"/>
      </w:r>
    </w:p>
    <w:p>
      <w:pPr>
        <w:shd w:fill="FFFF00" w:val="clear"/>
      </w:pPr>
      <w:r>
        <w:rPr>
          <w:b/>
          <w:bCs/>
          <w:sz w:val="22"/>
          <w:szCs w:val="22"/>
        </w:rPr>
        <w:t xml:space="preserve">Contact Fruth for a custom header bag quote — we respond within one business day.</w:t>
      </w:r>
    </w:p>
    <w:p>
      <w:r>
        <w:t xml:space="preserve"/>
      </w:r>
    </w:p>
    <w:p>
      <w:pPr>
        <w:pBdr>
          <w:bottom w:val="single" w:color="C41230" w:sz="4" w:space="1"/>
        </w:pBdr>
      </w:pPr>
      <w:r>
        <w:t xml:space="preserve"/>
      </w:r>
    </w:p>
    <w:p>
      <w:r>
        <w:t xml:space="preserve"/>
      </w:r>
    </w:p>
    <w:p>
      <w:pPr>
        <w:pStyle w:val="Heading2"/>
      </w:pPr>
      <w:r>
        <w:t xml:space="preserve">Frequently Asked Questions</w:t>
      </w:r>
    </w:p>
    <w:p>
      <w:r>
        <w:t xml:space="preserve"/>
      </w:r>
    </w:p>
    <w:p>
      <w:pPr>
        <w:pStyle w:val="Heading3"/>
      </w:pPr>
      <w:r>
        <w:t xml:space="preserve">What are header bags used for?</w:t>
      </w:r>
    </w:p>
    <w:p>
      <w:r>
        <w:rPr>
          <w:sz w:val="22"/>
          <w:szCs w:val="22"/>
        </w:rPr>
        <w:t xml:space="preserve">Header bags are poly bags attached to a cardboard or poly header, typically hung on pegboard displays or rack systems. They are used in retail, hardware, industrial, and food service applications where organized display and easy dispensing are important.</w:t>
      </w:r>
    </w:p>
    <w:p>
      <w:r>
        <w:t xml:space="preserve"/>
      </w:r>
    </w:p>
    <w:p>
      <w:pPr>
        <w:pStyle w:val="Heading3"/>
      </w:pPr>
      <w:r>
        <w:t xml:space="preserve">Are Fruth header bags FDA compliant?</w:t>
      </w:r>
    </w:p>
    <w:p>
      <w:r>
        <w:rPr>
          <w:sz w:val="22"/>
          <w:szCs w:val="22"/>
        </w:rPr>
        <w:t xml:space="preserve">Yes. Fruth header bags meet FDA and USDA food safety specifications, making them suitable for food service and healthcare applications.</w:t>
      </w:r>
    </w:p>
    <w:p>
      <w:r>
        <w:t xml:space="preserve"/>
      </w:r>
    </w:p>
    <w:p>
      <w:pPr>
        <w:pStyle w:val="Heading3"/>
      </w:pPr>
      <w:r>
        <w:t xml:space="preserve">Can header bags be custom sized?</w:t>
      </w:r>
    </w:p>
    <w:p>
      <w:r>
        <w:rPr>
          <w:sz w:val="22"/>
          <w:szCs w:val="22"/>
        </w:rPr>
        <w:t xml:space="preserve">Yes. Fruth produces header bags in custom sizes to match your product dimensions and display requirements. Contact us with your specifications for a quote.</w:t>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SCHEMA / Technical Implementation  </w:t>
      </w:r>
    </w:p>
    <w:p>
      <w:r>
        <w:t xml:space="preserve"/>
      </w:r>
    </w:p>
    <w:p>
      <w:pPr>
        <w:shd w:fill="F4F4F4" w:val="clear"/>
      </w:pPr>
      <w:r>
        <w:rPr>
          <w:rFonts w:ascii="Courier New" w:cs="Courier New" w:eastAsia="Courier New" w:hAnsi="Courier New"/>
          <w:sz w:val="16"/>
          <w:szCs w:val="16"/>
        </w:rPr>
        <w:t xml:space="preserve">&lt;script type="application/ld+json"&gt;</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  "@context": "https://schema.org",</w:t>
      </w:r>
    </w:p>
    <w:p>
      <w:pPr>
        <w:shd w:fill="F4F4F4" w:val="clear"/>
      </w:pPr>
      <w:r>
        <w:rPr>
          <w:rFonts w:ascii="Courier New" w:cs="Courier New" w:eastAsia="Courier New" w:hAnsi="Courier New"/>
          <w:sz w:val="16"/>
          <w:szCs w:val="16"/>
        </w:rPr>
        <w:t xml:space="preserve">  "@type": "FAQPage",</w:t>
      </w:r>
    </w:p>
    <w:p>
      <w:pPr>
        <w:shd w:fill="F4F4F4" w:val="clear"/>
      </w:pPr>
      <w:r>
        <w:rPr>
          <w:rFonts w:ascii="Courier New" w:cs="Courier New" w:eastAsia="Courier New" w:hAnsi="Courier New"/>
          <w:sz w:val="16"/>
          <w:szCs w:val="16"/>
        </w:rPr>
        <w:t xml:space="preserve">  "mainEntity":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"What are header bags used for?",</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"Header bags are poly bags attached to a cardboard or poly header, typically hung on pegboard displays or rack systems. They are used in retail, hardware, industrial, and food service applications where organized display and easy dispensing are important."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"Are Fruth header bags FDA compliant?",</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"Yes. Fruth header bags meet FDA and USDA food safety specifications, making them suitable for food service and healthcare applications."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"Can header bags be custom sized?",</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"Yes. Fruth produces header bags in custom sizes to match your product dimensions and display requirements. Contact us with your specifications for a quote."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&lt;/script&gt;</w:t>
      </w:r>
    </w:p>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sz w:val="18"/>
        <w:szCs w:val="18"/>
      </w:rPr>
      <w:t xml:space="preserve">Header Bags  |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1230" w:sz="6" w:space="1"/>
      </w:pBdr>
    </w:pPr>
    <w:r>
      <w:rPr>
        <w:b/>
        <w:bCs/>
        <w:color w:val="1F4E79"/>
        <w:sz w:val="20"/>
        <w:szCs w:val="20"/>
      </w:rPr>
      <w:t xml:space="preserve">SEO / AI Content Expansion  |  Fruth Custom Packaging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2026-07-13T11:41:24.160Z</dcterms:created>
  <dcterms:modified xsi:type="dcterms:W3CDTF">2026-07-13T11:41:24.160Z</dcterms:modified>
</cp:coreProperties>
</file>

<file path=docProps/custom.xml><?xml version="1.0" encoding="utf-8"?>
<Properties xmlns="http://schemas.openxmlformats.org/officeDocument/2006/custom-properties" xmlns:vt="http://schemas.openxmlformats.org/officeDocument/2006/docPropsVTypes"/>
</file>