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!-- TITLE -->
    <w:p>
      <w:pPr>
        <w:jc w:val="center"/>
        <w:spacing w:before="0" w:after="140"/>
      </w:pPr>
      <w:r>
        <w:rPr>
          <w:b/>
          <w:bCs/>
          <w:color w:val="1B3A5C"/>
          <w:sz w:val="28"/>
          <w:szCs w:val="28"/>
          <w:rFonts w:ascii="Calibri" w:hAnsi="Calibri"/>
        </w:rPr>
        <w:t>Start Again Associates – Services Proposal</w:t>
      </w:r>
    </w:p>
    <!-- TABLE -->
    <w:tbl>
      <w:tblPr>
        <w:tblW w:w="10080" w:type="dxa"/>
        <w:tblLayout w:type="fixed"/>
      </w:tblPr>
      <w:tblGrid>
        <w:gridCol w:w="5040"/>
        <w:gridCol w:w="5040"/>
      </w:tblGrid>
      <!-- ROW 1: Column Headers -->
      <w:tr>
        <w:tc>
          <w:tcPr>
            <w:tcW w:w="5040" w:type="dxa"/>
            <w:shd w:val="clear" w:color="auto"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center"/>
              <w:spacing w:before="60" w:after="60"/>
            </w:pPr>
            <w:r>
              <w:rPr>
                <w:b/>
                <w:bCs/>
                <w:color w:val="FFFFFF"/>
                <w:sz w:val="30"/>
                <w:szCs w:val="30"/>
                <w:rFonts w:ascii="Calibri" w:hAnsi="Calibri"/>
              </w:rPr>
              <w:t>Enterprise Web Design</w:t>
            </w:r>
          </w:p>
        </w:tc>
        <w:tc>
          <w:tcPr>
            <w:tcW w:w="5040" w:type="dxa"/>
            <w:shd w:val="clear" w:color="auto" w:fill="028090"/>
            <w:tcBorders>
              <w:top w:val="single" w:sz="4" w:color="028090"/>
              <w:left w:val="single" w:sz="4" w:color="FFFFFF"/>
              <w:bottom w:val="single" w:sz="4" w:color="028090"/>
              <w:right w:val="single" w:sz="4" w:color="02809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center"/>
              <w:spacing w:before="60" w:after="60"/>
            </w:pPr>
            <w:r>
              <w:rPr>
                <w:b/>
                <w:bCs/>
                <w:color w:val="FFFFFF"/>
                <w:sz w:val="30"/>
                <w:szCs w:val="30"/>
                <w:rFonts w:ascii="Calibri" w:hAnsi="Calibri"/>
              </w:rPr>
              <w:t>SEO Digital Growth Package</w:t>
            </w:r>
          </w:p>
        </w:tc>
      </w:tr>
      <!-- ROW 2: Pricing -->
      <w:tr>
        <w:tc>
          <w:tcPr>
            <w:tcW w:w="5040" w:type="dxa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center"/>
              <w:spacing w:before="80" w:after="0"/>
            </w:pPr>
            <w:r>
              <w:rPr>
                <w:b/>
                <w:bCs/>
                <w:color w:val="1B3A5C"/>
                <w:sz w:val="44"/>
                <w:szCs w:val="44"/>
                <w:rFonts w:ascii="Calibri" w:hAnsi="Calibri"/>
              </w:rPr>
              <w:t>Year 1: $299</w:t>
            </w:r>
          </w:p>
          <w:p>
            <w:pPr>
              <w:jc w:val="center"/>
              <w:spacing w:before="0" w:after="0"/>
            </w:pPr>
            <w:r>
              <w:rPr>
                <w:color w:val="374151"/>
                <w:sz w:val="20"/>
                <w:szCs w:val="20"/>
                <w:rFonts w:ascii="Calibri" w:hAnsi="Calibri"/>
              </w:rPr>
              <w:t>includes hosting &amp; maintenance</w:t>
            </w:r>
          </w:p>
          <w:p>
            <w:pPr>
              <w:jc w:val="center"/>
              <w:spacing w:before="8" w:after="80"/>
            </w:pPr>
            <w:r>
              <w:rPr>
                <w:b/>
                <w:bCs/>
                <w:color w:val="028090"/>
                <w:sz w:val="24"/>
                <w:szCs w:val="24"/>
                <w:rFonts w:ascii="Calibri" w:hAnsi="Calibri"/>
              </w:rPr>
              <w:t>Year 2+: $129/year</w:t>
            </w:r>
          </w:p>
        </w:tc>
        <w:tc>
          <w:tcPr>
            <w:tcW w:w="5040" w:type="dxa"/>
            <w:shd w:val="clear" w:color="auto" w:fill="F0FD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center"/>
              <w:spacing w:before="80" w:after="0"/>
            </w:pPr>
            <w:r>
              <w:rPr>
                <w:b/>
                <w:bCs/>
                <w:color w:val="028090"/>
                <w:sz w:val="44"/>
                <w:szCs w:val="44"/>
                <w:rFonts w:ascii="Calibri" w:hAnsi="Calibri"/>
              </w:rPr>
              <w:t>$700 Setup</w:t>
            </w:r>
          </w:p>
          <w:p>
            <w:pPr>
              <w:jc w:val="center"/>
              <w:spacing w:before="0" w:after="0"/>
            </w:pPr>
            <w:r>
              <w:rPr>
                <w:color w:val="374151"/>
                <w:sz w:val="20"/>
                <w:szCs w:val="20"/>
                <w:rFonts w:ascii="Calibri" w:hAnsi="Calibri"/>
              </w:rPr>
              <w:t>one-time fee</w:t>
            </w:r>
          </w:p>
          <w:p>
            <w:pPr>
              <w:jc w:val="center"/>
              <w:spacing w:before="8" w:after="0"/>
            </w:pPr>
            <w:r>
              <w:rPr>
                <w:b/>
                <w:bCs/>
                <w:color w:val="1B3A5C"/>
                <w:sz w:val="28"/>
                <w:szCs w:val="28"/>
                <w:rFonts w:ascii="Calibri" w:hAnsi="Calibri"/>
              </w:rPr>
              <w:t>then $199/month</w:t>
            </w:r>
          </w:p>
          <w:p>
            <w:pPr>
              <w:jc w:val="center"/>
              <w:spacing w:before="4" w:after="80"/>
            </w:pPr>
            <w:r>
              <w:rPr>
                <w:color w:val="374151"/>
                <w:sz w:val="20"/>
                <w:szCs w:val="20"/>
                <w:rFonts w:ascii="Calibri" w:hAnsi="Calibri"/>
              </w:rPr>
              <w:t>12-month agreement</w:t>
            </w:r>
          </w:p>
        </w:tc>
      </w:tr>
      <!-- ROW 3: Deliverables -->
      <w:tr>
        <w:tc>
          <w:tcPr>
            <w:tcW w:w="504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40"/>
            </w:pPr>
            <w:r>
              <w:rPr>
                <w:b/>
                <w:bCs/>
                <w:color w:val="1B3A5C"/>
                <w:sz w:val="22"/>
                <w:szCs w:val="22"/>
                <w:rFonts w:ascii="Calibri" w:hAnsi="Calibri"/>
              </w:rPr>
              <w:t>What’s Included: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Custom website design (up to 8 pages)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Secure managed hosting included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Monthly maintenance and updates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SSL certificate and security monitoring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Mobile-responsive layout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Contact form and basic SEO setup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99.9% uptime guarantee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Email support included</w:t>
            </w:r>
          </w:p>
        </w:tc>
        <w:tc>
          <w:tcPr>
            <w:tcW w:w="5040" w:type="dxa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40"/>
            </w:pPr>
            <w:r>
              <w:rPr>
                <w:b/>
                <w:bCs/>
                <w:color w:val="1B3A5C"/>
                <w:sz w:val="22"/>
                <w:szCs w:val="22"/>
                <w:rFonts w:ascii="Calibri" w:hAnsi="Calibri"/>
              </w:rPr>
              <w:t>What’s Included: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Full technical SEO audit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Keyword research and mapping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On-page optimization (all pages)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Google Business Profile optimization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Monthly performance reporting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Content strategy and recommendations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Local SEO and map-pack targeting</w:t>
            </w:r>
          </w:p>
          <w:p>
            <w:pPr>
              <w:spacing w:before="0" w:after="36"/>
              <w:ind w:left="240" w:hanging="240"/>
            </w:pPr>
            <w:r>
              <w:rPr>
                <w:color w:val="028090"/>
                <w:sz w:val="20"/>
                <w:szCs w:val="20"/>
                <w:rFonts w:ascii="Calibri" w:hAnsi="Calibri"/>
              </w:rPr>
              <w:t xml:space="preserve">+ </w:t>
            </w:r>
            <w:r>
              <w:rPr>
                <w:color w:val="374151"/>
                <w:sz w:val="20"/>
                <w:szCs w:val="20"/>
                <w:rFonts w:ascii="Calibri" w:hAnsi="Calibri"/>
              </w:rPr>
              <w:t>E-E-A-T authority building</w:t>
            </w:r>
          </w:p>
        </w:tc>
      </w:tr>
      <!-- ROW 4: Bundle footer (merged) -->
      <w:tr>
        <w:tc>
          <w:tcPr>
            <w:tcW w:w="10080" w:type="dxa"/>
            <w:gridSpan w:val="2"/>
            <w:shd w:val="clear" w:color="auto" w:fill="1B3A5C"/>
            <w:tcBorders>
              <w:top w:val="single" w:sz="4" w:color="1B3A5C"/>
              <w:left w:val="single" w:sz="4" w:color="1B3A5C"/>
              <w:bottom w:val="single" w:sz="4" w:color="1B3A5C"/>
              <w:right w:val="single" w:sz="4" w:color="1B3A5C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center"/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Calibri" w:hAnsi="Calibri"/>
              </w:rPr>
              <w:t>Bundle Both Services and Save — Ask About Our Combined Package Rate</w:t>
            </w:r>
          </w:p>
        </w:tc>
      </w:tr>
    </w:tbl>
    <!-- FOOTER -->
    <w:p>
      <w:pPr>
        <w:jc w:val="center"/>
        <w:spacing w:before="120" w:after="0"/>
      </w:pPr>
      <w:r>
        <w:rPr>
          <w:color w:val="6B7280"/>
          <w:sz w:val="18"/>
          <w:szCs w:val="18"/>
          <w:rFonts w:ascii="Calibri" w:hAnsi="Calibri"/>
        </w:rPr>
        <w:t>Prepared by Richard | May 2026 | Contact us to get started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