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F129" w14:textId="07CB2851" w:rsidR="00D879A3" w:rsidRDefault="00F91175" w:rsidP="00F91175">
      <w:pPr>
        <w:spacing w:before="200" w:after="120"/>
        <w:jc w:val="center"/>
        <w:rPr>
          <w:color w:val="000000"/>
          <w:sz w:val="22"/>
        </w:rPr>
      </w:pPr>
      <w:r>
        <w:rPr>
          <w:noProof/>
          <w:color w:val="000000"/>
          <w:sz w:val="22"/>
        </w:rPr>
        <w:drawing>
          <wp:inline distT="0" distB="0" distL="0" distR="0" wp14:anchorId="17D66280" wp14:editId="6986158D">
            <wp:extent cx="1645920" cy="687132"/>
            <wp:effectExtent l="0" t="0" r="0" b="0"/>
            <wp:docPr id="1616372905" name="Picture 1"/>
            <wp:cNvGraphicFramePr/>
            <a:graphic xmlns:a="http://schemas.openxmlformats.org/drawingml/2006/main">
              <a:graphicData uri="http://schemas.openxmlformats.org/drawingml/2006/picture">
                <pic:pic xmlns:pic="http://schemas.openxmlformats.org/drawingml/2006/picture">
                  <pic:nvPicPr>
                    <pic:cNvPr id="1616372905"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0A2801A9" w14:textId="3BD46FC9" w:rsidR="00F91175" w:rsidRDefault="00F91175" w:rsidP="00F91175">
      <w:pPr>
        <w:pStyle w:val="Heading1"/>
        <w:rPr>
          <w:b/>
          <w:color w:val="1A4F8A"/>
          <w:sz w:val="32"/>
        </w:rPr>
      </w:pPr>
      <w:r>
        <w:rPr>
          <w:b/>
          <w:color w:val="1A4F8A"/>
          <w:sz w:val="32"/>
        </w:rPr>
        <w:t>Lesson 5: The Shot Clock -- Federal Deadline Management</w:t>
      </w:r>
    </w:p>
    <w:p w14:paraId="796F5E93" w14:textId="5E2E5480" w:rsidR="00F91175" w:rsidRDefault="00F91175" w:rsidP="00F91175">
      <w:pPr>
        <w:spacing w:after="80"/>
        <w:rPr>
          <w:color w:val="666666"/>
          <w:sz w:val="20"/>
        </w:rPr>
      </w:pPr>
      <w:r>
        <w:rPr>
          <w:b/>
          <w:color w:val="666666"/>
          <w:sz w:val="20"/>
        </w:rPr>
        <w:t xml:space="preserve">Course: </w:t>
      </w:r>
      <w:r>
        <w:rPr>
          <w:color w:val="666666"/>
          <w:sz w:val="20"/>
        </w:rPr>
        <w:t>AMP for Government / Jurisdiction Reviewers</w:t>
      </w:r>
    </w:p>
    <w:p w14:paraId="0BBABB7A" w14:textId="24BC4CE5" w:rsidR="00F91175" w:rsidRDefault="00F91175" w:rsidP="00F91175">
      <w:pPr>
        <w:spacing w:after="80"/>
        <w:rPr>
          <w:color w:val="666666"/>
          <w:sz w:val="20"/>
        </w:rPr>
      </w:pPr>
      <w:r>
        <w:rPr>
          <w:b/>
          <w:color w:val="666666"/>
          <w:sz w:val="20"/>
        </w:rPr>
        <w:t xml:space="preserve">Prerequisite: </w:t>
      </w:r>
      <w:r>
        <w:rPr>
          <w:color w:val="666666"/>
          <w:sz w:val="20"/>
        </w:rPr>
        <w:t>AMP Fundamentals -- Course 1 (all 6 lessons)</w:t>
      </w:r>
    </w:p>
    <w:p w14:paraId="0AEDF670" w14:textId="20D0C403" w:rsidR="00F91175" w:rsidRDefault="00F91175" w:rsidP="00F91175">
      <w:pPr>
        <w:spacing w:after="80"/>
        <w:rPr>
          <w:color w:val="666666"/>
          <w:sz w:val="20"/>
        </w:rPr>
      </w:pPr>
      <w:r>
        <w:rPr>
          <w:b/>
          <w:color w:val="666666"/>
          <w:sz w:val="20"/>
        </w:rPr>
        <w:t xml:space="preserve">Version: </w:t>
      </w:r>
      <w:r>
        <w:rPr>
          <w:color w:val="666666"/>
          <w:sz w:val="20"/>
        </w:rPr>
        <w:t>1.0 | 2026</w:t>
      </w:r>
    </w:p>
    <w:p w14:paraId="06083D60" w14:textId="4B632C23" w:rsidR="00F91175" w:rsidRDefault="00F91175" w:rsidP="00F91175">
      <w:pPr>
        <w:spacing w:after="80"/>
        <w:rPr>
          <w:color w:val="666666"/>
          <w:sz w:val="20"/>
        </w:rPr>
      </w:pPr>
      <w:r>
        <w:rPr>
          <w:b/>
          <w:color w:val="666666"/>
          <w:sz w:val="20"/>
        </w:rPr>
        <w:t xml:space="preserve">Preceding Lesson: </w:t>
      </w:r>
      <w:r>
        <w:rPr>
          <w:color w:val="666666"/>
          <w:sz w:val="20"/>
        </w:rPr>
        <w:t>Lesson 4 -- Reviewing Technical Components</w:t>
      </w:r>
    </w:p>
    <w:p w14:paraId="5DE8EE62" w14:textId="53B399B1" w:rsidR="00F91175" w:rsidRDefault="00F91175" w:rsidP="00F91175">
      <w:pPr>
        <w:spacing w:after="80"/>
        <w:rPr>
          <w:color w:val="666666"/>
          <w:sz w:val="20"/>
        </w:rPr>
      </w:pPr>
      <w:r>
        <w:rPr>
          <w:b/>
          <w:color w:val="666666"/>
          <w:sz w:val="20"/>
        </w:rPr>
        <w:t xml:space="preserve">Following Lesson: </w:t>
      </w:r>
      <w:r>
        <w:rPr>
          <w:color w:val="666666"/>
          <w:sz w:val="20"/>
        </w:rPr>
        <w:t>Lesson 6 -- Making Decisions: Approvals, Revisions, and Denials</w:t>
      </w:r>
    </w:p>
    <w:p w14:paraId="480852B5" w14:textId="0259BBE1" w:rsidR="00F91175" w:rsidRDefault="00F91175" w:rsidP="00F91175">
      <w:pPr>
        <w:pStyle w:val="Heading2"/>
        <w:rPr>
          <w:b/>
          <w:color w:val="1A4F8A"/>
          <w:sz w:val="26"/>
        </w:rPr>
      </w:pPr>
      <w:r>
        <w:rPr>
          <w:b/>
          <w:color w:val="1A4F8A"/>
          <w:sz w:val="26"/>
        </w:rPr>
        <w:t>What You Should Understand After This Lesson</w:t>
      </w:r>
    </w:p>
    <w:p w14:paraId="7BC9BC7A" w14:textId="5D48D590" w:rsidR="00F91175" w:rsidRPr="00F91175" w:rsidRDefault="00F91175" w:rsidP="00F91175">
      <w:pPr>
        <w:pStyle w:val="ListBullet"/>
      </w:pPr>
      <w:r>
        <w:rPr>
          <w:color w:val="000000"/>
          <w:sz w:val="22"/>
        </w:rPr>
        <w:t>The Shot Clock lengths for each project type and why they differ</w:t>
      </w:r>
    </w:p>
    <w:p w14:paraId="05931C1D" w14:textId="77AA4964" w:rsidR="00F91175" w:rsidRPr="00F91175" w:rsidRDefault="00F91175" w:rsidP="00F91175">
      <w:pPr>
        <w:pStyle w:val="ListBullet"/>
      </w:pPr>
      <w:r>
        <w:rPr>
          <w:color w:val="000000"/>
          <w:sz w:val="22"/>
        </w:rPr>
        <w:t>What "deemed approved" means legally and why it cannot be undone easily</w:t>
      </w:r>
    </w:p>
    <w:p w14:paraId="3EE1B503" w14:textId="73EA1A70" w:rsidR="00F91175" w:rsidRPr="00F91175" w:rsidRDefault="00F91175" w:rsidP="00F91175">
      <w:pPr>
        <w:pStyle w:val="ListBullet"/>
      </w:pPr>
      <w:r>
        <w:rPr>
          <w:color w:val="000000"/>
          <w:sz w:val="22"/>
        </w:rPr>
        <w:t>What a completeness determination is and how it stops the Shot Clock</w:t>
      </w:r>
    </w:p>
    <w:p w14:paraId="1F63468F" w14:textId="3E96A30E" w:rsidR="00F91175" w:rsidRPr="00F91175" w:rsidRDefault="00F91175" w:rsidP="00F91175">
      <w:pPr>
        <w:pStyle w:val="ListBullet"/>
      </w:pPr>
      <w:r>
        <w:rPr>
          <w:color w:val="000000"/>
          <w:sz w:val="22"/>
        </w:rPr>
        <w:t>How to use a completeness stop correctly and why misusing it creates additional risk</w:t>
      </w:r>
    </w:p>
    <w:p w14:paraId="215201D0" w14:textId="621C45DA" w:rsidR="00F91175" w:rsidRPr="00F91175" w:rsidRDefault="00F91175" w:rsidP="00F91175">
      <w:pPr>
        <w:pStyle w:val="ListBullet"/>
      </w:pPr>
      <w:r>
        <w:rPr>
          <w:color w:val="000000"/>
          <w:sz w:val="22"/>
        </w:rPr>
        <w:t>How to read the Shot Clock on the AMP dashboard and identify urgency levels</w:t>
      </w:r>
    </w:p>
    <w:p w14:paraId="21D14268" w14:textId="73ED425B" w:rsidR="00F91175" w:rsidRPr="00F91175" w:rsidRDefault="00F91175" w:rsidP="00F91175">
      <w:pPr>
        <w:pStyle w:val="ListBullet"/>
      </w:pPr>
      <w:r>
        <w:rPr>
          <w:color w:val="000000"/>
          <w:sz w:val="22"/>
        </w:rPr>
        <w:t>What to do when a project is approaching its Shot Clock deadline</w:t>
      </w:r>
    </w:p>
    <w:p w14:paraId="52B71F28" w14:textId="56331945" w:rsidR="00F91175" w:rsidRPr="00F91175" w:rsidRDefault="00F91175" w:rsidP="00F91175">
      <w:pPr>
        <w:pStyle w:val="ListBullet"/>
      </w:pPr>
      <w:r>
        <w:rPr>
          <w:color w:val="000000"/>
          <w:sz w:val="22"/>
        </w:rPr>
        <w:t>How AMP tracks the clock and what it does not do automatically</w:t>
      </w:r>
    </w:p>
    <w:p w14:paraId="76579886" w14:textId="198336C8" w:rsidR="00F91175" w:rsidRDefault="00F91175" w:rsidP="00F91175">
      <w:pPr>
        <w:pStyle w:val="Heading2"/>
        <w:rPr>
          <w:b/>
          <w:color w:val="1A4F8A"/>
          <w:sz w:val="26"/>
        </w:rPr>
      </w:pPr>
      <w:r>
        <w:rPr>
          <w:b/>
          <w:color w:val="1A4F8A"/>
          <w:sz w:val="26"/>
        </w:rPr>
        <w:t>Overview</w:t>
      </w:r>
    </w:p>
    <w:p w14:paraId="02E36AA9" w14:textId="5E451294" w:rsidR="00F91175" w:rsidRDefault="00F91175" w:rsidP="00F91175">
      <w:pPr>
        <w:spacing w:after="120"/>
        <w:rPr>
          <w:color w:val="000000"/>
          <w:sz w:val="22"/>
        </w:rPr>
      </w:pPr>
      <w:r>
        <w:rPr>
          <w:color w:val="000000"/>
          <w:sz w:val="22"/>
        </w:rPr>
        <w:t>The Shot Clock is not a technicality. It is a federal legal mechanism designed to prevent local governments from indefinitely delaying wireless facility applications through inaction. When the Shot Clock expires, the application is deemed approved by operation of federal law -- without any formal decision from your jurisdiction.</w:t>
      </w:r>
    </w:p>
    <w:p w14:paraId="1D9474A4" w14:textId="63F4349A" w:rsidR="00F91175" w:rsidRDefault="00F91175" w:rsidP="00F91175">
      <w:pPr>
        <w:spacing w:after="120"/>
        <w:rPr>
          <w:color w:val="000000"/>
          <w:sz w:val="22"/>
        </w:rPr>
      </w:pPr>
      <w:r>
        <w:rPr>
          <w:color w:val="000000"/>
          <w:sz w:val="22"/>
        </w:rPr>
        <w:t>For a Jurisdiction reviewer, the Shot Clock is the single most consequential deadline in the review process. Missing it does not result in a warning, a fine, or an opportunity to catch up. Missing it means the carrier can build -- with or without your approval, and without the review, conditions, or documentation your jurisdiction would have required.</w:t>
      </w:r>
    </w:p>
    <w:p w14:paraId="62580635" w14:textId="65F31BC8" w:rsidR="00F91175" w:rsidRDefault="00F91175" w:rsidP="00F91175">
      <w:pPr>
        <w:spacing w:after="120"/>
        <w:rPr>
          <w:color w:val="000000"/>
          <w:sz w:val="22"/>
        </w:rPr>
      </w:pPr>
      <w:r>
        <w:rPr>
          <w:color w:val="000000"/>
          <w:sz w:val="22"/>
        </w:rPr>
        <w:t>This lesson teaches you how the Shot Clock works, how to read it on the AMP dashboard, how to lawfully stop it when appropriate, and what to do when you are running out of time.</w:t>
      </w:r>
    </w:p>
    <w:p w14:paraId="05C25C19" w14:textId="057D31E9" w:rsidR="00F91175" w:rsidRDefault="00F91175" w:rsidP="00F91175">
      <w:pPr>
        <w:spacing w:after="120"/>
        <w:ind w:left="432" w:right="432"/>
        <w:rPr>
          <w:i/>
          <w:color w:val="00AEEF"/>
          <w:sz w:val="22"/>
        </w:rPr>
      </w:pPr>
      <w:r>
        <w:rPr>
          <w:b/>
          <w:i/>
          <w:color w:val="00AEEF"/>
          <w:sz w:val="22"/>
        </w:rPr>
        <w:t>Key Point:</w:t>
      </w:r>
      <w:r>
        <w:rPr>
          <w:i/>
          <w:color w:val="00AEEF"/>
          <w:sz w:val="22"/>
        </w:rPr>
        <w:t xml:space="preserve"> The Shot Clock does not pause while you wait. It does not reset because your office was busy. It does not care whether you had a full caseload, were short-staffed, or were waiting on an Analyst. The clock counts down continuously from the moment a complete application is submitted. Your jurisdiction's only tools are: act within the window, issue a legitimate completeness determination, or face deemed approval.</w:t>
      </w:r>
    </w:p>
    <w:p w14:paraId="5716C3C5" w14:textId="1F6148EA" w:rsidR="00F91175" w:rsidRDefault="00F91175" w:rsidP="00F91175">
      <w:pPr>
        <w:pStyle w:val="Heading2"/>
        <w:rPr>
          <w:b/>
          <w:color w:val="1A4F8A"/>
          <w:sz w:val="26"/>
        </w:rPr>
      </w:pPr>
      <w:r>
        <w:rPr>
          <w:b/>
          <w:color w:val="1A4F8A"/>
          <w:sz w:val="26"/>
        </w:rPr>
        <w:lastRenderedPageBreak/>
        <w:t>Shot Clock Lengths by Project Type</w:t>
      </w:r>
    </w:p>
    <w:p w14:paraId="43DB3786" w14:textId="01C55DC0" w:rsidR="00F91175" w:rsidRDefault="00F91175" w:rsidP="00F91175">
      <w:pPr>
        <w:spacing w:after="120"/>
        <w:rPr>
          <w:color w:val="000000"/>
          <w:sz w:val="22"/>
        </w:rPr>
      </w:pPr>
      <w:r>
        <w:rPr>
          <w:color w:val="000000"/>
          <w:sz w:val="22"/>
        </w:rPr>
        <w:t>Federal regulations establish specific timeframes -- Shot Clocks -- within which local governments must take action on wireless facility applications. These timeframes are mandatory and cannot be waived, extended by local ordinance, or altered by agreement between the parties.</w:t>
      </w:r>
    </w:p>
    <w:tbl>
      <w:tblPr>
        <w:tblStyle w:val="TableGrid"/>
        <w:tblW w:w="0" w:type="auto"/>
        <w:tblLook w:val="04A0" w:firstRow="1" w:lastRow="0" w:firstColumn="1" w:lastColumn="0" w:noHBand="0" w:noVBand="1"/>
      </w:tblPr>
      <w:tblGrid>
        <w:gridCol w:w="4675"/>
        <w:gridCol w:w="4675"/>
      </w:tblGrid>
      <w:tr w:rsidR="00F91175" w14:paraId="6CBB4311" w14:textId="77777777" w:rsidTr="00F91175">
        <w:tc>
          <w:tcPr>
            <w:tcW w:w="4680" w:type="dxa"/>
            <w:tcBorders>
              <w:bottom w:val="single" w:sz="4" w:space="0" w:color="auto"/>
            </w:tcBorders>
            <w:shd w:val="clear" w:color="auto" w:fill="1A4F8A"/>
          </w:tcPr>
          <w:p w14:paraId="4F167A10" w14:textId="0AC10E2A" w:rsidR="00F91175" w:rsidRPr="00F91175" w:rsidRDefault="00F91175" w:rsidP="00F91175">
            <w:pPr>
              <w:spacing w:after="120"/>
              <w:rPr>
                <w:b/>
                <w:color w:val="FFFFFF"/>
                <w:sz w:val="22"/>
              </w:rPr>
            </w:pPr>
            <w:r>
              <w:rPr>
                <w:b/>
                <w:color w:val="FFFFFF"/>
                <w:sz w:val="22"/>
              </w:rPr>
              <w:t>Project Type</w:t>
            </w:r>
          </w:p>
        </w:tc>
        <w:tc>
          <w:tcPr>
            <w:tcW w:w="4680" w:type="dxa"/>
            <w:tcBorders>
              <w:bottom w:val="single" w:sz="4" w:space="0" w:color="auto"/>
            </w:tcBorders>
            <w:shd w:val="clear" w:color="auto" w:fill="1A4F8A"/>
          </w:tcPr>
          <w:p w14:paraId="2C55A582" w14:textId="2B490B12" w:rsidR="00F91175" w:rsidRPr="00F91175" w:rsidRDefault="00F91175" w:rsidP="00F91175">
            <w:pPr>
              <w:spacing w:after="120"/>
              <w:rPr>
                <w:b/>
                <w:color w:val="FFFFFF"/>
                <w:sz w:val="22"/>
              </w:rPr>
            </w:pPr>
            <w:r>
              <w:rPr>
                <w:b/>
                <w:color w:val="FFFFFF"/>
                <w:sz w:val="22"/>
              </w:rPr>
              <w:t>Shot Clock Length</w:t>
            </w:r>
          </w:p>
        </w:tc>
      </w:tr>
      <w:tr w:rsidR="00F91175" w14:paraId="4CAF1990" w14:textId="77777777" w:rsidTr="00F91175">
        <w:tc>
          <w:tcPr>
            <w:tcW w:w="4680" w:type="dxa"/>
            <w:tcBorders>
              <w:bottom w:val="single" w:sz="4" w:space="0" w:color="auto"/>
            </w:tcBorders>
            <w:shd w:val="clear" w:color="auto" w:fill="F2F2F2"/>
          </w:tcPr>
          <w:p w14:paraId="6708D105" w14:textId="594D4496" w:rsidR="00F91175" w:rsidRPr="00F91175" w:rsidRDefault="00F91175" w:rsidP="00F91175">
            <w:pPr>
              <w:spacing w:after="120"/>
              <w:rPr>
                <w:color w:val="000000"/>
                <w:sz w:val="22"/>
              </w:rPr>
            </w:pPr>
            <w:r>
              <w:rPr>
                <w:b/>
                <w:color w:val="000000"/>
                <w:sz w:val="22"/>
              </w:rPr>
              <w:t>Standard applications</w:t>
            </w:r>
            <w:r>
              <w:rPr>
                <w:color w:val="000000"/>
                <w:sz w:val="22"/>
              </w:rPr>
              <w:t xml:space="preserve"> (New Tower, Colocation, Modification)</w:t>
            </w:r>
          </w:p>
        </w:tc>
        <w:tc>
          <w:tcPr>
            <w:tcW w:w="4680" w:type="dxa"/>
            <w:tcBorders>
              <w:bottom w:val="single" w:sz="4" w:space="0" w:color="auto"/>
            </w:tcBorders>
            <w:shd w:val="clear" w:color="auto" w:fill="F2F2F2"/>
          </w:tcPr>
          <w:p w14:paraId="584791BE" w14:textId="044D191E" w:rsidR="00F91175" w:rsidRPr="00F91175" w:rsidRDefault="00F91175" w:rsidP="00F91175">
            <w:pPr>
              <w:spacing w:after="120"/>
              <w:rPr>
                <w:color w:val="000000"/>
                <w:sz w:val="22"/>
              </w:rPr>
            </w:pPr>
            <w:r>
              <w:rPr>
                <w:b/>
                <w:color w:val="000000"/>
                <w:sz w:val="22"/>
              </w:rPr>
              <w:t>150 days</w:t>
            </w:r>
          </w:p>
        </w:tc>
      </w:tr>
      <w:tr w:rsidR="00F91175" w14:paraId="37E35877" w14:textId="77777777" w:rsidTr="00F91175">
        <w:tc>
          <w:tcPr>
            <w:tcW w:w="4680" w:type="dxa"/>
            <w:tcBorders>
              <w:bottom w:val="single" w:sz="4" w:space="0" w:color="auto"/>
            </w:tcBorders>
            <w:shd w:val="clear" w:color="auto" w:fill="FFFFFF"/>
          </w:tcPr>
          <w:p w14:paraId="74748698" w14:textId="1CC95996" w:rsidR="00F91175" w:rsidRPr="00F91175" w:rsidRDefault="00F91175" w:rsidP="00F91175">
            <w:pPr>
              <w:spacing w:after="120"/>
              <w:rPr>
                <w:color w:val="000000"/>
                <w:sz w:val="22"/>
              </w:rPr>
            </w:pPr>
            <w:r>
              <w:rPr>
                <w:b/>
                <w:color w:val="000000"/>
                <w:sz w:val="22"/>
              </w:rPr>
              <w:t>Small Wireless Facility (SWF) -- single site</w:t>
            </w:r>
          </w:p>
        </w:tc>
        <w:tc>
          <w:tcPr>
            <w:tcW w:w="4680" w:type="dxa"/>
            <w:tcBorders>
              <w:bottom w:val="single" w:sz="4" w:space="0" w:color="auto"/>
            </w:tcBorders>
            <w:shd w:val="clear" w:color="auto" w:fill="FFFFFF"/>
          </w:tcPr>
          <w:p w14:paraId="355C7AE4" w14:textId="737E801E" w:rsidR="00F91175" w:rsidRPr="00F91175" w:rsidRDefault="00F91175" w:rsidP="00F91175">
            <w:pPr>
              <w:spacing w:after="120"/>
              <w:rPr>
                <w:color w:val="000000"/>
                <w:sz w:val="22"/>
              </w:rPr>
            </w:pPr>
            <w:r>
              <w:rPr>
                <w:b/>
                <w:color w:val="000000"/>
                <w:sz w:val="22"/>
              </w:rPr>
              <w:t>60 days</w:t>
            </w:r>
          </w:p>
        </w:tc>
      </w:tr>
      <w:tr w:rsidR="00F91175" w14:paraId="4B6C09CE" w14:textId="77777777" w:rsidTr="00F91175">
        <w:tc>
          <w:tcPr>
            <w:tcW w:w="4680" w:type="dxa"/>
            <w:shd w:val="clear" w:color="auto" w:fill="F2F2F2"/>
          </w:tcPr>
          <w:p w14:paraId="27C5ACB1" w14:textId="5705FAAE" w:rsidR="00F91175" w:rsidRPr="00F91175" w:rsidRDefault="00F91175" w:rsidP="00F91175">
            <w:pPr>
              <w:spacing w:after="120"/>
              <w:rPr>
                <w:color w:val="000000"/>
                <w:sz w:val="22"/>
              </w:rPr>
            </w:pPr>
            <w:r>
              <w:rPr>
                <w:b/>
                <w:color w:val="000000"/>
                <w:sz w:val="22"/>
              </w:rPr>
              <w:t>Small Wireless Facility (SWF) -- batch (up to 25 sites)</w:t>
            </w:r>
          </w:p>
        </w:tc>
        <w:tc>
          <w:tcPr>
            <w:tcW w:w="4680" w:type="dxa"/>
            <w:shd w:val="clear" w:color="auto" w:fill="F2F2F2"/>
          </w:tcPr>
          <w:p w14:paraId="657EC582" w14:textId="1B6EC1C0" w:rsidR="00F91175" w:rsidRPr="00F91175" w:rsidRDefault="00F91175" w:rsidP="00F91175">
            <w:pPr>
              <w:spacing w:after="120"/>
              <w:rPr>
                <w:color w:val="000000"/>
                <w:sz w:val="22"/>
              </w:rPr>
            </w:pPr>
            <w:r>
              <w:rPr>
                <w:b/>
                <w:color w:val="000000"/>
                <w:sz w:val="22"/>
              </w:rPr>
              <w:t>90 days</w:t>
            </w:r>
          </w:p>
        </w:tc>
      </w:tr>
    </w:tbl>
    <w:p w14:paraId="1D933E8F" w14:textId="77777777" w:rsidR="00F91175" w:rsidRDefault="00F91175" w:rsidP="00F91175">
      <w:pPr>
        <w:spacing w:after="120"/>
        <w:rPr>
          <w:color w:val="000000"/>
          <w:sz w:val="22"/>
        </w:rPr>
      </w:pPr>
    </w:p>
    <w:p w14:paraId="706F0B24" w14:textId="77777777" w:rsidR="00F91175" w:rsidRDefault="00F91175" w:rsidP="00F91175">
      <w:pPr>
        <w:spacing w:after="120"/>
        <w:rPr>
          <w:color w:val="000000"/>
          <w:sz w:val="22"/>
        </w:rPr>
      </w:pPr>
    </w:p>
    <w:p w14:paraId="235AE3AD" w14:textId="70DD20E9" w:rsidR="00F91175" w:rsidRDefault="00F91175" w:rsidP="00F91175">
      <w:pPr>
        <w:pStyle w:val="Heading3"/>
        <w:rPr>
          <w:b/>
          <w:color w:val="00AEEF"/>
          <w:sz w:val="22"/>
        </w:rPr>
      </w:pPr>
      <w:r>
        <w:rPr>
          <w:b/>
          <w:color w:val="00AEEF"/>
          <w:sz w:val="22"/>
        </w:rPr>
        <w:t>Why the Clocks Are Different</w:t>
      </w:r>
    </w:p>
    <w:p w14:paraId="56C61632" w14:textId="42122158" w:rsidR="00F91175" w:rsidRDefault="00F91175" w:rsidP="00F91175">
      <w:pPr>
        <w:spacing w:after="120"/>
        <w:rPr>
          <w:color w:val="000000"/>
          <w:sz w:val="22"/>
        </w:rPr>
      </w:pPr>
      <w:r>
        <w:rPr>
          <w:color w:val="000000"/>
          <w:sz w:val="22"/>
        </w:rPr>
        <w:t>The shorter clock for SWF applications reflects the federal policy priority of accelerating small cell deployment for 5G and future wireless networks. Local governments have argued for longer review periods; federal regulators have consistently held that 60 days is sufficient for SWF review.</w:t>
      </w:r>
    </w:p>
    <w:p w14:paraId="316AD210" w14:textId="0AA220F7" w:rsidR="00F91175" w:rsidRDefault="00F91175" w:rsidP="00F91175">
      <w:pPr>
        <w:spacing w:after="120"/>
        <w:rPr>
          <w:color w:val="000000"/>
          <w:sz w:val="22"/>
        </w:rPr>
      </w:pPr>
      <w:r>
        <w:rPr>
          <w:color w:val="000000"/>
          <w:sz w:val="22"/>
        </w:rPr>
        <w:t>The practical implication: SWF applications require faster action. A 60-day clock is approximately 40% of the 150-day clock for a traditional tower. Reviewers who manage their queue by submission order without accounting for clock type will routinely find SWF projects in danger of expiration while older New Tower projects still have weeks remaining.</w:t>
      </w:r>
    </w:p>
    <w:p w14:paraId="48339E2F" w14:textId="7F4852B4" w:rsidR="00F91175" w:rsidRDefault="00F91175" w:rsidP="00F91175">
      <w:pPr>
        <w:pStyle w:val="Heading3"/>
        <w:rPr>
          <w:b/>
          <w:color w:val="00AEEF"/>
          <w:sz w:val="22"/>
        </w:rPr>
      </w:pPr>
      <w:r>
        <w:rPr>
          <w:b/>
          <w:color w:val="00AEEF"/>
          <w:sz w:val="22"/>
        </w:rPr>
        <w:t>The Eligible Facility Exception</w:t>
      </w:r>
    </w:p>
    <w:p w14:paraId="68172561" w14:textId="0F7CF651" w:rsidR="00F91175" w:rsidRDefault="00F91175" w:rsidP="00F91175">
      <w:pPr>
        <w:spacing w:after="120"/>
        <w:rPr>
          <w:color w:val="000000"/>
          <w:sz w:val="22"/>
        </w:rPr>
      </w:pPr>
      <w:r>
        <w:rPr>
          <w:color w:val="000000"/>
          <w:sz w:val="22"/>
        </w:rPr>
        <w:t xml:space="preserve">Eligible Facility Request applications (EFC and EFM) are not subject to the standard Shot Clock. Under Section 6409(a), local governments must act on EFC/EFM applications within </w:t>
      </w:r>
      <w:r>
        <w:rPr>
          <w:b/>
          <w:color w:val="000000"/>
          <w:sz w:val="22"/>
        </w:rPr>
        <w:t>60 days</w:t>
      </w:r>
      <w:r>
        <w:rPr>
          <w:color w:val="000000"/>
          <w:sz w:val="22"/>
        </w:rPr>
        <w:t xml:space="preserve"> -- and the standard for those applications is much more constrained. If you fail to act within the 60-day window on an EFC/EFM, the application is deemed approved regardless of project size or complexity.</w:t>
      </w:r>
    </w:p>
    <w:p w14:paraId="18274E6B" w14:textId="69DE4438" w:rsidR="00F91175" w:rsidRDefault="00F91175" w:rsidP="00F91175">
      <w:pPr>
        <w:spacing w:before="80" w:after="80"/>
        <w:jc w:val="center"/>
        <w:rPr>
          <w:i/>
          <w:color w:val="666666"/>
          <w:sz w:val="20"/>
        </w:rPr>
      </w:pPr>
      <w:r>
        <w:rPr>
          <w:b/>
          <w:i/>
          <w:color w:val="666666"/>
          <w:sz w:val="20"/>
        </w:rPr>
        <w:t>Visual:</w:t>
      </w:r>
      <w:r>
        <w:rPr>
          <w:i/>
          <w:color w:val="666666"/>
          <w:sz w:val="20"/>
        </w:rPr>
        <w:t xml:space="preserve"> [INSERT IMAGE: Dashboard Shot Clock column showing different project types with different remaining days, SWF projects highlighted as higher urgency]</w:t>
      </w:r>
    </w:p>
    <w:p w14:paraId="123D071F" w14:textId="4A46E8FB" w:rsidR="00F91175" w:rsidRDefault="00F91175" w:rsidP="00F91175">
      <w:pPr>
        <w:spacing w:after="120"/>
        <w:jc w:val="center"/>
        <w:rPr>
          <w:i/>
          <w:color w:val="666666"/>
          <w:sz w:val="18"/>
        </w:rPr>
      </w:pPr>
      <w:r>
        <w:rPr>
          <w:i/>
          <w:color w:val="666666"/>
          <w:sz w:val="18"/>
        </w:rPr>
        <w:t>Caption: Shot Clock lengths vary by project type. SWF projects (60-day clock) require faster action than standard applications (150-day clock). Do not manage your queue by submission date alone.</w:t>
      </w:r>
    </w:p>
    <w:p w14:paraId="3FE3D99D" w14:textId="2320447D" w:rsidR="00F91175" w:rsidRDefault="00F91175" w:rsidP="00F91175">
      <w:pPr>
        <w:pStyle w:val="Heading2"/>
        <w:rPr>
          <w:b/>
          <w:color w:val="1A4F8A"/>
          <w:sz w:val="26"/>
        </w:rPr>
      </w:pPr>
      <w:r>
        <w:rPr>
          <w:b/>
          <w:color w:val="1A4F8A"/>
          <w:sz w:val="26"/>
        </w:rPr>
        <w:t>What "Deemed Approved" Means</w:t>
      </w:r>
    </w:p>
    <w:p w14:paraId="43A7E26E" w14:textId="2DE34C23" w:rsidR="00F91175" w:rsidRDefault="00F91175" w:rsidP="00F91175">
      <w:pPr>
        <w:spacing w:after="120"/>
        <w:rPr>
          <w:color w:val="000000"/>
          <w:sz w:val="22"/>
        </w:rPr>
      </w:pPr>
      <w:r>
        <w:rPr>
          <w:color w:val="000000"/>
          <w:sz w:val="22"/>
        </w:rPr>
        <w:t xml:space="preserve">When the Shot Clock expires without a final Jurisdiction action, the application is </w:t>
      </w:r>
      <w:r>
        <w:rPr>
          <w:b/>
          <w:color w:val="000000"/>
          <w:sz w:val="22"/>
        </w:rPr>
        <w:t>deemed approved by operation of federal law</w:t>
      </w:r>
      <w:r>
        <w:rPr>
          <w:color w:val="000000"/>
          <w:sz w:val="22"/>
        </w:rPr>
        <w:t>. This means:</w:t>
      </w:r>
    </w:p>
    <w:p w14:paraId="292850A9" w14:textId="0AAB1AC5" w:rsidR="00F91175" w:rsidRPr="00F91175" w:rsidRDefault="00F91175" w:rsidP="00F91175">
      <w:pPr>
        <w:pStyle w:val="ListBullet"/>
      </w:pPr>
      <w:r>
        <w:rPr>
          <w:color w:val="000000"/>
          <w:sz w:val="22"/>
        </w:rPr>
        <w:t>The carrier has the legal right to proceed with construction</w:t>
      </w:r>
    </w:p>
    <w:p w14:paraId="57BAA747" w14:textId="2EB03080" w:rsidR="00F91175" w:rsidRPr="00F91175" w:rsidRDefault="00F91175" w:rsidP="00F91175">
      <w:pPr>
        <w:pStyle w:val="ListBullet"/>
      </w:pPr>
      <w:r>
        <w:rPr>
          <w:color w:val="000000"/>
          <w:sz w:val="22"/>
        </w:rPr>
        <w:t>Your jurisdiction cannot issue a stop-work order based on lack of approval</w:t>
      </w:r>
    </w:p>
    <w:p w14:paraId="41E37C97" w14:textId="4F2F7C0E" w:rsidR="00F91175" w:rsidRPr="00F91175" w:rsidRDefault="00F91175" w:rsidP="00F91175">
      <w:pPr>
        <w:pStyle w:val="ListBullet"/>
      </w:pPr>
      <w:r>
        <w:rPr>
          <w:color w:val="000000"/>
          <w:sz w:val="22"/>
        </w:rPr>
        <w:lastRenderedPageBreak/>
        <w:t>The carrier does not need a formal approval document from your jurisdiction -- the deemed approval operates by law, not by your action</w:t>
      </w:r>
    </w:p>
    <w:p w14:paraId="6655FC28" w14:textId="0BB7705D" w:rsidR="00F91175" w:rsidRPr="00F91175" w:rsidRDefault="00F91175" w:rsidP="00F91175">
      <w:pPr>
        <w:pStyle w:val="ListBullet"/>
      </w:pPr>
      <w:r>
        <w:rPr>
          <w:color w:val="000000"/>
          <w:sz w:val="22"/>
        </w:rPr>
        <w:t>Your jurisdiction has lost the ability to impose conditions on the project</w:t>
      </w:r>
    </w:p>
    <w:p w14:paraId="17CFACF9" w14:textId="152B89E7" w:rsidR="00F91175" w:rsidRPr="00F91175" w:rsidRDefault="00F91175" w:rsidP="00F91175">
      <w:pPr>
        <w:pStyle w:val="ListBullet"/>
      </w:pPr>
      <w:r>
        <w:rPr>
          <w:color w:val="000000"/>
          <w:sz w:val="22"/>
        </w:rPr>
        <w:t>Any documentation requirements, fees, or conditions you would have applied are unenforceable once deemed approval has occurred</w:t>
      </w:r>
    </w:p>
    <w:p w14:paraId="7B5575FB" w14:textId="189C1E3D" w:rsidR="00F91175" w:rsidRDefault="00F91175" w:rsidP="00F91175">
      <w:pPr>
        <w:pStyle w:val="Heading3"/>
        <w:rPr>
          <w:b/>
          <w:color w:val="00AEEF"/>
          <w:sz w:val="22"/>
        </w:rPr>
      </w:pPr>
      <w:r>
        <w:rPr>
          <w:b/>
          <w:color w:val="00AEEF"/>
          <w:sz w:val="22"/>
        </w:rPr>
        <w:t>Can Deemed Approval Be Reversed?</w:t>
      </w:r>
    </w:p>
    <w:p w14:paraId="292A8BB2" w14:textId="603DF504" w:rsidR="00F91175" w:rsidRDefault="00F91175" w:rsidP="00F91175">
      <w:pPr>
        <w:spacing w:after="120"/>
        <w:rPr>
          <w:color w:val="000000"/>
          <w:sz w:val="22"/>
        </w:rPr>
      </w:pPr>
      <w:r>
        <w:rPr>
          <w:color w:val="000000"/>
          <w:sz w:val="22"/>
        </w:rPr>
        <w:t>In rare circumstances, a carrier may agree not to exercise deemed approval rights while a jurisdiction corrects its procedural failure. This is exceptional and depends entirely on the carrier's cooperation. You cannot compel it.</w:t>
      </w:r>
    </w:p>
    <w:p w14:paraId="0C531C37" w14:textId="6B6E3282" w:rsidR="00F91175" w:rsidRDefault="00F91175" w:rsidP="00F91175">
      <w:pPr>
        <w:spacing w:after="120"/>
        <w:rPr>
          <w:color w:val="000000"/>
          <w:sz w:val="22"/>
        </w:rPr>
      </w:pPr>
      <w:r>
        <w:rPr>
          <w:color w:val="000000"/>
          <w:sz w:val="22"/>
        </w:rPr>
        <w:t>Courts have largely upheld deemed approval as a strict deadline. Once the clock expires, the window to reverse the outcome through negotiation is very narrow.</w:t>
      </w:r>
    </w:p>
    <w:p w14:paraId="499E4A17" w14:textId="588D1FCF" w:rsidR="00F91175" w:rsidRDefault="00F91175" w:rsidP="00F91175">
      <w:pPr>
        <w:pStyle w:val="Heading3"/>
        <w:rPr>
          <w:b/>
          <w:color w:val="00AEEF"/>
          <w:sz w:val="22"/>
        </w:rPr>
      </w:pPr>
      <w:r>
        <w:rPr>
          <w:b/>
          <w:color w:val="00AEEF"/>
          <w:sz w:val="22"/>
        </w:rPr>
        <w:t>The Practical Consequence</w:t>
      </w:r>
    </w:p>
    <w:p w14:paraId="54475120" w14:textId="4FCB9CAC" w:rsidR="00F91175" w:rsidRDefault="00F91175" w:rsidP="00F91175">
      <w:pPr>
        <w:spacing w:after="120"/>
        <w:rPr>
          <w:color w:val="000000"/>
          <w:sz w:val="22"/>
        </w:rPr>
      </w:pPr>
      <w:r>
        <w:rPr>
          <w:color w:val="000000"/>
          <w:sz w:val="22"/>
        </w:rPr>
        <w:t>A deemed approval means a tower or wireless facility was approved without your review. The Official Record for that project is incomplete. Your jurisdiction's ability to enforce its ordinance on that specific project is severely limited. And the carrier now has federal legal authority to build -- with or without your participation in the documentation process.</w:t>
      </w:r>
    </w:p>
    <w:p w14:paraId="0F8F0D7A" w14:textId="7E04B445" w:rsidR="00F91175" w:rsidRDefault="00F91175" w:rsidP="00F91175">
      <w:pPr>
        <w:spacing w:after="120"/>
        <w:rPr>
          <w:color w:val="000000"/>
          <w:sz w:val="22"/>
        </w:rPr>
      </w:pPr>
      <w:r>
        <w:rPr>
          <w:color w:val="000000"/>
          <w:sz w:val="22"/>
        </w:rPr>
        <w:t>This is not a theoretical risk. It happens in jurisdictions that mismanage their Shot Clock obligations, are understaffed, or rely on informal review practices instead of AMP.</w:t>
      </w:r>
    </w:p>
    <w:p w14:paraId="1D4837E3" w14:textId="7694D208" w:rsidR="00F91175" w:rsidRDefault="00F91175" w:rsidP="00F91175">
      <w:pPr>
        <w:pStyle w:val="Heading2"/>
        <w:rPr>
          <w:b/>
          <w:color w:val="1A4F8A"/>
          <w:sz w:val="26"/>
        </w:rPr>
      </w:pPr>
      <w:r>
        <w:rPr>
          <w:b/>
          <w:color w:val="1A4F8A"/>
          <w:sz w:val="26"/>
        </w:rPr>
        <w:t>The Completeness Determination: Your Only Legitimate Clock Stop</w:t>
      </w:r>
    </w:p>
    <w:p w14:paraId="33A5A1CC" w14:textId="0A4F6092" w:rsidR="00F91175" w:rsidRDefault="00F91175" w:rsidP="00F91175">
      <w:pPr>
        <w:spacing w:after="120"/>
        <w:rPr>
          <w:color w:val="000000"/>
          <w:sz w:val="22"/>
        </w:rPr>
      </w:pPr>
      <w:r>
        <w:rPr>
          <w:color w:val="000000"/>
          <w:sz w:val="22"/>
        </w:rPr>
        <w:t xml:space="preserve">Federal regulations recognize one legitimate tool for stopping the Shot Clock: the </w:t>
      </w:r>
      <w:r>
        <w:rPr>
          <w:b/>
          <w:color w:val="000000"/>
          <w:sz w:val="22"/>
        </w:rPr>
        <w:t>completeness determination</w:t>
      </w:r>
      <w:r>
        <w:rPr>
          <w:color w:val="000000"/>
          <w:sz w:val="22"/>
        </w:rPr>
        <w:t>. If the submitted application is incomplete -- meaning it does not contain all the information required for your jurisdiction to review it -- you may issue a formal incompleteness notification that stops the clock.</w:t>
      </w:r>
    </w:p>
    <w:p w14:paraId="6DF13A0F" w14:textId="5A4D3C72" w:rsidR="00F91175" w:rsidRDefault="00F91175" w:rsidP="00F91175">
      <w:pPr>
        <w:spacing w:after="120"/>
        <w:rPr>
          <w:color w:val="000000"/>
          <w:sz w:val="22"/>
        </w:rPr>
      </w:pPr>
      <w:r>
        <w:rPr>
          <w:color w:val="000000"/>
          <w:sz w:val="22"/>
        </w:rPr>
        <w:t>When the Agent corrects the deficiency and resubmits, the clock restarts.</w:t>
      </w:r>
    </w:p>
    <w:p w14:paraId="1893E4F1" w14:textId="7CC2A27A" w:rsidR="00F91175" w:rsidRDefault="00F91175" w:rsidP="00F91175">
      <w:pPr>
        <w:pStyle w:val="Heading3"/>
        <w:rPr>
          <w:b/>
          <w:color w:val="00AEEF"/>
          <w:sz w:val="22"/>
        </w:rPr>
      </w:pPr>
      <w:r>
        <w:rPr>
          <w:b/>
          <w:color w:val="00AEEF"/>
          <w:sz w:val="22"/>
        </w:rPr>
        <w:t>Requirements for a Valid Completeness Stop</w:t>
      </w:r>
    </w:p>
    <w:p w14:paraId="1C5D3A17" w14:textId="3F8A45D8" w:rsidR="00F91175" w:rsidRDefault="00F91175" w:rsidP="00F91175">
      <w:pPr>
        <w:spacing w:after="120"/>
        <w:rPr>
          <w:color w:val="000000"/>
          <w:sz w:val="22"/>
        </w:rPr>
      </w:pPr>
      <w:r>
        <w:rPr>
          <w:color w:val="000000"/>
          <w:sz w:val="22"/>
        </w:rPr>
        <w:t>A completeness stop is not simply any revision request. To validly stop the Shot Clock through a completeness determination, the determination must:</w:t>
      </w:r>
    </w:p>
    <w:p w14:paraId="22ECFDAB" w14:textId="49390AC6" w:rsidR="00F91175" w:rsidRDefault="00F91175" w:rsidP="00F91175">
      <w:pPr>
        <w:pStyle w:val="ListNumber"/>
        <w:numPr>
          <w:ilvl w:val="0"/>
          <w:numId w:val="0"/>
        </w:numPr>
        <w:rPr>
          <w:color w:val="000000"/>
          <w:sz w:val="22"/>
        </w:rPr>
      </w:pPr>
      <w:r>
        <w:rPr>
          <w:b/>
          <w:color w:val="000000"/>
          <w:sz w:val="22"/>
        </w:rPr>
        <w:t>Be based on a genuine incompleteness</w:t>
      </w:r>
      <w:r>
        <w:rPr>
          <w:color w:val="000000"/>
          <w:sz w:val="22"/>
        </w:rPr>
        <w:t xml:space="preserve"> -- The application must actually be missing required information. Not information you would prefer to have. Not information that makes your review easier. Information that is required under your ordinance or federal regulations for the application to be complete.</w:t>
      </w:r>
    </w:p>
    <w:p w14:paraId="5A4059D5" w14:textId="64DA47A0" w:rsidR="00F91175" w:rsidRDefault="00F91175" w:rsidP="00F91175">
      <w:pPr>
        <w:pStyle w:val="ListNumber"/>
        <w:numPr>
          <w:ilvl w:val="0"/>
          <w:numId w:val="0"/>
        </w:numPr>
        <w:rPr>
          <w:color w:val="000000"/>
          <w:sz w:val="22"/>
        </w:rPr>
      </w:pPr>
      <w:r>
        <w:rPr>
          <w:b/>
          <w:color w:val="000000"/>
          <w:sz w:val="22"/>
        </w:rPr>
        <w:t>Identify the specific deficiency</w:t>
      </w:r>
      <w:r>
        <w:rPr>
          <w:color w:val="000000"/>
          <w:sz w:val="22"/>
        </w:rPr>
        <w:t xml:space="preserve"> -- What information is missing? Which required field, document, or certification is absent?</w:t>
      </w:r>
    </w:p>
    <w:p w14:paraId="41884F2C" w14:textId="04252F8D" w:rsidR="00F91175" w:rsidRDefault="00F91175" w:rsidP="00F91175">
      <w:pPr>
        <w:pStyle w:val="ListNumber"/>
        <w:numPr>
          <w:ilvl w:val="0"/>
          <w:numId w:val="0"/>
        </w:numPr>
        <w:rPr>
          <w:color w:val="000000"/>
          <w:sz w:val="22"/>
        </w:rPr>
      </w:pPr>
      <w:r>
        <w:rPr>
          <w:b/>
          <w:color w:val="000000"/>
          <w:sz w:val="22"/>
        </w:rPr>
        <w:t>Be issued promptly</w:t>
      </w:r>
      <w:r>
        <w:rPr>
          <w:color w:val="000000"/>
          <w:sz w:val="22"/>
        </w:rPr>
        <w:t xml:space="preserve"> -- You cannot wait 120 days into a 150-day clock and then issue a completeness determination to stop it. Courts and federal regulators have taken a dim view of late </w:t>
      </w:r>
      <w:r>
        <w:rPr>
          <w:color w:val="000000"/>
          <w:sz w:val="22"/>
        </w:rPr>
        <w:lastRenderedPageBreak/>
        <w:t>completeness determinations that appear designed to extend the review period rather than address a genuine deficiency.</w:t>
      </w:r>
    </w:p>
    <w:p w14:paraId="4180F331" w14:textId="5EC3249F" w:rsidR="00F91175" w:rsidRDefault="00F91175" w:rsidP="00F91175">
      <w:pPr>
        <w:pStyle w:val="ListNumber"/>
        <w:numPr>
          <w:ilvl w:val="0"/>
          <w:numId w:val="0"/>
        </w:numPr>
        <w:rPr>
          <w:color w:val="000000"/>
          <w:sz w:val="22"/>
        </w:rPr>
      </w:pPr>
      <w:r>
        <w:rPr>
          <w:b/>
          <w:color w:val="000000"/>
          <w:sz w:val="22"/>
        </w:rPr>
        <w:t>Be documented in AMP</w:t>
      </w:r>
      <w:r>
        <w:rPr>
          <w:color w:val="000000"/>
          <w:sz w:val="22"/>
        </w:rPr>
        <w:t xml:space="preserve"> -- The completeness determination must be entered into AMP with the specific deficiency identified. This creates the record that the clock stop was legitimate.</w:t>
      </w:r>
    </w:p>
    <w:p w14:paraId="3E93DB3F" w14:textId="648DB159" w:rsidR="00F91175" w:rsidRDefault="00F91175" w:rsidP="00F91175">
      <w:pPr>
        <w:spacing w:after="120"/>
        <w:ind w:left="432" w:right="432"/>
        <w:rPr>
          <w:i/>
          <w:color w:val="00AEEF"/>
          <w:sz w:val="22"/>
        </w:rPr>
      </w:pPr>
      <w:r>
        <w:rPr>
          <w:b/>
          <w:i/>
          <w:color w:val="00AEEF"/>
          <w:sz w:val="22"/>
        </w:rPr>
        <w:t>Key Point:</w:t>
      </w:r>
      <w:r>
        <w:rPr>
          <w:i/>
          <w:color w:val="00AEEF"/>
          <w:sz w:val="22"/>
        </w:rPr>
        <w:t xml:space="preserve"> Completeness determinations are a legal tool -- not a delay mechanism. A completeness stop issued to buy time, rather than to address a genuine deficiency, is not a valid stop. Carriers who believe a completeness determination was improperly issued can challenge it in federal court. If a court finds the stop was not legitimate, the clock will be calculated as if it never stopped -- potentially resulting in deemed approval.</w:t>
      </w:r>
    </w:p>
    <w:p w14:paraId="74D79053" w14:textId="0CC8C275" w:rsidR="00F91175" w:rsidRDefault="00F91175" w:rsidP="00F91175">
      <w:pPr>
        <w:pStyle w:val="Heading3"/>
        <w:rPr>
          <w:b/>
          <w:color w:val="00AEEF"/>
          <w:sz w:val="22"/>
        </w:rPr>
      </w:pPr>
      <w:r>
        <w:rPr>
          <w:b/>
          <w:color w:val="00AEEF"/>
          <w:sz w:val="22"/>
        </w:rPr>
        <w:t>What Happens to the Clock After a Completeness Stop</w:t>
      </w:r>
    </w:p>
    <w:p w14:paraId="70123821" w14:textId="060044F3" w:rsidR="00F91175" w:rsidRDefault="00F91175" w:rsidP="00F91175">
      <w:pPr>
        <w:spacing w:after="120"/>
        <w:rPr>
          <w:color w:val="000000"/>
          <w:sz w:val="22"/>
        </w:rPr>
      </w:pPr>
      <w:r>
        <w:rPr>
          <w:color w:val="000000"/>
          <w:sz w:val="22"/>
        </w:rPr>
        <w:t>When you issue a completeness determination:</w:t>
      </w:r>
    </w:p>
    <w:p w14:paraId="6B25E5DE" w14:textId="27F07242" w:rsidR="00F91175" w:rsidRPr="00F91175" w:rsidRDefault="00F91175" w:rsidP="00F91175">
      <w:pPr>
        <w:pStyle w:val="ListBullet"/>
      </w:pPr>
      <w:r>
        <w:rPr>
          <w:color w:val="000000"/>
          <w:sz w:val="22"/>
        </w:rPr>
        <w:t>The Shot Clock stops</w:t>
      </w:r>
    </w:p>
    <w:p w14:paraId="3B180C28" w14:textId="24973905" w:rsidR="00F91175" w:rsidRPr="00F91175" w:rsidRDefault="00F91175" w:rsidP="00F91175">
      <w:pPr>
        <w:pStyle w:val="ListBullet"/>
      </w:pPr>
      <w:r>
        <w:rPr>
          <w:color w:val="000000"/>
          <w:sz w:val="22"/>
        </w:rPr>
        <w:t>The Agent must correct and resubmit</w:t>
      </w:r>
    </w:p>
    <w:p w14:paraId="552573AF" w14:textId="18D3E608" w:rsidR="00F91175" w:rsidRPr="00F91175" w:rsidRDefault="00F91175" w:rsidP="00F91175">
      <w:pPr>
        <w:pStyle w:val="ListBullet"/>
      </w:pPr>
      <w:r>
        <w:rPr>
          <w:color w:val="000000"/>
          <w:sz w:val="22"/>
        </w:rPr>
        <w:t>When the Agent resubmits, the clock restarts from where it stopped (it does not reset to the full original length)</w:t>
      </w:r>
    </w:p>
    <w:p w14:paraId="08236928" w14:textId="5185DF19" w:rsidR="00F91175" w:rsidRDefault="00F91175" w:rsidP="00F91175">
      <w:pPr>
        <w:spacing w:after="120"/>
        <w:rPr>
          <w:color w:val="000000"/>
          <w:sz w:val="22"/>
        </w:rPr>
      </w:pPr>
      <w:r>
        <w:rPr>
          <w:color w:val="000000"/>
          <w:sz w:val="22"/>
        </w:rPr>
        <w:t>This means a completeness stop is not a reset -- it is a pause. If you used 90 days before issuing a completeness stop on a 150-day application, you have 60 days from the resubmission to act.</w:t>
      </w:r>
    </w:p>
    <w:p w14:paraId="21D983A3" w14:textId="6535812E" w:rsidR="00F91175" w:rsidRDefault="00F91175" w:rsidP="00F91175">
      <w:pPr>
        <w:spacing w:before="80" w:after="80"/>
        <w:jc w:val="center"/>
        <w:rPr>
          <w:i/>
          <w:color w:val="666666"/>
          <w:sz w:val="20"/>
        </w:rPr>
      </w:pPr>
      <w:r>
        <w:rPr>
          <w:b/>
          <w:i/>
          <w:color w:val="666666"/>
          <w:sz w:val="20"/>
        </w:rPr>
        <w:t>Visual:</w:t>
      </w:r>
      <w:r>
        <w:rPr>
          <w:i/>
          <w:color w:val="666666"/>
          <w:sz w:val="20"/>
        </w:rPr>
        <w:t xml:space="preserve"> [INSERT IMAGE: Timeline diagram showing Shot Clock running, completeness stop, resubmission, and restart]</w:t>
      </w:r>
    </w:p>
    <w:p w14:paraId="1961B820" w14:textId="54E16244" w:rsidR="00F91175" w:rsidRDefault="00F91175" w:rsidP="00F91175">
      <w:pPr>
        <w:spacing w:after="120"/>
        <w:jc w:val="center"/>
        <w:rPr>
          <w:i/>
          <w:color w:val="666666"/>
          <w:sz w:val="18"/>
        </w:rPr>
      </w:pPr>
      <w:r>
        <w:rPr>
          <w:i/>
          <w:color w:val="666666"/>
          <w:sz w:val="18"/>
        </w:rPr>
        <w:t>Caption: A completeness stop pauses the Shot Clock, not resets it. Days already elapsed count toward the total when the clock restarts after resubmission.</w:t>
      </w:r>
    </w:p>
    <w:p w14:paraId="0571C400" w14:textId="7878ED51" w:rsidR="00F91175" w:rsidRDefault="00F91175" w:rsidP="00F91175">
      <w:pPr>
        <w:pStyle w:val="Heading2"/>
        <w:rPr>
          <w:b/>
          <w:color w:val="1A4F8A"/>
          <w:sz w:val="26"/>
        </w:rPr>
      </w:pPr>
      <w:r>
        <w:rPr>
          <w:b/>
          <w:color w:val="1A4F8A"/>
          <w:sz w:val="26"/>
        </w:rPr>
        <w:t>Reading the Shot Clock in AMP</w:t>
      </w:r>
    </w:p>
    <w:p w14:paraId="5F21A122" w14:textId="282F80CD" w:rsidR="00F91175" w:rsidRDefault="00F91175" w:rsidP="00F91175">
      <w:pPr>
        <w:spacing w:after="120"/>
        <w:rPr>
          <w:color w:val="000000"/>
          <w:sz w:val="22"/>
        </w:rPr>
      </w:pPr>
      <w:r>
        <w:rPr>
          <w:color w:val="000000"/>
          <w:sz w:val="22"/>
        </w:rPr>
        <w:t>AMP displays the Shot Clock remaining for each active project on the dashboard. The number shows calendar days remaining for Jurisdiction action.</w:t>
      </w:r>
    </w:p>
    <w:p w14:paraId="0D5C3BA8" w14:textId="26694F36" w:rsidR="00F91175" w:rsidRDefault="00F91175" w:rsidP="00F91175">
      <w:pPr>
        <w:pStyle w:val="Heading3"/>
        <w:rPr>
          <w:b/>
          <w:color w:val="00AEEF"/>
          <w:sz w:val="22"/>
        </w:rPr>
      </w:pPr>
      <w:r>
        <w:rPr>
          <w:b/>
          <w:color w:val="00AEEF"/>
          <w:sz w:val="22"/>
        </w:rPr>
        <w:t>Understanding What the Number Represents</w:t>
      </w:r>
    </w:p>
    <w:p w14:paraId="611B4C61" w14:textId="2E00FCCF" w:rsidR="00F91175" w:rsidRDefault="00F91175" w:rsidP="00F91175">
      <w:pPr>
        <w:spacing w:after="120"/>
        <w:rPr>
          <w:color w:val="000000"/>
          <w:sz w:val="22"/>
        </w:rPr>
      </w:pPr>
      <w:r>
        <w:rPr>
          <w:color w:val="000000"/>
          <w:sz w:val="22"/>
        </w:rPr>
        <w:t xml:space="preserve">The Shot Clock number on the dashboard is the days remaining for </w:t>
      </w:r>
      <w:r>
        <w:rPr>
          <w:b/>
          <w:color w:val="000000"/>
          <w:sz w:val="22"/>
        </w:rPr>
        <w:t>final Jurisdiction action</w:t>
      </w:r>
      <w:r>
        <w:rPr>
          <w:color w:val="000000"/>
          <w:sz w:val="22"/>
        </w:rPr>
        <w:t xml:space="preserve"> -- not the days remaining for your next step. If you are at 15 days remaining and you have not yet completed component review, you need to complete review and make a final decision within 15 calendar days, not 15 business days.</w:t>
      </w:r>
    </w:p>
    <w:p w14:paraId="55248744" w14:textId="75662E44" w:rsidR="00F91175" w:rsidRDefault="00F91175" w:rsidP="00F91175">
      <w:pPr>
        <w:pStyle w:val="Heading3"/>
        <w:rPr>
          <w:b/>
          <w:color w:val="00AEEF"/>
          <w:sz w:val="22"/>
        </w:rPr>
      </w:pPr>
      <w:r>
        <w:rPr>
          <w:b/>
          <w:color w:val="00AEEF"/>
          <w:sz w:val="22"/>
        </w:rPr>
        <w:t>Urgency Thresholds to Watch</w:t>
      </w:r>
    </w:p>
    <w:p w14:paraId="515C95EE" w14:textId="67F0A24D" w:rsidR="00F91175" w:rsidRDefault="00F91175" w:rsidP="00F91175">
      <w:pPr>
        <w:spacing w:after="120"/>
        <w:rPr>
          <w:color w:val="000000"/>
          <w:sz w:val="22"/>
        </w:rPr>
      </w:pPr>
      <w:r>
        <w:rPr>
          <w:color w:val="000000"/>
          <w:sz w:val="22"/>
        </w:rPr>
        <w:t>Use these thresholds as practical guidance:</w:t>
      </w:r>
    </w:p>
    <w:tbl>
      <w:tblPr>
        <w:tblStyle w:val="TableGrid"/>
        <w:tblW w:w="0" w:type="auto"/>
        <w:tblLook w:val="04A0" w:firstRow="1" w:lastRow="0" w:firstColumn="1" w:lastColumn="0" w:noHBand="0" w:noVBand="1"/>
      </w:tblPr>
      <w:tblGrid>
        <w:gridCol w:w="3116"/>
        <w:gridCol w:w="3117"/>
        <w:gridCol w:w="3117"/>
      </w:tblGrid>
      <w:tr w:rsidR="00F91175" w14:paraId="6F7BD041" w14:textId="77777777" w:rsidTr="00F91175">
        <w:tc>
          <w:tcPr>
            <w:tcW w:w="3120" w:type="dxa"/>
            <w:tcBorders>
              <w:bottom w:val="single" w:sz="4" w:space="0" w:color="auto"/>
            </w:tcBorders>
            <w:shd w:val="clear" w:color="auto" w:fill="1A4F8A"/>
          </w:tcPr>
          <w:p w14:paraId="5A64B696" w14:textId="35F2AB33" w:rsidR="00F91175" w:rsidRPr="00F91175" w:rsidRDefault="00F91175" w:rsidP="00F91175">
            <w:pPr>
              <w:spacing w:after="120"/>
              <w:rPr>
                <w:b/>
                <w:color w:val="FFFFFF"/>
                <w:sz w:val="22"/>
              </w:rPr>
            </w:pPr>
            <w:r>
              <w:rPr>
                <w:b/>
                <w:color w:val="FFFFFF"/>
                <w:sz w:val="22"/>
              </w:rPr>
              <w:t>Days Remaining</w:t>
            </w:r>
          </w:p>
        </w:tc>
        <w:tc>
          <w:tcPr>
            <w:tcW w:w="3120" w:type="dxa"/>
            <w:tcBorders>
              <w:bottom w:val="single" w:sz="4" w:space="0" w:color="auto"/>
            </w:tcBorders>
            <w:shd w:val="clear" w:color="auto" w:fill="1A4F8A"/>
          </w:tcPr>
          <w:p w14:paraId="64BD7ACC" w14:textId="399E96A0" w:rsidR="00F91175" w:rsidRPr="00F91175" w:rsidRDefault="00F91175" w:rsidP="00F91175">
            <w:pPr>
              <w:spacing w:after="120"/>
              <w:rPr>
                <w:b/>
                <w:color w:val="FFFFFF"/>
                <w:sz w:val="22"/>
              </w:rPr>
            </w:pPr>
            <w:r>
              <w:rPr>
                <w:b/>
                <w:color w:val="FFFFFF"/>
                <w:sz w:val="22"/>
              </w:rPr>
              <w:t>Urgency Level</w:t>
            </w:r>
          </w:p>
        </w:tc>
        <w:tc>
          <w:tcPr>
            <w:tcW w:w="3120" w:type="dxa"/>
            <w:tcBorders>
              <w:bottom w:val="single" w:sz="4" w:space="0" w:color="auto"/>
            </w:tcBorders>
            <w:shd w:val="clear" w:color="auto" w:fill="1A4F8A"/>
          </w:tcPr>
          <w:p w14:paraId="541CC9F0" w14:textId="14053C76" w:rsidR="00F91175" w:rsidRPr="00F91175" w:rsidRDefault="00F91175" w:rsidP="00F91175">
            <w:pPr>
              <w:spacing w:after="120"/>
              <w:rPr>
                <w:b/>
                <w:color w:val="FFFFFF"/>
                <w:sz w:val="22"/>
              </w:rPr>
            </w:pPr>
            <w:r>
              <w:rPr>
                <w:b/>
                <w:color w:val="FFFFFF"/>
                <w:sz w:val="22"/>
              </w:rPr>
              <w:t>Action Required</w:t>
            </w:r>
          </w:p>
        </w:tc>
      </w:tr>
      <w:tr w:rsidR="00F91175" w14:paraId="53D35DD6" w14:textId="77777777" w:rsidTr="00F91175">
        <w:tc>
          <w:tcPr>
            <w:tcW w:w="3120" w:type="dxa"/>
            <w:tcBorders>
              <w:bottom w:val="single" w:sz="4" w:space="0" w:color="auto"/>
            </w:tcBorders>
            <w:shd w:val="clear" w:color="auto" w:fill="F2F2F2"/>
          </w:tcPr>
          <w:p w14:paraId="7BF1462B" w14:textId="27ED4785" w:rsidR="00F91175" w:rsidRPr="00F91175" w:rsidRDefault="00F91175" w:rsidP="00F91175">
            <w:pPr>
              <w:spacing w:after="120"/>
              <w:rPr>
                <w:color w:val="000000"/>
                <w:sz w:val="22"/>
              </w:rPr>
            </w:pPr>
            <w:r>
              <w:rPr>
                <w:color w:val="000000"/>
                <w:sz w:val="22"/>
              </w:rPr>
              <w:t>60+ days</w:t>
            </w:r>
          </w:p>
        </w:tc>
        <w:tc>
          <w:tcPr>
            <w:tcW w:w="3120" w:type="dxa"/>
            <w:tcBorders>
              <w:bottom w:val="single" w:sz="4" w:space="0" w:color="auto"/>
            </w:tcBorders>
            <w:shd w:val="clear" w:color="auto" w:fill="F2F2F2"/>
          </w:tcPr>
          <w:p w14:paraId="721DE9DC" w14:textId="54DD8C30" w:rsidR="00F91175" w:rsidRPr="00F91175" w:rsidRDefault="00F91175" w:rsidP="00F91175">
            <w:pPr>
              <w:spacing w:after="120"/>
              <w:rPr>
                <w:color w:val="000000"/>
                <w:sz w:val="22"/>
              </w:rPr>
            </w:pPr>
            <w:r>
              <w:rPr>
                <w:color w:val="000000"/>
                <w:sz w:val="22"/>
              </w:rPr>
              <w:t>Normal</w:t>
            </w:r>
          </w:p>
        </w:tc>
        <w:tc>
          <w:tcPr>
            <w:tcW w:w="3120" w:type="dxa"/>
            <w:tcBorders>
              <w:bottom w:val="single" w:sz="4" w:space="0" w:color="auto"/>
            </w:tcBorders>
            <w:shd w:val="clear" w:color="auto" w:fill="F2F2F2"/>
          </w:tcPr>
          <w:p w14:paraId="00A1A213" w14:textId="5257E33B" w:rsidR="00F91175" w:rsidRPr="00F91175" w:rsidRDefault="00F91175" w:rsidP="00F91175">
            <w:pPr>
              <w:spacing w:after="120"/>
              <w:rPr>
                <w:color w:val="000000"/>
                <w:sz w:val="22"/>
              </w:rPr>
            </w:pPr>
            <w:r>
              <w:rPr>
                <w:color w:val="000000"/>
                <w:sz w:val="22"/>
              </w:rPr>
              <w:t>Manage in standard review queue</w:t>
            </w:r>
          </w:p>
        </w:tc>
      </w:tr>
      <w:tr w:rsidR="00F91175" w14:paraId="27314C19" w14:textId="77777777" w:rsidTr="00F91175">
        <w:tc>
          <w:tcPr>
            <w:tcW w:w="3120" w:type="dxa"/>
            <w:tcBorders>
              <w:bottom w:val="single" w:sz="4" w:space="0" w:color="auto"/>
            </w:tcBorders>
            <w:shd w:val="clear" w:color="auto" w:fill="FFFFFF"/>
          </w:tcPr>
          <w:p w14:paraId="6EC3B7A7" w14:textId="10B52774" w:rsidR="00F91175" w:rsidRPr="00F91175" w:rsidRDefault="00F91175" w:rsidP="00F91175">
            <w:pPr>
              <w:spacing w:after="120"/>
              <w:rPr>
                <w:color w:val="000000"/>
                <w:sz w:val="22"/>
              </w:rPr>
            </w:pPr>
            <w:r>
              <w:rPr>
                <w:color w:val="000000"/>
                <w:sz w:val="22"/>
              </w:rPr>
              <w:lastRenderedPageBreak/>
              <w:t>30-60 days</w:t>
            </w:r>
          </w:p>
        </w:tc>
        <w:tc>
          <w:tcPr>
            <w:tcW w:w="3120" w:type="dxa"/>
            <w:tcBorders>
              <w:bottom w:val="single" w:sz="4" w:space="0" w:color="auto"/>
            </w:tcBorders>
            <w:shd w:val="clear" w:color="auto" w:fill="FFFFFF"/>
          </w:tcPr>
          <w:p w14:paraId="65696FF6" w14:textId="10B73887" w:rsidR="00F91175" w:rsidRPr="00F91175" w:rsidRDefault="00F91175" w:rsidP="00F91175">
            <w:pPr>
              <w:spacing w:after="120"/>
              <w:rPr>
                <w:color w:val="000000"/>
                <w:sz w:val="22"/>
              </w:rPr>
            </w:pPr>
            <w:r>
              <w:rPr>
                <w:color w:val="000000"/>
                <w:sz w:val="22"/>
              </w:rPr>
              <w:t>Elevated</w:t>
            </w:r>
          </w:p>
        </w:tc>
        <w:tc>
          <w:tcPr>
            <w:tcW w:w="3120" w:type="dxa"/>
            <w:tcBorders>
              <w:bottom w:val="single" w:sz="4" w:space="0" w:color="auto"/>
            </w:tcBorders>
            <w:shd w:val="clear" w:color="auto" w:fill="FFFFFF"/>
          </w:tcPr>
          <w:p w14:paraId="18F91898" w14:textId="60004D09" w:rsidR="00F91175" w:rsidRPr="00F91175" w:rsidRDefault="00F91175" w:rsidP="00F91175">
            <w:pPr>
              <w:spacing w:after="120"/>
              <w:rPr>
                <w:color w:val="000000"/>
                <w:sz w:val="22"/>
              </w:rPr>
            </w:pPr>
            <w:r>
              <w:rPr>
                <w:color w:val="000000"/>
                <w:sz w:val="22"/>
              </w:rPr>
              <w:t>Prioritize in queue; do not let project sit</w:t>
            </w:r>
          </w:p>
        </w:tc>
      </w:tr>
      <w:tr w:rsidR="00F91175" w14:paraId="1121821C" w14:textId="77777777" w:rsidTr="00F91175">
        <w:tc>
          <w:tcPr>
            <w:tcW w:w="3120" w:type="dxa"/>
            <w:tcBorders>
              <w:bottom w:val="single" w:sz="4" w:space="0" w:color="auto"/>
            </w:tcBorders>
            <w:shd w:val="clear" w:color="auto" w:fill="F2F2F2"/>
          </w:tcPr>
          <w:p w14:paraId="29411C7F" w14:textId="069842BE" w:rsidR="00F91175" w:rsidRPr="00F91175" w:rsidRDefault="00F91175" w:rsidP="00F91175">
            <w:pPr>
              <w:spacing w:after="120"/>
              <w:rPr>
                <w:color w:val="000000"/>
                <w:sz w:val="22"/>
              </w:rPr>
            </w:pPr>
            <w:r>
              <w:rPr>
                <w:color w:val="000000"/>
                <w:sz w:val="22"/>
              </w:rPr>
              <w:t>10-30 days</w:t>
            </w:r>
          </w:p>
        </w:tc>
        <w:tc>
          <w:tcPr>
            <w:tcW w:w="3120" w:type="dxa"/>
            <w:tcBorders>
              <w:bottom w:val="single" w:sz="4" w:space="0" w:color="auto"/>
            </w:tcBorders>
            <w:shd w:val="clear" w:color="auto" w:fill="F2F2F2"/>
          </w:tcPr>
          <w:p w14:paraId="41EEFD91" w14:textId="1A4518CA" w:rsidR="00F91175" w:rsidRPr="00F91175" w:rsidRDefault="00F91175" w:rsidP="00F91175">
            <w:pPr>
              <w:spacing w:after="120"/>
              <w:rPr>
                <w:color w:val="000000"/>
                <w:sz w:val="22"/>
              </w:rPr>
            </w:pPr>
            <w:r>
              <w:rPr>
                <w:color w:val="000000"/>
                <w:sz w:val="22"/>
              </w:rPr>
              <w:t>High</w:t>
            </w:r>
          </w:p>
        </w:tc>
        <w:tc>
          <w:tcPr>
            <w:tcW w:w="3120" w:type="dxa"/>
            <w:tcBorders>
              <w:bottom w:val="single" w:sz="4" w:space="0" w:color="auto"/>
            </w:tcBorders>
            <w:shd w:val="clear" w:color="auto" w:fill="F2F2F2"/>
          </w:tcPr>
          <w:p w14:paraId="08827DD1" w14:textId="67D4C5D6" w:rsidR="00F91175" w:rsidRPr="00F91175" w:rsidRDefault="00F91175" w:rsidP="00F91175">
            <w:pPr>
              <w:spacing w:after="120"/>
              <w:rPr>
                <w:color w:val="000000"/>
                <w:sz w:val="22"/>
              </w:rPr>
            </w:pPr>
            <w:r>
              <w:rPr>
                <w:color w:val="000000"/>
                <w:sz w:val="22"/>
              </w:rPr>
              <w:t>Active management required; escalate internally if review is not complete</w:t>
            </w:r>
          </w:p>
        </w:tc>
      </w:tr>
      <w:tr w:rsidR="00F91175" w14:paraId="07A823D6" w14:textId="77777777" w:rsidTr="00F91175">
        <w:tc>
          <w:tcPr>
            <w:tcW w:w="3120" w:type="dxa"/>
            <w:tcBorders>
              <w:bottom w:val="single" w:sz="4" w:space="0" w:color="auto"/>
            </w:tcBorders>
            <w:shd w:val="clear" w:color="auto" w:fill="FFFFFF"/>
          </w:tcPr>
          <w:p w14:paraId="4D893514" w14:textId="68B69561" w:rsidR="00F91175" w:rsidRPr="00F91175" w:rsidRDefault="00F91175" w:rsidP="00F91175">
            <w:pPr>
              <w:spacing w:after="120"/>
              <w:rPr>
                <w:color w:val="000000"/>
                <w:sz w:val="22"/>
              </w:rPr>
            </w:pPr>
            <w:r>
              <w:rPr>
                <w:color w:val="000000"/>
                <w:sz w:val="22"/>
              </w:rPr>
              <w:t>Under 10 days</w:t>
            </w:r>
          </w:p>
        </w:tc>
        <w:tc>
          <w:tcPr>
            <w:tcW w:w="3120" w:type="dxa"/>
            <w:tcBorders>
              <w:bottom w:val="single" w:sz="4" w:space="0" w:color="auto"/>
            </w:tcBorders>
            <w:shd w:val="clear" w:color="auto" w:fill="FFFFFF"/>
          </w:tcPr>
          <w:p w14:paraId="23C60FFE" w14:textId="3F8DA6FF" w:rsidR="00F91175" w:rsidRPr="00F91175" w:rsidRDefault="00F91175" w:rsidP="00F91175">
            <w:pPr>
              <w:spacing w:after="120"/>
              <w:rPr>
                <w:color w:val="000000"/>
                <w:sz w:val="22"/>
              </w:rPr>
            </w:pPr>
            <w:r>
              <w:rPr>
                <w:color w:val="000000"/>
                <w:sz w:val="22"/>
              </w:rPr>
              <w:t>Critical</w:t>
            </w:r>
          </w:p>
        </w:tc>
        <w:tc>
          <w:tcPr>
            <w:tcW w:w="3120" w:type="dxa"/>
            <w:tcBorders>
              <w:bottom w:val="single" w:sz="4" w:space="0" w:color="auto"/>
            </w:tcBorders>
            <w:shd w:val="clear" w:color="auto" w:fill="FFFFFF"/>
          </w:tcPr>
          <w:p w14:paraId="006040F2" w14:textId="384C48AC" w:rsidR="00F91175" w:rsidRPr="00F91175" w:rsidRDefault="00F91175" w:rsidP="00F91175">
            <w:pPr>
              <w:spacing w:after="120"/>
              <w:rPr>
                <w:color w:val="000000"/>
                <w:sz w:val="22"/>
              </w:rPr>
            </w:pPr>
            <w:r>
              <w:rPr>
                <w:color w:val="000000"/>
                <w:sz w:val="22"/>
              </w:rPr>
              <w:t>Immediate action required; escalate to supervisor and WTS Analyst; make a decision or document why one cannot be made</w:t>
            </w:r>
          </w:p>
        </w:tc>
      </w:tr>
      <w:tr w:rsidR="00F91175" w14:paraId="727CB9D9" w14:textId="77777777" w:rsidTr="00F91175">
        <w:tc>
          <w:tcPr>
            <w:tcW w:w="3120" w:type="dxa"/>
            <w:shd w:val="clear" w:color="auto" w:fill="F2F2F2"/>
          </w:tcPr>
          <w:p w14:paraId="58738AC1" w14:textId="618CC5A0" w:rsidR="00F91175" w:rsidRPr="00F91175" w:rsidRDefault="00F91175" w:rsidP="00F91175">
            <w:pPr>
              <w:spacing w:after="120"/>
              <w:rPr>
                <w:color w:val="000000"/>
                <w:sz w:val="22"/>
              </w:rPr>
            </w:pPr>
            <w:r>
              <w:rPr>
                <w:color w:val="000000"/>
                <w:sz w:val="22"/>
              </w:rPr>
              <w:t>0-3 days</w:t>
            </w:r>
          </w:p>
        </w:tc>
        <w:tc>
          <w:tcPr>
            <w:tcW w:w="3120" w:type="dxa"/>
            <w:shd w:val="clear" w:color="auto" w:fill="F2F2F2"/>
          </w:tcPr>
          <w:p w14:paraId="639EF74D" w14:textId="70866E7A" w:rsidR="00F91175" w:rsidRPr="00F91175" w:rsidRDefault="00F91175" w:rsidP="00F91175">
            <w:pPr>
              <w:spacing w:after="120"/>
              <w:rPr>
                <w:color w:val="000000"/>
                <w:sz w:val="22"/>
              </w:rPr>
            </w:pPr>
            <w:r>
              <w:rPr>
                <w:color w:val="000000"/>
                <w:sz w:val="22"/>
              </w:rPr>
              <w:t>Emergency</w:t>
            </w:r>
          </w:p>
        </w:tc>
        <w:tc>
          <w:tcPr>
            <w:tcW w:w="3120" w:type="dxa"/>
            <w:shd w:val="clear" w:color="auto" w:fill="F2F2F2"/>
          </w:tcPr>
          <w:p w14:paraId="648236C9" w14:textId="704938FA" w:rsidR="00F91175" w:rsidRPr="00F91175" w:rsidRDefault="00F91175" w:rsidP="00F91175">
            <w:pPr>
              <w:spacing w:after="120"/>
              <w:rPr>
                <w:color w:val="000000"/>
                <w:sz w:val="22"/>
              </w:rPr>
            </w:pPr>
            <w:r>
              <w:rPr>
                <w:color w:val="000000"/>
                <w:sz w:val="22"/>
              </w:rPr>
              <w:t>Legal emergency; consult legal counsel; act immediately</w:t>
            </w:r>
          </w:p>
        </w:tc>
      </w:tr>
    </w:tbl>
    <w:p w14:paraId="3642A3B5" w14:textId="77777777" w:rsidR="00F91175" w:rsidRDefault="00F91175" w:rsidP="00F91175">
      <w:pPr>
        <w:spacing w:after="120"/>
        <w:rPr>
          <w:color w:val="000000"/>
          <w:sz w:val="22"/>
        </w:rPr>
      </w:pPr>
    </w:p>
    <w:p w14:paraId="7621D61E" w14:textId="77777777" w:rsidR="00F91175" w:rsidRDefault="00F91175" w:rsidP="00F91175">
      <w:pPr>
        <w:spacing w:after="120"/>
        <w:rPr>
          <w:color w:val="000000"/>
          <w:sz w:val="22"/>
        </w:rPr>
      </w:pPr>
    </w:p>
    <w:p w14:paraId="6F1CBCE2" w14:textId="3C870F8E" w:rsidR="00F91175" w:rsidRDefault="00F91175" w:rsidP="00F91175">
      <w:pPr>
        <w:spacing w:after="120"/>
        <w:rPr>
          <w:color w:val="000000"/>
          <w:sz w:val="22"/>
        </w:rPr>
      </w:pPr>
      <w:r>
        <w:rPr>
          <w:color w:val="000000"/>
          <w:sz w:val="22"/>
        </w:rPr>
        <w:t>Note: For SWF applications with a 60-day clock, "30 days remaining" means half the total review period has elapsed. Treat SWF urgency thresholds proportionally.</w:t>
      </w:r>
    </w:p>
    <w:p w14:paraId="74366EE3" w14:textId="6748FA84" w:rsidR="00F91175" w:rsidRDefault="00F91175" w:rsidP="00F91175">
      <w:pPr>
        <w:pStyle w:val="Heading2"/>
        <w:rPr>
          <w:b/>
          <w:color w:val="1A4F8A"/>
          <w:sz w:val="26"/>
        </w:rPr>
      </w:pPr>
      <w:r>
        <w:rPr>
          <w:b/>
          <w:color w:val="1A4F8A"/>
          <w:sz w:val="26"/>
        </w:rPr>
        <w:t>What to Do When the Clock Is Running Out</w:t>
      </w:r>
    </w:p>
    <w:p w14:paraId="4F3CA839" w14:textId="650E826C" w:rsidR="00F91175" w:rsidRDefault="00F91175" w:rsidP="00F91175">
      <w:pPr>
        <w:spacing w:after="120"/>
        <w:rPr>
          <w:color w:val="000000"/>
          <w:sz w:val="22"/>
        </w:rPr>
      </w:pPr>
      <w:r>
        <w:rPr>
          <w:color w:val="000000"/>
          <w:sz w:val="22"/>
        </w:rPr>
        <w:t>If you find yourself with a project approaching its Shot Clock deadline and review is not complete, your options depend on where you are in the process:</w:t>
      </w:r>
    </w:p>
    <w:p w14:paraId="550FEADE" w14:textId="5EB2359E" w:rsidR="00F91175" w:rsidRDefault="00F91175" w:rsidP="00F91175">
      <w:pPr>
        <w:pStyle w:val="Heading3"/>
        <w:rPr>
          <w:b/>
          <w:color w:val="00AEEF"/>
          <w:sz w:val="22"/>
        </w:rPr>
      </w:pPr>
      <w:r>
        <w:rPr>
          <w:b/>
          <w:color w:val="00AEEF"/>
          <w:sz w:val="22"/>
        </w:rPr>
        <w:t>Option 1: Make a Decision -- Any Decision</w:t>
      </w:r>
    </w:p>
    <w:p w14:paraId="597FFD2F" w14:textId="27922D95" w:rsidR="00F91175" w:rsidRDefault="0014667E" w:rsidP="0014667E">
      <w:pPr>
        <w:spacing w:after="120"/>
        <w:rPr>
          <w:color w:val="000000"/>
          <w:sz w:val="22"/>
        </w:rPr>
      </w:pPr>
      <w:r>
        <w:rPr>
          <w:color w:val="000000"/>
          <w:sz w:val="22"/>
        </w:rPr>
        <w:t>If you have enough information to make a determination -- approve, conditionally approve, request revision, or deny -- make it. An incomplete but documented decision is better than deemed approval. You can request revision even late in the process as long as there is a genuine documented deficiency and the revision request is issued before the clock expires.</w:t>
      </w:r>
    </w:p>
    <w:p w14:paraId="3EC853B9" w14:textId="2640C403" w:rsidR="0014667E" w:rsidRDefault="0014667E" w:rsidP="0014667E">
      <w:pPr>
        <w:pStyle w:val="Heading3"/>
        <w:rPr>
          <w:b/>
          <w:color w:val="00AEEF"/>
          <w:sz w:val="22"/>
        </w:rPr>
      </w:pPr>
      <w:r>
        <w:rPr>
          <w:b/>
          <w:color w:val="00AEEF"/>
          <w:sz w:val="22"/>
        </w:rPr>
        <w:t>Option 2: Issue a Completeness Determination (If Genuinely Warranted)</w:t>
      </w:r>
    </w:p>
    <w:p w14:paraId="7D8A7FC0" w14:textId="3F16EAA5" w:rsidR="0014667E" w:rsidRDefault="0014667E" w:rsidP="0014667E">
      <w:pPr>
        <w:spacing w:after="120"/>
        <w:rPr>
          <w:color w:val="000000"/>
          <w:sz w:val="22"/>
        </w:rPr>
      </w:pPr>
      <w:r>
        <w:rPr>
          <w:color w:val="000000"/>
          <w:sz w:val="22"/>
        </w:rPr>
        <w:t>If the application has a genuine incompleteness that you have not yet formally documented, you may issue a completeness determination to stop the clock. The deficiency must be real, specific, and documented. Do not issue a completeness determination as a delay tactic -- this creates additional legal risk.</w:t>
      </w:r>
    </w:p>
    <w:p w14:paraId="179931DB" w14:textId="6B1A4B70" w:rsidR="0014667E" w:rsidRDefault="0014667E" w:rsidP="0014667E">
      <w:pPr>
        <w:pStyle w:val="Heading3"/>
        <w:rPr>
          <w:b/>
          <w:color w:val="00AEEF"/>
          <w:sz w:val="22"/>
        </w:rPr>
      </w:pPr>
      <w:r>
        <w:rPr>
          <w:b/>
          <w:color w:val="00AEEF"/>
          <w:sz w:val="22"/>
        </w:rPr>
        <w:t>Option 3: Escalate Immediately</w:t>
      </w:r>
    </w:p>
    <w:p w14:paraId="559234B6" w14:textId="5AB89239" w:rsidR="0014667E" w:rsidRDefault="0014667E" w:rsidP="0014667E">
      <w:pPr>
        <w:spacing w:after="120"/>
        <w:rPr>
          <w:color w:val="000000"/>
          <w:sz w:val="22"/>
        </w:rPr>
      </w:pPr>
      <w:r>
        <w:rPr>
          <w:color w:val="000000"/>
          <w:sz w:val="22"/>
        </w:rPr>
        <w:t>Contact your WTS Analyst. Notify your supervisor or the jurisdiction's legal counsel. Create a record in AMP that the clock situation has been identified and that action is being taken. Escalation does not stop the clock, but it creates a record that the deadline was known and that your jurisdiction attempted to act.</w:t>
      </w:r>
    </w:p>
    <w:p w14:paraId="10254C7A" w14:textId="01F39B19" w:rsidR="0014667E" w:rsidRDefault="0014667E" w:rsidP="0014667E">
      <w:pPr>
        <w:pStyle w:val="Heading3"/>
        <w:rPr>
          <w:b/>
          <w:color w:val="00AEEF"/>
          <w:sz w:val="22"/>
        </w:rPr>
      </w:pPr>
      <w:r>
        <w:rPr>
          <w:b/>
          <w:color w:val="00AEEF"/>
          <w:sz w:val="22"/>
        </w:rPr>
        <w:lastRenderedPageBreak/>
        <w:t>What You Cannot Do</w:t>
      </w:r>
    </w:p>
    <w:p w14:paraId="66768B3C" w14:textId="60DDCCC7" w:rsidR="0014667E" w:rsidRDefault="0014667E" w:rsidP="0014667E">
      <w:pPr>
        <w:spacing w:after="120"/>
        <w:rPr>
          <w:color w:val="000000"/>
          <w:sz w:val="22"/>
        </w:rPr>
      </w:pPr>
      <w:r>
        <w:rPr>
          <w:color w:val="000000"/>
          <w:sz w:val="22"/>
        </w:rPr>
        <w:t>You cannot informally agree with the Agent or carrier to pause the clock. Only a formal completeness determination in AMP stops the clock legally. An email agreement or phone agreement to extend the deadline is not a valid clock stop and will not protect your jurisdiction if the carrier later decides to exercise deemed approval rights.</w:t>
      </w:r>
    </w:p>
    <w:p w14:paraId="51098FF4" w14:textId="76E467D1" w:rsidR="0014667E" w:rsidRDefault="0014667E" w:rsidP="0014667E">
      <w:pPr>
        <w:pStyle w:val="Heading2"/>
        <w:rPr>
          <w:b/>
          <w:color w:val="1A4F8A"/>
          <w:sz w:val="26"/>
        </w:rPr>
      </w:pPr>
      <w:r>
        <w:rPr>
          <w:b/>
          <w:color w:val="1A4F8A"/>
          <w:sz w:val="26"/>
        </w:rPr>
        <w:t>How AMP Tracks the Shot Clock</w:t>
      </w:r>
    </w:p>
    <w:p w14:paraId="5FDFD65C" w14:textId="292F62FC" w:rsidR="0014667E" w:rsidRDefault="0014667E" w:rsidP="0014667E">
      <w:pPr>
        <w:spacing w:after="120"/>
        <w:rPr>
          <w:color w:val="000000"/>
          <w:sz w:val="22"/>
        </w:rPr>
      </w:pPr>
      <w:r>
        <w:rPr>
          <w:color w:val="000000"/>
          <w:sz w:val="22"/>
        </w:rPr>
        <w:t>AMP automatically tracks the Shot Clock from the date a complete application is submitted. The dashboard displays the remaining days based on this calculation.</w:t>
      </w:r>
    </w:p>
    <w:p w14:paraId="6F26E4F6" w14:textId="422AAE93" w:rsidR="0014667E" w:rsidRDefault="0014667E" w:rsidP="0014667E">
      <w:pPr>
        <w:spacing w:after="80"/>
        <w:rPr>
          <w:b/>
          <w:color w:val="666666"/>
          <w:sz w:val="20"/>
        </w:rPr>
      </w:pPr>
      <w:r>
        <w:rPr>
          <w:b/>
          <w:color w:val="666666"/>
          <w:sz w:val="20"/>
        </w:rPr>
        <w:t xml:space="preserve">What AMP does automatically: </w:t>
      </w:r>
    </w:p>
    <w:p w14:paraId="696316C0" w14:textId="196CA562" w:rsidR="0014667E" w:rsidRPr="0014667E" w:rsidRDefault="0014667E" w:rsidP="0014667E">
      <w:pPr>
        <w:pStyle w:val="ListBullet"/>
      </w:pPr>
      <w:r>
        <w:rPr>
          <w:color w:val="000000"/>
          <w:sz w:val="22"/>
        </w:rPr>
        <w:t>Calculates the Shot Clock start date from the application submission date</w:t>
      </w:r>
    </w:p>
    <w:p w14:paraId="4FB8C810" w14:textId="7EDFDCB5" w:rsidR="0014667E" w:rsidRPr="0014667E" w:rsidRDefault="0014667E" w:rsidP="0014667E">
      <w:pPr>
        <w:pStyle w:val="ListBullet"/>
      </w:pPr>
      <w:r>
        <w:rPr>
          <w:color w:val="000000"/>
          <w:sz w:val="22"/>
        </w:rPr>
        <w:t>Displays remaining days on the dashboard</w:t>
      </w:r>
    </w:p>
    <w:p w14:paraId="761855F5" w14:textId="1EA67C56" w:rsidR="0014667E" w:rsidRPr="0014667E" w:rsidRDefault="0014667E" w:rsidP="0014667E">
      <w:pPr>
        <w:pStyle w:val="ListBullet"/>
      </w:pPr>
      <w:r>
        <w:rPr>
          <w:color w:val="000000"/>
          <w:sz w:val="22"/>
        </w:rPr>
        <w:t>Continues counting down regardless of application status</w:t>
      </w:r>
    </w:p>
    <w:p w14:paraId="3F3D3008" w14:textId="29687B40" w:rsidR="0014667E" w:rsidRDefault="0014667E" w:rsidP="0014667E">
      <w:pPr>
        <w:spacing w:after="80"/>
        <w:rPr>
          <w:b/>
          <w:color w:val="666666"/>
          <w:sz w:val="20"/>
        </w:rPr>
      </w:pPr>
      <w:r>
        <w:rPr>
          <w:b/>
          <w:color w:val="666666"/>
          <w:sz w:val="20"/>
        </w:rPr>
        <w:t xml:space="preserve">What AMP does NOT do automatically: </w:t>
      </w:r>
    </w:p>
    <w:p w14:paraId="2CF83C07" w14:textId="4A239F46" w:rsidR="0014667E" w:rsidRPr="0014667E" w:rsidRDefault="0014667E" w:rsidP="0014667E">
      <w:pPr>
        <w:pStyle w:val="ListBullet"/>
      </w:pPr>
      <w:r>
        <w:rPr>
          <w:color w:val="000000"/>
          <w:sz w:val="22"/>
        </w:rPr>
        <w:t>Stop the clock on your behalf</w:t>
      </w:r>
    </w:p>
    <w:p w14:paraId="0F887BB4" w14:textId="01FE63D0" w:rsidR="0014667E" w:rsidRPr="0014667E" w:rsidRDefault="0014667E" w:rsidP="0014667E">
      <w:pPr>
        <w:pStyle w:val="ListBullet"/>
      </w:pPr>
      <w:r>
        <w:rPr>
          <w:color w:val="000000"/>
          <w:sz w:val="22"/>
        </w:rPr>
        <w:t>Issue a completeness determination</w:t>
      </w:r>
    </w:p>
    <w:p w14:paraId="3A276C98" w14:textId="157DC36F" w:rsidR="0014667E" w:rsidRPr="0014667E" w:rsidRDefault="0014667E" w:rsidP="0014667E">
      <w:pPr>
        <w:pStyle w:val="ListBullet"/>
      </w:pPr>
      <w:r>
        <w:rPr>
          <w:color w:val="000000"/>
          <w:sz w:val="22"/>
        </w:rPr>
        <w:t>Make a decision to prevent deemed approval</w:t>
      </w:r>
    </w:p>
    <w:p w14:paraId="08FABA0C" w14:textId="15C01F8D" w:rsidR="0014667E" w:rsidRPr="0014667E" w:rsidRDefault="0014667E" w:rsidP="0014667E">
      <w:pPr>
        <w:pStyle w:val="ListBullet"/>
      </w:pPr>
      <w:r>
        <w:rPr>
          <w:color w:val="000000"/>
          <w:sz w:val="22"/>
        </w:rPr>
        <w:t>Notify your jurisdiction when the clock is about to expire</w:t>
      </w:r>
    </w:p>
    <w:p w14:paraId="07CD3DE4" w14:textId="1C09ECF0" w:rsidR="0014667E" w:rsidRDefault="0014667E" w:rsidP="0014667E">
      <w:pPr>
        <w:spacing w:after="120"/>
        <w:rPr>
          <w:color w:val="000000"/>
          <w:sz w:val="22"/>
        </w:rPr>
      </w:pPr>
      <w:r>
        <w:rPr>
          <w:b/>
          <w:color w:val="000000"/>
          <w:sz w:val="22"/>
        </w:rPr>
        <w:t>The action is always yours.</w:t>
      </w:r>
      <w:r>
        <w:rPr>
          <w:color w:val="000000"/>
          <w:sz w:val="22"/>
        </w:rPr>
        <w:t xml:space="preserve"> AMP is a tracking and record-keeping tool. The Shot Clock management decisions -- when to act, when to issue a completeness stop, when to escalate -- are the Jurisdiction reviewer's responsibility.</w:t>
      </w:r>
    </w:p>
    <w:p w14:paraId="22160269" w14:textId="41674AE3" w:rsidR="0014667E" w:rsidRDefault="0014667E" w:rsidP="0014667E">
      <w:pPr>
        <w:pStyle w:val="Heading2"/>
        <w:rPr>
          <w:b/>
          <w:color w:val="1A4F8A"/>
          <w:sz w:val="26"/>
        </w:rPr>
      </w:pPr>
      <w:r>
        <w:rPr>
          <w:b/>
          <w:color w:val="1A4F8A"/>
          <w:sz w:val="26"/>
        </w:rPr>
        <w:t>Key Takeaways</w:t>
      </w:r>
    </w:p>
    <w:p w14:paraId="444F452B" w14:textId="301D5DBC" w:rsidR="0014667E" w:rsidRPr="0014667E" w:rsidRDefault="0014667E" w:rsidP="0014667E">
      <w:pPr>
        <w:pStyle w:val="ListBullet"/>
      </w:pPr>
      <w:r>
        <w:rPr>
          <w:color w:val="000000"/>
          <w:sz w:val="22"/>
        </w:rPr>
        <w:t>Shot Clock lengths are set by federal law and cannot be changed by local ordinance or agreement: 150 days for standard applications, 60 days for SWF single-site, 90 days for SWF batch.</w:t>
      </w:r>
    </w:p>
    <w:p w14:paraId="66DC4BA9" w14:textId="2C4F8D81" w:rsidR="0014667E" w:rsidRPr="0014667E" w:rsidRDefault="0014667E" w:rsidP="0014667E">
      <w:pPr>
        <w:pStyle w:val="ListBullet"/>
      </w:pPr>
      <w:r>
        <w:rPr>
          <w:color w:val="000000"/>
          <w:sz w:val="22"/>
        </w:rPr>
        <w:t>When the Shot Clock expires without a final Jurisdiction action, the application is deemed approved. This cannot be easily reversed.</w:t>
      </w:r>
    </w:p>
    <w:p w14:paraId="71FC7B6F" w14:textId="7E1852CD" w:rsidR="0014667E" w:rsidRPr="0014667E" w:rsidRDefault="0014667E" w:rsidP="0014667E">
      <w:pPr>
        <w:pStyle w:val="ListBullet"/>
      </w:pPr>
      <w:r>
        <w:rPr>
          <w:color w:val="000000"/>
          <w:sz w:val="22"/>
        </w:rPr>
        <w:t>The completeness determination is the only legitimate tool to stop the Shot Clock. It must be based on a genuine documented deficiency and issued promptly.</w:t>
      </w:r>
    </w:p>
    <w:p w14:paraId="17F89B42" w14:textId="3768E4E1" w:rsidR="0014667E" w:rsidRPr="0014667E" w:rsidRDefault="0014667E" w:rsidP="0014667E">
      <w:pPr>
        <w:pStyle w:val="ListBullet"/>
      </w:pPr>
      <w:r>
        <w:rPr>
          <w:color w:val="000000"/>
          <w:sz w:val="22"/>
        </w:rPr>
        <w:t>AMP tracks the Shot Clock automatically but does not stop it. All clock management decisions are the Jurisdiction reviewer's responsibility.</w:t>
      </w:r>
    </w:p>
    <w:p w14:paraId="721A723F" w14:textId="7B9DC79B" w:rsidR="0014667E" w:rsidRPr="0014667E" w:rsidRDefault="0014667E" w:rsidP="0014667E">
      <w:pPr>
        <w:pStyle w:val="ListBullet"/>
      </w:pPr>
      <w:r>
        <w:rPr>
          <w:color w:val="000000"/>
          <w:sz w:val="22"/>
        </w:rPr>
        <w:t>Use the dashboard urgency thresholds: under 30 days is elevated, under 10 days is high priority, under 3 days is a legal emergency.</w:t>
      </w:r>
    </w:p>
    <w:p w14:paraId="592DE14E" w14:textId="5029502A" w:rsidR="0014667E" w:rsidRPr="0014667E" w:rsidRDefault="0014667E" w:rsidP="0014667E">
      <w:pPr>
        <w:pStyle w:val="ListBullet"/>
      </w:pPr>
      <w:r>
        <w:rPr>
          <w:color w:val="000000"/>
          <w:sz w:val="22"/>
        </w:rPr>
        <w:t>When the clock is running out, make a decision, issue a legitimate completeness determination, or escalate -- do not let the clock expire through inaction.</w:t>
      </w:r>
    </w:p>
    <w:p w14:paraId="6C5E4B15" w14:textId="78735FCF" w:rsidR="0014667E" w:rsidRDefault="0014667E" w:rsidP="0014667E">
      <w:pPr>
        <w:pStyle w:val="Heading2"/>
        <w:rPr>
          <w:b/>
          <w:color w:val="1A4F8A"/>
          <w:sz w:val="26"/>
        </w:rPr>
      </w:pPr>
      <w:r>
        <w:rPr>
          <w:b/>
          <w:color w:val="1A4F8A"/>
          <w:sz w:val="26"/>
        </w:rPr>
        <w:lastRenderedPageBreak/>
        <w:t>Checkpoint Question</w:t>
      </w:r>
    </w:p>
    <w:p w14:paraId="215D4284" w14:textId="3AD1F18F" w:rsidR="0014667E" w:rsidRDefault="0014667E" w:rsidP="0014667E">
      <w:pPr>
        <w:spacing w:after="80"/>
        <w:rPr>
          <w:color w:val="666666"/>
          <w:sz w:val="20"/>
        </w:rPr>
      </w:pPr>
      <w:r>
        <w:rPr>
          <w:b/>
          <w:color w:val="666666"/>
          <w:sz w:val="20"/>
        </w:rPr>
        <w:t xml:space="preserve">Scenario: </w:t>
      </w:r>
      <w:r>
        <w:rPr>
          <w:color w:val="666666"/>
          <w:sz w:val="20"/>
        </w:rPr>
        <w:t>Your jurisdiction is reviewing a standard New Tower application. The Shot Clock shows 8 days remaining. Your review is not complete -- you have not yet reviewed the NCM structural analysis because your Analyst flagged it last week as potentially having a PE licensure issue, but has not yet completed the investigation. Your Analyst is out of the office this week.</w:t>
      </w:r>
    </w:p>
    <w:p w14:paraId="08F2064F" w14:textId="47E8C4FD" w:rsidR="0014667E" w:rsidRDefault="0014667E" w:rsidP="0014667E">
      <w:pPr>
        <w:spacing w:after="120"/>
        <w:rPr>
          <w:color w:val="000000"/>
          <w:sz w:val="22"/>
        </w:rPr>
      </w:pPr>
      <w:r>
        <w:rPr>
          <w:color w:val="000000"/>
          <w:sz w:val="22"/>
        </w:rPr>
        <w:t>What should you do?</w:t>
      </w:r>
    </w:p>
    <w:p w14:paraId="0F221C83" w14:textId="38FCA289" w:rsidR="0014667E" w:rsidRDefault="0014667E" w:rsidP="0014667E">
      <w:pPr>
        <w:spacing w:after="120"/>
        <w:rPr>
          <w:color w:val="000000"/>
          <w:sz w:val="22"/>
        </w:rPr>
      </w:pPr>
      <w:r>
        <w:rPr>
          <w:b/>
          <w:color w:val="000000"/>
          <w:sz w:val="22"/>
        </w:rPr>
        <w:t>A)</w:t>
      </w:r>
      <w:r>
        <w:rPr>
          <w:color w:val="000000"/>
          <w:sz w:val="22"/>
        </w:rPr>
        <w:t xml:space="preserve"> Wait for your Analyst to return. The PE licensure issue needs to be investigated before any action is taken, and taking an uninformed action is worse than waiting.</w:t>
      </w:r>
    </w:p>
    <w:p w14:paraId="096EEF0E" w14:textId="437F1027" w:rsidR="0014667E" w:rsidRDefault="0014667E" w:rsidP="0014667E">
      <w:pPr>
        <w:spacing w:after="120"/>
        <w:rPr>
          <w:color w:val="000000"/>
          <w:sz w:val="22"/>
        </w:rPr>
      </w:pPr>
      <w:r>
        <w:rPr>
          <w:b/>
          <w:color w:val="000000"/>
          <w:sz w:val="22"/>
        </w:rPr>
        <w:t>B)</w:t>
      </w:r>
      <w:r>
        <w:rPr>
          <w:color w:val="000000"/>
          <w:sz w:val="22"/>
        </w:rPr>
        <w:t xml:space="preserve"> Extend the review period by emailing the Agent to explain the situation. The Agent can agree to an informal extension while the investigation is completed.</w:t>
      </w:r>
    </w:p>
    <w:p w14:paraId="76F3C015" w14:textId="6C2103F2" w:rsidR="0014667E" w:rsidRDefault="0014667E" w:rsidP="0014667E">
      <w:pPr>
        <w:spacing w:after="120"/>
        <w:rPr>
          <w:color w:val="000000"/>
          <w:sz w:val="22"/>
        </w:rPr>
      </w:pPr>
      <w:r>
        <w:rPr>
          <w:b/>
          <w:color w:val="000000"/>
          <w:sz w:val="22"/>
        </w:rPr>
        <w:t>C)</w:t>
      </w:r>
      <w:r>
        <w:rPr>
          <w:color w:val="000000"/>
          <w:sz w:val="22"/>
        </w:rPr>
        <w:t xml:space="preserve"> Issue a completeness determination identifying the PE licensure concern as a specific deficiency. This stops the clock while the deficiency is investigated and formally documents the issue. The determination must specifically identify the concern: "The structural analysis was certified by [PE Name], license number [X], who appears to be licensed in [State] rather than [your state]. Please resubmit the NCM with a structural analysis certified by a PE licensed in [your state]." This is a genuine documented deficiency that warrants a completeness stop.</w:t>
      </w:r>
    </w:p>
    <w:p w14:paraId="4E903B4D" w14:textId="4413C9E1" w:rsidR="0014667E" w:rsidRDefault="0014667E" w:rsidP="0014667E">
      <w:pPr>
        <w:spacing w:after="120"/>
        <w:rPr>
          <w:color w:val="000000"/>
          <w:sz w:val="22"/>
        </w:rPr>
      </w:pPr>
      <w:r>
        <w:rPr>
          <w:b/>
          <w:color w:val="000000"/>
          <w:sz w:val="22"/>
        </w:rPr>
        <w:t>D)</w:t>
      </w:r>
      <w:r>
        <w:rPr>
          <w:color w:val="000000"/>
          <w:sz w:val="22"/>
        </w:rPr>
        <w:t xml:space="preserve"> Approve the application immediately to meet the Shot Clock deadline. The PE licensure issue can be addressed after approval through a condition.</w:t>
      </w:r>
    </w:p>
    <w:p w14:paraId="6839F7B0" w14:textId="7E20FE02" w:rsidR="0014667E" w:rsidRDefault="0014667E" w:rsidP="0014667E">
      <w:pPr>
        <w:spacing w:after="120"/>
        <w:rPr>
          <w:color w:val="000000"/>
          <w:sz w:val="22"/>
        </w:rPr>
      </w:pPr>
      <w:r>
        <w:rPr>
          <w:b/>
          <w:color w:val="000000"/>
          <w:sz w:val="22"/>
        </w:rPr>
        <w:t>Correct Answer: C</w:t>
      </w:r>
      <w:r>
        <w:rPr>
          <w:color w:val="000000"/>
          <w:sz w:val="22"/>
        </w:rPr>
        <w:t xml:space="preserve"> -- With 8 days remaining, this situation is urgent, but not unresolvable. The PE licensure issue that the Analyst flagged is a genuine, specific deficiency -- a structural analysis certified by a PE not licensed in your state is an incomplete certification. Issuing a completeness determination on this specific documented ground is both legitimate and appropriate. It stops the clock and creates a clear record of the deficiency. Option A (waiting) risks deemed approval with no action taken. Option B (email extension) has no legal effect. Option D (approving with a known deficiency) is a serious error that exposes your jurisdiction to structural safety liability and a deficient Official Record.</w:t>
      </w:r>
    </w:p>
    <w:p w14:paraId="4F4A144E" w14:textId="67F9DE48" w:rsidR="0014667E" w:rsidRPr="0014667E" w:rsidRDefault="0014667E" w:rsidP="0014667E">
      <w:pPr>
        <w:spacing w:after="120"/>
        <w:rPr>
          <w:color w:val="000000"/>
          <w:sz w:val="22"/>
        </w:rPr>
      </w:pPr>
      <w:r>
        <w:rPr>
          <w:color w:val="000000"/>
          <w:sz w:val="22"/>
        </w:rPr>
        <w:t>*End of Lesson 5 | Next: Lesson 6 -- Making Decisions: Approvals, Revisions, and Denials*</w:t>
      </w:r>
    </w:p>
    <w:sectPr w:rsidR="0014667E" w:rsidRPr="0014667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B63F2" w14:textId="77777777" w:rsidR="005D23FA" w:rsidRDefault="005D23FA" w:rsidP="0014667E">
      <w:pPr>
        <w:spacing w:after="0" w:line="240" w:lineRule="auto"/>
      </w:pPr>
      <w:r>
        <w:separator/>
      </w:r>
    </w:p>
  </w:endnote>
  <w:endnote w:type="continuationSeparator" w:id="0">
    <w:p w14:paraId="65461FBB" w14:textId="77777777" w:rsidR="005D23FA" w:rsidRDefault="005D23FA" w:rsidP="00146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E457" w14:textId="77777777" w:rsidR="0014667E" w:rsidRDefault="001466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6311" w14:textId="2326990A" w:rsidR="0014667E" w:rsidRPr="0014667E" w:rsidRDefault="0014667E" w:rsidP="0014667E">
    <w:pPr>
      <w:pStyle w:val="Footer"/>
      <w:jc w:val="center"/>
      <w:rPr>
        <w:color w:val="00AEEF"/>
        <w:sz w:val="18"/>
      </w:rPr>
    </w:pPr>
    <w:r>
      <w:rPr>
        <w:color w:val="00AEEF"/>
        <w:sz w:val="18"/>
      </w:rPr>
      <w:t>AMP for Government / Jurisdiction Reviewers  |  Course2 Lesson 05 Shot Clock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DC67" w14:textId="77777777" w:rsidR="0014667E" w:rsidRDefault="001466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3691" w14:textId="77777777" w:rsidR="005D23FA" w:rsidRDefault="005D23FA" w:rsidP="0014667E">
      <w:pPr>
        <w:spacing w:after="0" w:line="240" w:lineRule="auto"/>
      </w:pPr>
      <w:r>
        <w:separator/>
      </w:r>
    </w:p>
  </w:footnote>
  <w:footnote w:type="continuationSeparator" w:id="0">
    <w:p w14:paraId="4F5535DD" w14:textId="77777777" w:rsidR="005D23FA" w:rsidRDefault="005D23FA" w:rsidP="00146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1449" w14:textId="77777777" w:rsidR="0014667E" w:rsidRDefault="001466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C910" w14:textId="77777777" w:rsidR="0014667E" w:rsidRDefault="001466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EFD1E" w14:textId="77777777" w:rsidR="0014667E" w:rsidRDefault="001466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000132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47828B2"/>
    <w:lvl w:ilvl="0">
      <w:start w:val="1"/>
      <w:numFmt w:val="bullet"/>
      <w:pStyle w:val="ListBullet"/>
      <w:lvlText w:val=""/>
      <w:lvlJc w:val="left"/>
      <w:pPr>
        <w:tabs>
          <w:tab w:val="num" w:pos="360"/>
        </w:tabs>
        <w:ind w:left="360" w:hanging="360"/>
      </w:pPr>
      <w:rPr>
        <w:rFonts w:ascii="Symbol" w:hAnsi="Symbol" w:hint="default"/>
      </w:rPr>
    </w:lvl>
  </w:abstractNum>
  <w:num w:numId="1" w16cid:durableId="481624741">
    <w:abstractNumId w:val="1"/>
  </w:num>
  <w:num w:numId="2" w16cid:durableId="466244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75"/>
    <w:rsid w:val="0014667E"/>
    <w:rsid w:val="001855AD"/>
    <w:rsid w:val="005D23FA"/>
    <w:rsid w:val="00725B26"/>
    <w:rsid w:val="00BA67B4"/>
    <w:rsid w:val="00D879A3"/>
    <w:rsid w:val="00F911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9589"/>
  <w15:chartTrackingRefBased/>
  <w15:docId w15:val="{E55FF999-FE60-49E6-A643-2DD3A2253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1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1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1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1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175"/>
    <w:rPr>
      <w:rFonts w:eastAsiaTheme="majorEastAsia" w:cstheme="majorBidi"/>
      <w:color w:val="272727" w:themeColor="text1" w:themeTint="D8"/>
    </w:rPr>
  </w:style>
  <w:style w:type="paragraph" w:styleId="Title">
    <w:name w:val="Title"/>
    <w:basedOn w:val="Normal"/>
    <w:next w:val="Normal"/>
    <w:link w:val="TitleChar"/>
    <w:uiPriority w:val="10"/>
    <w:qFormat/>
    <w:rsid w:val="00F91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175"/>
    <w:pPr>
      <w:spacing w:before="160"/>
      <w:jc w:val="center"/>
    </w:pPr>
    <w:rPr>
      <w:i/>
      <w:iCs/>
      <w:color w:val="404040" w:themeColor="text1" w:themeTint="BF"/>
    </w:rPr>
  </w:style>
  <w:style w:type="character" w:customStyle="1" w:styleId="QuoteChar">
    <w:name w:val="Quote Char"/>
    <w:basedOn w:val="DefaultParagraphFont"/>
    <w:link w:val="Quote"/>
    <w:uiPriority w:val="29"/>
    <w:rsid w:val="00F91175"/>
    <w:rPr>
      <w:i/>
      <w:iCs/>
      <w:color w:val="404040" w:themeColor="text1" w:themeTint="BF"/>
    </w:rPr>
  </w:style>
  <w:style w:type="paragraph" w:styleId="ListParagraph">
    <w:name w:val="List Paragraph"/>
    <w:basedOn w:val="Normal"/>
    <w:uiPriority w:val="34"/>
    <w:qFormat/>
    <w:rsid w:val="00F91175"/>
    <w:pPr>
      <w:ind w:left="720"/>
      <w:contextualSpacing/>
    </w:pPr>
  </w:style>
  <w:style w:type="character" w:styleId="IntenseEmphasis">
    <w:name w:val="Intense Emphasis"/>
    <w:basedOn w:val="DefaultParagraphFont"/>
    <w:uiPriority w:val="21"/>
    <w:qFormat/>
    <w:rsid w:val="00F91175"/>
    <w:rPr>
      <w:i/>
      <w:iCs/>
      <w:color w:val="0F4761" w:themeColor="accent1" w:themeShade="BF"/>
    </w:rPr>
  </w:style>
  <w:style w:type="paragraph" w:styleId="IntenseQuote">
    <w:name w:val="Intense Quote"/>
    <w:basedOn w:val="Normal"/>
    <w:next w:val="Normal"/>
    <w:link w:val="IntenseQuoteChar"/>
    <w:uiPriority w:val="30"/>
    <w:qFormat/>
    <w:rsid w:val="00F91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175"/>
    <w:rPr>
      <w:i/>
      <w:iCs/>
      <w:color w:val="0F4761" w:themeColor="accent1" w:themeShade="BF"/>
    </w:rPr>
  </w:style>
  <w:style w:type="character" w:styleId="IntenseReference">
    <w:name w:val="Intense Reference"/>
    <w:basedOn w:val="DefaultParagraphFont"/>
    <w:uiPriority w:val="32"/>
    <w:qFormat/>
    <w:rsid w:val="00F91175"/>
    <w:rPr>
      <w:b/>
      <w:bCs/>
      <w:smallCaps/>
      <w:color w:val="0F4761" w:themeColor="accent1" w:themeShade="BF"/>
      <w:spacing w:val="5"/>
    </w:rPr>
  </w:style>
  <w:style w:type="paragraph" w:styleId="ListBullet">
    <w:name w:val="List Bullet"/>
    <w:basedOn w:val="Normal"/>
    <w:uiPriority w:val="99"/>
    <w:unhideWhenUsed/>
    <w:rsid w:val="00F91175"/>
    <w:pPr>
      <w:numPr>
        <w:numId w:val="1"/>
      </w:numPr>
      <w:contextualSpacing/>
    </w:pPr>
  </w:style>
  <w:style w:type="table" w:styleId="TableGrid">
    <w:name w:val="Table Grid"/>
    <w:basedOn w:val="TableNormal"/>
    <w:uiPriority w:val="39"/>
    <w:rsid w:val="00F91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F91175"/>
    <w:pPr>
      <w:numPr>
        <w:numId w:val="2"/>
      </w:numPr>
      <w:contextualSpacing/>
    </w:pPr>
  </w:style>
  <w:style w:type="paragraph" w:styleId="Header">
    <w:name w:val="header"/>
    <w:basedOn w:val="Normal"/>
    <w:link w:val="HeaderChar"/>
    <w:uiPriority w:val="99"/>
    <w:unhideWhenUsed/>
    <w:rsid w:val="001466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67E"/>
  </w:style>
  <w:style w:type="paragraph" w:styleId="Footer">
    <w:name w:val="footer"/>
    <w:basedOn w:val="Normal"/>
    <w:link w:val="FooterChar"/>
    <w:uiPriority w:val="99"/>
    <w:unhideWhenUsed/>
    <w:rsid w:val="001466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2303</Words>
  <Characters>13131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2026-05-29T18:04:00Z</dcterms:created>
  <dcterms:modified xsi:type="dcterms:W3CDTF">2026-05-29T18:25:00Z</dcterms:modified>
</cp:coreProperties>
</file>