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6CC3" w14:textId="658F3EC4" w:rsidR="00D879A3" w:rsidRDefault="00F41D22" w:rsidP="00F41D22">
      <w:pPr>
        <w:spacing w:before="200" w:after="120"/>
        <w:jc w:val="center"/>
        <w:rPr>
          <w:color w:val="000000"/>
          <w:sz w:val="22"/>
        </w:rPr>
      </w:pPr>
      <w:r>
        <w:rPr>
          <w:noProof/>
          <w:color w:val="000000"/>
          <w:sz w:val="22"/>
        </w:rPr>
        <w:drawing>
          <wp:inline distT="0" distB="0" distL="0" distR="0" wp14:anchorId="4367D705" wp14:editId="794FE426">
            <wp:extent cx="1645920" cy="687132"/>
            <wp:effectExtent l="0" t="0" r="0" b="0"/>
            <wp:docPr id="1170786574" name="Picture 1"/>
            <wp:cNvGraphicFramePr/>
            <a:graphic xmlns:a="http://schemas.openxmlformats.org/drawingml/2006/main">
              <a:graphicData uri="http://schemas.openxmlformats.org/drawingml/2006/picture">
                <pic:pic xmlns:pic="http://schemas.openxmlformats.org/drawingml/2006/picture">
                  <pic:nvPicPr>
                    <pic:cNvPr id="1170786574"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0FB63C71" w14:textId="5D3968C1" w:rsidR="00F41D22" w:rsidRDefault="00F41D22" w:rsidP="00F41D22">
      <w:pPr>
        <w:pStyle w:val="Heading1"/>
        <w:rPr>
          <w:b/>
          <w:color w:val="1A4F8A"/>
          <w:sz w:val="32"/>
        </w:rPr>
      </w:pPr>
      <w:r>
        <w:rPr>
          <w:b/>
          <w:color w:val="1A4F8A"/>
          <w:sz w:val="32"/>
        </w:rPr>
        <w:t>Lesson 6: Making Decisions -- Approvals, Revisions, and Denials</w:t>
      </w:r>
    </w:p>
    <w:p w14:paraId="5D11264A" w14:textId="15AF1481" w:rsidR="00F41D22" w:rsidRDefault="00F41D22" w:rsidP="00F41D22">
      <w:pPr>
        <w:spacing w:after="80"/>
        <w:rPr>
          <w:color w:val="666666"/>
          <w:sz w:val="20"/>
        </w:rPr>
      </w:pPr>
      <w:r>
        <w:rPr>
          <w:b/>
          <w:color w:val="666666"/>
          <w:sz w:val="20"/>
        </w:rPr>
        <w:t xml:space="preserve">Course: </w:t>
      </w:r>
      <w:r>
        <w:rPr>
          <w:color w:val="666666"/>
          <w:sz w:val="20"/>
        </w:rPr>
        <w:t>AMP for Government / Jurisdiction Reviewers</w:t>
      </w:r>
    </w:p>
    <w:p w14:paraId="6B277746" w14:textId="7D07711D" w:rsidR="00F41D22" w:rsidRDefault="00F41D22" w:rsidP="00F41D22">
      <w:pPr>
        <w:spacing w:after="80"/>
        <w:rPr>
          <w:color w:val="666666"/>
          <w:sz w:val="20"/>
        </w:rPr>
      </w:pPr>
      <w:r>
        <w:rPr>
          <w:b/>
          <w:color w:val="666666"/>
          <w:sz w:val="20"/>
        </w:rPr>
        <w:t xml:space="preserve">Prerequisite: </w:t>
      </w:r>
      <w:r>
        <w:rPr>
          <w:color w:val="666666"/>
          <w:sz w:val="20"/>
        </w:rPr>
        <w:t>AMP Fundamentals -- Course 1 (all 6 lessons)</w:t>
      </w:r>
    </w:p>
    <w:p w14:paraId="797D8FFE" w14:textId="54997AA8" w:rsidR="00F41D22" w:rsidRDefault="00F41D22" w:rsidP="00F41D22">
      <w:pPr>
        <w:spacing w:after="80"/>
        <w:rPr>
          <w:color w:val="666666"/>
          <w:sz w:val="20"/>
        </w:rPr>
      </w:pPr>
      <w:r>
        <w:rPr>
          <w:b/>
          <w:color w:val="666666"/>
          <w:sz w:val="20"/>
        </w:rPr>
        <w:t xml:space="preserve">Version: </w:t>
      </w:r>
      <w:r>
        <w:rPr>
          <w:color w:val="666666"/>
          <w:sz w:val="20"/>
        </w:rPr>
        <w:t>1.0 | 2026</w:t>
      </w:r>
    </w:p>
    <w:p w14:paraId="5D80DFAD" w14:textId="2A228EB9" w:rsidR="00F41D22" w:rsidRDefault="00F41D22" w:rsidP="00F41D22">
      <w:pPr>
        <w:spacing w:after="80"/>
        <w:rPr>
          <w:color w:val="666666"/>
          <w:sz w:val="20"/>
        </w:rPr>
      </w:pPr>
      <w:r>
        <w:rPr>
          <w:b/>
          <w:color w:val="666666"/>
          <w:sz w:val="20"/>
        </w:rPr>
        <w:t xml:space="preserve">Preceding Lesson: </w:t>
      </w:r>
      <w:r>
        <w:rPr>
          <w:color w:val="666666"/>
          <w:sz w:val="20"/>
        </w:rPr>
        <w:t>Lesson 5 -- The Shot Clock: Federal Deadline Management</w:t>
      </w:r>
    </w:p>
    <w:p w14:paraId="0556C869" w14:textId="27EEDE3D" w:rsidR="00F41D22" w:rsidRDefault="00F41D22" w:rsidP="00F41D22">
      <w:pPr>
        <w:spacing w:after="80"/>
        <w:rPr>
          <w:color w:val="666666"/>
          <w:sz w:val="20"/>
        </w:rPr>
      </w:pPr>
      <w:r>
        <w:rPr>
          <w:b/>
          <w:color w:val="666666"/>
          <w:sz w:val="20"/>
        </w:rPr>
        <w:t xml:space="preserve">Following Lesson: </w:t>
      </w:r>
      <w:r>
        <w:rPr>
          <w:color w:val="666666"/>
          <w:sz w:val="20"/>
        </w:rPr>
        <w:t>Lesson 7 -- Communication, Final Inspection, and Project Closure</w:t>
      </w:r>
    </w:p>
    <w:p w14:paraId="07621D07" w14:textId="5A0047AB" w:rsidR="00F41D22" w:rsidRDefault="00F41D22" w:rsidP="00F41D22">
      <w:pPr>
        <w:pStyle w:val="Heading2"/>
        <w:rPr>
          <w:b/>
          <w:color w:val="1A4F8A"/>
          <w:sz w:val="26"/>
        </w:rPr>
      </w:pPr>
      <w:r>
        <w:rPr>
          <w:b/>
          <w:color w:val="1A4F8A"/>
          <w:sz w:val="26"/>
        </w:rPr>
        <w:t>What You Should Understand After This Lesson</w:t>
      </w:r>
    </w:p>
    <w:p w14:paraId="08BE20C5" w14:textId="42BE6274" w:rsidR="00F41D22" w:rsidRPr="00F41D22" w:rsidRDefault="00F41D22" w:rsidP="00F41D22">
      <w:pPr>
        <w:pStyle w:val="ListBullet"/>
      </w:pPr>
      <w:r>
        <w:rPr>
          <w:color w:val="000000"/>
          <w:sz w:val="22"/>
        </w:rPr>
        <w:t>The three-option decision framework and when each applies</w:t>
      </w:r>
    </w:p>
    <w:p w14:paraId="06B644FF" w14:textId="19819CC4" w:rsidR="00F41D22" w:rsidRPr="00F41D22" w:rsidRDefault="00F41D22" w:rsidP="00F41D22">
      <w:pPr>
        <w:pStyle w:val="ListBullet"/>
      </w:pPr>
      <w:r>
        <w:rPr>
          <w:color w:val="000000"/>
          <w:sz w:val="22"/>
        </w:rPr>
        <w:t>What a valid approval looks like and what it commits your jurisdiction to</w:t>
      </w:r>
    </w:p>
    <w:p w14:paraId="5604A89C" w14:textId="0BC55685" w:rsidR="00F41D22" w:rsidRPr="00F41D22" w:rsidRDefault="00F41D22" w:rsidP="00F41D22">
      <w:pPr>
        <w:pStyle w:val="ListBullet"/>
      </w:pPr>
      <w:r>
        <w:rPr>
          <w:color w:val="000000"/>
          <w:sz w:val="22"/>
        </w:rPr>
        <w:t>How to write a revision request that is specific, actionable, and legally defensible</w:t>
      </w:r>
    </w:p>
    <w:p w14:paraId="67FDED89" w14:textId="138E864D" w:rsidR="00F41D22" w:rsidRPr="00F41D22" w:rsidRDefault="00F41D22" w:rsidP="00F41D22">
      <w:pPr>
        <w:pStyle w:val="ListBullet"/>
      </w:pPr>
      <w:r>
        <w:rPr>
          <w:color w:val="000000"/>
          <w:sz w:val="22"/>
        </w:rPr>
        <w:t>The legal grounds on which you CAN deny a wireless facility application</w:t>
      </w:r>
    </w:p>
    <w:p w14:paraId="1A84844E" w14:textId="68D46047" w:rsidR="00F41D22" w:rsidRPr="00F41D22" w:rsidRDefault="00F41D22" w:rsidP="00F41D22">
      <w:pPr>
        <w:pStyle w:val="ListBullet"/>
      </w:pPr>
      <w:r>
        <w:rPr>
          <w:color w:val="000000"/>
          <w:sz w:val="22"/>
        </w:rPr>
        <w:t>The grounds on which federal law PROHIBITS denial -- including RF emissions</w:t>
      </w:r>
    </w:p>
    <w:p w14:paraId="2AA6CCD5" w14:textId="5C0CD993" w:rsidR="00F41D22" w:rsidRPr="00F41D22" w:rsidRDefault="00F41D22" w:rsidP="00F41D22">
      <w:pPr>
        <w:pStyle w:val="ListBullet"/>
      </w:pPr>
      <w:r>
        <w:rPr>
          <w:color w:val="000000"/>
          <w:sz w:val="22"/>
        </w:rPr>
        <w:t>How your denial must be documented to survive legal challenge</w:t>
      </w:r>
    </w:p>
    <w:p w14:paraId="4EF188FF" w14:textId="23216D17" w:rsidR="00F41D22" w:rsidRPr="00F41D22" w:rsidRDefault="00F41D22" w:rsidP="00F41D22">
      <w:pPr>
        <w:pStyle w:val="ListBullet"/>
      </w:pPr>
      <w:r>
        <w:rPr>
          <w:color w:val="000000"/>
          <w:sz w:val="22"/>
        </w:rPr>
        <w:t>The role of the WTS Analyst recommendation in your decision</w:t>
      </w:r>
    </w:p>
    <w:p w14:paraId="6C455748" w14:textId="3B32472A" w:rsidR="00F41D22" w:rsidRPr="00F41D22" w:rsidRDefault="00F41D22" w:rsidP="00F41D22">
      <w:pPr>
        <w:pStyle w:val="ListBullet"/>
      </w:pPr>
      <w:r>
        <w:rPr>
          <w:color w:val="000000"/>
          <w:sz w:val="22"/>
        </w:rPr>
        <w:t>How decisions at different stages of a project connect to the overall review workflow</w:t>
      </w:r>
    </w:p>
    <w:p w14:paraId="58065C2B" w14:textId="070AD4B0" w:rsidR="00F41D22" w:rsidRDefault="00F41D22" w:rsidP="00F41D22">
      <w:pPr>
        <w:pStyle w:val="Heading2"/>
        <w:rPr>
          <w:b/>
          <w:color w:val="1A4F8A"/>
          <w:sz w:val="26"/>
        </w:rPr>
      </w:pPr>
      <w:r>
        <w:rPr>
          <w:b/>
          <w:color w:val="1A4F8A"/>
          <w:sz w:val="26"/>
        </w:rPr>
        <w:t>Overview</w:t>
      </w:r>
    </w:p>
    <w:p w14:paraId="750007E1" w14:textId="35062280" w:rsidR="00F41D22" w:rsidRDefault="00F41D22" w:rsidP="00F41D22">
      <w:pPr>
        <w:spacing w:after="120"/>
        <w:rPr>
          <w:color w:val="000000"/>
          <w:sz w:val="22"/>
        </w:rPr>
      </w:pPr>
      <w:r>
        <w:rPr>
          <w:color w:val="000000"/>
          <w:sz w:val="22"/>
        </w:rPr>
        <w:t xml:space="preserve">Every component review and every project stage in AMP leads to one of three decisions: </w:t>
      </w:r>
      <w:r>
        <w:rPr>
          <w:b/>
          <w:color w:val="000000"/>
          <w:sz w:val="22"/>
        </w:rPr>
        <w:t>approve, request revision, or deny.</w:t>
      </w:r>
      <w:r>
        <w:rPr>
          <w:color w:val="000000"/>
          <w:sz w:val="22"/>
        </w:rPr>
        <w:t xml:space="preserve"> There is no fourth option. You cannot leave a project in perpetual limbo, defer the decision to an undefined future date, or issue a vague conditional response. The Shot Clock does not allow it, and federal law does not permit it.</w:t>
      </w:r>
    </w:p>
    <w:p w14:paraId="3DE8CB81" w14:textId="2BF0FCF3" w:rsidR="00F41D22" w:rsidRDefault="00F41D22" w:rsidP="00F41D22">
      <w:pPr>
        <w:spacing w:after="120"/>
        <w:rPr>
          <w:color w:val="000000"/>
          <w:sz w:val="22"/>
        </w:rPr>
      </w:pPr>
      <w:r>
        <w:rPr>
          <w:color w:val="000000"/>
          <w:sz w:val="22"/>
        </w:rPr>
        <w:t>This lesson teaches you how to make each type of decision correctly -- what to look for before approving, how to write a revision request that will withstand challenge, and what federal law requires (and prohibits) when it comes to denial. It also addresses the single most misunderstood area of wireless facility review: the prohibition on RF-based denials.</w:t>
      </w:r>
    </w:p>
    <w:p w14:paraId="3AC6BB45" w14:textId="07A0C766" w:rsidR="00F41D22" w:rsidRDefault="00F41D22" w:rsidP="00F41D22">
      <w:pPr>
        <w:spacing w:after="120"/>
        <w:ind w:left="432" w:right="432"/>
        <w:rPr>
          <w:i/>
          <w:color w:val="00AEEF"/>
          <w:sz w:val="22"/>
        </w:rPr>
      </w:pPr>
      <w:r>
        <w:rPr>
          <w:b/>
          <w:i/>
          <w:color w:val="00AEEF"/>
          <w:sz w:val="22"/>
        </w:rPr>
        <w:t>Key Point:</w:t>
      </w:r>
      <w:r>
        <w:rPr>
          <w:i/>
          <w:color w:val="00AEEF"/>
          <w:sz w:val="22"/>
        </w:rPr>
        <w:t xml:space="preserve"> Every decision you make in AMP is a formal Jurisdiction action. Approvals commit your jurisdiction to having reviewed the application and found it acceptable. Denials commit your jurisdiction to documented grounds that can be reviewed by a federal court. There is no "soft" decision in AMP. Act deliberately, document completely.</w:t>
      </w:r>
    </w:p>
    <w:p w14:paraId="43B2EB66" w14:textId="41FD83EB" w:rsidR="00F41D22" w:rsidRDefault="00F41D22" w:rsidP="00F41D22">
      <w:pPr>
        <w:pStyle w:val="Heading2"/>
        <w:rPr>
          <w:b/>
          <w:color w:val="1A4F8A"/>
          <w:sz w:val="26"/>
        </w:rPr>
      </w:pPr>
      <w:r>
        <w:rPr>
          <w:b/>
          <w:color w:val="1A4F8A"/>
          <w:sz w:val="26"/>
        </w:rPr>
        <w:lastRenderedPageBreak/>
        <w:t>The Three-Option Decision Framework</w:t>
      </w:r>
    </w:p>
    <w:p w14:paraId="530DC5B9" w14:textId="5267228C" w:rsidR="00F41D22" w:rsidRDefault="00F41D22" w:rsidP="00F41D22">
      <w:pPr>
        <w:pStyle w:val="Heading3"/>
        <w:rPr>
          <w:b/>
          <w:color w:val="00AEEF"/>
          <w:sz w:val="22"/>
        </w:rPr>
      </w:pPr>
      <w:r>
        <w:rPr>
          <w:b/>
          <w:color w:val="00AEEF"/>
          <w:sz w:val="22"/>
        </w:rPr>
        <w:t>Option 1: Approve</w:t>
      </w:r>
    </w:p>
    <w:p w14:paraId="31E0707C" w14:textId="08F8BD1E" w:rsidR="00F41D22" w:rsidRDefault="00F41D22" w:rsidP="00F41D22">
      <w:pPr>
        <w:spacing w:after="80"/>
        <w:rPr>
          <w:color w:val="666666"/>
          <w:sz w:val="20"/>
        </w:rPr>
      </w:pPr>
      <w:r>
        <w:rPr>
          <w:b/>
          <w:color w:val="666666"/>
          <w:sz w:val="20"/>
        </w:rPr>
        <w:t xml:space="preserve">When to approve: </w:t>
      </w:r>
      <w:r>
        <w:rPr>
          <w:color w:val="666666"/>
          <w:sz w:val="20"/>
        </w:rPr>
        <w:t>The application is complete, the documentation meets your ordinance requirements and applicable federal standards, the certifications are valid, and the proposed work does not violate any applicable law or ordinance.</w:t>
      </w:r>
    </w:p>
    <w:p w14:paraId="31CC4A54" w14:textId="054C53EF" w:rsidR="00F41D22" w:rsidRDefault="00F41D22" w:rsidP="00F41D22">
      <w:pPr>
        <w:spacing w:after="80"/>
        <w:rPr>
          <w:b/>
          <w:color w:val="666666"/>
          <w:sz w:val="20"/>
        </w:rPr>
      </w:pPr>
      <w:r>
        <w:rPr>
          <w:b/>
          <w:color w:val="666666"/>
          <w:sz w:val="20"/>
        </w:rPr>
        <w:t xml:space="preserve">What approval means: </w:t>
      </w:r>
    </w:p>
    <w:p w14:paraId="1C3A1508" w14:textId="7B4583A2" w:rsidR="00F41D22" w:rsidRPr="00F41D22" w:rsidRDefault="00F41D22" w:rsidP="00F41D22">
      <w:pPr>
        <w:pStyle w:val="ListBullet"/>
      </w:pPr>
      <w:r>
        <w:rPr>
          <w:color w:val="000000"/>
          <w:sz w:val="22"/>
        </w:rPr>
        <w:t>You have reviewed the application and found it acceptable at this stage</w:t>
      </w:r>
    </w:p>
    <w:p w14:paraId="56BC8449" w14:textId="192BC661" w:rsidR="00F41D22" w:rsidRPr="00F41D22" w:rsidRDefault="00F41D22" w:rsidP="00F41D22">
      <w:pPr>
        <w:pStyle w:val="ListBullet"/>
      </w:pPr>
      <w:r>
        <w:rPr>
          <w:color w:val="000000"/>
          <w:sz w:val="22"/>
        </w:rPr>
        <w:t>The Agent may proceed to the next stage (or, at final stage, proceed with construction)</w:t>
      </w:r>
    </w:p>
    <w:p w14:paraId="4EC93169" w14:textId="17795919" w:rsidR="00F41D22" w:rsidRPr="00F41D22" w:rsidRDefault="00F41D22" w:rsidP="00F41D22">
      <w:pPr>
        <w:pStyle w:val="ListBullet"/>
      </w:pPr>
      <w:r>
        <w:rPr>
          <w:color w:val="000000"/>
          <w:sz w:val="22"/>
        </w:rPr>
        <w:t>Your approval is logged in the Official Record with your identity and timestamp</w:t>
      </w:r>
    </w:p>
    <w:p w14:paraId="4BECB72A" w14:textId="533BAFC2" w:rsidR="00F41D22" w:rsidRDefault="00F41D22" w:rsidP="00F41D22">
      <w:pPr>
        <w:spacing w:after="80"/>
        <w:rPr>
          <w:b/>
          <w:color w:val="666666"/>
          <w:sz w:val="20"/>
        </w:rPr>
      </w:pPr>
      <w:r>
        <w:rPr>
          <w:b/>
          <w:color w:val="666666"/>
          <w:sz w:val="20"/>
        </w:rPr>
        <w:t xml:space="preserve">What approval does NOT mean: </w:t>
      </w:r>
    </w:p>
    <w:p w14:paraId="2BFB28A7" w14:textId="5D535E77" w:rsidR="00F41D22" w:rsidRPr="00F41D22" w:rsidRDefault="00F41D22" w:rsidP="00F41D22">
      <w:pPr>
        <w:pStyle w:val="ListBullet"/>
      </w:pPr>
      <w:r>
        <w:rPr>
          <w:color w:val="000000"/>
          <w:sz w:val="22"/>
        </w:rPr>
        <w:t>You are endorsing the engineering design independently</w:t>
      </w:r>
    </w:p>
    <w:p w14:paraId="7A9C2798" w14:textId="53A7DAF8" w:rsidR="00F41D22" w:rsidRPr="00F41D22" w:rsidRDefault="00F41D22" w:rsidP="00F41D22">
      <w:pPr>
        <w:pStyle w:val="ListBullet"/>
      </w:pPr>
      <w:r>
        <w:rPr>
          <w:color w:val="000000"/>
          <w:sz w:val="22"/>
        </w:rPr>
        <w:t>You are waiving any requirements that were not specifically addressed in the review</w:t>
      </w:r>
    </w:p>
    <w:p w14:paraId="292DE7A3" w14:textId="611C1C06" w:rsidR="00F41D22" w:rsidRPr="00F41D22" w:rsidRDefault="00F41D22" w:rsidP="00F41D22">
      <w:pPr>
        <w:pStyle w:val="ListBullet"/>
      </w:pPr>
      <w:r>
        <w:rPr>
          <w:color w:val="000000"/>
          <w:sz w:val="22"/>
        </w:rPr>
        <w:t>You are approving anything beyond what was submitted at this stage</w:t>
      </w:r>
    </w:p>
    <w:p w14:paraId="5F809402" w14:textId="3C8577A5" w:rsidR="00F41D22" w:rsidRDefault="00F41D22" w:rsidP="00F41D22">
      <w:pPr>
        <w:spacing w:after="120"/>
        <w:rPr>
          <w:color w:val="000000"/>
          <w:sz w:val="22"/>
        </w:rPr>
      </w:pPr>
      <w:r>
        <w:rPr>
          <w:color w:val="000000"/>
          <w:sz w:val="22"/>
        </w:rPr>
        <w:t>Approve when the application is complete and compliant. Do not withhold approval because you have an instinct something might be wrong but cannot document what that is. Document what you find. If you cannot find a specific, articulable deficiency, approval is the correct outcome.</w:t>
      </w:r>
    </w:p>
    <w:p w14:paraId="5FB09E33" w14:textId="15B2032A" w:rsidR="00F41D22" w:rsidRDefault="00F41D22" w:rsidP="00F41D22">
      <w:pPr>
        <w:pStyle w:val="Heading3"/>
        <w:rPr>
          <w:b/>
          <w:color w:val="00AEEF"/>
          <w:sz w:val="22"/>
        </w:rPr>
      </w:pPr>
      <w:r>
        <w:rPr>
          <w:b/>
          <w:color w:val="00AEEF"/>
          <w:sz w:val="22"/>
        </w:rPr>
        <w:t>Option 2: Request Revision</w:t>
      </w:r>
    </w:p>
    <w:p w14:paraId="774841BD" w14:textId="186B562D" w:rsidR="00F41D22" w:rsidRDefault="00F41D22" w:rsidP="00F41D22">
      <w:pPr>
        <w:spacing w:after="80"/>
        <w:rPr>
          <w:color w:val="666666"/>
          <w:sz w:val="20"/>
        </w:rPr>
      </w:pPr>
      <w:r>
        <w:rPr>
          <w:b/>
          <w:color w:val="666666"/>
          <w:sz w:val="20"/>
        </w:rPr>
        <w:t xml:space="preserve">When to request revision: </w:t>
      </w:r>
      <w:r>
        <w:rPr>
          <w:color w:val="666666"/>
          <w:sz w:val="20"/>
        </w:rPr>
        <w:t>A specific, documented deficiency exists that the Agent can correct and resubmit to cure.</w:t>
      </w:r>
    </w:p>
    <w:p w14:paraId="692B9ECC" w14:textId="4977DAB7" w:rsidR="00F41D22" w:rsidRDefault="00F41D22" w:rsidP="00F41D22">
      <w:pPr>
        <w:spacing w:after="120"/>
        <w:rPr>
          <w:color w:val="000000"/>
          <w:sz w:val="22"/>
        </w:rPr>
      </w:pPr>
      <w:r>
        <w:rPr>
          <w:color w:val="000000"/>
          <w:sz w:val="22"/>
        </w:rPr>
        <w:t>Revision is the appropriate response to deficiencies that are:</w:t>
      </w:r>
    </w:p>
    <w:p w14:paraId="446430E0" w14:textId="52B3D512" w:rsidR="00F41D22" w:rsidRPr="00F41D22" w:rsidRDefault="00F41D22" w:rsidP="00F41D22">
      <w:pPr>
        <w:pStyle w:val="ListBullet"/>
      </w:pPr>
      <w:r>
        <w:rPr>
          <w:color w:val="000000"/>
          <w:sz w:val="22"/>
        </w:rPr>
        <w:t>Correctable (the issue can be fixed without starting over)</w:t>
      </w:r>
    </w:p>
    <w:p w14:paraId="5C5E5B06" w14:textId="2AD6CB0D" w:rsidR="00F41D22" w:rsidRPr="00F41D22" w:rsidRDefault="00F41D22" w:rsidP="00F41D22">
      <w:pPr>
        <w:pStyle w:val="ListBullet"/>
      </w:pPr>
      <w:r>
        <w:rPr>
          <w:color w:val="000000"/>
          <w:sz w:val="22"/>
        </w:rPr>
        <w:t>Specific (you can identify exactly what is wrong)</w:t>
      </w:r>
    </w:p>
    <w:p w14:paraId="487ADC98" w14:textId="2C6D93F4" w:rsidR="00F41D22" w:rsidRPr="00F41D22" w:rsidRDefault="00F41D22" w:rsidP="00F41D22">
      <w:pPr>
        <w:pStyle w:val="ListBullet"/>
      </w:pPr>
      <w:r>
        <w:rPr>
          <w:color w:val="000000"/>
          <w:sz w:val="22"/>
        </w:rPr>
        <w:t>Documented (you can state the requirement that is not being met)</w:t>
      </w:r>
    </w:p>
    <w:p w14:paraId="437B6E98" w14:textId="714E878C" w:rsidR="00F41D22" w:rsidRDefault="00F41D22" w:rsidP="00F41D22">
      <w:pPr>
        <w:spacing w:after="80"/>
        <w:rPr>
          <w:b/>
          <w:color w:val="666666"/>
          <w:sz w:val="20"/>
        </w:rPr>
      </w:pPr>
      <w:r>
        <w:rPr>
          <w:b/>
          <w:color w:val="666666"/>
          <w:sz w:val="20"/>
        </w:rPr>
        <w:t xml:space="preserve">Revision is NOT appropriate when: </w:t>
      </w:r>
    </w:p>
    <w:p w14:paraId="29C313BB" w14:textId="3BD8C92C" w:rsidR="00F41D22" w:rsidRPr="00F41D22" w:rsidRDefault="00F41D22" w:rsidP="00F41D22">
      <w:pPr>
        <w:pStyle w:val="ListBullet"/>
      </w:pPr>
      <w:r>
        <w:rPr>
          <w:color w:val="000000"/>
          <w:sz w:val="22"/>
        </w:rPr>
        <w:t>The application fails for a reason that cannot be cured by modification (in that case, denial may be warranted)</w:t>
      </w:r>
    </w:p>
    <w:p w14:paraId="525008D6" w14:textId="636FD3F4" w:rsidR="00F41D22" w:rsidRPr="00F41D22" w:rsidRDefault="00F41D22" w:rsidP="00F41D22">
      <w:pPr>
        <w:pStyle w:val="ListBullet"/>
      </w:pPr>
      <w:r>
        <w:rPr>
          <w:color w:val="000000"/>
          <w:sz w:val="22"/>
        </w:rPr>
        <w:t>You cannot identify a specific deficiency but simply want to wait (do not issue placeholder revision requests)</w:t>
      </w:r>
    </w:p>
    <w:p w14:paraId="6461BF50" w14:textId="14F55687" w:rsidR="00F41D22" w:rsidRPr="00F41D22" w:rsidRDefault="00F41D22" w:rsidP="00F41D22">
      <w:pPr>
        <w:pStyle w:val="ListBullet"/>
      </w:pPr>
      <w:r>
        <w:rPr>
          <w:color w:val="000000"/>
          <w:sz w:val="22"/>
        </w:rPr>
        <w:t>The deficiency is truly de minimis and does not affect the substance of the review</w:t>
      </w:r>
    </w:p>
    <w:p w14:paraId="1989907B" w14:textId="4D788291" w:rsidR="00F41D22" w:rsidRDefault="00F41D22" w:rsidP="00F41D22">
      <w:pPr>
        <w:pStyle w:val="Heading3"/>
        <w:rPr>
          <w:b/>
          <w:color w:val="00AEEF"/>
          <w:sz w:val="22"/>
        </w:rPr>
      </w:pPr>
      <w:r>
        <w:rPr>
          <w:b/>
          <w:color w:val="00AEEF"/>
          <w:sz w:val="22"/>
        </w:rPr>
        <w:t>Option 3: Deny</w:t>
      </w:r>
    </w:p>
    <w:p w14:paraId="65820A1E" w14:textId="32D03EFB" w:rsidR="00F41D22" w:rsidRDefault="00F41D22" w:rsidP="00F41D22">
      <w:pPr>
        <w:spacing w:after="80"/>
        <w:rPr>
          <w:color w:val="666666"/>
          <w:sz w:val="20"/>
        </w:rPr>
      </w:pPr>
      <w:r>
        <w:rPr>
          <w:b/>
          <w:color w:val="666666"/>
          <w:sz w:val="20"/>
        </w:rPr>
        <w:t xml:space="preserve">When to deny: </w:t>
      </w:r>
      <w:r>
        <w:rPr>
          <w:color w:val="666666"/>
          <w:sz w:val="20"/>
        </w:rPr>
        <w:t>The application fails to meet a substantive requirement that cannot be cured by revision, OR the project violates a legitimate ordinance requirement that is consistent with federal law.</w:t>
      </w:r>
    </w:p>
    <w:p w14:paraId="5F64E013" w14:textId="3BF51FEE" w:rsidR="00F41D22" w:rsidRDefault="00F41D22" w:rsidP="00F41D22">
      <w:pPr>
        <w:spacing w:after="120"/>
        <w:rPr>
          <w:color w:val="000000"/>
          <w:sz w:val="22"/>
        </w:rPr>
      </w:pPr>
      <w:r>
        <w:rPr>
          <w:color w:val="000000"/>
          <w:sz w:val="22"/>
        </w:rPr>
        <w:t>Denial is the most consequential decision in the review process. It must be grounded, documented, and defensible. A denial that cannot be supported by the Official Record is a denial that will not survive challenge.</w:t>
      </w:r>
    </w:p>
    <w:p w14:paraId="5A4156CF" w14:textId="43471EC2" w:rsidR="00F41D22" w:rsidRDefault="00F41D22" w:rsidP="00F41D22">
      <w:pPr>
        <w:spacing w:after="120"/>
        <w:rPr>
          <w:color w:val="000000"/>
          <w:sz w:val="22"/>
        </w:rPr>
      </w:pPr>
      <w:r>
        <w:rPr>
          <w:color w:val="000000"/>
          <w:sz w:val="22"/>
        </w:rPr>
        <w:lastRenderedPageBreak/>
        <w:t>Denial is NOT appropriate as a reflexive response to community opposition, aesthetic concerns, or general discomfort with wireless infrastructure. Federal law limits the grounds on which local governments can deny applications. Using a prohibited ground -- even with good intentions -- exposes your jurisdiction to liability.</w:t>
      </w:r>
    </w:p>
    <w:p w14:paraId="68F657FC" w14:textId="30E7DA56" w:rsidR="00F41D22" w:rsidRDefault="00F41D22" w:rsidP="00F41D22">
      <w:pPr>
        <w:spacing w:before="80" w:after="80"/>
        <w:jc w:val="center"/>
        <w:rPr>
          <w:i/>
          <w:color w:val="666666"/>
          <w:sz w:val="20"/>
        </w:rPr>
      </w:pPr>
      <w:r>
        <w:rPr>
          <w:b/>
          <w:i/>
          <w:color w:val="666666"/>
          <w:sz w:val="20"/>
        </w:rPr>
        <w:t>Visual:</w:t>
      </w:r>
      <w:r>
        <w:rPr>
          <w:i/>
          <w:color w:val="666666"/>
          <w:sz w:val="20"/>
        </w:rPr>
        <w:t xml:space="preserve"> [INSERT IMAGE: AMP decision interface showing the three action options -- Approve, Request Revision, Deny -- for a component review stage]</w:t>
      </w:r>
    </w:p>
    <w:p w14:paraId="7B0F85D8" w14:textId="1D8EAAA7" w:rsidR="00F41D22" w:rsidRDefault="00F41D22" w:rsidP="00F41D22">
      <w:pPr>
        <w:spacing w:after="120"/>
        <w:jc w:val="center"/>
        <w:rPr>
          <w:i/>
          <w:color w:val="666666"/>
          <w:sz w:val="18"/>
        </w:rPr>
      </w:pPr>
      <w:r>
        <w:rPr>
          <w:i/>
          <w:color w:val="666666"/>
          <w:sz w:val="18"/>
        </w:rPr>
        <w:t>Caption: Every stage of AMP review resolves to one of three outcomes. There is no indefinite hold.</w:t>
      </w:r>
    </w:p>
    <w:p w14:paraId="7374C03E" w14:textId="61000C5F" w:rsidR="00F41D22" w:rsidRDefault="00F41D22" w:rsidP="00F41D22">
      <w:pPr>
        <w:pStyle w:val="Heading2"/>
        <w:rPr>
          <w:b/>
          <w:color w:val="1A4F8A"/>
          <w:sz w:val="26"/>
        </w:rPr>
      </w:pPr>
      <w:r>
        <w:rPr>
          <w:b/>
          <w:color w:val="1A4F8A"/>
          <w:sz w:val="26"/>
        </w:rPr>
        <w:t>Approvals: Doing It Right</w:t>
      </w:r>
    </w:p>
    <w:p w14:paraId="239E4461" w14:textId="09B20F97" w:rsidR="00F41D22" w:rsidRDefault="00F41D22" w:rsidP="00F41D22">
      <w:pPr>
        <w:spacing w:after="120"/>
        <w:rPr>
          <w:color w:val="000000"/>
          <w:sz w:val="22"/>
        </w:rPr>
      </w:pPr>
      <w:r>
        <w:rPr>
          <w:color w:val="000000"/>
          <w:sz w:val="22"/>
        </w:rPr>
        <w:t>Approvals seem straightforward, but they require the same deliberate documentation as any other decision.</w:t>
      </w:r>
    </w:p>
    <w:p w14:paraId="761D1282" w14:textId="545BFAB7" w:rsidR="00F41D22" w:rsidRDefault="00F41D22" w:rsidP="00F41D22">
      <w:pPr>
        <w:pStyle w:val="Heading3"/>
        <w:rPr>
          <w:b/>
          <w:color w:val="00AEEF"/>
          <w:sz w:val="22"/>
        </w:rPr>
      </w:pPr>
      <w:r>
        <w:rPr>
          <w:b/>
          <w:color w:val="00AEEF"/>
          <w:sz w:val="22"/>
        </w:rPr>
        <w:t>Before Approving, Confirm:</w:t>
      </w:r>
    </w:p>
    <w:p w14:paraId="1BD3DFE1" w14:textId="2A4079C1" w:rsidR="00F41D22" w:rsidRPr="00F41D22" w:rsidRDefault="00F41D22" w:rsidP="00F41D22">
      <w:pPr>
        <w:pStyle w:val="ListBullet"/>
      </w:pPr>
      <w:r>
        <w:rPr>
          <w:color w:val="000000"/>
          <w:sz w:val="22"/>
        </w:rPr>
        <w:t>You have reviewed all submitted documentation -- not just scanned the file list</w:t>
      </w:r>
    </w:p>
    <w:p w14:paraId="382E6438" w14:textId="66C799E6" w:rsidR="00F41D22" w:rsidRPr="00F41D22" w:rsidRDefault="00F41D22" w:rsidP="00F41D22">
      <w:pPr>
        <w:pStyle w:val="ListBullet"/>
      </w:pPr>
      <w:r>
        <w:rPr>
          <w:color w:val="000000"/>
          <w:sz w:val="22"/>
        </w:rPr>
        <w:t>The certifications are valid (PE licensed in the correct state, signatures and stamps present)</w:t>
      </w:r>
    </w:p>
    <w:p w14:paraId="39D8A184" w14:textId="46B91367" w:rsidR="00F41D22" w:rsidRPr="00F41D22" w:rsidRDefault="00F41D22" w:rsidP="00F41D22">
      <w:pPr>
        <w:pStyle w:val="ListBullet"/>
      </w:pPr>
      <w:r>
        <w:rPr>
          <w:color w:val="000000"/>
          <w:sz w:val="22"/>
        </w:rPr>
        <w:t>The documentation is internally consistent (NCM loading matches PIF site data, TWF matches NCM structure data)</w:t>
      </w:r>
    </w:p>
    <w:p w14:paraId="7F8FB9E0" w14:textId="47DACEBF" w:rsidR="00F41D22" w:rsidRPr="00F41D22" w:rsidRDefault="00F41D22" w:rsidP="00F41D22">
      <w:pPr>
        <w:pStyle w:val="ListBullet"/>
      </w:pPr>
      <w:r>
        <w:rPr>
          <w:color w:val="000000"/>
          <w:sz w:val="22"/>
        </w:rPr>
        <w:t>The project type is confirmed correct (PIF stage should have caught this, but verify)</w:t>
      </w:r>
    </w:p>
    <w:p w14:paraId="459CD129" w14:textId="2C10E298" w:rsidR="00F41D22" w:rsidRPr="00F41D22" w:rsidRDefault="00F41D22" w:rsidP="00F41D22">
      <w:pPr>
        <w:pStyle w:val="ListBullet"/>
      </w:pPr>
      <w:r>
        <w:rPr>
          <w:color w:val="000000"/>
          <w:sz w:val="22"/>
        </w:rPr>
        <w:t>The Shot Clock is being tracked and your approval will not trigger a missed step</w:t>
      </w:r>
    </w:p>
    <w:p w14:paraId="6CDCF8D2" w14:textId="74427D88" w:rsidR="00F41D22" w:rsidRDefault="00F41D22" w:rsidP="00F41D22">
      <w:pPr>
        <w:pStyle w:val="Heading3"/>
        <w:rPr>
          <w:b/>
          <w:color w:val="00AEEF"/>
          <w:sz w:val="22"/>
        </w:rPr>
      </w:pPr>
      <w:r>
        <w:rPr>
          <w:b/>
          <w:color w:val="00AEEF"/>
          <w:sz w:val="22"/>
        </w:rPr>
        <w:t>Document What You Reviewed</w:t>
      </w:r>
    </w:p>
    <w:p w14:paraId="0B361F49" w14:textId="59792981" w:rsidR="00F41D22" w:rsidRDefault="00F41D22" w:rsidP="00F41D22">
      <w:pPr>
        <w:spacing w:after="120"/>
        <w:rPr>
          <w:color w:val="000000"/>
          <w:sz w:val="22"/>
        </w:rPr>
      </w:pPr>
      <w:r>
        <w:rPr>
          <w:color w:val="000000"/>
          <w:sz w:val="22"/>
        </w:rPr>
        <w:t>When you click approve in AMP, that click is logged. But the record is stronger if you have also entered reviewer notes identifying what you reviewed and confirmed. This is not required for every routine approval -- but for complex projects, projects where issues were identified and resolved, or projects where Analyst recommendations were considered, notes in the review record add significant defensibility.</w:t>
      </w:r>
    </w:p>
    <w:p w14:paraId="091AFAA8" w14:textId="6B0EC769" w:rsidR="00F41D22" w:rsidRDefault="00F41D22" w:rsidP="00F41D22">
      <w:pPr>
        <w:pStyle w:val="Heading2"/>
        <w:rPr>
          <w:b/>
          <w:color w:val="1A4F8A"/>
          <w:sz w:val="26"/>
        </w:rPr>
      </w:pPr>
      <w:r>
        <w:rPr>
          <w:b/>
          <w:color w:val="1A4F8A"/>
          <w:sz w:val="26"/>
        </w:rPr>
        <w:t>Revision Requests: Writing Them Correctly</w:t>
      </w:r>
    </w:p>
    <w:p w14:paraId="25E41684" w14:textId="3A409095" w:rsidR="00F41D22" w:rsidRDefault="00F41D22" w:rsidP="00F41D22">
      <w:pPr>
        <w:spacing w:after="120"/>
        <w:rPr>
          <w:color w:val="000000"/>
          <w:sz w:val="22"/>
        </w:rPr>
      </w:pPr>
      <w:r>
        <w:rPr>
          <w:color w:val="000000"/>
          <w:sz w:val="22"/>
        </w:rPr>
        <w:t>A revision request that does not specify the deficiency is not just unhelpful -- it may not constitute a valid completeness determination, which means it may not legitimately stop the Shot Clock.</w:t>
      </w:r>
    </w:p>
    <w:p w14:paraId="0629EA76" w14:textId="11145968" w:rsidR="00F41D22" w:rsidRDefault="00F41D22" w:rsidP="00F41D22">
      <w:pPr>
        <w:pStyle w:val="Heading3"/>
        <w:rPr>
          <w:b/>
          <w:color w:val="00AEEF"/>
          <w:sz w:val="22"/>
        </w:rPr>
      </w:pPr>
      <w:r>
        <w:rPr>
          <w:b/>
          <w:color w:val="00AEEF"/>
          <w:sz w:val="22"/>
        </w:rPr>
        <w:t>The Specificity Standard</w:t>
      </w:r>
    </w:p>
    <w:p w14:paraId="7E6BE9ED" w14:textId="0CFA33B8" w:rsidR="00F41D22" w:rsidRDefault="00F41D22" w:rsidP="00F41D22">
      <w:pPr>
        <w:spacing w:after="120"/>
        <w:rPr>
          <w:color w:val="000000"/>
          <w:sz w:val="22"/>
        </w:rPr>
      </w:pPr>
      <w:r>
        <w:rPr>
          <w:color w:val="000000"/>
          <w:sz w:val="22"/>
        </w:rPr>
        <w:t>Every valid revision request must answer three questions:</w:t>
      </w:r>
    </w:p>
    <w:p w14:paraId="687111DF" w14:textId="4A2902F6" w:rsidR="00F41D22" w:rsidRDefault="00F41D22" w:rsidP="00F41D22">
      <w:pPr>
        <w:pStyle w:val="ListNumber"/>
        <w:numPr>
          <w:ilvl w:val="0"/>
          <w:numId w:val="0"/>
        </w:numPr>
        <w:rPr>
          <w:color w:val="000000"/>
          <w:sz w:val="22"/>
        </w:rPr>
      </w:pPr>
      <w:r>
        <w:rPr>
          <w:b/>
          <w:color w:val="000000"/>
          <w:sz w:val="22"/>
        </w:rPr>
        <w:t>What is wrong?</w:t>
      </w:r>
      <w:r>
        <w:rPr>
          <w:color w:val="000000"/>
          <w:sz w:val="22"/>
        </w:rPr>
        <w:t xml:space="preserve"> Name the specific deficiency. "The structural analysis does not include a current loading calculation." Not: "The documentation needs to be updated."</w:t>
      </w:r>
    </w:p>
    <w:p w14:paraId="5A8240DE" w14:textId="0AE1D8A2" w:rsidR="00F41D22" w:rsidRDefault="00F41D22" w:rsidP="00F41D22">
      <w:pPr>
        <w:pStyle w:val="ListNumber"/>
        <w:numPr>
          <w:ilvl w:val="0"/>
          <w:numId w:val="0"/>
        </w:numPr>
        <w:rPr>
          <w:color w:val="000000"/>
          <w:sz w:val="22"/>
        </w:rPr>
      </w:pPr>
      <w:r>
        <w:rPr>
          <w:b/>
          <w:color w:val="000000"/>
          <w:sz w:val="22"/>
        </w:rPr>
        <w:t>What is required?</w:t>
      </w:r>
      <w:r>
        <w:rPr>
          <w:color w:val="000000"/>
          <w:sz w:val="22"/>
        </w:rPr>
        <w:t xml:space="preserve"> Identify the requirement being violated. "Your ordinance Section 8.4.2 requires a current-loading-plus-proposed-loading analysis." Or: "Federal regulations require that a PE certification be signed by an engineer licensed in the state where the structure is located."</w:t>
      </w:r>
    </w:p>
    <w:p w14:paraId="646ED230" w14:textId="3C717147" w:rsidR="00F41D22" w:rsidRDefault="00F41D22" w:rsidP="00F41D22">
      <w:pPr>
        <w:pStyle w:val="ListNumber"/>
        <w:numPr>
          <w:ilvl w:val="0"/>
          <w:numId w:val="0"/>
        </w:numPr>
        <w:rPr>
          <w:color w:val="000000"/>
          <w:sz w:val="22"/>
        </w:rPr>
      </w:pPr>
      <w:r>
        <w:rPr>
          <w:b/>
          <w:color w:val="000000"/>
          <w:sz w:val="22"/>
        </w:rPr>
        <w:t>What must the Agent do?</w:t>
      </w:r>
      <w:r>
        <w:rPr>
          <w:color w:val="000000"/>
          <w:sz w:val="22"/>
        </w:rPr>
        <w:t xml:space="preserve"> State the correction clearly. "Please resubmit the NCM with a structural analysis that includes: (1) current loading for the existing configuration, (2) proposed loading for the </w:t>
      </w:r>
      <w:r>
        <w:rPr>
          <w:color w:val="000000"/>
          <w:sz w:val="22"/>
        </w:rPr>
        <w:lastRenderedPageBreak/>
        <w:t>new equipment, and (3) a combined loading percentage certified by a PE licensed in South Carolina."</w:t>
      </w:r>
    </w:p>
    <w:p w14:paraId="71A67272" w14:textId="19817A4D" w:rsidR="00F41D22" w:rsidRDefault="00F41D22" w:rsidP="00F41D22">
      <w:pPr>
        <w:pStyle w:val="Heading3"/>
        <w:rPr>
          <w:b/>
          <w:color w:val="00AEEF"/>
          <w:sz w:val="22"/>
        </w:rPr>
      </w:pPr>
      <w:r>
        <w:rPr>
          <w:b/>
          <w:color w:val="00AEEF"/>
          <w:sz w:val="22"/>
        </w:rPr>
        <w:t>Revision Request Examples</w:t>
      </w:r>
    </w:p>
    <w:p w14:paraId="2F1407B1" w14:textId="2E77EB4B" w:rsidR="00F41D22" w:rsidRDefault="00F41D22" w:rsidP="00F41D22">
      <w:pPr>
        <w:spacing w:after="80"/>
        <w:rPr>
          <w:b/>
          <w:color w:val="666666"/>
          <w:sz w:val="20"/>
        </w:rPr>
      </w:pPr>
      <w:r>
        <w:rPr>
          <w:b/>
          <w:color w:val="666666"/>
          <w:sz w:val="20"/>
        </w:rPr>
        <w:t xml:space="preserve">Valid -- PE Licensure: </w:t>
      </w:r>
    </w:p>
    <w:p w14:paraId="5AFE93EB" w14:textId="339871D4" w:rsidR="00F41D22" w:rsidRDefault="00F41D22" w:rsidP="00F41D22">
      <w:pPr>
        <w:spacing w:after="120"/>
        <w:rPr>
          <w:color w:val="000000"/>
          <w:sz w:val="22"/>
        </w:rPr>
      </w:pPr>
      <w:r>
        <w:rPr>
          <w:color w:val="000000"/>
          <w:sz w:val="22"/>
        </w:rPr>
        <w:t>"The structural analysis submitted with the NCM is certified by John Smith, P.E., license PE-12345 (Georgia). The tower at 100 Commerce Drive, Spartanburg, SC is located in South Carolina. A PE certifying structural work for a tower in South Carolina must hold a current South Carolina PE license. Please resubmit the NCM with a structural analysis certified by a PE licensed in South Carolina."</w:t>
      </w:r>
    </w:p>
    <w:p w14:paraId="74769EF0" w14:textId="05BC571A" w:rsidR="00F41D22" w:rsidRDefault="00F41D22" w:rsidP="00F41D22">
      <w:pPr>
        <w:spacing w:after="80"/>
        <w:rPr>
          <w:b/>
          <w:color w:val="666666"/>
          <w:sz w:val="20"/>
        </w:rPr>
      </w:pPr>
      <w:r>
        <w:rPr>
          <w:b/>
          <w:color w:val="666666"/>
          <w:sz w:val="20"/>
        </w:rPr>
        <w:t xml:space="preserve">Valid -- Missing Document: </w:t>
      </w:r>
    </w:p>
    <w:p w14:paraId="5A30D571" w14:textId="2DB56E8C" w:rsidR="00F41D22" w:rsidRDefault="00F41D22" w:rsidP="00F41D22">
      <w:pPr>
        <w:spacing w:after="120"/>
        <w:rPr>
          <w:color w:val="000000"/>
          <w:sz w:val="22"/>
        </w:rPr>
      </w:pPr>
      <w:r>
        <w:rPr>
          <w:color w:val="000000"/>
          <w:sz w:val="22"/>
        </w:rPr>
        <w:t>"The NWF requires submission of a visual impact study as specified in [Jurisdiction] Municipal Code Section 14.6. No visual impact study has been included with the current NWF submission. Please resubmit the NWF with a visual impact study that addresses all public viewpoints identified in Section 14.6."</w:t>
      </w:r>
    </w:p>
    <w:p w14:paraId="61A49CF1" w14:textId="0325B53A" w:rsidR="00F41D22" w:rsidRDefault="00F41D22" w:rsidP="00F41D22">
      <w:pPr>
        <w:spacing w:after="80"/>
        <w:rPr>
          <w:b/>
          <w:color w:val="666666"/>
          <w:sz w:val="20"/>
        </w:rPr>
      </w:pPr>
      <w:r>
        <w:rPr>
          <w:b/>
          <w:color w:val="666666"/>
          <w:sz w:val="20"/>
        </w:rPr>
        <w:t xml:space="preserve">Valid -- Structural Loading: </w:t>
      </w:r>
    </w:p>
    <w:p w14:paraId="79151C5E" w14:textId="6AAFB89E" w:rsidR="00F41D22" w:rsidRDefault="00F41D22" w:rsidP="00F41D22">
      <w:pPr>
        <w:spacing w:after="120"/>
        <w:rPr>
          <w:color w:val="000000"/>
          <w:sz w:val="22"/>
        </w:rPr>
      </w:pPr>
      <w:r>
        <w:rPr>
          <w:color w:val="000000"/>
          <w:sz w:val="22"/>
        </w:rPr>
        <w:t>"The structural analysis submitted with the NCM shows a combined loading of 107% after the proposed modification. Your jurisdiction's structural loading standard requires that combined loading not exceed 100% of rated capacity. The submitted analysis does not include a professional determination specifically addressing the loading overage. Please resubmit with either: (a) a revised structural analysis demonstrating that post-modification loading does not exceed 100%, or (b) a structural analysis that includes a specific professional engineering determination that the structure is safe at the noted loading level, with supporting calculations."</w:t>
      </w:r>
    </w:p>
    <w:p w14:paraId="2E33E1CC" w14:textId="176A1638" w:rsidR="00F41D22" w:rsidRDefault="00F41D22" w:rsidP="00F41D22">
      <w:pPr>
        <w:spacing w:after="80"/>
        <w:rPr>
          <w:b/>
          <w:color w:val="666666"/>
          <w:sz w:val="20"/>
        </w:rPr>
      </w:pPr>
      <w:r>
        <w:rPr>
          <w:b/>
          <w:color w:val="666666"/>
          <w:sz w:val="20"/>
        </w:rPr>
        <w:t xml:space="preserve">Invalid -- Too Vague: </w:t>
      </w:r>
    </w:p>
    <w:p w14:paraId="33F3B201" w14:textId="27008DA8" w:rsidR="00F41D22" w:rsidRDefault="00F41D22" w:rsidP="00F41D22">
      <w:pPr>
        <w:spacing w:after="120"/>
        <w:rPr>
          <w:color w:val="000000"/>
          <w:sz w:val="22"/>
        </w:rPr>
      </w:pPr>
      <w:r>
        <w:rPr>
          <w:color w:val="000000"/>
          <w:sz w:val="22"/>
        </w:rPr>
        <w:t>"Please provide additional documentation for the structural analysis."</w:t>
      </w:r>
    </w:p>
    <w:p w14:paraId="5502FB5C" w14:textId="6E71D15C" w:rsidR="00F41D22" w:rsidRDefault="00F41D22" w:rsidP="00F41D22">
      <w:pPr>
        <w:spacing w:after="120"/>
        <w:rPr>
          <w:color w:val="000000"/>
          <w:sz w:val="22"/>
        </w:rPr>
      </w:pPr>
      <w:r>
        <w:rPr>
          <w:color w:val="000000"/>
          <w:sz w:val="22"/>
        </w:rPr>
        <w:t>(What documentation? What is missing? What requirement is not met?)</w:t>
      </w:r>
    </w:p>
    <w:p w14:paraId="191E23F2" w14:textId="3455AC38" w:rsidR="00F41D22" w:rsidRDefault="00F41D22" w:rsidP="00F41D22">
      <w:pPr>
        <w:spacing w:after="80"/>
        <w:rPr>
          <w:b/>
          <w:color w:val="666666"/>
          <w:sz w:val="20"/>
        </w:rPr>
      </w:pPr>
      <w:r>
        <w:rPr>
          <w:b/>
          <w:color w:val="666666"/>
          <w:sz w:val="20"/>
        </w:rPr>
        <w:t xml:space="preserve">Invalid -- Not a Deficiency: </w:t>
      </w:r>
    </w:p>
    <w:p w14:paraId="417C4E8F" w14:textId="58DEADAC" w:rsidR="00F41D22" w:rsidRDefault="00F41D22" w:rsidP="00F41D22">
      <w:pPr>
        <w:spacing w:after="120"/>
        <w:rPr>
          <w:color w:val="000000"/>
          <w:sz w:val="22"/>
        </w:rPr>
      </w:pPr>
      <w:r>
        <w:rPr>
          <w:color w:val="000000"/>
          <w:sz w:val="22"/>
        </w:rPr>
        <w:t>"We would like to see more detail about the proposed antenna configuration."</w:t>
      </w:r>
    </w:p>
    <w:p w14:paraId="7522434B" w14:textId="3E7C8B9B" w:rsidR="00F41D22" w:rsidRDefault="00F41D22" w:rsidP="00F41D22">
      <w:pPr>
        <w:spacing w:after="120"/>
        <w:rPr>
          <w:color w:val="000000"/>
          <w:sz w:val="22"/>
        </w:rPr>
      </w:pPr>
      <w:r>
        <w:rPr>
          <w:color w:val="000000"/>
          <w:sz w:val="22"/>
        </w:rPr>
        <w:t>(If your ordinance does not require that level of detail, this is not a deficiency. You cannot request information that is not required.)</w:t>
      </w:r>
    </w:p>
    <w:p w14:paraId="0B9912F1" w14:textId="0A786BD0" w:rsidR="00F41D22" w:rsidRDefault="00F41D22" w:rsidP="00F41D22">
      <w:pPr>
        <w:pStyle w:val="Heading2"/>
        <w:rPr>
          <w:b/>
          <w:color w:val="1A4F8A"/>
          <w:sz w:val="26"/>
        </w:rPr>
      </w:pPr>
      <w:r>
        <w:rPr>
          <w:b/>
          <w:color w:val="1A4F8A"/>
          <w:sz w:val="26"/>
        </w:rPr>
        <w:t>What You CAN Deny On</w:t>
      </w:r>
    </w:p>
    <w:p w14:paraId="745DD7E0" w14:textId="4F2FA828" w:rsidR="00F41D22" w:rsidRDefault="00F41D22" w:rsidP="00F41D22">
      <w:pPr>
        <w:spacing w:after="120"/>
        <w:rPr>
          <w:color w:val="000000"/>
          <w:sz w:val="22"/>
        </w:rPr>
      </w:pPr>
      <w:r>
        <w:rPr>
          <w:color w:val="000000"/>
          <w:sz w:val="22"/>
        </w:rPr>
        <w:t>Federal law does not prohibit all denial -- it prohibits denial on certain grounds. The following are legitimate grounds for denial that your jurisdiction may rely on:</w:t>
      </w:r>
    </w:p>
    <w:p w14:paraId="70DDE986" w14:textId="0C54BEAE" w:rsidR="00F41D22" w:rsidRDefault="00F41D22" w:rsidP="00F41D22">
      <w:pPr>
        <w:pStyle w:val="Heading3"/>
        <w:rPr>
          <w:b/>
          <w:color w:val="00AEEF"/>
          <w:sz w:val="22"/>
        </w:rPr>
      </w:pPr>
      <w:r>
        <w:rPr>
          <w:b/>
          <w:color w:val="00AEEF"/>
          <w:sz w:val="22"/>
        </w:rPr>
        <w:t>Structural Safety</w:t>
      </w:r>
    </w:p>
    <w:p w14:paraId="3CD1B231" w14:textId="510C2606" w:rsidR="00F41D22" w:rsidRDefault="00F41D22" w:rsidP="00F41D22">
      <w:pPr>
        <w:spacing w:after="120"/>
        <w:rPr>
          <w:color w:val="000000"/>
          <w:sz w:val="22"/>
        </w:rPr>
      </w:pPr>
      <w:r>
        <w:rPr>
          <w:color w:val="000000"/>
          <w:sz w:val="22"/>
        </w:rPr>
        <w:t xml:space="preserve">If a proposed modification cannot be made structurally safe -- even after the carrier has been given an opportunity to address the structural analysis -- denial on structural safety grounds is appropriate. This requires a documented record showing: what the structural concern is, what </w:t>
      </w:r>
      <w:r>
        <w:rPr>
          <w:color w:val="000000"/>
          <w:sz w:val="22"/>
        </w:rPr>
        <w:lastRenderedPageBreak/>
        <w:t>revision opportunity the carrier was given, and why the carrier's response does not resolve the concern.</w:t>
      </w:r>
    </w:p>
    <w:p w14:paraId="6F211C1B" w14:textId="6440262D" w:rsidR="00F41D22" w:rsidRDefault="00F41D22" w:rsidP="00F41D22">
      <w:pPr>
        <w:pStyle w:val="Heading3"/>
        <w:rPr>
          <w:b/>
          <w:color w:val="00AEEF"/>
          <w:sz w:val="22"/>
        </w:rPr>
      </w:pPr>
      <w:r>
        <w:rPr>
          <w:b/>
          <w:color w:val="00AEEF"/>
          <w:sz w:val="22"/>
        </w:rPr>
        <w:t>Zoning and Land Use Violations That Cannot Be Cured</w:t>
      </w:r>
    </w:p>
    <w:p w14:paraId="49642C1F" w14:textId="72EF5487" w:rsidR="00F41D22" w:rsidRDefault="00F41D22" w:rsidP="00F41D22">
      <w:pPr>
        <w:spacing w:after="120"/>
        <w:rPr>
          <w:color w:val="000000"/>
          <w:sz w:val="22"/>
        </w:rPr>
      </w:pPr>
      <w:r>
        <w:rPr>
          <w:color w:val="000000"/>
          <w:sz w:val="22"/>
        </w:rPr>
        <w:t>If the proposed tower location violates your zoning ordinance in a way that cannot be remedied by modification -- such as a tower proposed for a setback-protected zone with no variance process available -- denial is appropriate once the carrier has been notified and given an opportunity to respond.</w:t>
      </w:r>
    </w:p>
    <w:p w14:paraId="7C458EC1" w14:textId="13828EFB" w:rsidR="00F41D22" w:rsidRDefault="00F41D22" w:rsidP="00F41D22">
      <w:pPr>
        <w:pStyle w:val="Heading3"/>
        <w:rPr>
          <w:b/>
          <w:color w:val="00AEEF"/>
          <w:sz w:val="22"/>
        </w:rPr>
      </w:pPr>
      <w:r>
        <w:rPr>
          <w:b/>
          <w:color w:val="00AEEF"/>
          <w:sz w:val="22"/>
        </w:rPr>
        <w:t>Failure to Provide Required Information After Notice and Opportunity to Cure</w:t>
      </w:r>
    </w:p>
    <w:p w14:paraId="1D6D92FF" w14:textId="7B1D772F" w:rsidR="00F41D22" w:rsidRDefault="00F41D22" w:rsidP="00F41D22">
      <w:pPr>
        <w:spacing w:after="120"/>
        <w:rPr>
          <w:color w:val="000000"/>
          <w:sz w:val="22"/>
        </w:rPr>
      </w:pPr>
      <w:r>
        <w:rPr>
          <w:color w:val="000000"/>
          <w:sz w:val="22"/>
        </w:rPr>
        <w:t>If your jurisdiction properly identified an incompleteness, gave the carrier an opportunity to correct it, and the carrier failed to do so within a reasonable time, denial for failure to complete the application is appropriate. This must be documented: the specific deficiency, the notice given, the response received (or lack thereof), and the determination that the application remains incomplete.</w:t>
      </w:r>
    </w:p>
    <w:p w14:paraId="1E3B6C56" w14:textId="68B7E4EC" w:rsidR="00F41D22" w:rsidRDefault="00F41D22" w:rsidP="00F41D22">
      <w:pPr>
        <w:pStyle w:val="Heading3"/>
        <w:rPr>
          <w:b/>
          <w:color w:val="00AEEF"/>
          <w:sz w:val="22"/>
        </w:rPr>
      </w:pPr>
      <w:r>
        <w:rPr>
          <w:b/>
          <w:color w:val="00AEEF"/>
          <w:sz w:val="22"/>
        </w:rPr>
        <w:t>Substantive Ordinance Violations</w:t>
      </w:r>
    </w:p>
    <w:p w14:paraId="40D95AC6" w14:textId="51DBCD95" w:rsidR="00F41D22" w:rsidRDefault="00F41D22" w:rsidP="00F41D22">
      <w:pPr>
        <w:spacing w:after="120"/>
        <w:rPr>
          <w:color w:val="000000"/>
          <w:sz w:val="22"/>
        </w:rPr>
      </w:pPr>
      <w:r>
        <w:rPr>
          <w:color w:val="000000"/>
          <w:sz w:val="22"/>
        </w:rPr>
        <w:t>Your local ordinance may impose requirements that, if not met, are grounds for denial -- specific height limits, design standards, or other substantive requirements that your ordinance consistently applies across all applicants. These must be applied consistently. A requirement that is applied against one carrier but not another is vulnerable to a discrimination challenge.</w:t>
      </w:r>
    </w:p>
    <w:p w14:paraId="2F4C417D" w14:textId="1B7936BF" w:rsidR="00F41D22" w:rsidRDefault="00F41D22" w:rsidP="00F41D22">
      <w:pPr>
        <w:pStyle w:val="Heading2"/>
        <w:rPr>
          <w:b/>
          <w:color w:val="1A4F8A"/>
          <w:sz w:val="26"/>
        </w:rPr>
      </w:pPr>
      <w:r>
        <w:rPr>
          <w:b/>
          <w:color w:val="1A4F8A"/>
          <w:sz w:val="26"/>
        </w:rPr>
        <w:t>What You CANNOT Deny On</w:t>
      </w:r>
    </w:p>
    <w:p w14:paraId="7857128F" w14:textId="3F700304" w:rsidR="00F41D22" w:rsidRDefault="00F41D22" w:rsidP="00F41D22">
      <w:pPr>
        <w:spacing w:after="120"/>
        <w:rPr>
          <w:color w:val="000000"/>
          <w:sz w:val="22"/>
        </w:rPr>
      </w:pPr>
      <w:r>
        <w:rPr>
          <w:color w:val="000000"/>
          <w:sz w:val="22"/>
        </w:rPr>
        <w:t>Federal law imposes specific limits on what local governments can use as grounds for denial. These prohibitions are not negotiable and cannot be overridden by local ordinance.</w:t>
      </w:r>
    </w:p>
    <w:p w14:paraId="2CEE28A4" w14:textId="4799F9C3" w:rsidR="00F41D22" w:rsidRDefault="00F41D22" w:rsidP="00F41D22">
      <w:pPr>
        <w:pStyle w:val="Heading3"/>
        <w:rPr>
          <w:b/>
          <w:color w:val="00AEEF"/>
          <w:sz w:val="22"/>
        </w:rPr>
      </w:pPr>
      <w:r>
        <w:rPr>
          <w:b/>
          <w:color w:val="00AEEF"/>
          <w:sz w:val="22"/>
        </w:rPr>
        <w:t>RF/EMF Emissions</w:t>
      </w:r>
    </w:p>
    <w:p w14:paraId="65AF3A8B" w14:textId="0E65CA87" w:rsidR="00F41D22" w:rsidRDefault="00F41D22" w:rsidP="00F41D22">
      <w:pPr>
        <w:spacing w:after="120"/>
        <w:rPr>
          <w:b/>
          <w:color w:val="000000"/>
          <w:sz w:val="22"/>
        </w:rPr>
      </w:pPr>
      <w:r>
        <w:rPr>
          <w:b/>
          <w:color w:val="000000"/>
          <w:sz w:val="22"/>
        </w:rPr>
        <w:t>You cannot deny a wireless facility application based on concerns about radio frequency (RF) or electromagnetic field (EMF) emissions if the carrier has demonstrated compliance with FCC regulations.</w:t>
      </w:r>
    </w:p>
    <w:p w14:paraId="064A4F88" w14:textId="1CFE38F7" w:rsidR="00F41D22" w:rsidRDefault="00F41D22" w:rsidP="00F41D22">
      <w:pPr>
        <w:spacing w:after="120"/>
        <w:rPr>
          <w:color w:val="000000"/>
          <w:sz w:val="22"/>
        </w:rPr>
      </w:pPr>
      <w:r>
        <w:rPr>
          <w:color w:val="000000"/>
          <w:sz w:val="22"/>
        </w:rPr>
        <w:t>This is one of the most frequently misunderstood areas of wireless facility law. Local governments receive community pressure about RF health concerns regularly. Parents, schools, and community groups raise legitimate concerns. But federal law -- specifically Section 332(c)(7) of the Telecommunications Act -- explicitly prohibits local governments from denying applications based on RF concerns when FCC compliance is demonstrated.</w:t>
      </w:r>
    </w:p>
    <w:p w14:paraId="1B0915DB" w14:textId="4698335F" w:rsidR="00F41D22" w:rsidRDefault="00F41D22" w:rsidP="00F41D22">
      <w:pPr>
        <w:spacing w:after="120"/>
        <w:rPr>
          <w:color w:val="000000"/>
          <w:sz w:val="22"/>
        </w:rPr>
      </w:pPr>
      <w:r>
        <w:rPr>
          <w:color w:val="000000"/>
          <w:sz w:val="22"/>
        </w:rPr>
        <w:t>This means:</w:t>
      </w:r>
    </w:p>
    <w:p w14:paraId="520BAF7A" w14:textId="2557C5DF" w:rsidR="00F41D22" w:rsidRPr="00F41D22" w:rsidRDefault="00F41D22" w:rsidP="00F41D22">
      <w:pPr>
        <w:pStyle w:val="ListBullet"/>
      </w:pPr>
      <w:r>
        <w:rPr>
          <w:color w:val="000000"/>
          <w:sz w:val="22"/>
        </w:rPr>
        <w:t>You cannot require additional RF studies beyond FCC compliance documentation</w:t>
      </w:r>
    </w:p>
    <w:p w14:paraId="6E5E4CAE" w14:textId="32B0AA9E" w:rsidR="00F41D22" w:rsidRPr="00F41D22" w:rsidRDefault="00F41D22" w:rsidP="00F41D22">
      <w:pPr>
        <w:pStyle w:val="ListBullet"/>
      </w:pPr>
      <w:r>
        <w:rPr>
          <w:color w:val="000000"/>
          <w:sz w:val="22"/>
        </w:rPr>
        <w:t>You cannot impose RF emission limits stricter than FCC standards</w:t>
      </w:r>
    </w:p>
    <w:p w14:paraId="748DEFF7" w14:textId="043BD597" w:rsidR="00F41D22" w:rsidRPr="00F41D22" w:rsidRDefault="00F41D22" w:rsidP="00F41D22">
      <w:pPr>
        <w:pStyle w:val="ListBullet"/>
      </w:pPr>
      <w:r>
        <w:rPr>
          <w:color w:val="000000"/>
          <w:sz w:val="22"/>
        </w:rPr>
        <w:t>You cannot deny based on community testimony about RF health concerns</w:t>
      </w:r>
    </w:p>
    <w:p w14:paraId="1CDF2F5E" w14:textId="3928EC82" w:rsidR="00F41D22" w:rsidRPr="00F41D22" w:rsidRDefault="00F41D22" w:rsidP="00F41D22">
      <w:pPr>
        <w:pStyle w:val="ListBullet"/>
      </w:pPr>
      <w:r>
        <w:rPr>
          <w:color w:val="000000"/>
          <w:sz w:val="22"/>
        </w:rPr>
        <w:t>You cannot deny based on the proximity of a tower to schools, hospitals, or residences as an RF concern</w:t>
      </w:r>
    </w:p>
    <w:p w14:paraId="6F7B9751" w14:textId="7368F5C9" w:rsidR="00F41D22" w:rsidRDefault="00F41D22" w:rsidP="00F41D22">
      <w:pPr>
        <w:spacing w:after="120"/>
        <w:rPr>
          <w:color w:val="000000"/>
          <w:sz w:val="22"/>
        </w:rPr>
      </w:pPr>
      <w:r>
        <w:rPr>
          <w:color w:val="000000"/>
          <w:sz w:val="22"/>
        </w:rPr>
        <w:lastRenderedPageBreak/>
        <w:t>If the carrier has submitted current FCC RF compliance documentation, RF concerns are not a reviewable issue for your jurisdiction.</w:t>
      </w:r>
    </w:p>
    <w:p w14:paraId="41EE6722" w14:textId="6DC63CBD" w:rsidR="00F41D22" w:rsidRDefault="00F41D22" w:rsidP="00F41D22">
      <w:pPr>
        <w:spacing w:after="120"/>
        <w:ind w:left="432" w:right="432"/>
        <w:rPr>
          <w:i/>
          <w:color w:val="00AEEF"/>
          <w:sz w:val="22"/>
        </w:rPr>
      </w:pPr>
      <w:r>
        <w:rPr>
          <w:b/>
          <w:i/>
          <w:color w:val="00AEEF"/>
          <w:sz w:val="22"/>
        </w:rPr>
        <w:t>Key Point:</w:t>
      </w:r>
      <w:r>
        <w:rPr>
          <w:i/>
          <w:color w:val="00AEEF"/>
          <w:sz w:val="22"/>
        </w:rPr>
        <w:t xml:space="preserve"> Community members may appear at public hearings and express RF concerns. You must acknowledge their concerns respectfully -- and then not act on them as grounds for your regulatory decision. The distinction between receiving testimony and denying based on it is both legally required and politically challenging. Your WTS Analyst can help you manage this distinction.</w:t>
      </w:r>
    </w:p>
    <w:p w14:paraId="6A2877C9" w14:textId="2D88508F" w:rsidR="00F41D22" w:rsidRDefault="00F41D22" w:rsidP="00F41D22">
      <w:pPr>
        <w:pStyle w:val="Heading3"/>
        <w:rPr>
          <w:b/>
          <w:color w:val="00AEEF"/>
          <w:sz w:val="22"/>
        </w:rPr>
      </w:pPr>
      <w:r>
        <w:rPr>
          <w:b/>
          <w:color w:val="00AEEF"/>
          <w:sz w:val="22"/>
        </w:rPr>
        <w:t>Unreasonable Discrimination Between Carriers</w:t>
      </w:r>
    </w:p>
    <w:p w14:paraId="1C8B1CBC" w14:textId="0D865FA3" w:rsidR="00F41D22" w:rsidRDefault="00F41D22" w:rsidP="00F41D22">
      <w:pPr>
        <w:spacing w:after="120"/>
        <w:rPr>
          <w:color w:val="000000"/>
          <w:sz w:val="22"/>
        </w:rPr>
      </w:pPr>
      <w:r>
        <w:rPr>
          <w:color w:val="000000"/>
          <w:sz w:val="22"/>
        </w:rPr>
        <w:t>You cannot deny an application from one carrier when you would approve a substantially similar application from a different carrier. If two carriers submit applications for similar facilities at similar locations and you have approved one but denied the other, the denial must be supported by a documented difference that justifies the distinction. "We already have enough wireless infrastructure" or "we approved the first one but not the second" are not valid distinguishing grounds.</w:t>
      </w:r>
    </w:p>
    <w:p w14:paraId="2D9A53E3" w14:textId="14910801" w:rsidR="00F41D22" w:rsidRDefault="00F41D22" w:rsidP="00F41D22">
      <w:pPr>
        <w:pStyle w:val="Heading3"/>
        <w:rPr>
          <w:b/>
          <w:color w:val="00AEEF"/>
          <w:sz w:val="22"/>
        </w:rPr>
      </w:pPr>
      <w:r>
        <w:rPr>
          <w:b/>
          <w:color w:val="00AEEF"/>
          <w:sz w:val="22"/>
        </w:rPr>
        <w:t>Prohibition on Wireless Service</w:t>
      </w:r>
    </w:p>
    <w:p w14:paraId="09B5312F" w14:textId="533A4EA9" w:rsidR="00F41D22" w:rsidRDefault="00F41D22" w:rsidP="00F41D22">
      <w:pPr>
        <w:spacing w:after="120"/>
        <w:rPr>
          <w:color w:val="000000"/>
          <w:sz w:val="22"/>
        </w:rPr>
      </w:pPr>
      <w:r>
        <w:rPr>
          <w:color w:val="000000"/>
          <w:sz w:val="22"/>
        </w:rPr>
        <w:t>You cannot effectively prohibit wireless service within your jurisdiction. A pattern of denials that systematically prevents any wireless carrier from building or expanding in your jurisdiction is a violation of federal law regardless of the individual grounds cited for each denial.</w:t>
      </w:r>
    </w:p>
    <w:p w14:paraId="3ABCF26D" w14:textId="7DAD001C" w:rsidR="00F41D22" w:rsidRDefault="00F41D22" w:rsidP="00F41D22">
      <w:pPr>
        <w:pStyle w:val="Heading3"/>
        <w:rPr>
          <w:b/>
          <w:color w:val="00AEEF"/>
          <w:sz w:val="22"/>
        </w:rPr>
      </w:pPr>
      <w:r>
        <w:rPr>
          <w:b/>
          <w:color w:val="00AEEF"/>
          <w:sz w:val="22"/>
        </w:rPr>
        <w:t>Aesthetic Concerns Alone (for Some Project Types)</w:t>
      </w:r>
    </w:p>
    <w:p w14:paraId="601D66C4" w14:textId="0588A84A" w:rsidR="00F41D22" w:rsidRDefault="00F41D22" w:rsidP="00F41D22">
      <w:pPr>
        <w:spacing w:after="120"/>
        <w:rPr>
          <w:color w:val="000000"/>
          <w:sz w:val="22"/>
        </w:rPr>
      </w:pPr>
      <w:r>
        <w:rPr>
          <w:color w:val="000000"/>
          <w:sz w:val="22"/>
        </w:rPr>
        <w:t>For Eligible Facility Requests (EFC/EFM), you cannot impose aesthetic requirements or conditions that are not clearly permitted under the federal substantial-change criteria. For standard applications, aesthetic requirements are permissible if they are reasonable, consistently applied, and do not effectively prohibit the service.</w:t>
      </w:r>
    </w:p>
    <w:p w14:paraId="0F7C202F" w14:textId="27EB5AF5" w:rsidR="00F41D22" w:rsidRDefault="00F41D22" w:rsidP="00F41D22">
      <w:pPr>
        <w:pStyle w:val="Heading2"/>
        <w:rPr>
          <w:b/>
          <w:color w:val="1A4F8A"/>
          <w:sz w:val="26"/>
        </w:rPr>
      </w:pPr>
      <w:r>
        <w:rPr>
          <w:b/>
          <w:color w:val="1A4F8A"/>
          <w:sz w:val="26"/>
        </w:rPr>
        <w:t>How Denial Must Be Documented</w:t>
      </w:r>
    </w:p>
    <w:p w14:paraId="116F07D5" w14:textId="6B8C329E" w:rsidR="00F41D22" w:rsidRDefault="00F41D22" w:rsidP="00F41D22">
      <w:pPr>
        <w:spacing w:after="120"/>
        <w:rPr>
          <w:color w:val="000000"/>
          <w:sz w:val="22"/>
        </w:rPr>
      </w:pPr>
      <w:r>
        <w:rPr>
          <w:color w:val="000000"/>
          <w:sz w:val="22"/>
        </w:rPr>
        <w:t>A denial that is not properly documented is a denial that will not survive challenge. At minimum, a valid denial must:</w:t>
      </w:r>
    </w:p>
    <w:p w14:paraId="295B7E1B" w14:textId="79454F6C" w:rsidR="00F41D22" w:rsidRDefault="00F41D22" w:rsidP="00F41D22">
      <w:pPr>
        <w:pStyle w:val="ListNumber"/>
        <w:numPr>
          <w:ilvl w:val="0"/>
          <w:numId w:val="0"/>
        </w:numPr>
        <w:rPr>
          <w:color w:val="000000"/>
          <w:sz w:val="22"/>
        </w:rPr>
      </w:pPr>
      <w:r>
        <w:rPr>
          <w:b/>
          <w:color w:val="000000"/>
          <w:sz w:val="22"/>
        </w:rPr>
        <w:t>Be in writing</w:t>
      </w:r>
      <w:r>
        <w:rPr>
          <w:color w:val="000000"/>
          <w:sz w:val="22"/>
        </w:rPr>
        <w:t xml:space="preserve"> -- Verbal denials do not exist in the legal record. The denial must be entered in AMP and must produce a written determination.</w:t>
      </w:r>
    </w:p>
    <w:p w14:paraId="1BB5085A" w14:textId="793D6766" w:rsidR="00F41D22" w:rsidRDefault="00F41D22" w:rsidP="00F41D22">
      <w:pPr>
        <w:pStyle w:val="ListNumber"/>
        <w:numPr>
          <w:ilvl w:val="0"/>
          <w:numId w:val="0"/>
        </w:numPr>
        <w:rPr>
          <w:color w:val="000000"/>
          <w:sz w:val="22"/>
        </w:rPr>
      </w:pPr>
      <w:r>
        <w:rPr>
          <w:b/>
          <w:color w:val="000000"/>
          <w:sz w:val="22"/>
        </w:rPr>
        <w:t>Cite specific grounds</w:t>
      </w:r>
      <w:r>
        <w:rPr>
          <w:color w:val="000000"/>
          <w:sz w:val="22"/>
        </w:rPr>
        <w:t xml:space="preserve"> -- "The application is denied" is not sufficient. "The application is denied because the proposed tower location is within the 100-foot setback from residentially zoned property required by [Jurisdiction] Municipal Code Section 12.3.1, and no variance has been requested or granted" is sufficient.</w:t>
      </w:r>
    </w:p>
    <w:p w14:paraId="0803A7D3" w14:textId="148F9748" w:rsidR="00F41D22" w:rsidRDefault="00F41D22" w:rsidP="00F41D22">
      <w:pPr>
        <w:pStyle w:val="ListNumber"/>
        <w:numPr>
          <w:ilvl w:val="0"/>
          <w:numId w:val="0"/>
        </w:numPr>
        <w:rPr>
          <w:color w:val="000000"/>
          <w:sz w:val="22"/>
        </w:rPr>
      </w:pPr>
      <w:r>
        <w:rPr>
          <w:b/>
          <w:color w:val="000000"/>
          <w:sz w:val="22"/>
        </w:rPr>
        <w:t>Be supported by the existing record</w:t>
      </w:r>
      <w:r>
        <w:rPr>
          <w:color w:val="000000"/>
          <w:sz w:val="22"/>
        </w:rPr>
        <w:t xml:space="preserve"> -- The denial must be based on what is in the application file. You cannot deny based on information that was not part of the review. If you have concerns about something not in the application, request revision to require the information before making a denial determination.</w:t>
      </w:r>
    </w:p>
    <w:p w14:paraId="3E491DF9" w14:textId="7449F1AC" w:rsidR="00F41D22" w:rsidRDefault="00F41D22" w:rsidP="00F41D22">
      <w:pPr>
        <w:pStyle w:val="ListNumber"/>
        <w:numPr>
          <w:ilvl w:val="0"/>
          <w:numId w:val="0"/>
        </w:numPr>
        <w:rPr>
          <w:color w:val="000000"/>
          <w:sz w:val="22"/>
        </w:rPr>
      </w:pPr>
      <w:r>
        <w:rPr>
          <w:b/>
          <w:color w:val="000000"/>
          <w:sz w:val="22"/>
        </w:rPr>
        <w:lastRenderedPageBreak/>
        <w:t>Be issued before the Shot Clock expires</w:t>
      </w:r>
      <w:r>
        <w:rPr>
          <w:color w:val="000000"/>
          <w:sz w:val="22"/>
        </w:rPr>
        <w:t xml:space="preserve"> -- A denial issued after the Shot Clock has expired has no legal effect. The deemed approval has already occurred.</w:t>
      </w:r>
    </w:p>
    <w:p w14:paraId="6EA4CCC9" w14:textId="43511FE0" w:rsidR="00F41D22" w:rsidRDefault="00F41D22" w:rsidP="00F41D22">
      <w:pPr>
        <w:pStyle w:val="Heading2"/>
        <w:rPr>
          <w:b/>
          <w:color w:val="1A4F8A"/>
          <w:sz w:val="26"/>
        </w:rPr>
      </w:pPr>
      <w:r>
        <w:rPr>
          <w:b/>
          <w:color w:val="1A4F8A"/>
          <w:sz w:val="26"/>
        </w:rPr>
        <w:t>The Analyst's Role in Your Decision</w:t>
      </w:r>
    </w:p>
    <w:p w14:paraId="3B7CE747" w14:textId="41C1657C" w:rsidR="00F41D22" w:rsidRDefault="00F41D22" w:rsidP="00F41D22">
      <w:pPr>
        <w:spacing w:after="120"/>
        <w:rPr>
          <w:color w:val="000000"/>
          <w:sz w:val="22"/>
        </w:rPr>
      </w:pPr>
      <w:r>
        <w:rPr>
          <w:color w:val="000000"/>
          <w:sz w:val="22"/>
        </w:rPr>
        <w:t>Your WTS Analyst will often provide a recommendation on how to proceed with an application. Analyst recommendations are advisory -- not binding. You are not required to follow your Analyst's recommendation. But if you depart from it, document why.</w:t>
      </w:r>
    </w:p>
    <w:p w14:paraId="643FEEA9" w14:textId="1F309376" w:rsidR="00F41D22" w:rsidRDefault="00F41D22" w:rsidP="00F41D22">
      <w:pPr>
        <w:spacing w:after="120"/>
        <w:rPr>
          <w:color w:val="000000"/>
          <w:sz w:val="22"/>
        </w:rPr>
      </w:pPr>
      <w:r>
        <w:rPr>
          <w:color w:val="000000"/>
          <w:sz w:val="22"/>
        </w:rPr>
        <w:t>When an Analyst recommends revision and you choose to approve: document your reasoning in AMP. When an Analyst recommends approval and you choose to request revision: document the specific deficiency you identified that your Analyst did not flag. This creates a clear record of both the advisory input and your independent exercise of decision-making authority.</w:t>
      </w:r>
    </w:p>
    <w:p w14:paraId="7F7C5993" w14:textId="608561EC" w:rsidR="00F41D22" w:rsidRDefault="00F41D22" w:rsidP="00F41D22">
      <w:pPr>
        <w:pStyle w:val="Heading2"/>
        <w:rPr>
          <w:b/>
          <w:color w:val="1A4F8A"/>
          <w:sz w:val="26"/>
        </w:rPr>
      </w:pPr>
      <w:r>
        <w:rPr>
          <w:b/>
          <w:color w:val="1A4F8A"/>
          <w:sz w:val="26"/>
        </w:rPr>
        <w:t>Key Takeaways</w:t>
      </w:r>
    </w:p>
    <w:p w14:paraId="481ACF8D" w14:textId="479934F4" w:rsidR="00F41D22" w:rsidRPr="00F41D22" w:rsidRDefault="00F41D22" w:rsidP="00F41D22">
      <w:pPr>
        <w:pStyle w:val="ListBullet"/>
      </w:pPr>
      <w:r>
        <w:rPr>
          <w:color w:val="000000"/>
          <w:sz w:val="22"/>
        </w:rPr>
        <w:t>Every review stage ends with one of three decisions: approve, request revision, or deny. There is no permanent hold.</w:t>
      </w:r>
    </w:p>
    <w:p w14:paraId="73599560" w14:textId="4EC47491" w:rsidR="00F41D22" w:rsidRPr="00F41D22" w:rsidRDefault="00F41D22" w:rsidP="00F41D22">
      <w:pPr>
        <w:pStyle w:val="ListBullet"/>
      </w:pPr>
      <w:r>
        <w:rPr>
          <w:color w:val="000000"/>
          <w:sz w:val="22"/>
        </w:rPr>
        <w:t>Approve when the application is complete and compliant. Do not withhold approval because you cannot document a specific deficiency.</w:t>
      </w:r>
    </w:p>
    <w:p w14:paraId="079F6537" w14:textId="08FA9606" w:rsidR="00F41D22" w:rsidRPr="00F41D22" w:rsidRDefault="00F41D22" w:rsidP="00F41D22">
      <w:pPr>
        <w:pStyle w:val="ListBullet"/>
      </w:pPr>
      <w:r>
        <w:rPr>
          <w:color w:val="000000"/>
          <w:sz w:val="22"/>
        </w:rPr>
        <w:t>Revision requests must identify the specific deficiency, the requirement being violated, and the specific correction required. Vague requests are not legally defensible.</w:t>
      </w:r>
    </w:p>
    <w:p w14:paraId="6930D1E3" w14:textId="10F0CE3B" w:rsidR="00F41D22" w:rsidRPr="00F41D22" w:rsidRDefault="00F41D22" w:rsidP="00F41D22">
      <w:pPr>
        <w:pStyle w:val="ListBullet"/>
      </w:pPr>
      <w:r>
        <w:rPr>
          <w:color w:val="000000"/>
          <w:sz w:val="22"/>
        </w:rPr>
        <w:t>Denial requires documented grounds that are both legitimate and supported by the review record.</w:t>
      </w:r>
    </w:p>
    <w:p w14:paraId="6AE8E4D9" w14:textId="03A05C09" w:rsidR="00F41D22" w:rsidRPr="00F41D22" w:rsidRDefault="00F41D22" w:rsidP="00F41D22">
      <w:pPr>
        <w:pStyle w:val="ListBullet"/>
      </w:pPr>
      <w:r>
        <w:rPr>
          <w:color w:val="000000"/>
          <w:sz w:val="22"/>
        </w:rPr>
        <w:t>Federal law prohibits denial based on RF/EMF emissions when the carrier has demonstrated FCC compliance. This prohibition is absolute and cannot be overridden by local ordinance or community pressure.</w:t>
      </w:r>
    </w:p>
    <w:p w14:paraId="67EB3185" w14:textId="44D7A5F0" w:rsidR="00F41D22" w:rsidRPr="00F41D22" w:rsidRDefault="00F41D22" w:rsidP="00F41D22">
      <w:pPr>
        <w:pStyle w:val="ListBullet"/>
      </w:pPr>
      <w:r>
        <w:rPr>
          <w:color w:val="000000"/>
          <w:sz w:val="22"/>
        </w:rPr>
        <w:t>All denial decisions must be in writing, cite specific grounds, be supported by the record, and be issued before the Shot Clock expires.</w:t>
      </w:r>
    </w:p>
    <w:p w14:paraId="1AABD8CB" w14:textId="4DA892CD" w:rsidR="00F41D22" w:rsidRPr="00F41D22" w:rsidRDefault="00F41D22" w:rsidP="00F41D22">
      <w:pPr>
        <w:pStyle w:val="ListBullet"/>
      </w:pPr>
      <w:r>
        <w:rPr>
          <w:color w:val="000000"/>
          <w:sz w:val="22"/>
        </w:rPr>
        <w:t>Analyst recommendations are advisory. Your decision is yours. If you depart from Analyst recommendations, document why.</w:t>
      </w:r>
    </w:p>
    <w:p w14:paraId="4D24F614" w14:textId="1E013BC1" w:rsidR="00F41D22" w:rsidRDefault="00F41D22" w:rsidP="00F41D22">
      <w:pPr>
        <w:pStyle w:val="Heading2"/>
        <w:rPr>
          <w:b/>
          <w:color w:val="1A4F8A"/>
          <w:sz w:val="26"/>
        </w:rPr>
      </w:pPr>
      <w:r>
        <w:rPr>
          <w:b/>
          <w:color w:val="1A4F8A"/>
          <w:sz w:val="26"/>
        </w:rPr>
        <w:t>Checkpoint Question</w:t>
      </w:r>
    </w:p>
    <w:p w14:paraId="23AA654C" w14:textId="61120133" w:rsidR="00F41D22" w:rsidRDefault="00F41D22" w:rsidP="00F41D22">
      <w:pPr>
        <w:spacing w:after="80"/>
        <w:rPr>
          <w:color w:val="666666"/>
          <w:sz w:val="20"/>
        </w:rPr>
      </w:pPr>
      <w:r>
        <w:rPr>
          <w:b/>
          <w:color w:val="666666"/>
          <w:sz w:val="20"/>
        </w:rPr>
        <w:t xml:space="preserve">Scenario: </w:t>
      </w:r>
      <w:r>
        <w:rPr>
          <w:color w:val="666666"/>
          <w:sz w:val="20"/>
        </w:rPr>
        <w:t>A wireless carrier submits an application for a new 80-foot monopole in a residential neighborhood. The application is technically complete: all components are submitted, the structural analysis is properly certified by a South Carolina-licensed PE showing loading at 78%, and all required documentation is present. Your jurisdiction's ordinance requires a height limit of 75 feet in residential zones.</w:t>
      </w:r>
    </w:p>
    <w:p w14:paraId="3E56E8DA" w14:textId="7212CA55" w:rsidR="00F41D22" w:rsidRDefault="00F41D22" w:rsidP="00F41D22">
      <w:pPr>
        <w:spacing w:after="120"/>
        <w:rPr>
          <w:color w:val="000000"/>
          <w:sz w:val="22"/>
        </w:rPr>
      </w:pPr>
      <w:r>
        <w:rPr>
          <w:color w:val="000000"/>
          <w:sz w:val="22"/>
        </w:rPr>
        <w:t>A group of 45 residents attend a public hearing and submit written objections based on three grounds: (1) the tower will be an eyesore and lower property values; (2) they are concerned about RF radiation from the antennas near an elementary school one block away; and (3) the tower at 80 feet violates the ordinance's 75-foot height limit in residential zones.</w:t>
      </w:r>
    </w:p>
    <w:p w14:paraId="69BC4CFF" w14:textId="77E2C4F9" w:rsidR="00F41D22" w:rsidRDefault="00F41D22" w:rsidP="00F41D22">
      <w:pPr>
        <w:spacing w:after="120"/>
        <w:rPr>
          <w:color w:val="000000"/>
          <w:sz w:val="22"/>
        </w:rPr>
      </w:pPr>
      <w:r>
        <w:rPr>
          <w:color w:val="000000"/>
          <w:sz w:val="22"/>
        </w:rPr>
        <w:t>Which of these three grounds, if any, are valid grounds to support a denial?</w:t>
      </w:r>
    </w:p>
    <w:p w14:paraId="3D1B4CFC" w14:textId="55C1B7DA" w:rsidR="00F41D22" w:rsidRDefault="00F41D22" w:rsidP="00F41D22">
      <w:pPr>
        <w:spacing w:after="120"/>
        <w:rPr>
          <w:color w:val="000000"/>
          <w:sz w:val="22"/>
        </w:rPr>
      </w:pPr>
      <w:r>
        <w:rPr>
          <w:b/>
          <w:color w:val="000000"/>
          <w:sz w:val="22"/>
        </w:rPr>
        <w:lastRenderedPageBreak/>
        <w:t>A)</w:t>
      </w:r>
      <w:r>
        <w:rPr>
          <w:color w:val="000000"/>
          <w:sz w:val="22"/>
        </w:rPr>
        <w:t xml:space="preserve"> All three grounds are valid. Local governments have broad authority to consider aesthetic, health, and ordinance compliance issues in reviewing wireless applications.</w:t>
      </w:r>
    </w:p>
    <w:p w14:paraId="1E9D4A0A" w14:textId="6B487531" w:rsidR="00F41D22" w:rsidRDefault="00F41D22" w:rsidP="00F41D22">
      <w:pPr>
        <w:spacing w:after="120"/>
        <w:rPr>
          <w:color w:val="000000"/>
          <w:sz w:val="22"/>
        </w:rPr>
      </w:pPr>
      <w:r>
        <w:rPr>
          <w:b/>
          <w:color w:val="000000"/>
          <w:sz w:val="22"/>
        </w:rPr>
        <w:t>B)</w:t>
      </w:r>
      <w:r>
        <w:rPr>
          <w:color w:val="000000"/>
          <w:sz w:val="22"/>
        </w:rPr>
        <w:t xml:space="preserve"> Grounds 1 and 3 are valid. Aesthetic impact is always a valid concern for new tower applications. RF concerns are prohibited. The height violation is a clear ordinance violation.</w:t>
      </w:r>
    </w:p>
    <w:p w14:paraId="7BB76DD4" w14:textId="77730AD0" w:rsidR="00F41D22" w:rsidRDefault="00F41D22" w:rsidP="00F41D22">
      <w:pPr>
        <w:spacing w:after="120"/>
        <w:rPr>
          <w:color w:val="000000"/>
          <w:sz w:val="22"/>
        </w:rPr>
      </w:pPr>
      <w:r>
        <w:rPr>
          <w:b/>
          <w:color w:val="000000"/>
          <w:sz w:val="22"/>
        </w:rPr>
        <w:t>C)</w:t>
      </w:r>
      <w:r>
        <w:rPr>
          <w:color w:val="000000"/>
          <w:sz w:val="22"/>
        </w:rPr>
        <w:t xml:space="preserve"> Only Ground 3 is a valid basis for denial. The 75-foot height limit in the ordinance, consistently applied, is a substantive requirement the application does not meet. Ground 1 (aesthetic/property values) may be relevant to conditions but is generally insufficient as a standalone denial ground. Ground 2 (RF concerns) is explicitly prohibited as a basis for denial when the carrier has demonstrated FCC compliance.</w:t>
      </w:r>
    </w:p>
    <w:p w14:paraId="35DF7A67" w14:textId="780695C6" w:rsidR="00F41D22" w:rsidRDefault="00F41D22" w:rsidP="00F41D22">
      <w:pPr>
        <w:spacing w:after="120"/>
        <w:rPr>
          <w:color w:val="000000"/>
          <w:sz w:val="22"/>
        </w:rPr>
      </w:pPr>
      <w:r>
        <w:rPr>
          <w:b/>
          <w:color w:val="000000"/>
          <w:sz w:val="22"/>
        </w:rPr>
        <w:t>D)</w:t>
      </w:r>
      <w:r>
        <w:rPr>
          <w:color w:val="000000"/>
          <w:sz w:val="22"/>
        </w:rPr>
        <w:t xml:space="preserve"> None of the grounds are sufficient for denial. Federal law favors wireless infrastructure deployment and local governments should approve all technically complete applications.</w:t>
      </w:r>
    </w:p>
    <w:p w14:paraId="112CDB36" w14:textId="7E998FD4" w:rsidR="00F41D22" w:rsidRDefault="00F41D22" w:rsidP="00F41D22">
      <w:pPr>
        <w:spacing w:after="120"/>
        <w:rPr>
          <w:color w:val="000000"/>
          <w:sz w:val="22"/>
        </w:rPr>
      </w:pPr>
      <w:r>
        <w:rPr>
          <w:b/>
          <w:color w:val="000000"/>
          <w:sz w:val="22"/>
        </w:rPr>
        <w:t>Correct Answer: C</w:t>
      </w:r>
      <w:r>
        <w:rPr>
          <w:color w:val="000000"/>
          <w:sz w:val="22"/>
        </w:rPr>
        <w:t xml:space="preserve"> -- The height ordinance violation (Ground 3) is the only clearly valid denial ground here. The application proposes a structure at 80 feet in a zone limited to 75 feet. That is a specific, documented ordinance violation that is consistently applicable. Ground 2 (RF concerns) is explicitly prohibited by Section 332(c)(7) of the Telecommunications Act when the carrier has demonstrated FCC compliance -- community testimony about RF health impacts cannot be the basis of a denial. Ground 1 (aesthetics and property values) may be considered as part of a comprehensive ordinance framework but is typically insufficient as a standalone denial ground and, at the very least, requires much more specific ordinance support. The correct action is to deny the application specifically citing the height ordinance violation, or to issue a revision request allowing the carrier to address the height issue (e.g., propose a 75-foot structure or seek a variance).</w:t>
      </w:r>
    </w:p>
    <w:p w14:paraId="1404B1DA" w14:textId="1327C453" w:rsidR="00F41D22" w:rsidRPr="00F41D22" w:rsidRDefault="00F41D22" w:rsidP="00F41D22">
      <w:pPr>
        <w:spacing w:after="120"/>
        <w:rPr>
          <w:color w:val="000000"/>
          <w:sz w:val="22"/>
        </w:rPr>
      </w:pPr>
      <w:r>
        <w:rPr>
          <w:color w:val="000000"/>
          <w:sz w:val="22"/>
        </w:rPr>
        <w:t>*End of Lesson 6 | Next: Lesson 7 -- Communication, Final Inspection, and Project Closure*</w:t>
      </w:r>
    </w:p>
    <w:sectPr w:rsidR="00F41D22" w:rsidRPr="00F41D2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03F0E" w14:textId="77777777" w:rsidR="008A5225" w:rsidRDefault="008A5225" w:rsidP="00F41D22">
      <w:pPr>
        <w:spacing w:after="0" w:line="240" w:lineRule="auto"/>
      </w:pPr>
      <w:r>
        <w:separator/>
      </w:r>
    </w:p>
  </w:endnote>
  <w:endnote w:type="continuationSeparator" w:id="0">
    <w:p w14:paraId="641A10E4" w14:textId="77777777" w:rsidR="008A5225" w:rsidRDefault="008A5225" w:rsidP="00F41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37FBB" w14:textId="77777777" w:rsidR="00F41D22" w:rsidRDefault="00F41D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53DCF" w14:textId="7FAA60DA" w:rsidR="00F41D22" w:rsidRPr="00F41D22" w:rsidRDefault="00F41D22" w:rsidP="00F41D22">
    <w:pPr>
      <w:pStyle w:val="Footer"/>
      <w:jc w:val="center"/>
      <w:rPr>
        <w:color w:val="00AEEF"/>
        <w:sz w:val="18"/>
      </w:rPr>
    </w:pPr>
    <w:r>
      <w:rPr>
        <w:color w:val="00AEEF"/>
        <w:sz w:val="18"/>
      </w:rPr>
      <w:t>AMP for Government / Jurisdiction Reviewers  |  Course2 Lesson 06 Making Decisions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AC13" w14:textId="77777777" w:rsidR="00F41D22" w:rsidRDefault="00F41D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E3039" w14:textId="77777777" w:rsidR="008A5225" w:rsidRDefault="008A5225" w:rsidP="00F41D22">
      <w:pPr>
        <w:spacing w:after="0" w:line="240" w:lineRule="auto"/>
      </w:pPr>
      <w:r>
        <w:separator/>
      </w:r>
    </w:p>
  </w:footnote>
  <w:footnote w:type="continuationSeparator" w:id="0">
    <w:p w14:paraId="1C6EA709" w14:textId="77777777" w:rsidR="008A5225" w:rsidRDefault="008A5225" w:rsidP="00F41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94DC2" w14:textId="77777777" w:rsidR="00F41D22" w:rsidRDefault="00F41D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CCDEE" w14:textId="77777777" w:rsidR="00F41D22" w:rsidRDefault="00F41D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FB34" w14:textId="77777777" w:rsidR="00F41D22" w:rsidRDefault="00F41D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B4274B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936EA3C"/>
    <w:lvl w:ilvl="0">
      <w:start w:val="1"/>
      <w:numFmt w:val="bullet"/>
      <w:pStyle w:val="ListBullet"/>
      <w:lvlText w:val=""/>
      <w:lvlJc w:val="left"/>
      <w:pPr>
        <w:tabs>
          <w:tab w:val="num" w:pos="360"/>
        </w:tabs>
        <w:ind w:left="360" w:hanging="360"/>
      </w:pPr>
      <w:rPr>
        <w:rFonts w:ascii="Symbol" w:hAnsi="Symbol" w:hint="default"/>
      </w:rPr>
    </w:lvl>
  </w:abstractNum>
  <w:num w:numId="1" w16cid:durableId="880047440">
    <w:abstractNumId w:val="1"/>
  </w:num>
  <w:num w:numId="2" w16cid:durableId="1878158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22"/>
    <w:rsid w:val="001855AD"/>
    <w:rsid w:val="00725B26"/>
    <w:rsid w:val="008A5225"/>
    <w:rsid w:val="00BA67B4"/>
    <w:rsid w:val="00D879A3"/>
    <w:rsid w:val="00F41D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AFA5F24"/>
  <w15:chartTrackingRefBased/>
  <w15:docId w15:val="{DF33075D-62E8-4758-950C-4FC2CF8B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1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1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D22"/>
    <w:rPr>
      <w:rFonts w:eastAsiaTheme="majorEastAsia" w:cstheme="majorBidi"/>
      <w:color w:val="272727" w:themeColor="text1" w:themeTint="D8"/>
    </w:rPr>
  </w:style>
  <w:style w:type="paragraph" w:styleId="Title">
    <w:name w:val="Title"/>
    <w:basedOn w:val="Normal"/>
    <w:next w:val="Normal"/>
    <w:link w:val="TitleChar"/>
    <w:uiPriority w:val="10"/>
    <w:qFormat/>
    <w:rsid w:val="00F41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D22"/>
    <w:pPr>
      <w:spacing w:before="160"/>
      <w:jc w:val="center"/>
    </w:pPr>
    <w:rPr>
      <w:i/>
      <w:iCs/>
      <w:color w:val="404040" w:themeColor="text1" w:themeTint="BF"/>
    </w:rPr>
  </w:style>
  <w:style w:type="character" w:customStyle="1" w:styleId="QuoteChar">
    <w:name w:val="Quote Char"/>
    <w:basedOn w:val="DefaultParagraphFont"/>
    <w:link w:val="Quote"/>
    <w:uiPriority w:val="29"/>
    <w:rsid w:val="00F41D22"/>
    <w:rPr>
      <w:i/>
      <w:iCs/>
      <w:color w:val="404040" w:themeColor="text1" w:themeTint="BF"/>
    </w:rPr>
  </w:style>
  <w:style w:type="paragraph" w:styleId="ListParagraph">
    <w:name w:val="List Paragraph"/>
    <w:basedOn w:val="Normal"/>
    <w:uiPriority w:val="34"/>
    <w:qFormat/>
    <w:rsid w:val="00F41D22"/>
    <w:pPr>
      <w:ind w:left="720"/>
      <w:contextualSpacing/>
    </w:pPr>
  </w:style>
  <w:style w:type="character" w:styleId="IntenseEmphasis">
    <w:name w:val="Intense Emphasis"/>
    <w:basedOn w:val="DefaultParagraphFont"/>
    <w:uiPriority w:val="21"/>
    <w:qFormat/>
    <w:rsid w:val="00F41D22"/>
    <w:rPr>
      <w:i/>
      <w:iCs/>
      <w:color w:val="0F4761" w:themeColor="accent1" w:themeShade="BF"/>
    </w:rPr>
  </w:style>
  <w:style w:type="paragraph" w:styleId="IntenseQuote">
    <w:name w:val="Intense Quote"/>
    <w:basedOn w:val="Normal"/>
    <w:next w:val="Normal"/>
    <w:link w:val="IntenseQuoteChar"/>
    <w:uiPriority w:val="30"/>
    <w:qFormat/>
    <w:rsid w:val="00F41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D22"/>
    <w:rPr>
      <w:i/>
      <w:iCs/>
      <w:color w:val="0F4761" w:themeColor="accent1" w:themeShade="BF"/>
    </w:rPr>
  </w:style>
  <w:style w:type="character" w:styleId="IntenseReference">
    <w:name w:val="Intense Reference"/>
    <w:basedOn w:val="DefaultParagraphFont"/>
    <w:uiPriority w:val="32"/>
    <w:qFormat/>
    <w:rsid w:val="00F41D22"/>
    <w:rPr>
      <w:b/>
      <w:bCs/>
      <w:smallCaps/>
      <w:color w:val="0F4761" w:themeColor="accent1" w:themeShade="BF"/>
      <w:spacing w:val="5"/>
    </w:rPr>
  </w:style>
  <w:style w:type="paragraph" w:styleId="ListBullet">
    <w:name w:val="List Bullet"/>
    <w:basedOn w:val="Normal"/>
    <w:uiPriority w:val="99"/>
    <w:unhideWhenUsed/>
    <w:rsid w:val="00F41D22"/>
    <w:pPr>
      <w:numPr>
        <w:numId w:val="1"/>
      </w:numPr>
      <w:contextualSpacing/>
    </w:pPr>
  </w:style>
  <w:style w:type="paragraph" w:styleId="ListNumber">
    <w:name w:val="List Number"/>
    <w:basedOn w:val="Normal"/>
    <w:uiPriority w:val="99"/>
    <w:unhideWhenUsed/>
    <w:rsid w:val="00F41D22"/>
    <w:pPr>
      <w:numPr>
        <w:numId w:val="2"/>
      </w:numPr>
      <w:contextualSpacing/>
    </w:pPr>
  </w:style>
  <w:style w:type="paragraph" w:styleId="Header">
    <w:name w:val="header"/>
    <w:basedOn w:val="Normal"/>
    <w:link w:val="HeaderChar"/>
    <w:uiPriority w:val="99"/>
    <w:unhideWhenUsed/>
    <w:rsid w:val="00F41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D22"/>
  </w:style>
  <w:style w:type="paragraph" w:styleId="Footer">
    <w:name w:val="footer"/>
    <w:basedOn w:val="Normal"/>
    <w:link w:val="FooterChar"/>
    <w:uiPriority w:val="99"/>
    <w:unhideWhenUsed/>
    <w:rsid w:val="00F41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D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2860</Words>
  <Characters>16307</Characters>
  <Application>Microsoft Office Word</Application>
  <DocSecurity>0</DocSecurity>
  <Lines>135</Lines>
  <Paragraphs>38</Paragraphs>
  <ScaleCrop>false</ScaleCrop>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2026-05-29T18:25:00Z</dcterms:created>
  <dcterms:modified xsi:type="dcterms:W3CDTF">2026-05-29T18:25:00Z</dcterms:modified>
</cp:coreProperties>
</file>