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6399" w14:textId="77777777" w:rsidR="008F0C1E" w:rsidRDefault="008F0C1E">
      <w:pPr>
        <w:spacing w:after="1200"/>
      </w:pPr>
    </w:p>
    <w:tbl>
      <w:tblPr>
        <w:tblW w:w="8400" w:type="dxa"/>
        <w:jc w:val="center"/>
        <w:tblCellMar>
          <w:left w:w="10" w:type="dxa"/>
          <w:right w:w="10" w:type="dxa"/>
        </w:tblCellMar>
        <w:tblLook w:val="04A0" w:firstRow="1" w:lastRow="0" w:firstColumn="1" w:lastColumn="0" w:noHBand="0" w:noVBand="1"/>
      </w:tblPr>
      <w:tblGrid>
        <w:gridCol w:w="4022"/>
        <w:gridCol w:w="355"/>
        <w:gridCol w:w="4023"/>
      </w:tblGrid>
      <w:tr w:rsidR="008F0C1E" w14:paraId="1E4A2701" w14:textId="77777777" w:rsidTr="00871F12">
        <w:tblPrEx>
          <w:tblCellMar>
            <w:top w:w="0" w:type="dxa"/>
            <w:bottom w:w="0" w:type="dxa"/>
          </w:tblCellMar>
        </w:tblPrEx>
        <w:trPr>
          <w:jc w:val="center"/>
        </w:trPr>
        <w:tc>
          <w:tcPr>
            <w:tcW w:w="0" w:type="auto"/>
            <w:vAlign w:val="center"/>
          </w:tcPr>
          <w:p w14:paraId="166DD98C" w14:textId="77777777" w:rsidR="008F0C1E" w:rsidRDefault="00000000">
            <w:pPr>
              <w:jc w:val="center"/>
            </w:pPr>
            <w:r>
              <w:rPr>
                <w:noProof/>
              </w:rPr>
              <w:drawing>
                <wp:inline distT="0" distB="0" distL="0" distR="0" wp14:anchorId="197C6362" wp14:editId="53FD67F0">
                  <wp:extent cx="180975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581025"/>
                          </a:xfrm>
                          <a:prstGeom prst="rect">
                            <a:avLst/>
                          </a:prstGeom>
                        </pic:spPr>
                      </pic:pic>
                    </a:graphicData>
                  </a:graphic>
                </wp:inline>
              </w:drawing>
            </w:r>
          </w:p>
        </w:tc>
        <w:tc>
          <w:tcPr>
            <w:tcW w:w="0" w:type="auto"/>
            <w:vAlign w:val="center"/>
          </w:tcPr>
          <w:p w14:paraId="0F3F982B" w14:textId="77777777" w:rsidR="008F0C1E" w:rsidRDefault="00000000">
            <w:pPr>
              <w:jc w:val="center"/>
            </w:pPr>
            <w:r>
              <w:rPr>
                <w:i/>
                <w:iCs/>
                <w:color w:val="666666"/>
                <w:sz w:val="20"/>
                <w:szCs w:val="20"/>
              </w:rPr>
              <w:t>for</w:t>
            </w:r>
          </w:p>
        </w:tc>
        <w:tc>
          <w:tcPr>
            <w:tcW w:w="0" w:type="auto"/>
            <w:vAlign w:val="center"/>
          </w:tcPr>
          <w:p w14:paraId="15BD67F7" w14:textId="1D347BD1" w:rsidR="008F0C1E" w:rsidRDefault="00000000">
            <w:pPr>
              <w:jc w:val="center"/>
            </w:pPr>
            <w:r>
              <w:rPr>
                <w:noProof/>
              </w:rPr>
              <w:drawing>
                <wp:inline distT="0" distB="0" distL="0" distR="0" wp14:anchorId="3B894B03" wp14:editId="1D0F905A">
                  <wp:extent cx="1809750" cy="581025"/>
                  <wp:effectExtent l="0" t="0" r="0" b="0"/>
                  <wp:docPr id="1911672467" name="Picture 191167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581025"/>
                          </a:xfrm>
                          <a:prstGeom prst="rect">
                            <a:avLst/>
                          </a:prstGeom>
                        </pic:spPr>
                      </pic:pic>
                    </a:graphicData>
                  </a:graphic>
                </wp:inline>
              </w:drawing>
            </w:r>
          </w:p>
        </w:tc>
      </w:tr>
    </w:tbl>
    <w:p w14:paraId="1DC714A7" w14:textId="77777777" w:rsidR="008F0C1E" w:rsidRDefault="008F0C1E">
      <w:pPr>
        <w:spacing w:after="700"/>
      </w:pPr>
    </w:p>
    <w:p w14:paraId="7970027D" w14:textId="77777777" w:rsidR="008F0C1E" w:rsidRDefault="00000000">
      <w:pPr>
        <w:jc w:val="center"/>
      </w:pPr>
      <w:r>
        <w:rPr>
          <w:b/>
          <w:bCs/>
          <w:color w:val="D6493C"/>
          <w:sz w:val="20"/>
          <w:szCs w:val="20"/>
        </w:rPr>
        <w:t xml:space="preserve">PROPOSAL  &amp;  INVESTMENT SUMMARY</w:t>
      </w:r>
    </w:p>
    <w:p w14:paraId="591C5B9C" w14:textId="77777777" w:rsidR="008F0C1E" w:rsidRDefault="008F0C1E">
      <w:pPr>
        <w:spacing w:after="120"/>
      </w:pPr>
    </w:p>
    <w:p w14:paraId="2FF36696" w14:textId="77777777" w:rsidR="008F0C1E" w:rsidRDefault="00000000">
      <w:pPr>
        <w:jc w:val="center"/>
      </w:pPr>
      <w:r>
        <w:rPr>
          <w:b/>
          <w:bCs/>
          <w:color w:val="322A5C"/>
          <w:sz w:val="52"/>
          <w:szCs w:val="52"/>
        </w:rPr>
        <w:t>Paid Search Growth Proposal</w:t>
      </w:r>
    </w:p>
    <w:p w14:paraId="27B34616" w14:textId="77777777" w:rsidR="008F0C1E" w:rsidRDefault="00000000">
      <w:pPr>
        <w:spacing w:before="100"/>
        <w:jc w:val="center"/>
      </w:pPr>
      <w:r>
        <w:rPr>
          <w:sz w:val="30"/>
          <w:szCs w:val="30"/>
        </w:rPr>
        <w:t>Google Ads Management for Maxwell Plumbing &amp; Drain</w:t>
      </w:r>
    </w:p>
    <w:p w14:paraId="2394794F" w14:textId="77777777" w:rsidR="008F0C1E" w:rsidRDefault="008F0C1E">
      <w:pPr>
        <w:spacing w:after="7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8"/>
        <w:gridCol w:w="3642"/>
      </w:tblGrid>
      <w:tr w:rsidR="008F0C1E" w14:paraId="6733C132" w14:textId="77777777">
        <w:tblPrEx>
          <w:tblCellMar>
            <w:top w:w="0" w:type="dxa"/>
            <w:bottom w:w="0" w:type="dxa"/>
          </w:tblCellMar>
        </w:tblPrEx>
        <w:trPr>
          <w:jc w:val="center"/>
        </w:trPr>
        <w:tc>
          <w:tcPr>
            <w:tcW w:w="0" w:type="auto"/>
            <w:vAlign w:val="center"/>
          </w:tcPr>
          <w:p w14:paraId="11FE91D6" w14:textId="77777777" w:rsidR="008F0C1E" w:rsidRDefault="00000000">
            <w:r>
              <w:rPr>
                <w:color w:val="666666"/>
                <w:sz w:val="19"/>
                <w:szCs w:val="19"/>
              </w:rPr>
              <w:t>Prepared for:</w:t>
            </w:r>
          </w:p>
          <w:p w14:paraId="6E2D72D1" w14:textId="77777777" w:rsidR="008F0C1E" w:rsidRDefault="00000000">
            <w:r>
              <w:rPr>
                <w:b/>
                <w:bCs/>
                <w:sz w:val="20"/>
                <w:szCs w:val="20"/>
              </w:rPr>
              <w:t>Jordan Maxwell</w:t>
            </w:r>
          </w:p>
          <w:p w14:paraId="609A9EFB" w14:textId="77777777" w:rsidR="008F0C1E" w:rsidRDefault="00000000">
            <w:r>
              <w:rPr>
                <w:color w:val="666666"/>
                <w:sz w:val="19"/>
                <w:szCs w:val="19"/>
              </w:rPr>
              <w:t>Maxwell Plumbing &amp; Drain</w:t>
            </w:r>
          </w:p>
          <w:p w14:paraId="26D1E21F" w14:textId="77777777" w:rsidR="008F0C1E" w:rsidRDefault="00000000">
            <w:r>
              <w:rPr>
                <w:color w:val="666666"/>
                <w:sz w:val="19"/>
                <w:szCs w:val="19"/>
              </w:rPr>
              <w:t>j.maxwell@maxwellsplumbing.com</w:t>
            </w:r>
          </w:p>
        </w:tc>
        <w:tc>
          <w:tcPr>
            <w:tcW w:w="0" w:type="auto"/>
            <w:vAlign w:val="center"/>
          </w:tcPr>
          <w:p w14:paraId="5CDC780E" w14:textId="77777777" w:rsidR="008F0C1E" w:rsidRDefault="00000000">
            <w:r>
              <w:rPr>
                <w:color w:val="666666"/>
                <w:sz w:val="19"/>
                <w:szCs w:val="19"/>
              </w:rPr>
              <w:t>Prepared by:</w:t>
            </w:r>
          </w:p>
          <w:p w14:paraId="10F6A527" w14:textId="77777777" w:rsidR="008F0C1E" w:rsidRDefault="00000000">
            <w:r>
              <w:rPr>
                <w:b/>
                <w:bCs/>
                <w:sz w:val="20"/>
                <w:szCs w:val="20"/>
              </w:rPr>
              <w:t>Richard Brashear</w:t>
            </w:r>
          </w:p>
          <w:p w14:paraId="612A8A81" w14:textId="77777777" w:rsidR="008F0C1E" w:rsidRDefault="00000000">
            <w:r>
              <w:rPr>
                <w:color w:val="666666"/>
                <w:sz w:val="19"/>
                <w:szCs w:val="19"/>
              </w:rPr>
              <w:t>GroupRB Marketing</w:t>
            </w:r>
          </w:p>
          <w:p w14:paraId="38105FB0" w14:textId="77777777" w:rsidR="008F0C1E" w:rsidRDefault="00000000">
            <w:r>
              <w:rPr>
                <w:color w:val="666666"/>
                <w:sz w:val="19"/>
                <w:szCs w:val="19"/>
              </w:rPr>
              <w:t xml:space="preserve">www.grouprb.com  |  803-415-5062</w:t>
            </w:r>
          </w:p>
        </w:tc>
      </w:tr>
    </w:tbl>
    <w:p w14:paraId="47878856" w14:textId="77777777" w:rsidR="008F0C1E" w:rsidRDefault="008F0C1E">
      <w:pPr>
        <w:spacing w:after="500"/>
      </w:pPr>
    </w:p>
    <w:p w14:paraId="358617AC" w14:textId="77777777" w:rsidR="008F0C1E" w:rsidRDefault="00000000">
      <w:pPr>
        <w:jc w:val="center"/>
      </w:pPr>
      <w:r>
        <w:rPr>
          <w:color w:val="666666"/>
          <w:sz w:val="19"/>
          <w:szCs w:val="19"/>
        </w:rPr>
        <w:t>September 22, 2026</w:t>
      </w:r>
    </w:p>
    <w:p w14:paraId="7446DF72" w14:textId="77777777" w:rsidR="008F0C1E" w:rsidRDefault="008F0C1E">
      <w:pPr>
        <w:spacing w:after="9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0C1E" w14:paraId="6CB748DD" w14:textId="77777777">
        <w:tblPrEx>
          <w:tblCellMar>
            <w:top w:w="0" w:type="dxa"/>
            <w:bottom w:w="0" w:type="dxa"/>
          </w:tblCellMar>
        </w:tblPrEx>
        <w:tc>
          <w:tcPr>
            <w:tcW w:w="10080" w:type="dxa"/>
            <w:shd w:val="clear" w:color="auto" w:fill="453C79"/>
            <w:tcMar>
              <w:top w:w="60" w:type="dxa"/>
              <w:bottom w:w="60" w:type="dxa"/>
            </w:tcMar>
          </w:tcPr>
          <w:p w14:paraId="5DF720EF" w14:textId="77777777" w:rsidR="008F0C1E" w:rsidRDefault="008F0C1E"/>
        </w:tc>
      </w:tr>
    </w:tbl>
    <w:p w14:paraId="4E733088" w14:textId="77777777" w:rsidR="008F0C1E" w:rsidRDefault="00000000">
      <w:r>
        <w:br w:type="page"/>
      </w:r>
    </w:p>
    <w:p w14:paraId="3419C120" w14:textId="77777777" w:rsidR="008F0C1E" w:rsidRDefault="00000000">
      <w:pPr>
        <w:pStyle w:val="Heading1"/>
        <w:pBdr>
          <w:bottom w:val="single" w:sz="6" w:space="6" w:color="453C79"/>
        </w:pBdr>
      </w:pPr>
      <w:r>
        <w:rPr>
          <w:caps/>
        </w:rPr>
        <w:lastRenderedPageBreak/>
        <w:t>Overview</w:t>
      </w:r>
    </w:p>
    <w:p w14:paraId="5B12BBCB" w14:textId="77777777" w:rsidR="008F0C1E" w:rsidRDefault="00000000">
      <w:pPr>
        <w:spacing w:after="140" w:line="276" w:lineRule="auto"/>
      </w:pPr>
      <w:r>
        <w:t xml:space="preserve">Maxwell Plumbing &amp; Drain currently spends </w:t>
      </w:r>
      <w:r>
        <w:rPr>
          <w:b/>
          <w:bCs/>
        </w:rPr>
        <w:t>$1,500 per month</w:t>
      </w:r>
      <w:r>
        <w:t xml:space="preserve"> on Google Ads. This proposal outlines a paid search management program to run alongside GroupRB's SEO &amp; Digital Growth engagement — put simply, ads driving traffic to pages GroupRB already controls, optimizes, and measures, instead of two disconnected efforts.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0C1E" w14:paraId="7C051DE0" w14:textId="77777777">
        <w:tblPrEx>
          <w:tblCellMar>
            <w:top w:w="0" w:type="dxa"/>
            <w:bottom w:w="0" w:type="dxa"/>
          </w:tblCellMar>
        </w:tblPrEx>
        <w:tc>
          <w:tcPr>
            <w:tcW w:w="10080" w:type="dxa"/>
            <w:tcBorders>
              <w:top w:val="single" w:sz="4" w:space="0" w:color="B8860B"/>
              <w:left w:val="single" w:sz="24" w:space="0" w:color="B8860B"/>
              <w:bottom w:val="single" w:sz="4" w:space="0" w:color="B8860B"/>
              <w:right w:val="single" w:sz="4" w:space="0" w:color="B8860B"/>
            </w:tcBorders>
            <w:shd w:val="clear" w:color="auto" w:fill="FBF4E4"/>
            <w:tcMar>
              <w:top w:w="160" w:type="dxa"/>
              <w:left w:w="220" w:type="dxa"/>
              <w:bottom w:w="160" w:type="dxa"/>
              <w:right w:w="220" w:type="dxa"/>
            </w:tcMar>
          </w:tcPr>
          <w:p w14:paraId="78BB4C69" w14:textId="77777777" w:rsidR="008F0C1E" w:rsidRDefault="00000000">
            <w:pPr>
              <w:spacing w:after="80"/>
            </w:pPr>
            <w:r>
              <w:rPr>
                <w:b/>
                <w:bCs/>
                <w:color w:val="8A6D1F"/>
              </w:rPr>
              <w:t>⚠  Disclaimer</w:t>
            </w:r>
          </w:p>
          <w:p w14:paraId="446F470A" w14:textId="77777777" w:rsidR="008F0C1E" w:rsidRDefault="00000000">
            <w:r>
              <w:rPr>
                <w:i/>
                <w:iCs/>
                <w:sz w:val="19"/>
                <w:szCs w:val="19"/>
              </w:rPr>
              <w:t>GroupRB does not yet have access to Maxwell Plumbing &amp; Drain's Google Ads account, so this proposal is a forward-looking program overview based on common findings for local service businesses — not an audit of current campaign performance. Once account access is granted, Phase 1 includes a full audit, and any specific findings or quick wins will be shared with Client before any changes are made.</w:t>
            </w:r>
          </w:p>
        </w:tc>
      </w:tr>
    </w:tbl>
    <w:p w14:paraId="6B581302" w14:textId="77777777" w:rsidR="008F0C1E" w:rsidRDefault="008F0C1E">
      <w:pPr>
        <w:spacing w:after="120"/>
      </w:pPr>
    </w:p>
    <w:p w14:paraId="2CDE1EA7" w14:textId="77777777" w:rsidR="008F0C1E" w:rsidRDefault="00000000">
      <w:pPr>
        <w:spacing w:before="260" w:after="120"/>
      </w:pPr>
      <w:r>
        <w:rPr>
          <w:b/>
          <w:bCs/>
          <w:color w:val="322A5C"/>
          <w:sz w:val="24"/>
          <w:szCs w:val="24"/>
        </w:rPr>
        <w:t xml:space="preserve">Why Pair Ads With the SEO Program</w:t>
      </w:r>
    </w:p>
    <w:p w14:paraId="604AA7EF" w14:textId="77777777" w:rsidR="008F0C1E" w:rsidRDefault="00000000">
      <w:pPr>
        <w:pStyle w:val="ListParagraph"/>
        <w:numPr>
          <w:ilvl w:val="0"/>
          <w:numId w:val="2"/>
        </w:numPr>
        <w:spacing w:after="90" w:line="264" w:lineRule="auto"/>
      </w:pPr>
      <w:r>
        <w:t xml:space="preserve">The SEO program is already building dedicated, conversion-optimized pages (an emergency plumbing page, a drain-clearing pillar page, pricing/FAQ content on service pages) — the exact landing pages a well-run ad account needs instead of sending clicks to the homepage.</w:t>
      </w:r>
    </w:p>
    <w:p w14:paraId="2B196FAA" w14:textId="77777777" w:rsidR="008F0C1E" w:rsidRDefault="00000000">
      <w:pPr>
        <w:pStyle w:val="ListParagraph"/>
        <w:numPr>
          <w:ilvl w:val="0"/>
          <w:numId w:val="2"/>
        </w:numPr>
        <w:spacing w:after="90" w:line="264" w:lineRule="auto"/>
      </w:pPr>
      <w:r>
        <w:t>Maxwell's 4.9-star, 563-review reputation and Plumber/Review schema being built into the site strengthen ad relevance and Quality Score, lowering cost-per-click over time.</w:t>
      </w:r>
    </w:p>
    <w:p w14:paraId="09DD9F8F" w14:textId="77777777" w:rsidR="008F0C1E" w:rsidRDefault="00000000">
      <w:pPr>
        <w:pStyle w:val="ListParagraph"/>
        <w:numPr>
          <w:ilvl w:val="0"/>
          <w:numId w:val="2"/>
        </w:numPr>
        <w:spacing w:after="90" w:line="264" w:lineRule="auto"/>
      </w:pPr>
      <w:r>
        <w:t>One team managing both means no finger-pointing between an SEO vendor and an Ads vendor when a page underperforms — GroupRB owns the full funnel.</w:t>
      </w:r>
    </w:p>
    <w:p w14:paraId="163ED96A" w14:textId="77777777" w:rsidR="008F0C1E" w:rsidRDefault="00000000">
      <w:pPr>
        <w:pStyle w:val="Heading1"/>
        <w:pBdr>
          <w:bottom w:val="single" w:sz="6" w:space="6" w:color="453C79"/>
        </w:pBdr>
      </w:pPr>
      <w:r>
        <w:rPr>
          <w:caps/>
        </w:rPr>
        <w:t>What We Typically Find</w:t>
      </w:r>
    </w:p>
    <w:p w14:paraId="04276E49" w14:textId="77777777" w:rsidR="008F0C1E" w:rsidRDefault="00000000">
      <w:pPr>
        <w:spacing w:after="140" w:line="276" w:lineRule="auto"/>
      </w:pPr>
      <w:r>
        <w:t>Without visibility into the live account yet, here is what our audits most often turn up for local service businesses running self-managed or lightly-managed Google Ads at this spend level — these are the first things Phase 1 will check for:</w:t>
      </w:r>
    </w:p>
    <w:p w14:paraId="77BE9186" w14:textId="77777777" w:rsidR="008F0C1E" w:rsidRDefault="00000000">
      <w:pPr>
        <w:pStyle w:val="ListParagraph"/>
        <w:numPr>
          <w:ilvl w:val="0"/>
          <w:numId w:val="2"/>
        </w:numPr>
        <w:spacing w:after="90" w:line="264" w:lineRule="auto"/>
      </w:pPr>
      <w:r>
        <w:t>No call tracking or conversion tracking configured, so there's no reliable way to know which clicks turn into calls or booked jobs</w:t>
      </w:r>
    </w:p>
    <w:p w14:paraId="64E1CBEC" w14:textId="77777777" w:rsidR="008F0C1E" w:rsidRDefault="00000000">
      <w:pPr>
        <w:pStyle w:val="ListParagraph"/>
        <w:numPr>
          <w:ilvl w:val="0"/>
          <w:numId w:val="2"/>
        </w:numPr>
        <w:spacing w:after="90" w:line="264" w:lineRule="auto"/>
      </w:pPr>
      <w:r>
        <w:t>Ads sending traffic to the homepage or a generic service page instead of a page built for that specific search intent</w:t>
      </w:r>
    </w:p>
    <w:p w14:paraId="4558FB85" w14:textId="77777777" w:rsidR="008F0C1E" w:rsidRDefault="00000000">
      <w:pPr>
        <w:pStyle w:val="ListParagraph"/>
        <w:numPr>
          <w:ilvl w:val="0"/>
          <w:numId w:val="2"/>
        </w:numPr>
        <w:spacing w:after="90" w:line="264" w:lineRule="auto"/>
      </w:pPr>
      <w:r>
        <w:t>Broad-match keywords with no negative keyword list, wasting spend on irrelevant searches</w:t>
      </w:r>
    </w:p>
    <w:p w14:paraId="01B5EE8B" w14:textId="77777777" w:rsidR="008F0C1E" w:rsidRDefault="00000000">
      <w:pPr>
        <w:pStyle w:val="ListParagraph"/>
        <w:numPr>
          <w:ilvl w:val="0"/>
          <w:numId w:val="2"/>
        </w:numPr>
        <w:spacing w:after="90" w:line="264" w:lineRule="auto"/>
      </w:pPr>
      <w:r>
        <w:t>No emergency/24-7 intent campaign separated out, despite that being some of the highest-value traffic for a plumber</w:t>
      </w:r>
    </w:p>
    <w:p w14:paraId="3B8CFA13" w14:textId="77777777" w:rsidR="008F0C1E" w:rsidRDefault="00000000">
      <w:pPr>
        <w:pStyle w:val="ListParagraph"/>
        <w:numPr>
          <w:ilvl w:val="0"/>
          <w:numId w:val="2"/>
        </w:numPr>
        <w:spacing w:after="90" w:line="264" w:lineRule="auto"/>
      </w:pPr>
      <w:r>
        <w:t>Generic ad copy that doesn't reference licensing, reviews, or service-area specifics</w:t>
      </w:r>
    </w:p>
    <w:p w14:paraId="2A6291DC" w14:textId="77777777" w:rsidR="008F0C1E" w:rsidRDefault="00000000">
      <w:pPr>
        <w:pStyle w:val="ListParagraph"/>
        <w:numPr>
          <w:ilvl w:val="0"/>
          <w:numId w:val="2"/>
        </w:numPr>
        <w:spacing w:after="90" w:line="264" w:lineRule="auto"/>
      </w:pPr>
      <w:r>
        <w:t xml:space="preserve">No day-parting or budget pacing strategy, so spend can run out before evening or weekend emergency calls come in</w:t>
      </w:r>
    </w:p>
    <w:p w14:paraId="22825F11" w14:textId="77777777" w:rsidR="008F0C1E" w:rsidRDefault="00000000">
      <w:r>
        <w:br w:type="page"/>
      </w:r>
    </w:p>
    <w:p w14:paraId="7E85E737" w14:textId="77777777" w:rsidR="008F0C1E" w:rsidRDefault="00000000">
      <w:pPr>
        <w:pStyle w:val="Heading1"/>
        <w:pBdr>
          <w:bottom w:val="single" w:sz="6" w:space="6" w:color="453C79"/>
        </w:pBdr>
      </w:pPr>
      <w:r>
        <w:rPr>
          <w:caps/>
        </w:rPr>
        <w:lastRenderedPageBreak/>
        <w:t>The Proposed Program</w:t>
      </w:r>
    </w:p>
    <w:p w14:paraId="7204133A" w14:textId="77777777" w:rsidR="008F0C1E" w:rsidRDefault="00000000">
      <w:pPr>
        <w:spacing w:after="140" w:line="276" w:lineRule="auto"/>
      </w:pPr>
      <w:r>
        <w:t>A three-phase program: audit and get the account measurable, rebuild the structure around Maxwell's real services and pages, then manage and report on it on an ongoing basis.</w:t>
      </w:r>
    </w:p>
    <w:p w14:paraId="216287CA" w14:textId="77777777" w:rsidR="008F0C1E" w:rsidRDefault="008F0C1E">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0C1E" w14:paraId="6674623F" w14:textId="77777777">
        <w:tblPrEx>
          <w:tblCellMar>
            <w:top w:w="0" w:type="dxa"/>
            <w:bottom w:w="0" w:type="dxa"/>
          </w:tblCellMar>
        </w:tblPrEx>
        <w:tc>
          <w:tcPr>
            <w:tcW w:w="10080" w:type="dxa"/>
            <w:shd w:val="clear" w:color="auto" w:fill="453C79"/>
            <w:tcMar>
              <w:top w:w="140" w:type="dxa"/>
              <w:left w:w="220" w:type="dxa"/>
              <w:bottom w:w="140" w:type="dxa"/>
              <w:right w:w="220" w:type="dxa"/>
            </w:tcMar>
          </w:tcPr>
          <w:p w14:paraId="5C0023A0" w14:textId="77777777" w:rsidR="008F0C1E" w:rsidRDefault="00000000">
            <w:r>
              <w:rPr>
                <w:b/>
                <w:bCs/>
                <w:color w:val="D8D2EC"/>
                <w:sz w:val="19"/>
                <w:szCs w:val="19"/>
              </w:rPr>
              <w:t xml:space="preserve">PHASE 1  —  </w:t>
            </w:r>
            <w:r>
              <w:rPr>
                <w:b/>
                <w:bCs/>
                <w:color w:val="FFFFFF"/>
                <w:sz w:val="24"/>
                <w:szCs w:val="24"/>
              </w:rPr>
              <w:t>Discovery &amp; Audit</w:t>
            </w:r>
          </w:p>
          <w:p w14:paraId="0C63A9C3" w14:textId="77777777" w:rsidR="008F0C1E" w:rsidRDefault="00000000">
            <w:pPr>
              <w:spacing w:before="40"/>
            </w:pPr>
            <w:r>
              <w:rPr>
                <w:i/>
                <w:iCs/>
                <w:color w:val="D8D2EC"/>
                <w:sz w:val="18"/>
                <w:szCs w:val="18"/>
              </w:rPr>
              <w:t>Weeks 1–2</w:t>
            </w:r>
          </w:p>
        </w:tc>
      </w:tr>
    </w:tbl>
    <w:p w14:paraId="19EA04DF" w14:textId="77777777" w:rsidR="008F0C1E" w:rsidRDefault="008F0C1E">
      <w:pPr>
        <w:spacing w:after="100"/>
      </w:pPr>
    </w:p>
    <w:p w14:paraId="41C9ADC3" w14:textId="77777777" w:rsidR="008F0C1E" w:rsidRDefault="00000000">
      <w:pPr>
        <w:pStyle w:val="ListParagraph"/>
        <w:numPr>
          <w:ilvl w:val="0"/>
          <w:numId w:val="2"/>
        </w:numPr>
        <w:spacing w:after="90" w:line="264" w:lineRule="auto"/>
      </w:pPr>
      <w:r>
        <w:t>Full audit of the existing Google Ads account once access is granted — campaign structure, spend history, keywords, and Quality Scores</w:t>
      </w:r>
    </w:p>
    <w:p w14:paraId="711BE801" w14:textId="77777777" w:rsidR="008F0C1E" w:rsidRDefault="00000000">
      <w:pPr>
        <w:pStyle w:val="ListParagraph"/>
        <w:numPr>
          <w:ilvl w:val="0"/>
          <w:numId w:val="2"/>
        </w:numPr>
        <w:spacing w:after="90" w:line="264" w:lineRule="auto"/>
      </w:pPr>
      <w:r>
        <w:t>Conversion tracking setup or verification — call tracking, form submissions, and GA4 goals tied to Google Ads</w:t>
      </w:r>
    </w:p>
    <w:p w14:paraId="56A06A38" w14:textId="77777777" w:rsidR="008F0C1E" w:rsidRDefault="00000000">
      <w:pPr>
        <w:pStyle w:val="ListParagraph"/>
        <w:numPr>
          <w:ilvl w:val="0"/>
          <w:numId w:val="2"/>
        </w:numPr>
        <w:spacing w:after="90" w:line="264" w:lineRule="auto"/>
      </w:pPr>
      <w:r>
        <w:t>Keyword and competitor research for Maxwell's core services and city pages</w:t>
      </w:r>
    </w:p>
    <w:p w14:paraId="6317C9EC" w14:textId="77777777" w:rsidR="008F0C1E" w:rsidRDefault="00000000">
      <w:pPr>
        <w:pStyle w:val="ListParagraph"/>
        <w:numPr>
          <w:ilvl w:val="0"/>
          <w:numId w:val="2"/>
        </w:numPr>
        <w:spacing w:after="90" w:line="264" w:lineRule="auto"/>
      </w:pPr>
      <w:r>
        <w:t>Landing page mapping — aligning each ad group to the right page from the SEO program (or flagging where a new one is needed)</w:t>
      </w:r>
    </w:p>
    <w:p w14:paraId="22AA4BF0" w14:textId="77777777" w:rsidR="008F0C1E" w:rsidRDefault="008F0C1E">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0C1E" w14:paraId="78187C2F" w14:textId="77777777">
        <w:tblPrEx>
          <w:tblCellMar>
            <w:top w:w="0" w:type="dxa"/>
            <w:bottom w:w="0" w:type="dxa"/>
          </w:tblCellMar>
        </w:tblPrEx>
        <w:tc>
          <w:tcPr>
            <w:tcW w:w="10080" w:type="dxa"/>
            <w:shd w:val="clear" w:color="auto" w:fill="453C79"/>
            <w:tcMar>
              <w:top w:w="140" w:type="dxa"/>
              <w:left w:w="220" w:type="dxa"/>
              <w:bottom w:w="140" w:type="dxa"/>
              <w:right w:w="220" w:type="dxa"/>
            </w:tcMar>
          </w:tcPr>
          <w:p w14:paraId="7A2FEA8F" w14:textId="77777777" w:rsidR="008F0C1E" w:rsidRDefault="00000000">
            <w:r>
              <w:rPr>
                <w:b/>
                <w:bCs/>
                <w:color w:val="D8D2EC"/>
                <w:sz w:val="19"/>
                <w:szCs w:val="19"/>
              </w:rPr>
              <w:t xml:space="preserve">PHASE 2  —  </w:t>
            </w:r>
            <w:r>
              <w:rPr>
                <w:b/>
                <w:bCs/>
                <w:color w:val="FFFFFF"/>
                <w:sz w:val="24"/>
                <w:szCs w:val="24"/>
              </w:rPr>
              <w:t>Campaign Rebuild</w:t>
            </w:r>
          </w:p>
          <w:p w14:paraId="1B466EE1" w14:textId="77777777" w:rsidR="008F0C1E" w:rsidRDefault="00000000">
            <w:pPr>
              <w:spacing w:before="40"/>
            </w:pPr>
            <w:r>
              <w:rPr>
                <w:i/>
                <w:iCs/>
                <w:color w:val="D8D2EC"/>
                <w:sz w:val="18"/>
                <w:szCs w:val="18"/>
              </w:rPr>
              <w:t>Weeks 2–4</w:t>
            </w:r>
          </w:p>
        </w:tc>
      </w:tr>
    </w:tbl>
    <w:p w14:paraId="5E611E18" w14:textId="77777777" w:rsidR="008F0C1E" w:rsidRDefault="008F0C1E">
      <w:pPr>
        <w:spacing w:after="100"/>
      </w:pPr>
    </w:p>
    <w:p w14:paraId="4ECC64D8" w14:textId="77777777" w:rsidR="008F0C1E" w:rsidRDefault="00000000">
      <w:pPr>
        <w:pStyle w:val="ListParagraph"/>
        <w:numPr>
          <w:ilvl w:val="0"/>
          <w:numId w:val="2"/>
        </w:numPr>
        <w:spacing w:after="90" w:line="264" w:lineRule="auto"/>
      </w:pPr>
      <w:r>
        <w:t>Restructure campaigns by service and city to match search intent</w:t>
      </w:r>
    </w:p>
    <w:p w14:paraId="1245A26A" w14:textId="77777777" w:rsidR="008F0C1E" w:rsidRDefault="00000000">
      <w:pPr>
        <w:pStyle w:val="ListParagraph"/>
        <w:numPr>
          <w:ilvl w:val="0"/>
          <w:numId w:val="2"/>
        </w:numPr>
        <w:spacing w:after="90" w:line="264" w:lineRule="auto"/>
      </w:pPr>
      <w:r>
        <w:t xml:space="preserve">Build a negative keyword list to cut wasted spend on irrelevant searches</w:t>
      </w:r>
    </w:p>
    <w:p w14:paraId="14747E39" w14:textId="77777777" w:rsidR="008F0C1E" w:rsidRDefault="00000000">
      <w:pPr>
        <w:pStyle w:val="ListParagraph"/>
        <w:numPr>
          <w:ilvl w:val="0"/>
          <w:numId w:val="2"/>
        </w:numPr>
        <w:spacing w:after="90" w:line="264" w:lineRule="auto"/>
      </w:pPr>
      <w:r>
        <w:t>Write ad copy referencing licensing, insurance, and the 4.9-star/563-review reputation</w:t>
      </w:r>
    </w:p>
    <w:p w14:paraId="541B0FA5" w14:textId="77777777" w:rsidR="008F0C1E" w:rsidRDefault="00000000">
      <w:pPr>
        <w:pStyle w:val="ListParagraph"/>
        <w:numPr>
          <w:ilvl w:val="0"/>
          <w:numId w:val="2"/>
        </w:numPr>
        <w:spacing w:after="90" w:line="264" w:lineRule="auto"/>
      </w:pPr>
      <w:r>
        <w:t>Add call extensions, sitelinks, and callouts; prioritize call-only or high-intent formats for emergency searches</w:t>
      </w:r>
    </w:p>
    <w:p w14:paraId="2D341CF6" w14:textId="77777777" w:rsidR="008F0C1E" w:rsidRDefault="00000000">
      <w:pPr>
        <w:pStyle w:val="ListParagraph"/>
        <w:numPr>
          <w:ilvl w:val="0"/>
          <w:numId w:val="2"/>
        </w:numPr>
        <w:spacing w:after="90" w:line="264" w:lineRule="auto"/>
      </w:pPr>
      <w:r>
        <w:t xml:space="preserve">Set day-parting and budget pacing so spend doesn't run out before evening/weekend emergency calls</w:t>
      </w:r>
    </w:p>
    <w:p w14:paraId="4347D20C" w14:textId="77777777" w:rsidR="008F0C1E" w:rsidRDefault="008F0C1E">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0C1E" w14:paraId="1D815534" w14:textId="77777777">
        <w:tblPrEx>
          <w:tblCellMar>
            <w:top w:w="0" w:type="dxa"/>
            <w:bottom w:w="0" w:type="dxa"/>
          </w:tblCellMar>
        </w:tblPrEx>
        <w:tc>
          <w:tcPr>
            <w:tcW w:w="10080" w:type="dxa"/>
            <w:shd w:val="clear" w:color="auto" w:fill="453C79"/>
            <w:tcMar>
              <w:top w:w="140" w:type="dxa"/>
              <w:left w:w="220" w:type="dxa"/>
              <w:bottom w:w="140" w:type="dxa"/>
              <w:right w:w="220" w:type="dxa"/>
            </w:tcMar>
          </w:tcPr>
          <w:p w14:paraId="3551F78B" w14:textId="77777777" w:rsidR="008F0C1E" w:rsidRDefault="00000000">
            <w:r>
              <w:rPr>
                <w:b/>
                <w:bCs/>
                <w:color w:val="D8D2EC"/>
                <w:sz w:val="19"/>
                <w:szCs w:val="19"/>
              </w:rPr>
              <w:t xml:space="preserve">PHASE 3  —  </w:t>
            </w:r>
            <w:r>
              <w:rPr>
                <w:b/>
                <w:bCs/>
                <w:color w:val="FFFFFF"/>
                <w:sz w:val="24"/>
                <w:szCs w:val="24"/>
              </w:rPr>
              <w:t>Ongoing Management &amp; Reporting</w:t>
            </w:r>
          </w:p>
          <w:p w14:paraId="24925987" w14:textId="77777777" w:rsidR="008F0C1E" w:rsidRDefault="00000000">
            <w:pPr>
              <w:spacing w:before="40"/>
            </w:pPr>
            <w:r>
              <w:rPr>
                <w:i/>
                <w:iCs/>
                <w:color w:val="D8D2EC"/>
                <w:sz w:val="18"/>
                <w:szCs w:val="18"/>
              </w:rPr>
              <w:t>Month 2 onward</w:t>
            </w:r>
          </w:p>
        </w:tc>
      </w:tr>
    </w:tbl>
    <w:p w14:paraId="05AE7879" w14:textId="77777777" w:rsidR="008F0C1E" w:rsidRDefault="008F0C1E">
      <w:pPr>
        <w:spacing w:after="100"/>
      </w:pPr>
    </w:p>
    <w:p w14:paraId="11505F80" w14:textId="77777777" w:rsidR="008F0C1E" w:rsidRDefault="00000000">
      <w:pPr>
        <w:pStyle w:val="ListParagraph"/>
        <w:numPr>
          <w:ilvl w:val="0"/>
          <w:numId w:val="2"/>
        </w:numPr>
        <w:spacing w:after="90" w:line="264" w:lineRule="auto"/>
      </w:pPr>
      <w:r>
        <w:t>Weekly bid, budget, and search-term monitoring</w:t>
      </w:r>
    </w:p>
    <w:p w14:paraId="536C650D" w14:textId="77777777" w:rsidR="008F0C1E" w:rsidRDefault="00000000">
      <w:pPr>
        <w:pStyle w:val="ListParagraph"/>
        <w:numPr>
          <w:ilvl w:val="0"/>
          <w:numId w:val="2"/>
        </w:numPr>
        <w:spacing w:after="90" w:line="264" w:lineRule="auto"/>
      </w:pPr>
      <w:r>
        <w:t>Ongoing negative keyword and ad copy refinement</w:t>
      </w:r>
    </w:p>
    <w:p w14:paraId="006D7C5E" w14:textId="77777777" w:rsidR="008F0C1E" w:rsidRDefault="00000000">
      <w:pPr>
        <w:pStyle w:val="ListParagraph"/>
        <w:numPr>
          <w:ilvl w:val="0"/>
          <w:numId w:val="2"/>
        </w:numPr>
        <w:spacing w:after="90" w:line="264" w:lineRule="auto"/>
      </w:pPr>
      <w:r>
        <w:t>A/B testing on ad copy and landing pages</w:t>
      </w:r>
    </w:p>
    <w:p w14:paraId="0348D10F" w14:textId="77777777" w:rsidR="008F0C1E" w:rsidRDefault="00000000">
      <w:pPr>
        <w:pStyle w:val="ListParagraph"/>
        <w:numPr>
          <w:ilvl w:val="0"/>
          <w:numId w:val="2"/>
        </w:numPr>
        <w:spacing w:after="90" w:line="264" w:lineRule="auto"/>
      </w:pPr>
      <w:r>
        <w:t>Monthly reporting tied to calls and leads, not just clicks — coordinated with the SEO program's Search Console reporting</w:t>
      </w:r>
    </w:p>
    <w:p w14:paraId="1B88D4B0" w14:textId="77777777" w:rsidR="008F0C1E" w:rsidRDefault="008F0C1E">
      <w:pPr>
        <w:spacing w:after="200"/>
      </w:pPr>
    </w:p>
    <w:p w14:paraId="6B5437AA" w14:textId="77777777" w:rsidR="008F0C1E" w:rsidRDefault="00000000">
      <w:r>
        <w:br w:type="page"/>
      </w:r>
    </w:p>
    <w:p w14:paraId="18E87081" w14:textId="77777777" w:rsidR="008F0C1E" w:rsidRDefault="00000000">
      <w:pPr>
        <w:pStyle w:val="Heading1"/>
        <w:pBdr>
          <w:bottom w:val="single" w:sz="6" w:space="6" w:color="453C79"/>
        </w:pBdr>
      </w:pPr>
      <w:r>
        <w:rPr>
          <w:caps/>
        </w:rPr>
        <w:lastRenderedPageBreak/>
        <w:t>Investment</w:t>
      </w:r>
    </w:p>
    <w:p w14:paraId="2830CAC6" w14:textId="77777777" w:rsidR="008F0C1E" w:rsidRDefault="00000000">
      <w:pPr>
        <w:spacing w:after="140" w:line="276" w:lineRule="auto"/>
      </w:pPr>
      <w:r>
        <w:t>A flat monthly management fee, scaled to ad spend rather than a percentage-of-spend model — so the fee reflects the actual work of managing the account, not just a cut of the budget.</w:t>
      </w:r>
    </w:p>
    <w:p w14:paraId="72DFD376" w14:textId="77777777" w:rsidR="008F0C1E" w:rsidRDefault="008F0C1E">
      <w:pPr>
        <w:spacing w:after="120"/>
      </w:pPr>
    </w:p>
    <w:tbl>
      <w:tblPr>
        <w:tblW w:w="10080" w:type="dxa"/>
        <w:tblBorders>
          <w:top w:val="single" w:sz="2" w:space="0" w:color="E4E4E4"/>
          <w:left w:val="single" w:sz="2" w:space="0" w:color="E4E4E4"/>
          <w:bottom w:val="single" w:sz="2" w:space="0" w:color="E4E4E4"/>
          <w:right w:val="single" w:sz="2" w:space="0" w:color="E4E4E4"/>
          <w:insideH w:val="single" w:sz="2" w:space="0" w:color="E4E4E4"/>
          <w:insideV w:val="single" w:sz="2" w:space="0" w:color="E4E4E4"/>
        </w:tblBorders>
        <w:tblCellMar>
          <w:left w:w="10" w:type="dxa"/>
          <w:right w:w="10" w:type="dxa"/>
        </w:tblCellMar>
        <w:tblLook w:val="04A0" w:firstRow="1" w:lastRow="0" w:firstColumn="1" w:lastColumn="0" w:noHBand="0" w:noVBand="1"/>
      </w:tblPr>
      <w:tblGrid>
        <w:gridCol w:w="6720"/>
        <w:gridCol w:w="3360"/>
      </w:tblGrid>
      <w:tr w:rsidR="008F0C1E" w14:paraId="4737A35E" w14:textId="77777777">
        <w:tblPrEx>
          <w:tblCellMar>
            <w:top w:w="0" w:type="dxa"/>
            <w:bottom w:w="0" w:type="dxa"/>
          </w:tblCellMar>
        </w:tblPrEx>
        <w:trPr>
          <w:tblHeader/>
        </w:trPr>
        <w:tc>
          <w:tcPr>
            <w:tcW w:w="6720" w:type="dxa"/>
            <w:shd w:val="clear" w:color="auto" w:fill="322A5C"/>
            <w:tcMar>
              <w:top w:w="100" w:type="dxa"/>
              <w:left w:w="120" w:type="dxa"/>
              <w:bottom w:w="100" w:type="dxa"/>
              <w:right w:w="120" w:type="dxa"/>
            </w:tcMar>
            <w:vAlign w:val="center"/>
          </w:tcPr>
          <w:p w14:paraId="0FC0454A" w14:textId="77777777" w:rsidR="008F0C1E" w:rsidRDefault="00000000">
            <w:r>
              <w:rPr>
                <w:b/>
                <w:bCs/>
                <w:color w:val="FFFFFF"/>
                <w:sz w:val="19"/>
                <w:szCs w:val="19"/>
              </w:rPr>
              <w:t>Monthly Ad Spend (Client-Funded)</w:t>
            </w:r>
          </w:p>
        </w:tc>
        <w:tc>
          <w:tcPr>
            <w:tcW w:w="3360" w:type="dxa"/>
            <w:shd w:val="clear" w:color="auto" w:fill="322A5C"/>
            <w:tcMar>
              <w:top w:w="100" w:type="dxa"/>
              <w:left w:w="120" w:type="dxa"/>
              <w:bottom w:w="100" w:type="dxa"/>
              <w:right w:w="120" w:type="dxa"/>
            </w:tcMar>
            <w:vAlign w:val="center"/>
          </w:tcPr>
          <w:p w14:paraId="5E2EDF41" w14:textId="77777777" w:rsidR="008F0C1E" w:rsidRDefault="00000000">
            <w:r>
              <w:rPr>
                <w:b/>
                <w:bCs/>
                <w:color w:val="FFFFFF"/>
                <w:sz w:val="19"/>
                <w:szCs w:val="19"/>
              </w:rPr>
              <w:t>Management Fee</w:t>
            </w:r>
          </w:p>
        </w:tc>
      </w:tr>
      <w:tr w:rsidR="008F0C1E" w14:paraId="710327FE" w14:textId="77777777">
        <w:tblPrEx>
          <w:tblCellMar>
            <w:top w:w="0" w:type="dxa"/>
            <w:bottom w:w="0" w:type="dxa"/>
          </w:tblCellMar>
        </w:tblPrEx>
        <w:tc>
          <w:tcPr>
            <w:tcW w:w="6720" w:type="dxa"/>
            <w:shd w:val="clear" w:color="auto" w:fill="FFFFFF"/>
            <w:tcMar>
              <w:top w:w="90" w:type="dxa"/>
              <w:left w:w="120" w:type="dxa"/>
              <w:bottom w:w="90" w:type="dxa"/>
              <w:right w:w="120" w:type="dxa"/>
            </w:tcMar>
            <w:vAlign w:val="center"/>
          </w:tcPr>
          <w:p w14:paraId="3C83366C" w14:textId="77777777" w:rsidR="008F0C1E" w:rsidRDefault="00000000">
            <w:r>
              <w:rPr>
                <w:sz w:val="19"/>
                <w:szCs w:val="19"/>
              </w:rPr>
              <w:t>Up to $3,000 / month</w:t>
            </w:r>
          </w:p>
        </w:tc>
        <w:tc>
          <w:tcPr>
            <w:tcW w:w="3360" w:type="dxa"/>
            <w:shd w:val="clear" w:color="auto" w:fill="FFFFFF"/>
            <w:tcMar>
              <w:top w:w="90" w:type="dxa"/>
              <w:left w:w="120" w:type="dxa"/>
              <w:bottom w:w="90" w:type="dxa"/>
              <w:right w:w="120" w:type="dxa"/>
            </w:tcMar>
            <w:vAlign w:val="center"/>
          </w:tcPr>
          <w:p w14:paraId="10CBAEF2" w14:textId="77777777" w:rsidR="008F0C1E" w:rsidRDefault="00000000">
            <w:r>
              <w:rPr>
                <w:sz w:val="19"/>
                <w:szCs w:val="19"/>
              </w:rPr>
              <w:t>$499 / month</w:t>
            </w:r>
          </w:p>
        </w:tc>
      </w:tr>
      <w:tr w:rsidR="008F0C1E" w14:paraId="32AE6FB2" w14:textId="77777777">
        <w:tblPrEx>
          <w:tblCellMar>
            <w:top w:w="0" w:type="dxa"/>
            <w:bottom w:w="0" w:type="dxa"/>
          </w:tblCellMar>
        </w:tblPrEx>
        <w:tc>
          <w:tcPr>
            <w:tcW w:w="6720" w:type="dxa"/>
            <w:shd w:val="clear" w:color="auto" w:fill="F7F6FB"/>
            <w:tcMar>
              <w:top w:w="90" w:type="dxa"/>
              <w:left w:w="120" w:type="dxa"/>
              <w:bottom w:w="90" w:type="dxa"/>
              <w:right w:w="120" w:type="dxa"/>
            </w:tcMar>
            <w:vAlign w:val="center"/>
          </w:tcPr>
          <w:p w14:paraId="21223050" w14:textId="77777777" w:rsidR="008F0C1E" w:rsidRDefault="00000000">
            <w:r>
              <w:rPr>
                <w:sz w:val="19"/>
                <w:szCs w:val="19"/>
              </w:rPr>
              <w:t>$3,000–$6,000 / month</w:t>
            </w:r>
          </w:p>
        </w:tc>
        <w:tc>
          <w:tcPr>
            <w:tcW w:w="3360" w:type="dxa"/>
            <w:shd w:val="clear" w:color="auto" w:fill="F7F6FB"/>
            <w:tcMar>
              <w:top w:w="90" w:type="dxa"/>
              <w:left w:w="120" w:type="dxa"/>
              <w:bottom w:w="90" w:type="dxa"/>
              <w:right w:w="120" w:type="dxa"/>
            </w:tcMar>
            <w:vAlign w:val="center"/>
          </w:tcPr>
          <w:p w14:paraId="37A43C6A" w14:textId="77777777" w:rsidR="008F0C1E" w:rsidRDefault="00000000">
            <w:r>
              <w:rPr>
                <w:sz w:val="19"/>
                <w:szCs w:val="19"/>
              </w:rPr>
              <w:t>$625 / month</w:t>
            </w:r>
          </w:p>
        </w:tc>
      </w:tr>
    </w:tbl>
    <w:p w14:paraId="68FFDA8D" w14:textId="77777777" w:rsidR="008F0C1E" w:rsidRDefault="008F0C1E">
      <w:pPr>
        <w:spacing w:after="160"/>
      </w:pPr>
    </w:p>
    <w:p w14:paraId="3A7039BA" w14:textId="77777777" w:rsidR="008F0C1E" w:rsidRDefault="00000000">
      <w:pPr>
        <w:spacing w:after="140" w:line="276" w:lineRule="auto"/>
      </w:pPr>
      <w:r>
        <w:t xml:space="preserve">At Maxwell's current $1,500/month spend, the management fee starts at </w:t>
      </w:r>
      <w:r>
        <w:rPr>
          <w:b/>
          <w:bCs/>
        </w:rPr>
        <w:t>$499/month</w:t>
      </w:r>
      <w:r>
        <w:t xml:space="preserve">. The fee steps up to $625/month only if and when monthly ad spend crosses $3,000 — tied to the ad spend actually being managed, checked monthly, not a time-limited introductory rate.</w:t>
      </w:r>
    </w:p>
    <w:p w14:paraId="7E635AA0" w14:textId="77777777" w:rsidR="008F0C1E" w:rsidRDefault="00000000">
      <w:pPr>
        <w:spacing w:after="140" w:line="276" w:lineRule="auto"/>
      </w:pPr>
      <w:r>
        <w:rPr>
          <w:b/>
          <w:bCs/>
        </w:rPr>
        <w:t xml:space="preserve">Why the higher tier costs more: </w:t>
      </w:r>
      <w:r>
        <w:t>an account spending $3,000–$6,000/month typically runs more campaigns and ad groups across more of Maxwell's service pages and cities, which means more landing pages to map and maintain, more conversion-tracking touchpoints (call tracking and GA4 events per campaign), a larger search-term and negative-keyword list to review, and more frequent bid and budget adjustments to keep multiple campaigns from exhausting budget early. The fee increase reflects that added management surface, not simply a higher spend total.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F0C1E" w14:paraId="2F238F55" w14:textId="77777777">
        <w:tblPrEx>
          <w:tblCellMar>
            <w:top w:w="0" w:type="dxa"/>
            <w:bottom w:w="0" w:type="dxa"/>
          </w:tblCellMar>
        </w:tblPrEx>
        <w:tc>
          <w:tcPr>
            <w:tcW w:w="10080" w:type="dxa"/>
            <w:tcBorders>
              <w:top w:val="single" w:sz="4" w:space="0" w:color="453C79"/>
              <w:left w:val="single" w:sz="24" w:space="0" w:color="453C79"/>
              <w:bottom w:val="single" w:sz="4" w:space="0" w:color="453C79"/>
              <w:right w:val="single" w:sz="4" w:space="0" w:color="453C79"/>
            </w:tcBorders>
            <w:shd w:val="clear" w:color="auto" w:fill="EEECF6"/>
            <w:tcMar>
              <w:top w:w="160" w:type="dxa"/>
              <w:left w:w="220" w:type="dxa"/>
              <w:bottom w:w="160" w:type="dxa"/>
              <w:right w:w="220" w:type="dxa"/>
            </w:tcMar>
          </w:tcPr>
          <w:p w14:paraId="4498A5F5" w14:textId="77777777" w:rsidR="008F0C1E" w:rsidRDefault="00000000">
            <w:r>
              <w:rPr>
                <w:b/>
                <w:bCs/>
                <w:i/>
                <w:iCs/>
                <w:color w:val="322A5C"/>
                <w:sz w:val="20"/>
                <w:szCs w:val="20"/>
              </w:rPr>
              <w:t xml:space="preserve">Ad spend is billed directly by Google to Client and is never marked up by GroupRB — the management fee above is the entire cost of the service.</w:t>
            </w:r>
          </w:p>
        </w:tc>
      </w:tr>
    </w:tbl>
    <w:p w14:paraId="023E75DE" w14:textId="77777777" w:rsidR="008F0C1E" w:rsidRDefault="00000000">
      <w:pPr>
        <w:pStyle w:val="Heading1"/>
        <w:pBdr>
          <w:bottom w:val="single" w:sz="6" w:space="6" w:color="453C79"/>
        </w:pBdr>
      </w:pPr>
      <w:r>
        <w:rPr>
          <w:caps/>
        </w:rPr>
        <w:t>Why GroupRB for Ads</w:t>
      </w:r>
    </w:p>
    <w:p w14:paraId="313C6BCA" w14:textId="77777777" w:rsidR="008F0C1E" w:rsidRDefault="00000000">
      <w:pPr>
        <w:pStyle w:val="ListParagraph"/>
        <w:numPr>
          <w:ilvl w:val="0"/>
          <w:numId w:val="2"/>
        </w:numPr>
        <w:spacing w:after="90" w:line="264" w:lineRule="auto"/>
      </w:pPr>
      <w:r>
        <w:rPr>
          <w:b/>
          <w:bCs/>
        </w:rPr>
        <w:t xml:space="preserve">One team, one funnel: </w:t>
      </w:r>
      <w:r>
        <w:t>campaigns point to pages GroupRB already builds and optimizes as part of the SEO program — no handoff gaps.</w:t>
      </w:r>
    </w:p>
    <w:p w14:paraId="75FFE951" w14:textId="77777777" w:rsidR="008F0C1E" w:rsidRDefault="00000000">
      <w:pPr>
        <w:pStyle w:val="ListParagraph"/>
        <w:numPr>
          <w:ilvl w:val="0"/>
          <w:numId w:val="2"/>
        </w:numPr>
        <w:spacing w:after="90" w:line="264" w:lineRule="auto"/>
      </w:pPr>
      <w:r>
        <w:rPr>
          <w:b/>
          <w:bCs/>
        </w:rPr>
        <w:t xml:space="preserve">Fee scales with the work: </w:t>
      </w:r>
      <w:r>
        <w:t xml:space="preserve">flat pricing tied to spend tier, not a percentage that inflates the fee simply because spend goes up.</w:t>
      </w:r>
    </w:p>
    <w:p w14:paraId="75A6BD76" w14:textId="77777777" w:rsidR="008F0C1E" w:rsidRDefault="00000000">
      <w:pPr>
        <w:pStyle w:val="ListParagraph"/>
        <w:numPr>
          <w:ilvl w:val="0"/>
          <w:numId w:val="2"/>
        </w:numPr>
        <w:spacing w:after="90" w:line="264" w:lineRule="auto"/>
      </w:pPr>
      <w:r>
        <w:rPr>
          <w:b/>
          <w:bCs/>
        </w:rPr>
        <w:t xml:space="preserve">No ad spend markup: </w:t>
      </w:r>
      <w:r>
        <w:t>every dollar of ad spend goes to Google — the management fee is the only fee.</w:t>
      </w:r>
    </w:p>
    <w:p w14:paraId="18BF4D95" w14:textId="77777777" w:rsidR="008F0C1E" w:rsidRDefault="00000000">
      <w:pPr>
        <w:pStyle w:val="ListParagraph"/>
        <w:numPr>
          <w:ilvl w:val="0"/>
          <w:numId w:val="2"/>
        </w:numPr>
        <w:spacing w:after="90" w:line="264" w:lineRule="auto"/>
      </w:pPr>
      <w:r>
        <w:rPr>
          <w:b/>
          <w:bCs/>
        </w:rPr>
        <w:t xml:space="preserve">Reporting on calls, not clicks: </w:t>
      </w:r>
      <w:r>
        <w:t>monthly reporting ties back to actual leads and coordinates with the SEO program's Search Console data.</w:t>
      </w:r>
    </w:p>
    <w:p w:rsidR="008F0C1E" w:rsidRDefault="00000000">
      <w:pPr>
        <w:pStyle w:val="ListParagraph"/>
        <w:numPr>
          <w:ilvl w:val="0"/>
          <w:numId w:val="2"/>
        </w:numPr>
        <w:spacing w:after="90" w:line="264" w:lineRule="auto"/>
      </w:pPr>
      <w:r>
        <w:rPr>
          <w:b/>
          <w:bCs/>
        </w:rPr>
        <w:t xml:space="preserve">Category exclusivity: </w:t>
      </w:r>
      <w:r>
        <w:t xml:space="preserve">for the term of the engagement, GroupRB will not run Google Ads for any other plumbing, drain, or septic company in the CSRA (Augusta, Evans, Grovetown, Martinez, Harlem, Appling, North Augusta, and Aiken). That’s not just a courtesy — it means GroupRB is never bidding against Maxwell Plumbing &amp; Drain in the same Google Ads auction on behalf of a competitor.</w:t>
      </w:r>
    </w:p>
    <w:p w14:paraId="7E100E63" w14:textId="77777777" w:rsidR="008F0C1E" w:rsidRDefault="00000000">
      <w:pPr>
        <w:pStyle w:val="Heading1"/>
        <w:pBdr>
          <w:bottom w:val="single" w:sz="6" w:space="6" w:color="453C79"/>
        </w:pBdr>
      </w:pPr>
      <w:r>
        <w:rPr>
          <w:caps/>
        </w:rPr>
        <w:t>Terms &amp; Next Steps</w:t>
      </w:r>
    </w:p>
    <w:p w14:paraId="4904F42F" w14:textId="77777777" w:rsidR="008F0C1E" w:rsidRDefault="00000000">
      <w:pPr>
        <w:pStyle w:val="ListParagraph"/>
        <w:numPr>
          <w:ilvl w:val="0"/>
          <w:numId w:val="2"/>
        </w:numPr>
        <w:spacing w:after="90" w:line="264" w:lineRule="auto"/>
      </w:pPr>
      <w:r>
        <w:t>Month-to-month engagement, billed monthly, with 30 days' written notice to cancel by either party</w:t>
      </w:r>
    </w:p>
    <w:p w14:paraId="5E18919A" w14:textId="77777777" w:rsidR="008F0C1E" w:rsidRDefault="00000000">
      <w:pPr>
        <w:pStyle w:val="ListParagraph"/>
        <w:numPr>
          <w:ilvl w:val="0"/>
          <w:numId w:val="2"/>
        </w:numPr>
        <w:spacing w:after="90" w:line="264" w:lineRule="auto"/>
      </w:pPr>
      <w:r>
        <w:t>Phase 1 begins within 5 business days of receiving Google Ads account access (or an account manager link)</w:t>
      </w:r>
    </w:p>
    <w:p w14:paraId="6F96BBAD" w14:textId="77777777" w:rsidR="008F0C1E" w:rsidRDefault="00000000">
      <w:pPr>
        <w:pStyle w:val="ListParagraph"/>
        <w:numPr>
          <w:ilvl w:val="0"/>
          <w:numId w:val="2"/>
        </w:numPr>
        <w:spacing w:after="90" w:line="264" w:lineRule="auto"/>
      </w:pPr>
      <w:r>
        <w:t>Monthly reporting on spend, leads, and calls, coordinated with the SEO program's reporting cadence</w:t>
      </w:r>
    </w:p>
    <w:p w14:paraId="04AAC9EC" w14:textId="77777777" w:rsidR="008F0C1E" w:rsidRDefault="00000000">
      <w:pPr>
        <w:pStyle w:val="ListParagraph"/>
        <w:numPr>
          <w:ilvl w:val="0"/>
          <w:numId w:val="2"/>
        </w:numPr>
        <w:spacing w:after="90" w:line="264" w:lineRule="auto"/>
      </w:pPr>
      <w:r>
        <w:lastRenderedPageBreak/>
        <w:t>If Client wishes to proceed, this program can be added as an addendum to the existing GroupRB Services Agreement, or executed as its own short agreement — whichever Client prefers</w:t>
      </w:r>
    </w:p>
    <w:p w14:paraId="27110FC5" w14:textId="77777777" w:rsidR="008F0C1E" w:rsidRDefault="008F0C1E">
      <w:pPr>
        <w:spacing w:after="260"/>
      </w:pPr>
    </w:p>
    <w:p w14:paraId="5496B269" w14:textId="77777777" w:rsidR="008F0C1E" w:rsidRDefault="00000000">
      <w:pPr>
        <w:spacing w:before="260" w:after="120"/>
      </w:pPr>
      <w:r>
        <w:rPr>
          <w:b/>
          <w:bCs/>
          <w:color w:val="322A5C"/>
          <w:sz w:val="24"/>
          <w:szCs w:val="24"/>
        </w:rPr>
        <w:t>Ready to Move Forward</w:t>
      </w:r>
    </w:p>
    <w:p w14:paraId="344748AD" w14:textId="77777777" w:rsidR="008F0C1E" w:rsidRDefault="00000000">
      <w:pPr>
        <w:spacing w:after="140" w:line="276" w:lineRule="auto"/>
      </w:pPr>
      <w:r>
        <w:t>Sign below to authorize the Paid Search Growth Program at the investment outlined above.</w:t>
      </w:r>
    </w:p>
    <w:p w14:paraId="2DBBE938" w14:textId="77777777" w:rsidR="008F0C1E" w:rsidRDefault="008F0C1E">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8"/>
        <w:gridCol w:w="4942"/>
      </w:tblGrid>
      <w:tr w:rsidR="008F0C1E" w14:paraId="1A54203B" w14:textId="77777777">
        <w:tblPrEx>
          <w:tblCellMar>
            <w:top w:w="0" w:type="dxa"/>
            <w:bottom w:w="0" w:type="dxa"/>
          </w:tblCellMar>
        </w:tblPrEx>
        <w:tc>
          <w:tcPr>
            <w:tcW w:w="0" w:type="auto"/>
            <w:vAlign w:val="center"/>
          </w:tcPr>
          <w:p w14:paraId="1CEED10D" w14:textId="77777777" w:rsidR="008F0C1E" w:rsidRDefault="00000000">
            <w:r>
              <w:rPr>
                <w:b/>
                <w:bCs/>
                <w:sz w:val="20"/>
                <w:szCs w:val="20"/>
              </w:rPr>
              <w:t>Maxwell Plumbing &amp; Drain</w:t>
            </w:r>
          </w:p>
          <w:p w14:paraId="10D6B30C" w14:textId="77777777" w:rsidR="008F0C1E" w:rsidRDefault="008F0C1E">
            <w:pPr>
              <w:spacing w:after="200"/>
            </w:pPr>
          </w:p>
          <w:p w14:paraId="179F863D" w14:textId="77777777" w:rsidR="008F0C1E" w:rsidRDefault="00000000">
            <w:pPr>
              <w:pBdr>
                <w:bottom w:val="single" w:sz="4" w:space="4" w:color="222222"/>
              </w:pBdr>
              <w:spacing w:after="60"/>
            </w:pPr>
            <w:r>
              <w:rPr>
                <w:sz w:val="20"/>
                <w:szCs w:val="20"/>
              </w:rPr>
              <w:t xml:space="preserve"> </w:t>
            </w:r>
          </w:p>
          <w:p w14:paraId="5DED9272" w14:textId="77777777" w:rsidR="008F0C1E" w:rsidRDefault="00000000">
            <w:r>
              <w:rPr>
                <w:color w:val="666666"/>
                <w:sz w:val="17"/>
                <w:szCs w:val="17"/>
              </w:rPr>
              <w:t xml:space="preserve">Jordan Maxwell  —  Signature</w:t>
            </w:r>
          </w:p>
          <w:p w14:paraId="7E1819C5" w14:textId="77777777" w:rsidR="008F0C1E" w:rsidRDefault="008F0C1E">
            <w:pPr>
              <w:spacing w:after="120"/>
            </w:pPr>
          </w:p>
          <w:p w14:paraId="7DA18C27" w14:textId="77777777" w:rsidR="008F0C1E" w:rsidRDefault="00000000">
            <w:pPr>
              <w:pBdr>
                <w:bottom w:val="single" w:sz="4" w:space="4" w:color="222222"/>
              </w:pBdr>
              <w:spacing w:after="60"/>
            </w:pPr>
            <w:r>
              <w:rPr>
                <w:sz w:val="20"/>
                <w:szCs w:val="20"/>
              </w:rPr>
              <w:t xml:space="preserve"> </w:t>
            </w:r>
          </w:p>
          <w:p w14:paraId="398AC275" w14:textId="77777777" w:rsidR="008F0C1E" w:rsidRDefault="00000000">
            <w:r>
              <w:rPr>
                <w:color w:val="666666"/>
                <w:sz w:val="17"/>
                <w:szCs w:val="17"/>
              </w:rPr>
              <w:t>Title</w:t>
            </w:r>
          </w:p>
          <w:p w14:paraId="1B52D9F3" w14:textId="77777777" w:rsidR="008F0C1E" w:rsidRDefault="008F0C1E">
            <w:pPr>
              <w:spacing w:after="120"/>
            </w:pPr>
          </w:p>
          <w:p w14:paraId="547FF1C7" w14:textId="77777777" w:rsidR="008F0C1E" w:rsidRDefault="00000000">
            <w:pPr>
              <w:pBdr>
                <w:bottom w:val="single" w:sz="4" w:space="4" w:color="222222"/>
              </w:pBdr>
              <w:spacing w:after="60"/>
            </w:pPr>
            <w:r>
              <w:rPr>
                <w:sz w:val="20"/>
                <w:szCs w:val="20"/>
              </w:rPr>
              <w:t xml:space="preserve"> </w:t>
            </w:r>
          </w:p>
          <w:p w14:paraId="4B6B4977" w14:textId="77777777" w:rsidR="008F0C1E" w:rsidRDefault="00000000">
            <w:r>
              <w:rPr>
                <w:color w:val="666666"/>
                <w:sz w:val="17"/>
                <w:szCs w:val="17"/>
              </w:rPr>
              <w:t>Date</w:t>
            </w:r>
          </w:p>
        </w:tc>
        <w:tc>
          <w:tcPr>
            <w:tcW w:w="0" w:type="auto"/>
            <w:vAlign w:val="center"/>
          </w:tcPr>
          <w:p w14:paraId="6DEE42D4" w14:textId="77777777" w:rsidR="008F0C1E" w:rsidRDefault="00000000">
            <w:r>
              <w:rPr>
                <w:b/>
                <w:bCs/>
                <w:sz w:val="20"/>
                <w:szCs w:val="20"/>
              </w:rPr>
              <w:t>GroupRB Marketing</w:t>
            </w:r>
          </w:p>
          <w:p w14:paraId="6886AEBB" w14:textId="77777777" w:rsidR="008F0C1E" w:rsidRDefault="008F0C1E">
            <w:pPr>
              <w:spacing w:after="200"/>
            </w:pPr>
          </w:p>
          <w:p w14:paraId="11EA358C" w14:textId="77777777" w:rsidR="008F0C1E" w:rsidRDefault="00000000">
            <w:pPr>
              <w:pBdr>
                <w:bottom w:val="single" w:sz="4" w:space="4" w:color="222222"/>
              </w:pBdr>
              <w:spacing w:after="60"/>
            </w:pPr>
            <w:r>
              <w:rPr>
                <w:sz w:val="20"/>
                <w:szCs w:val="20"/>
              </w:rPr>
              <w:t xml:space="preserve"> </w:t>
            </w:r>
          </w:p>
          <w:p w14:paraId="6114E7C4" w14:textId="77777777" w:rsidR="008F0C1E" w:rsidRDefault="00000000">
            <w:r>
              <w:rPr>
                <w:color w:val="666666"/>
                <w:sz w:val="17"/>
                <w:szCs w:val="17"/>
              </w:rPr>
              <w:t xml:space="preserve">Richard Brashear  —  Signature</w:t>
            </w:r>
          </w:p>
          <w:p w14:paraId="7A0C34F9" w14:textId="77777777" w:rsidR="008F0C1E" w:rsidRDefault="008F0C1E">
            <w:pPr>
              <w:spacing w:after="120"/>
            </w:pPr>
          </w:p>
          <w:p w14:paraId="41592E71" w14:textId="77777777" w:rsidR="008F0C1E" w:rsidRDefault="00000000">
            <w:pPr>
              <w:pBdr>
                <w:bottom w:val="single" w:sz="4" w:space="4" w:color="222222"/>
              </w:pBdr>
              <w:spacing w:after="60"/>
            </w:pPr>
            <w:r>
              <w:rPr>
                <w:sz w:val="20"/>
                <w:szCs w:val="20"/>
              </w:rPr>
              <w:t xml:space="preserve"> </w:t>
            </w:r>
          </w:p>
          <w:p w14:paraId="155773CE" w14:textId="77777777" w:rsidR="008F0C1E" w:rsidRDefault="00000000">
            <w:r>
              <w:rPr>
                <w:color w:val="666666"/>
                <w:sz w:val="17"/>
                <w:szCs w:val="17"/>
              </w:rPr>
              <w:t>Title</w:t>
            </w:r>
          </w:p>
          <w:p w14:paraId="570255A4" w14:textId="77777777" w:rsidR="008F0C1E" w:rsidRDefault="008F0C1E">
            <w:pPr>
              <w:spacing w:after="120"/>
            </w:pPr>
          </w:p>
          <w:p w14:paraId="0F9C4A13" w14:textId="77777777" w:rsidR="008F0C1E" w:rsidRDefault="00000000">
            <w:pPr>
              <w:pBdr>
                <w:bottom w:val="single" w:sz="4" w:space="4" w:color="222222"/>
              </w:pBdr>
              <w:spacing w:after="60"/>
            </w:pPr>
            <w:r>
              <w:rPr>
                <w:sz w:val="20"/>
                <w:szCs w:val="20"/>
              </w:rPr>
              <w:t xml:space="preserve"> </w:t>
            </w:r>
          </w:p>
          <w:p w14:paraId="79D2780A" w14:textId="77777777" w:rsidR="008F0C1E" w:rsidRDefault="00000000">
            <w:r>
              <w:rPr>
                <w:color w:val="666666"/>
                <w:sz w:val="17"/>
                <w:szCs w:val="17"/>
              </w:rPr>
              <w:t>Date</w:t>
            </w:r>
          </w:p>
        </w:tc>
      </w:tr>
    </w:tbl>
    <w:p w14:paraId="28653002" w14:textId="77777777" w:rsidR="008F0C1E" w:rsidRDefault="008F0C1E">
      <w:pPr>
        <w:spacing w:after="260"/>
      </w:pPr>
    </w:p>
    <w:p w14:paraId="4CEF7586" w14:textId="77777777" w:rsidR="008F0C1E" w:rsidRPr="00871F12" w:rsidRDefault="00000000">
      <w:pPr>
        <w:jc w:val="center"/>
        <w:rPr>
          <w:lang w:val="fr-FR"/>
        </w:rPr>
      </w:pPr>
      <w:r>
        <w:rPr>
          <w:b/>
          <w:bCs/>
          <w:color w:val="322A5C"/>
          <w:sz w:val="19"/>
          <w:szCs w:val="19"/>
          <w:lang w:val="fr-FR"/>
        </w:rPr>
        <w:t xml:space="preserve">Questions? richard@grouprb.com  |  www.grouprb.com  |  803-415-5062</w:t>
      </w:r>
    </w:p>
    <w:sectPr w:rsidR="008F0C1E" w:rsidRPr="00871F12">
      <w:headerReference w:type="default" r:id="rId9"/>
      <w:footerReference w:type="default" r:id="rId10"/>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AB72" w14:textId="77777777" w:rsidR="006A58D6" w:rsidRDefault="006A58D6">
      <w:r>
        <w:separator/>
      </w:r>
    </w:p>
  </w:endnote>
  <w:endnote w:type="continuationSeparator" w:id="0">
    <w:p w14:paraId="0D413247" w14:textId="77777777" w:rsidR="006A58D6" w:rsidRDefault="006A5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A594" w14:textId="77777777" w:rsidR="008F0C1E" w:rsidRDefault="00000000">
    <w:pPr>
      <w:pBdr>
        <w:top w:val="single" w:sz="4" w:space="4" w:color="E4E4E4"/>
      </w:pBdr>
      <w:jc w:val="center"/>
    </w:pPr>
    <w:r>
      <w:rPr>
        <w:color w:val="666666"/>
        <w:sz w:val="15"/>
        <w:szCs w:val="15"/>
      </w:rPr>
      <w:t xml:space="preserve">GroupRB </w:t>
    </w:r>
    <w:proofErr w:type="gramStart"/>
    <w:r>
      <w:rPr>
        <w:color w:val="666666"/>
        <w:sz w:val="15"/>
        <w:szCs w:val="15"/>
      </w:rPr>
      <w:t>Marketing  —</w:t>
    </w:r>
    <w:proofErr w:type="gramEnd"/>
    <w:r>
      <w:rPr>
        <w:color w:val="666666"/>
        <w:sz w:val="15"/>
        <w:szCs w:val="15"/>
      </w:rPr>
      <w:t xml:space="preserve">  Paid Search Growth </w:t>
    </w:r>
    <w:proofErr w:type="gramStart"/>
    <w:r>
      <w:rPr>
        <w:color w:val="666666"/>
        <w:sz w:val="15"/>
        <w:szCs w:val="15"/>
      </w:rPr>
      <w:t>Proposal  —</w:t>
    </w:r>
    <w:proofErr w:type="gramEnd"/>
    <w:r>
      <w:rPr>
        <w:color w:val="666666"/>
        <w:sz w:val="15"/>
        <w:szCs w:val="15"/>
      </w:rPr>
      <w:t xml:space="preserve">  September 22, </w:t>
    </w:r>
    <w:proofErr w:type="gramStart"/>
    <w:r>
      <w:rPr>
        <w:color w:val="666666"/>
        <w:sz w:val="15"/>
        <w:szCs w:val="15"/>
      </w:rPr>
      <w:t>2026  —</w:t>
    </w:r>
    <w:proofErr w:type="gramEnd"/>
    <w:r>
      <w:rPr>
        <w:color w:val="666666"/>
        <w:sz w:val="15"/>
        <w:szCs w:val="15"/>
      </w:rPr>
      <w:t xml:space="preserve">  Page </w:t>
    </w:r>
    <w:r>
      <w:rPr>
        <w:color w:val="666666"/>
        <w:sz w:val="15"/>
        <w:szCs w:val="15"/>
      </w:rPr>
      <w:fldChar w:fldCharType="begin"/>
    </w:r>
    <w:r>
      <w:rPr>
        <w:color w:val="666666"/>
        <w:sz w:val="15"/>
        <w:szCs w:val="15"/>
      </w:rPr>
      <w:instrText>PAGE</w:instrText>
    </w:r>
    <w:r>
      <w:rPr>
        <w:color w:val="666666"/>
        <w:sz w:val="15"/>
        <w:szCs w:val="15"/>
      </w:rPr>
      <w:fldChar w:fldCharType="separate"/>
    </w:r>
    <w:r w:rsidR="00871F12">
      <w:rPr>
        <w:noProof/>
        <w:color w:val="666666"/>
        <w:sz w:val="15"/>
        <w:szCs w:val="15"/>
      </w:rPr>
      <w:t>2</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CD906" w14:textId="77777777" w:rsidR="006A58D6" w:rsidRDefault="006A58D6">
      <w:r>
        <w:separator/>
      </w:r>
    </w:p>
  </w:footnote>
  <w:footnote w:type="continuationSeparator" w:id="0">
    <w:p w14:paraId="034047B4" w14:textId="77777777" w:rsidR="006A58D6" w:rsidRDefault="006A5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4" w:space="0" w:color="auto"/>
      </w:tblBorders>
      <w:tblCellMar>
        <w:left w:w="10" w:type="dxa"/>
        <w:right w:w="10" w:type="dxa"/>
      </w:tblCellMar>
      <w:tblLook w:val="04A0" w:firstRow="1" w:lastRow="0" w:firstColumn="1" w:lastColumn="0" w:noHBand="0" w:noVBand="1"/>
    </w:tblPr>
    <w:tblGrid>
      <w:gridCol w:w="4722"/>
      <w:gridCol w:w="5358"/>
    </w:tblGrid>
    <w:tr w:rsidR="008F0C1E" w14:paraId="4AC0F693" w14:textId="77777777" w:rsidTr="00871F12">
      <w:tblPrEx>
        <w:tblCellMar>
          <w:top w:w="0" w:type="dxa"/>
          <w:bottom w:w="0" w:type="dxa"/>
        </w:tblCellMar>
      </w:tblPrEx>
      <w:tc>
        <w:tcPr>
          <w:tcW w:w="0" w:type="auto"/>
          <w:vAlign w:val="center"/>
        </w:tcPr>
        <w:p w14:paraId="49FC1CD1" w14:textId="77777777" w:rsidR="008F0C1E" w:rsidRDefault="00000000">
          <w:r>
            <w:rPr>
              <w:noProof/>
            </w:rPr>
            <w:drawing>
              <wp:inline distT="0" distB="0" distL="0" distR="0" wp14:anchorId="21547315" wp14:editId="3FCFB72F">
                <wp:extent cx="1333500" cy="428625"/>
                <wp:effectExtent l="0" t="0" r="0" b="0"/>
                <wp:docPr id="1085672888" name="Picture 108567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p>
      </w:tc>
      <w:tc>
        <w:tcPr>
          <w:tcW w:w="0" w:type="auto"/>
          <w:vAlign w:val="bottom"/>
        </w:tcPr>
        <w:p w14:paraId="67EA5477" w14:textId="77777777" w:rsidR="008F0C1E" w:rsidRDefault="00000000">
          <w:pPr>
            <w:jc w:val="right"/>
          </w:pPr>
          <w:r>
            <w:rPr>
              <w:b/>
              <w:bCs/>
              <w:color w:val="666666"/>
              <w:sz w:val="16"/>
              <w:szCs w:val="16"/>
            </w:rPr>
            <w:t>PAID SEARCH GROWTH PROPOSAL</w:t>
          </w:r>
        </w:p>
        <w:p w14:paraId="23B75191" w14:textId="77777777" w:rsidR="008F0C1E" w:rsidRDefault="00000000">
          <w:pPr>
            <w:jc w:val="right"/>
          </w:pPr>
          <w:r>
            <w:rPr>
              <w:b/>
              <w:bCs/>
              <w:color w:val="666666"/>
              <w:sz w:val="16"/>
              <w:szCs w:val="16"/>
            </w:rPr>
            <w:t>FOR MAXWELL PLUMBING &amp; DRAIN</w:t>
          </w:r>
        </w:p>
      </w:tc>
    </w:tr>
  </w:tbl>
  <w:p w14:paraId="67C04981" w14:textId="77777777" w:rsidR="008F0C1E" w:rsidRDefault="008F0C1E">
    <w:pPr>
      <w:pBdr>
        <w:bottom w:val="single" w:sz="4" w:space="4" w:color="E4E4E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5472A"/>
    <w:multiLevelType w:val="hybridMultilevel"/>
    <w:tmpl w:val="A98C0746"/>
    <w:lvl w:ilvl="0" w:tplc="8B6C2B12">
      <w:start w:val="1"/>
      <w:numFmt w:val="bullet"/>
      <w:lvlText w:val="•"/>
      <w:lvlJc w:val="left"/>
      <w:pPr>
        <w:ind w:left="420" w:hanging="260"/>
      </w:pPr>
    </w:lvl>
    <w:lvl w:ilvl="1" w:tplc="C324F77C">
      <w:numFmt w:val="decimal"/>
      <w:lvlText w:val=""/>
      <w:lvlJc w:val="left"/>
    </w:lvl>
    <w:lvl w:ilvl="2" w:tplc="E0F4897A">
      <w:numFmt w:val="decimal"/>
      <w:lvlText w:val=""/>
      <w:lvlJc w:val="left"/>
    </w:lvl>
    <w:lvl w:ilvl="3" w:tplc="752A6B18">
      <w:numFmt w:val="decimal"/>
      <w:lvlText w:val=""/>
      <w:lvlJc w:val="left"/>
    </w:lvl>
    <w:lvl w:ilvl="4" w:tplc="14F8DBC0">
      <w:numFmt w:val="decimal"/>
      <w:lvlText w:val=""/>
      <w:lvlJc w:val="left"/>
    </w:lvl>
    <w:lvl w:ilvl="5" w:tplc="EE56118A">
      <w:numFmt w:val="decimal"/>
      <w:lvlText w:val=""/>
      <w:lvlJc w:val="left"/>
    </w:lvl>
    <w:lvl w:ilvl="6" w:tplc="53346E5A">
      <w:numFmt w:val="decimal"/>
      <w:lvlText w:val=""/>
      <w:lvlJc w:val="left"/>
    </w:lvl>
    <w:lvl w:ilvl="7" w:tplc="E0747882">
      <w:numFmt w:val="decimal"/>
      <w:lvlText w:val=""/>
      <w:lvlJc w:val="left"/>
    </w:lvl>
    <w:lvl w:ilvl="8" w:tplc="6EAC2CA2">
      <w:numFmt w:val="decimal"/>
      <w:lvlText w:val=""/>
      <w:lvlJc w:val="left"/>
    </w:lvl>
  </w:abstractNum>
  <w:abstractNum w:abstractNumId="1" w15:restartNumberingAfterBreak="0">
    <w:nsid w:val="7C244F6A"/>
    <w:multiLevelType w:val="hybridMultilevel"/>
    <w:tmpl w:val="75B2AD7E"/>
    <w:lvl w:ilvl="0" w:tplc="2DDE0576">
      <w:start w:val="1"/>
      <w:numFmt w:val="bullet"/>
      <w:lvlText w:val="●"/>
      <w:lvlJc w:val="left"/>
      <w:pPr>
        <w:ind w:left="720" w:hanging="360"/>
      </w:pPr>
    </w:lvl>
    <w:lvl w:ilvl="1" w:tplc="D494F142">
      <w:start w:val="1"/>
      <w:numFmt w:val="bullet"/>
      <w:lvlText w:val="○"/>
      <w:lvlJc w:val="left"/>
      <w:pPr>
        <w:ind w:left="1440" w:hanging="360"/>
      </w:pPr>
    </w:lvl>
    <w:lvl w:ilvl="2" w:tplc="1FB6F98C">
      <w:start w:val="1"/>
      <w:numFmt w:val="bullet"/>
      <w:lvlText w:val="■"/>
      <w:lvlJc w:val="left"/>
      <w:pPr>
        <w:ind w:left="2160" w:hanging="360"/>
      </w:pPr>
    </w:lvl>
    <w:lvl w:ilvl="3" w:tplc="F8F69BD4">
      <w:start w:val="1"/>
      <w:numFmt w:val="bullet"/>
      <w:lvlText w:val="●"/>
      <w:lvlJc w:val="left"/>
      <w:pPr>
        <w:ind w:left="2880" w:hanging="360"/>
      </w:pPr>
    </w:lvl>
    <w:lvl w:ilvl="4" w:tplc="82A09682">
      <w:start w:val="1"/>
      <w:numFmt w:val="bullet"/>
      <w:lvlText w:val="○"/>
      <w:lvlJc w:val="left"/>
      <w:pPr>
        <w:ind w:left="3600" w:hanging="360"/>
      </w:pPr>
    </w:lvl>
    <w:lvl w:ilvl="5" w:tplc="A1D4AF66">
      <w:start w:val="1"/>
      <w:numFmt w:val="bullet"/>
      <w:lvlText w:val="■"/>
      <w:lvlJc w:val="left"/>
      <w:pPr>
        <w:ind w:left="4320" w:hanging="360"/>
      </w:pPr>
    </w:lvl>
    <w:lvl w:ilvl="6" w:tplc="59A47D90">
      <w:start w:val="1"/>
      <w:numFmt w:val="bullet"/>
      <w:lvlText w:val="●"/>
      <w:lvlJc w:val="left"/>
      <w:pPr>
        <w:ind w:left="5040" w:hanging="360"/>
      </w:pPr>
    </w:lvl>
    <w:lvl w:ilvl="7" w:tplc="896EA44C">
      <w:start w:val="1"/>
      <w:numFmt w:val="bullet"/>
      <w:lvlText w:val="●"/>
      <w:lvlJc w:val="left"/>
      <w:pPr>
        <w:ind w:left="5760" w:hanging="360"/>
      </w:pPr>
    </w:lvl>
    <w:lvl w:ilvl="8" w:tplc="AB462AC8">
      <w:start w:val="1"/>
      <w:numFmt w:val="bullet"/>
      <w:lvlText w:val="●"/>
      <w:lvlJc w:val="left"/>
      <w:pPr>
        <w:ind w:left="6480" w:hanging="360"/>
      </w:pPr>
    </w:lvl>
  </w:abstractNum>
  <w:num w:numId="1" w16cid:durableId="1860703426">
    <w:abstractNumId w:val="1"/>
    <w:lvlOverride w:ilvl="0">
      <w:startOverride w:val="1"/>
    </w:lvlOverride>
  </w:num>
  <w:num w:numId="2" w16cid:durableId="947277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C1E"/>
    <w:rsid w:val="006A58D6"/>
    <w:rsid w:val="00871F12"/>
    <w:rsid w:val="008F0C1E"/>
    <w:rsid w:val="00F52F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3FF64"/>
  <w15:docId w15:val="{8258B1DC-6EF6-413F-A5A2-666F0997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00"/>
      <w:outlineLvl w:val="0"/>
    </w:pPr>
    <w:rPr>
      <w:b/>
      <w:bCs/>
      <w:color w:val="453C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1F12"/>
    <w:pPr>
      <w:tabs>
        <w:tab w:val="center" w:pos="4680"/>
        <w:tab w:val="right" w:pos="9360"/>
      </w:tabs>
    </w:pPr>
  </w:style>
  <w:style w:type="character" w:customStyle="1" w:styleId="HeaderChar">
    <w:name w:val="Header Char"/>
    <w:basedOn w:val="DefaultParagraphFont"/>
    <w:link w:val="Header"/>
    <w:uiPriority w:val="99"/>
    <w:rsid w:val="00871F12"/>
  </w:style>
  <w:style w:type="paragraph" w:styleId="Footer">
    <w:name w:val="footer"/>
    <w:basedOn w:val="Normal"/>
    <w:link w:val="FooterChar"/>
    <w:uiPriority w:val="99"/>
    <w:unhideWhenUsed/>
    <w:rsid w:val="00871F12"/>
    <w:pPr>
      <w:tabs>
        <w:tab w:val="center" w:pos="4680"/>
        <w:tab w:val="right" w:pos="9360"/>
      </w:tabs>
    </w:pPr>
  </w:style>
  <w:style w:type="character" w:customStyle="1" w:styleId="FooterChar">
    <w:name w:val="Footer Char"/>
    <w:basedOn w:val="DefaultParagraphFont"/>
    <w:link w:val="Footer"/>
    <w:uiPriority w:val="99"/>
    <w:rsid w:val="00871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Brashear</cp:lastModifiedBy>
  <cp:revision>3</cp:revision>
  <cp:lastPrinted>2026-09-22T13:00:00Z</cp:lastPrinted>
  <dcterms:created xsi:type="dcterms:W3CDTF">2026-09-22T12:33:00Z</dcterms:created>
  <dcterms:modified xsi:type="dcterms:W3CDTF">2026-09-22T13:01:00Z</dcterms:modified>
</cp:coreProperties>
</file>