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PARTS OF PRACTICE</w:t>
      </w:r>
    </w:p>
    <w:p>
      <w:pPr>
        <w:spacing w:after="40"/>
        <w:jc w:val="center"/>
      </w:pPr>
      <w:r>
        <w:rPr>
          <w:b/>
          <w:bCs/>
          <w:color w:val="1F3864"/>
          <w:sz w:val="26"/>
          <w:szCs w:val="26"/>
        </w:rPr>
        <w:t xml:space="preserve">WEBSITE SUPPORT &amp; SEO SERVICES AGREEMENT</w:t>
      </w:r>
    </w:p>
    <w:p>
      <w:pPr>
        <w:spacing w:after="260"/>
        <w:jc w:val="center"/>
      </w:pPr>
      <w:r>
        <w:rPr>
          <w:b/>
          <w:bCs/>
          <w:color w:val="C55A11"/>
          <w:sz w:val="22"/>
          <w:szCs w:val="22"/>
        </w:rPr>
        <w:t xml:space="preserve">12-Month Website + SEO Support Plan</w:t>
      </w:r>
    </w:p>
    <w:p>
      <w:pPr>
        <w:spacing w:after="140"/>
      </w:pPr>
      <w:r>
        <w:rPr>
          <w:sz w:val="20"/>
          <w:szCs w:val="20"/>
        </w:rPr>
        <w:t xml:space="preserve">This Website Support &amp; SEO Services Agreement ("Agreement") is entered into as of </w:t>
      </w:r>
      <w:r>
        <w:rPr>
          <w:b/>
          <w:bCs/>
          <w:sz w:val="20"/>
          <w:szCs w:val="20"/>
        </w:rPr>
        <w:t xml:space="preserve">[EFFECTIVE DATE]</w:t>
      </w:r>
      <w:r>
        <w:rPr>
          <w:sz w:val="20"/>
          <w:szCs w:val="20"/>
        </w:rPr>
        <w:t xml:space="preserve"> ("Effective Date") by and between the following parties: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PROVIDER</w:t>
            </w:r>
          </w:p>
          <w:p>
            <w:r>
              <w:rPr>
                <w:b/>
                <w:bCs/>
                <w:sz w:val="20"/>
                <w:szCs w:val="20"/>
              </w:rPr>
              <w:t xml:space="preserve">Part of Practice, LLC</w:t>
            </w:r>
          </w:p>
          <w:p>
            <w:pPr>
              <w:spacing w:after="140"/>
            </w:pPr>
            <w:r>
              <w:rPr>
                <w:sz w:val="20"/>
                <w:szCs w:val="20"/>
              </w:rPr>
              <w:t xml:space="preserve">a South Carolina limited liability company</w:t>
            </w:r>
          </w:p>
          <w:p>
            <w:pPr>
              <w:spacing w:after="140"/>
            </w:pPr>
            <w:r>
              <w:rPr>
                <w:sz w:val="20"/>
                <w:szCs w:val="20"/>
              </w:rPr>
              <w:t xml:space="preserve">1403 Woodland Drive</w:t>
            </w:r>
          </w:p>
          <w:p>
            <w:pPr>
              <w:spacing w:after="140"/>
            </w:pPr>
            <w:r>
              <w:rPr>
                <w:sz w:val="20"/>
                <w:szCs w:val="20"/>
              </w:rPr>
              <w:t xml:space="preserve">Rock Hill, SC 29723</w:t>
            </w:r>
          </w:p>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CLIENT</w:t>
            </w:r>
          </w:p>
          <w:p>
            <w:r>
              <w:rPr>
                <w:b/>
                <w:bCs/>
                <w:sz w:val="20"/>
                <w:szCs w:val="20"/>
              </w:rPr>
              <w:t xml:space="preserve">Joe Welch Photography</w:t>
            </w:r>
          </w:p>
          <w:p>
            <w:pPr>
              <w:spacing w:after="140"/>
            </w:pPr>
            <w:r>
              <w:rPr>
                <w:sz w:val="20"/>
                <w:szCs w:val="20"/>
              </w:rPr>
              <w:t xml:space="preserve">[CONFIRM: legal business name/entity type, e.g. sole proprietorship or LLC]</w:t>
            </w:r>
          </w:p>
          <w:p>
            <w:pPr>
              <w:spacing w:after="140"/>
            </w:pPr>
            <w:r>
              <w:rPr>
                <w:sz w:val="20"/>
                <w:szCs w:val="20"/>
              </w:rPr>
              <w:t xml:space="preserve">[CONFIRM: business mailing address]</w:t>
            </w:r>
          </w:p>
          <w:p>
            <w:pPr>
              <w:spacing w:after="140"/>
            </w:pPr>
            <w:r>
              <w:rPr>
                <w:sz w:val="20"/>
                <w:szCs w:val="20"/>
              </w:rPr>
              <w:t xml:space="preserve">Phone: 954-695-8730</w:t>
            </w:r>
          </w:p>
          <w:p>
            <w:pPr>
              <w:spacing w:after="140"/>
            </w:pPr>
            <w:r>
              <w:rPr>
                <w:sz w:val="20"/>
                <w:szCs w:val="20"/>
              </w:rPr>
              <w:t xml:space="preserve">Notice email: [CONFIRM: Joe’s email address]</w:t>
            </w:r>
          </w:p>
        </w:tc>
      </w:tr>
    </w:tbl>
    <w:p>
      <w:pPr>
        <w:spacing w:after="200" w:before="160"/>
      </w:pPr>
      <w:r>
        <w:rPr>
          <w:sz w:val="20"/>
          <w:szCs w:val="20"/>
        </w:rPr>
        <w:t xml:space="preserve">Provider and Client may each be called a "Party" and together the "Parties."</w:t>
      </w:r>
    </w:p>
    <w:p>
      <w:pPr>
        <w:spacing w:after="100" w:before="240"/>
      </w:pPr>
      <w:r>
        <w:rPr>
          <w:b/>
          <w:bCs/>
          <w:color w:val="1F3864"/>
          <w:sz w:val="24"/>
          <w:szCs w:val="24"/>
        </w:rPr>
        <w:t xml:space="preserve">1. Services</w:t>
      </w:r>
    </w:p>
    <w:p>
      <w:pPr>
        <w:spacing w:after="140"/>
      </w:pPr>
      <w:r>
        <w:rPr>
          <w:sz w:val="20"/>
          <w:szCs w:val="20"/>
        </w:rPr>
        <w:t xml:space="preserve">Provider will perform the services selected in Exhibit A (the "Services") using Client’s existing website, hosting environment, content-management system, theme, plugins, and technical framework. Provider is not supplying or replacing website hosting under this Agreement.</w:t>
      </w:r>
    </w:p>
    <w:p>
      <w:pPr>
        <w:spacing w:after="140"/>
      </w:pPr>
      <w:r>
        <w:rPr>
          <w:sz w:val="20"/>
          <w:szCs w:val="20"/>
        </w:rPr>
        <w:t xml:space="preserve">Work outside Exhibit A requires a written change order describing the added scope, timing, and fees. Email approval by authorized representatives is sufficient for a change order.</w:t>
      </w:r>
    </w:p>
    <w:p>
      <w:pPr>
        <w:spacing w:after="100" w:before="240"/>
      </w:pPr>
      <w:r>
        <w:rPr>
          <w:b/>
          <w:bCs/>
          <w:color w:val="1F3864"/>
          <w:sz w:val="24"/>
          <w:szCs w:val="24"/>
        </w:rPr>
        <w:t xml:space="preserve">2. Term; Renewal; Termination</w:t>
      </w:r>
    </w:p>
    <w:p>
      <w:pPr>
        <w:spacing w:after="140"/>
      </w:pPr>
      <w:r>
        <w:rPr>
          <w:b/>
          <w:bCs/>
          <w:sz w:val="20"/>
          <w:szCs w:val="20"/>
        </w:rPr>
        <w:t xml:space="preserve">2.1 Initial Term; Automatic Renewal. </w:t>
      </w:r>
      <w:r>
        <w:rPr>
          <w:sz w:val="20"/>
          <w:szCs w:val="20"/>
        </w:rPr>
        <w:t xml:space="preserve">The Agreement begins on the Effective Date and continues for twelve (12) consecutive months (the "Initial Term"). At the end of the Initial Term, it automatically renews for successive one-year renewal terms at $59.00 per month for the SEO-only renewal services described in Exhibit A, unless either Party gives written notice of non-renewal at least sixty (60) days before the end of the then-current term.</w:t>
      </w:r>
    </w:p>
    <w:p>
      <w:pPr>
        <w:spacing w:after="140"/>
      </w:pPr>
      <w:r>
        <w:rPr>
          <w:b/>
          <w:bCs/>
          <w:sz w:val="20"/>
          <w:szCs w:val="20"/>
        </w:rPr>
        <w:t xml:space="preserve">2.2 Twelve-Month Commitment. </w:t>
      </w:r>
      <w:r>
        <w:rPr>
          <w:sz w:val="20"/>
          <w:szCs w:val="20"/>
        </w:rPr>
        <w:t xml:space="preserve">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40"/>
      </w:pPr>
      <w:r>
        <w:rPr>
          <w:b/>
          <w:bCs/>
          <w:sz w:val="20"/>
          <w:szCs w:val="20"/>
        </w:rPr>
        <w:t xml:space="preserve">2.3 Termination for Cause; Suspension. </w:t>
      </w:r>
      <w:r>
        <w:rPr>
          <w:sz w:val="20"/>
          <w:szCs w:val="20"/>
        </w:rPr>
        <w:t xml:space="preserve">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40"/>
      </w:pPr>
      <w:r>
        <w:rPr>
          <w:b/>
          <w:bCs/>
          <w:sz w:val="20"/>
          <w:szCs w:val="20"/>
        </w:rPr>
        <w:t xml:space="preserve">2.4 Effect. </w:t>
      </w:r>
      <w:r>
        <w:rPr>
          <w:sz w:val="20"/>
          <w:szCs w:val="20"/>
        </w:rPr>
        <w:t xml:space="preserve">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spacing w:after="100" w:before="240"/>
      </w:pPr>
      <w:r>
        <w:rPr>
          <w:b/>
          <w:bCs/>
          <w:color w:val="1F3864"/>
          <w:sz w:val="24"/>
          <w:szCs w:val="24"/>
        </w:rPr>
        <w:t xml:space="preserve">3. Fees and Payment</w:t>
      </w:r>
    </w:p>
    <w:p>
      <w:pPr>
        <w:spacing w:after="140"/>
      </w:pPr>
      <w:r>
        <w:rPr>
          <w:b/>
          <w:bCs/>
          <w:sz w:val="20"/>
          <w:szCs w:val="20"/>
        </w:rPr>
        <w:t xml:space="preserve">3.1 Fees. </w:t>
      </w:r>
      <w:r>
        <w:rPr>
          <w:sz w:val="20"/>
          <w:szCs w:val="20"/>
        </w:rPr>
        <w:t xml:space="preserve">Client will pay $99.00 per month for twelve (12) months, for a total contract value of $1,188.00, plus applicable taxes.</w:t>
      </w:r>
    </w:p>
    <w:p>
      <w:pPr>
        <w:spacing w:after="140"/>
      </w:pPr>
      <w:r>
        <w:rPr>
          <w:b/>
          <w:bCs/>
          <w:sz w:val="20"/>
          <w:szCs w:val="20"/>
        </w:rPr>
        <w:t xml:space="preserve">3.2 Schedule. </w:t>
      </w:r>
      <w:r>
        <w:rPr>
          <w:sz w:val="20"/>
          <w:szCs w:val="20"/>
        </w:rPr>
        <w:t xml:space="preserve">The first monthly payment is due on the Effective Date. Each remaining monthly payment is due in advance on the first calendar day of the applicable service month. Client authorizes recurring payment by the payment method on file, if used. Provider may invoice electronically.</w:t>
      </w:r>
    </w:p>
    <w:p>
      <w:pPr>
        <w:spacing w:after="140"/>
      </w:pPr>
      <w:r>
        <w:rPr>
          <w:b/>
          <w:bCs/>
          <w:sz w:val="20"/>
          <w:szCs w:val="20"/>
        </w:rPr>
        <w:t xml:space="preserve">3.3 Late or Disputed Amounts. </w:t>
      </w:r>
      <w:r>
        <w:rPr>
          <w:sz w:val="20"/>
          <w:szCs w:val="20"/>
        </w:rPr>
        <w:t xml:space="preserve">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spacing w:after="100" w:before="240"/>
      </w:pPr>
      <w:r>
        <w:rPr>
          <w:b/>
          <w:bCs/>
          <w:color w:val="1F3864"/>
          <w:sz w:val="24"/>
          <w:szCs w:val="24"/>
        </w:rPr>
        <w:t xml:space="preserve">4. Client Responsibilities</w:t>
      </w:r>
    </w:p>
    <w:p>
      <w:pPr>
        <w:spacing w:after="140"/>
      </w:pPr>
      <w:r>
        <w:rPr>
          <w:sz w:val="20"/>
          <w:szCs w:val="20"/>
        </w:rP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40"/>
      </w:pPr>
      <w:r>
        <w:rPr>
          <w:sz w:val="20"/>
          <w:szCs w:val="20"/>
        </w:rPr>
        <w:t xml:space="preserve">Client is responsible for the legality, advertising claims, professional or regulatory licensing statements (including any FAA drone/Part 107 requirements applicable to Client’s aerial photography services), privacy notices, consent language, and intellectual-property rights in Client materials and in final content Client approves.</w:t>
      </w:r>
    </w:p>
    <w:p>
      <w:pPr>
        <w:spacing w:after="100" w:before="240"/>
      </w:pPr>
      <w:r>
        <w:rPr>
          <w:b/>
          <w:bCs/>
          <w:color w:val="1F3864"/>
          <w:sz w:val="24"/>
          <w:szCs w:val="24"/>
        </w:rPr>
        <w:t xml:space="preserve">5. Existing Website, Hosting, and Third Parties</w:t>
      </w:r>
    </w:p>
    <w:p>
      <w:pPr>
        <w:spacing w:after="140"/>
      </w:pPr>
      <w:r>
        <w:rPr>
          <w:sz w:val="20"/>
          <w:szCs w:val="20"/>
        </w:rP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40"/>
      </w:pPr>
      <w:r>
        <w:rPr>
          <w:sz w:val="20"/>
          <w:szCs w:val="20"/>
        </w:rP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spacing w:after="100" w:before="240"/>
      </w:pPr>
      <w:r>
        <w:rPr>
          <w:b/>
          <w:bCs/>
          <w:color w:val="1F3864"/>
          <w:sz w:val="24"/>
          <w:szCs w:val="24"/>
        </w:rPr>
        <w:t xml:space="preserve">6. SEO Standards; No Guarantee</w:t>
      </w:r>
    </w:p>
    <w:p>
      <w:pPr>
        <w:spacing w:after="140"/>
      </w:pPr>
      <w:r>
        <w:rPr>
          <w:sz w:val="20"/>
          <w:szCs w:val="20"/>
        </w:rP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spacing w:after="100" w:before="240"/>
      </w:pPr>
      <w:r>
        <w:rPr>
          <w:b/>
          <w:bCs/>
          <w:color w:val="1F3864"/>
          <w:sz w:val="24"/>
          <w:szCs w:val="24"/>
        </w:rPr>
        <w:t xml:space="preserve">7. Review; Corrections</w:t>
      </w:r>
    </w:p>
    <w:p>
      <w:pPr>
        <w:spacing w:after="140"/>
      </w:pPr>
      <w:r>
        <w:rPr>
          <w:sz w:val="20"/>
          <w:szCs w:val="20"/>
        </w:rP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spacing w:after="100" w:before="240"/>
      </w:pPr>
      <w:r>
        <w:rPr>
          <w:b/>
          <w:bCs/>
          <w:color w:val="1F3864"/>
          <w:sz w:val="24"/>
          <w:szCs w:val="24"/>
        </w:rPr>
        <w:t xml:space="preserve">8. Intellectual Property</w:t>
      </w:r>
    </w:p>
    <w:p>
      <w:pPr>
        <w:spacing w:after="140"/>
      </w:pPr>
      <w:r>
        <w:rPr>
          <w:sz w:val="20"/>
          <w:szCs w:val="20"/>
        </w:rP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40"/>
      </w:pPr>
      <w:r>
        <w:rPr>
          <w:sz w:val="20"/>
          <w:szCs w:val="20"/>
        </w:rP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spacing w:after="100" w:before="240"/>
      </w:pPr>
      <w:r>
        <w:rPr>
          <w:b/>
          <w:bCs/>
          <w:color w:val="1F3864"/>
          <w:sz w:val="24"/>
          <w:szCs w:val="24"/>
        </w:rPr>
        <w:t xml:space="preserve">9. Confidentiality</w:t>
      </w:r>
    </w:p>
    <w:p>
      <w:pPr>
        <w:spacing w:after="140"/>
      </w:pPr>
      <w:r>
        <w:rPr>
          <w:sz w:val="20"/>
          <w:szCs w:val="20"/>
        </w:rP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before="240"/>
      </w:pPr>
      <w:r>
        <w:rPr>
          <w:b/>
          <w:bCs/>
          <w:color w:val="1F3864"/>
          <w:sz w:val="24"/>
          <w:szCs w:val="24"/>
        </w:rPr>
        <w:t xml:space="preserve">10. Legal Compliance</w:t>
      </w:r>
    </w:p>
    <w:p>
      <w:pPr>
        <w:spacing w:after="140"/>
      </w:pPr>
      <w:r>
        <w:rPr>
          <w:sz w:val="20"/>
          <w:szCs w:val="20"/>
        </w:rPr>
        <w:t xml:space="preserve">Provider will apply reasonable web and SEO practices within the agreed scope, but does not provide legal advice or guarantee compliance with the ADA, state privacy laws, FAA or other regulatory rules, or any other law or standard. Client should obtain legal review of its website, forms, policies, and accessibility obligations. Accessibility audits or remediation are outside scope unless added in writing.</w:t>
      </w:r>
    </w:p>
    <w:p>
      <w:pPr>
        <w:spacing w:after="100" w:before="240"/>
      </w:pPr>
      <w:r>
        <w:rPr>
          <w:b/>
          <w:bCs/>
          <w:color w:val="1F3864"/>
          <w:sz w:val="24"/>
          <w:szCs w:val="24"/>
        </w:rPr>
        <w:t xml:space="preserve">11. Warranties; Disclaimer</w:t>
      </w:r>
    </w:p>
    <w:p>
      <w:pPr>
        <w:spacing w:after="140"/>
      </w:pPr>
      <w:r>
        <w:rPr>
          <w:sz w:val="20"/>
          <w:szCs w:val="20"/>
        </w:rP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spacing w:after="100" w:before="240"/>
      </w:pPr>
      <w:r>
        <w:rPr>
          <w:b/>
          <w:bCs/>
          <w:color w:val="1F3864"/>
          <w:sz w:val="24"/>
          <w:szCs w:val="24"/>
        </w:rPr>
        <w:t xml:space="preserve">12. Indemnification</w:t>
      </w:r>
    </w:p>
    <w:p>
      <w:pPr>
        <w:spacing w:after="140"/>
      </w:pPr>
      <w:r>
        <w:rPr>
          <w:sz w:val="20"/>
          <w:szCs w:val="20"/>
        </w:rPr>
        <w:t xml:space="preserve">Client will defend, indemnify, and hold harmless Provider and its personnel from third-party claims arising from Client materials, Client’s services or business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spacing w:after="100" w:before="240"/>
      </w:pPr>
      <w:r>
        <w:rPr>
          <w:b/>
          <w:bCs/>
          <w:color w:val="1F3864"/>
          <w:sz w:val="24"/>
          <w:szCs w:val="24"/>
        </w:rPr>
        <w:t xml:space="preserve">13. Limitation of Liability</w:t>
      </w:r>
    </w:p>
    <w:p>
      <w:pPr>
        <w:spacing w:after="140"/>
      </w:pPr>
      <w:r>
        <w:rPr>
          <w:sz w:val="20"/>
          <w:szCs w:val="20"/>
        </w:rP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under this Agreement ($1,188.00). These limits do not apply where prohibited by law or to a Party’s fraud, willful misconduct, confidentiality breach, or indemnification obligations.</w:t>
      </w:r>
    </w:p>
    <w:p>
      <w:pPr>
        <w:spacing w:after="100" w:before="240"/>
      </w:pPr>
      <w:r>
        <w:rPr>
          <w:b/>
          <w:bCs/>
          <w:color w:val="1F3864"/>
          <w:sz w:val="24"/>
          <w:szCs w:val="24"/>
        </w:rPr>
        <w:t xml:space="preserve">14. Force Majeure</w:t>
      </w:r>
    </w:p>
    <w:p>
      <w:pPr>
        <w:spacing w:after="140"/>
      </w:pPr>
      <w:r>
        <w:rPr>
          <w:sz w:val="20"/>
          <w:szCs w:val="20"/>
        </w:rP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spacing w:after="100" w:before="240"/>
      </w:pPr>
      <w:r>
        <w:rPr>
          <w:b/>
          <w:bCs/>
          <w:color w:val="1F3864"/>
          <w:sz w:val="24"/>
          <w:szCs w:val="24"/>
        </w:rPr>
        <w:t xml:space="preserve">15. Governing Law; Venue</w:t>
      </w:r>
    </w:p>
    <w:p>
      <w:pPr>
        <w:spacing w:after="140"/>
      </w:pPr>
      <w:r>
        <w:rPr>
          <w:sz w:val="20"/>
          <w:szCs w:val="20"/>
        </w:rP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spacing w:after="100" w:before="240"/>
      </w:pPr>
      <w:r>
        <w:rPr>
          <w:b/>
          <w:bCs/>
          <w:color w:val="1F3864"/>
          <w:sz w:val="24"/>
          <w:szCs w:val="24"/>
        </w:rPr>
        <w:t xml:space="preserve">16. Notices</w:t>
      </w:r>
    </w:p>
    <w:p>
      <w:pPr>
        <w:spacing w:after="140"/>
      </w:pPr>
      <w:r>
        <w:rPr>
          <w:sz w:val="20"/>
          <w:szCs w:val="20"/>
        </w:rP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spacing w:after="100" w:before="240"/>
      </w:pPr>
      <w:r>
        <w:rPr>
          <w:b/>
          <w:bCs/>
          <w:color w:val="1F3864"/>
          <w:sz w:val="24"/>
          <w:szCs w:val="24"/>
        </w:rPr>
        <w:t xml:space="preserve">17. General</w:t>
      </w:r>
    </w:p>
    <w:p>
      <w:pPr>
        <w:spacing w:after="140"/>
      </w:pPr>
      <w:r>
        <w:rPr>
          <w:sz w:val="20"/>
          <w:szCs w:val="20"/>
        </w:rP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40"/>
      </w:pPr>
      <w:r>
        <w:rPr>
          <w:sz w:val="20"/>
          <w:szCs w:val="20"/>
        </w:rPr>
        <w:t xml:space="preserve">This Agreement may be signed in counterparts and by electronic signature, each treated as an original and together constituting one instrument.</w:t>
      </w:r>
    </w:p>
    <w:p>
      <w:pPr>
        <w:pageBreakBefore/>
      </w:pPr>
    </w:p>
    <w:p>
      <w:pPr>
        <w:spacing w:after="260"/>
        <w:jc w:val="center"/>
      </w:pPr>
      <w:r>
        <w:rPr>
          <w:b/>
          <w:bCs/>
          <w:color w:val="1F3864"/>
          <w:sz w:val="30"/>
          <w:szCs w:val="30"/>
        </w:rPr>
        <w:t xml:space="preserve">SIGNATURES</w:t>
      </w:r>
    </w:p>
    <w:p>
      <w:pPr>
        <w:spacing w:after="140"/>
      </w:pPr>
      <w:r>
        <w:rPr>
          <w:sz w:val="20"/>
          <w:szCs w:val="20"/>
        </w:rPr>
        <w:t xml:space="preserve">The authorized representatives below agree to the terms of this Agreement as of the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PART OF PRACTICE, LLC</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JOE WELCH PHOTOGRAPHY</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Richard Brashear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Joseph Welch</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COO / Founder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[CONFIRM — President, per LinkedIn]</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[CONFIRM]</w:t>
            </w:r>
          </w:p>
        </w:tc>
      </w:tr>
    </w:tbl>
    <w:p>
      <w:pPr>
        <w:pageBreakBefore/>
      </w:pPr>
    </w:p>
    <w:p>
      <w:pPr>
        <w:spacing w:after="40"/>
        <w:jc w:val="center"/>
      </w:pPr>
      <w:r>
        <w:rPr>
          <w:b/>
          <w:bCs/>
          <w:color w:val="C55A11"/>
          <w:sz w:val="22"/>
          <w:szCs w:val="22"/>
        </w:rPr>
        <w:t xml:space="preserve">EXHIBIT A</w:t>
      </w:r>
    </w:p>
    <w:p>
      <w:pPr>
        <w:spacing w:after="40"/>
        <w:jc w:val="center"/>
      </w:pPr>
      <w:r>
        <w:rPr>
          <w:b/>
          <w:bCs/>
          <w:color w:val="1F3864"/>
          <w:sz w:val="30"/>
          <w:szCs w:val="30"/>
        </w:rPr>
        <w:t xml:space="preserve">STATEMENT OF WORK</w:t>
      </w:r>
    </w:p>
    <w:p>
      <w:pPr>
        <w:spacing w:after="260"/>
        <w:jc w:val="center"/>
      </w:pPr>
      <w:r>
        <w:rPr>
          <w:b/>
          <w:bCs/>
          <w:color w:val="595959"/>
          <w:sz w:val="20"/>
          <w:szCs w:val="20"/>
        </w:rPr>
        <w:t xml:space="preserve">Website + SEO Support | $99 per month</w:t>
      </w:r>
    </w:p>
    <w:p>
      <w:pPr>
        <w:spacing w:after="100" w:before="240"/>
      </w:pPr>
      <w:r>
        <w:rPr>
          <w:b/>
          <w:bCs/>
          <w:color w:val="1F3864"/>
          <w:sz w:val="24"/>
          <w:szCs w:val="24"/>
        </w:rPr>
        <w:t xml:space="preserve">A. Service Objective</w:t>
      </w:r>
    </w:p>
    <w:p>
      <w:pPr>
        <w:spacing w:after="140"/>
      </w:pPr>
      <w:r>
        <w:rPr>
          <w:sz w:val="20"/>
          <w:szCs w:val="20"/>
        </w:rPr>
        <w:t xml:space="preserve">Strengthen Client’s online presence through ongoing website support and search-engine optimization within Client’s existing website, hosting, and technical framework — with particular emphasis on resolving brand confusion with an unrelated, similarly named business and improving visibility for aerial/drone, commercial, and hotel/resort photography searches in Client’s Fort Lauderdale/Broward County priority market.</w:t>
      </w:r>
    </w:p>
    <w:p>
      <w:pPr>
        <w:spacing w:after="100" w:before="240"/>
      </w:pPr>
      <w:r>
        <w:rPr>
          <w:b/>
          <w:bCs/>
          <w:color w:val="1F3864"/>
          <w:sz w:val="24"/>
          <w:szCs w:val="24"/>
        </w:rPr>
        <w:t xml:space="preserve">B. Included Services</w:t>
      </w:r>
    </w:p>
    <w:p>
      <w:pPr>
        <w:pStyle w:val="ListParagraph"/>
        <w:numPr>
          <w:ilvl w:val="0"/>
          <w:numId w:val="1"/>
        </w:numPr>
        <w:spacing w:after="60"/>
      </w:pPr>
      <w:r>
        <w:rPr>
          <w:sz w:val="20"/>
          <w:szCs w:val="20"/>
        </w:rPr>
        <w:t xml:space="preserve">On-page SEO optimization, including titles, meta descriptions, and headings.</w:t>
      </w:r>
    </w:p>
    <w:p>
      <w:pPr>
        <w:pStyle w:val="ListParagraph"/>
        <w:numPr>
          <w:ilvl w:val="0"/>
          <w:numId w:val="1"/>
        </w:numPr>
        <w:spacing w:after="60"/>
      </w:pPr>
      <w:r>
        <w:rPr>
          <w:sz w:val="20"/>
          <w:szCs w:val="20"/>
        </w:rPr>
        <w:t xml:space="preserve">Brand disambiguation schema (LocalBusiness and Person), addressing the naming similarity with an unrelated third-party photography business.</w:t>
      </w:r>
    </w:p>
    <w:p>
      <w:pPr>
        <w:pStyle w:val="ListParagraph"/>
        <w:numPr>
          <w:ilvl w:val="0"/>
          <w:numId w:val="1"/>
        </w:numPr>
        <w:spacing w:after="60"/>
      </w:pPr>
      <w:r>
        <w:rPr>
          <w:sz w:val="20"/>
          <w:szCs w:val="20"/>
        </w:rPr>
        <w:t xml:space="preserve">Local keyword research and targeting relevant to Client’s specialties (aerial/drone, commercial, hotel/resort, and residential real estate photography) and identified Florida service area, prioritizing Fort Lauderdale/Broward County.</w:t>
      </w:r>
    </w:p>
    <w:p>
      <w:pPr>
        <w:pStyle w:val="ListParagraph"/>
        <w:numPr>
          <w:ilvl w:val="0"/>
          <w:numId w:val="1"/>
        </w:numPr>
        <w:spacing w:after="60"/>
      </w:pPr>
      <w:r>
        <w:rPr>
          <w:sz w:val="20"/>
          <w:szCs w:val="20"/>
        </w:rPr>
        <w:t xml:space="preserve">Image optimization (alt text) for SEO and accessibility, limited to images touched during included work.</w:t>
      </w:r>
    </w:p>
    <w:p>
      <w:pPr>
        <w:pStyle w:val="ListParagraph"/>
        <w:numPr>
          <w:ilvl w:val="0"/>
          <w:numId w:val="1"/>
        </w:numPr>
        <w:spacing w:after="60"/>
      </w:pPr>
      <w:r>
        <w:rPr>
          <w:sz w:val="20"/>
          <w:szCs w:val="20"/>
        </w:rPr>
        <w:t xml:space="preserve">Google Business Profile optimization and Yelp/NAP consistency cleanup, subject to platform access, verification, and policy.</w:t>
      </w:r>
    </w:p>
    <w:p>
      <w:pPr>
        <w:pStyle w:val="ListParagraph"/>
        <w:numPr>
          <w:ilvl w:val="0"/>
          <w:numId w:val="1"/>
        </w:numPr>
        <w:spacing w:after="60"/>
      </w:pPr>
      <w:r>
        <w:rPr>
          <w:sz w:val="20"/>
          <w:szCs w:val="20"/>
        </w:rPr>
        <w:t xml:space="preserve">Technical SEO improvements that are reasonably achievable within the existing website and hosting framework.</w:t>
      </w:r>
    </w:p>
    <w:p>
      <w:pPr>
        <w:pStyle w:val="ListParagraph"/>
        <w:numPr>
          <w:ilvl w:val="0"/>
          <w:numId w:val="1"/>
        </w:numPr>
        <w:spacing w:after="60"/>
      </w:pPr>
      <w:r>
        <w:rPr>
          <w:sz w:val="20"/>
          <w:szCs w:val="20"/>
        </w:rPr>
        <w:t xml:space="preserve">Google Analytics and Google Search Console setup or configuration, using Client-owned accounts where available.</w:t>
      </w:r>
    </w:p>
    <w:p>
      <w:pPr>
        <w:pStyle w:val="ListParagraph"/>
        <w:numPr>
          <w:ilvl w:val="0"/>
          <w:numId w:val="1"/>
        </w:numPr>
        <w:spacing w:after="60"/>
      </w:pPr>
      <w:r>
        <w:rPr>
          <w:sz w:val="20"/>
          <w:szCs w:val="20"/>
        </w:rPr>
        <w:t xml:space="preserve">Content and SEO improvements to up to three (3) existing thin-content pages in the first two (2) months, then additional pages as needed thereafter, implemented directly by Provider using Client-provided website access. This strengthens existing pages; it does not include building or publishing new pages (see Section C).</w:t>
      </w:r>
    </w:p>
    <w:p>
      <w:pPr>
        <w:pStyle w:val="ListParagraph"/>
        <w:numPr>
          <w:ilvl w:val="0"/>
          <w:numId w:val="1"/>
        </w:numPr>
        <w:spacing w:after="60"/>
      </w:pPr>
      <w:r>
        <w:rPr>
          <w:sz w:val="20"/>
          <w:szCs w:val="20"/>
        </w:rPr>
        <w:t xml:space="preserve">Priority email support during Provider’s normal business hours. Priority means Provider will place Client’s support request ahead of non-priority requests when reasonably practicable, but it is not a guaranteed response or resolution time and does not include 24/7 or emergency support.</w:t>
      </w:r>
    </w:p>
    <w:p>
      <w:pPr>
        <w:pStyle w:val="ListParagraph"/>
        <w:numPr>
          <w:ilvl w:val="0"/>
          <w:numId w:val="1"/>
        </w:numPr>
        <w:spacing w:after="60"/>
      </w:pPr>
      <w:r>
        <w:rPr>
          <w:sz w:val="20"/>
          <w:szCs w:val="20"/>
        </w:rPr>
        <w:t xml:space="preserve">Website maintenance coordination, if applicable, consisting of reasonable coordination, recommendations, and routine updates within Client’s existing website and hosting framework. It does not include a rebuild, migration, custom development, third-party vendor fees, or emergency remediation.</w:t>
      </w:r>
    </w:p>
    <w:p>
      <w:pPr>
        <w:pStyle w:val="ListParagraph"/>
        <w:numPr>
          <w:ilvl w:val="0"/>
          <w:numId w:val="1"/>
        </w:numPr>
        <w:spacing w:after="60"/>
      </w:pPr>
      <w:r>
        <w:rPr>
          <w:sz w:val="20"/>
          <w:szCs w:val="20"/>
        </w:rPr>
        <w:t xml:space="preserve">Monthly monitoring and performance checks.</w:t>
      </w:r>
    </w:p>
    <w:p>
      <w:pPr>
        <w:pStyle w:val="ListParagraph"/>
        <w:numPr>
          <w:ilvl w:val="0"/>
          <w:numId w:val="1"/>
        </w:numPr>
        <w:spacing w:after="60"/>
      </w:pPr>
      <w:r>
        <w:rPr>
          <w:sz w:val="20"/>
          <w:szCs w:val="20"/>
        </w:rPr>
        <w:t xml:space="preserve">Monthly reporting.</w:t>
      </w:r>
    </w:p>
    <w:p>
      <w:pPr>
        <w:pStyle w:val="ListParagraph"/>
        <w:numPr>
          <w:ilvl w:val="0"/>
          <w:numId w:val="1"/>
        </w:numPr>
        <w:spacing w:after="60"/>
      </w:pPr>
      <w:r>
        <w:rPr>
          <w:sz w:val="20"/>
          <w:szCs w:val="20"/>
        </w:rPr>
        <w:t xml:space="preserve">No setup fee.</w:t>
      </w:r>
    </w:p>
    <w:p>
      <w:pPr>
        <w:spacing w:after="100" w:before="240"/>
      </w:pPr>
      <w:r>
        <w:rPr>
          <w:b/>
          <w:bCs/>
          <w:color w:val="1F3864"/>
          <w:sz w:val="24"/>
          <w:szCs w:val="24"/>
        </w:rPr>
        <w:t xml:space="preserve">C. Not Included</w:t>
      </w:r>
    </w:p>
    <w:p>
      <w:pPr>
        <w:pStyle w:val="ListParagraph"/>
        <w:numPr>
          <w:ilvl w:val="0"/>
          <w:numId w:val="1"/>
        </w:numPr>
        <w:spacing w:after="60"/>
      </w:pPr>
      <w:r>
        <w:rPr>
          <w:sz w:val="20"/>
          <w:szCs w:val="20"/>
        </w:rPr>
        <w:t xml:space="preserve">Website hosting, domain registration, email hosting, platform subscriptions, paid themes, premium plugins, stock media, or other third-party fees.</w:t>
      </w:r>
    </w:p>
    <w:p>
      <w:pPr>
        <w:pStyle w:val="ListParagraph"/>
        <w:numPr>
          <w:ilvl w:val="0"/>
          <w:numId w:val="1"/>
        </w:numPr>
        <w:spacing w:after="60"/>
      </w:pPr>
      <w:r>
        <w:rPr>
          <w:sz w:val="20"/>
          <w:szCs w:val="20"/>
        </w:rPr>
        <w:t xml:space="preserve">A website rebuild, migration, replatforming, custom application development, custom plugin development, or material redesign of the existing framework.</w:t>
      </w:r>
    </w:p>
    <w:p>
      <w:pPr>
        <w:pStyle w:val="ListParagraph"/>
        <w:numPr>
          <w:ilvl w:val="0"/>
          <w:numId w:val="1"/>
        </w:numPr>
        <w:spacing w:after="60"/>
      </w:pPr>
      <w:r>
        <w:rPr>
          <w:sz w:val="20"/>
          <w:szCs w:val="20"/>
        </w:rPr>
        <w:t xml:space="preserve">Web page additions (new pages built or published by Provider), blog post drafting, competitor research, advanced internal-linking strategy, paid advertising, social-media services, or advanced AI-search/long-term growth strategy.</w:t>
      </w:r>
    </w:p>
    <w:p>
      <w:pPr>
        <w:pStyle w:val="ListParagraph"/>
        <w:numPr>
          <w:ilvl w:val="0"/>
          <w:numId w:val="1"/>
        </w:numPr>
        <w:spacing w:after="60"/>
      </w:pPr>
      <w:r>
        <w:rPr>
          <w:sz w:val="20"/>
          <w:szCs w:val="20"/>
        </w:rPr>
        <w:t xml:space="preserve">Legal, regulatory (including FAA drone/Part 107 certification), privacy, cybersecurity, or accessibility audits, certifications, or remediation.</w:t>
      </w:r>
    </w:p>
    <w:p>
      <w:pPr>
        <w:pStyle w:val="ListParagraph"/>
        <w:numPr>
          <w:ilvl w:val="0"/>
          <w:numId w:val="1"/>
        </w:numPr>
        <w:spacing w:after="60"/>
      </w:pPr>
      <w:r>
        <w:rPr>
          <w:sz w:val="20"/>
          <w:szCs w:val="20"/>
        </w:rPr>
        <w:t xml:space="preserve">Emergency support, restoration from backup, malware removal, incident response, or repair of pre-existing defects unless added by change order.</w:t>
      </w:r>
    </w:p>
    <w:p>
      <w:pPr>
        <w:spacing w:after="100" w:before="240"/>
      </w:pPr>
      <w:r>
        <w:rPr>
          <w:b/>
          <w:bCs/>
          <w:color w:val="1F3864"/>
          <w:sz w:val="24"/>
          <w:szCs w:val="24"/>
        </w:rPr>
        <w:t xml:space="preserve">D. Workflow and Assumptions</w:t>
      </w:r>
    </w:p>
    <w:p>
      <w:pPr>
        <w:pStyle w:val="ListParagraph"/>
        <w:numPr>
          <w:ilvl w:val="0"/>
          <w:numId w:val="1"/>
        </w:numPr>
        <w:spacing w:after="60"/>
      </w:pPr>
      <w:r>
        <w:rPr>
          <w:sz w:val="20"/>
          <w:szCs w:val="20"/>
        </w:rPr>
        <w:t xml:space="preserve">Provider will prioritize work based on SEO impact, technical feasibility, and timely Client approvals.</w:t>
      </w:r>
    </w:p>
    <w:p>
      <w:pPr>
        <w:pStyle w:val="ListParagraph"/>
        <w:numPr>
          <w:ilvl w:val="0"/>
          <w:numId w:val="1"/>
        </w:numPr>
        <w:spacing w:after="60"/>
      </w:pPr>
      <w:r>
        <w:rPr>
          <w:sz w:val="20"/>
          <w:szCs w:val="20"/>
        </w:rPr>
        <w:t xml:space="preserve">Client will keep its website, hosting, domain, theme, plugins, and required third-party accounts active and in good standing.</w:t>
      </w:r>
    </w:p>
    <w:p>
      <w:pPr>
        <w:pStyle w:val="ListParagraph"/>
        <w:numPr>
          <w:ilvl w:val="0"/>
          <w:numId w:val="1"/>
        </w:numPr>
        <w:spacing w:after="60"/>
      </w:pPr>
      <w:r>
        <w:rPr>
          <w:sz w:val="20"/>
          <w:szCs w:val="20"/>
        </w:rPr>
        <w:t xml:space="preserve">Client will provide credentials through a reasonably secure method and will maintain backups appropriate to its risk.</w:t>
      </w:r>
    </w:p>
    <w:p>
      <w:pPr>
        <w:pStyle w:val="ListParagraph"/>
        <w:numPr>
          <w:ilvl w:val="0"/>
          <w:numId w:val="1"/>
        </w:numPr>
        <w:spacing w:after="60"/>
      </w:pPr>
      <w:r>
        <w:rPr>
          <w:sz w:val="20"/>
          <w:szCs w:val="20"/>
        </w:rPr>
        <w:t xml:space="preserve">New pages, substantial copywriting, material redesigns, and changes in direction require a written change order.</w:t>
      </w:r>
    </w:p>
    <w:p>
      <w:pPr>
        <w:pStyle w:val="ListParagraph"/>
        <w:numPr>
          <w:ilvl w:val="0"/>
          <w:numId w:val="1"/>
        </w:numPr>
        <w:spacing w:after="60"/>
      </w:pPr>
      <w:r>
        <w:rPr>
          <w:sz w:val="20"/>
          <w:szCs w:val="20"/>
        </w:rPr>
        <w:t xml:space="preserve">Reports may be delivered electronically. Meetings are not included unless separately scheduled or stated in writing.</w:t>
      </w:r>
    </w:p>
    <w:p>
      <w:pPr>
        <w:pageBreakBefore/>
      </w:pPr>
    </w:p>
    <w:p>
      <w:pPr>
        <w:spacing w:after="100" w:before="240"/>
      </w:pPr>
      <w:r>
        <w:rPr>
          <w:b/>
          <w:bCs/>
          <w:color w:val="1F3864"/>
          <w:sz w:val="24"/>
          <w:szCs w:val="24"/>
        </w:rPr>
        <w:t xml:space="preserve">E. Fees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Plan</w:t>
            </w:r>
          </w:p>
        </w:tc>
        <w:tc>
          <w:tcPr>
            <w:tcW w:type="pct" w:w="6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Website + SEO Support</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Monthly Fee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$99.00</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Initial Term</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12 consecutive months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Total Contract Value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$1,188.00, plus applicable taxes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Year Two Renewal Rate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$59.00 / month (see Section F)</w:t>
            </w:r>
          </w:p>
        </w:tc>
      </w:tr>
    </w:tbl>
    <w:p>
      <w:pPr>
        <w:spacing w:after="220" w:before="100"/>
      </w:pPr>
      <w:r>
        <w:rPr>
          <w:sz w:val="20"/>
          <w:szCs w:val="20"/>
        </w:rPr>
        <w:t xml:space="preserve">Payment is due in advance as stated in Section 3 of the Agreement.</w:t>
      </w:r>
    </w:p>
    <w:p>
      <w:pPr>
        <w:spacing w:after="100" w:before="240"/>
      </w:pPr>
      <w:r>
        <w:rPr>
          <w:b/>
          <w:bCs/>
          <w:color w:val="1F3864"/>
          <w:sz w:val="24"/>
          <w:szCs w:val="24"/>
        </w:rPr>
        <w:t xml:space="preserve">F. SEO-Only Renewal Services</w:t>
      </w:r>
    </w:p>
    <w:p>
      <w:pPr>
        <w:spacing w:after="140"/>
      </w:pPr>
      <w:r>
        <w:rPr>
          <w:sz w:val="20"/>
          <w:szCs w:val="20"/>
        </w:rPr>
        <w:t xml:space="preserve">Beginning after the Initial Term, each renewal term is billed at $59.00 per month. Renewal services are limited to on-page SEO optimization, local keyword research and targeting, image optimization for SEO and accessibility, Google Business Profile optimization, monthly monitoring and performance checks, and monthly reporting. Website maintenance coordination,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Joe Welch Photography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595959"/>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2026-09-16T13:18:59.818Z</dcterms:created>
  <dcterms:modified xsi:type="dcterms:W3CDTF">2026-09-16T13:18:59.827Z</dcterms:modified>
</cp:coreProperties>
</file>

<file path=docProps/custom.xml><?xml version="1.0" encoding="utf-8"?>
<Properties xmlns="http://schemas.openxmlformats.org/officeDocument/2006/custom-properties" xmlns:vt="http://schemas.openxmlformats.org/officeDocument/2006/docPropsVTypes"/>
</file>