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Stripe Payout Reconciliation Checklist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Parts of Practice — Patriot Software (Checking: Bluevine)</w:t>
      </w:r>
    </w:p>
    <w:p>
      <w:pPr>
        <w:pBdr>
          <w:bottom w:val="single" w:color="D1D5DB" w:sz="6" w:space="4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 this every time a Stripe payout hits Bluevine. It keeps revenue, fees, and your bank balance all correct — instead of the fee getting silently absorbed into revenue, or the deposit getting double-counted against invoice payments already recorded.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The 5 Steps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1.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Pull the charge detail — </w:t>
      </w:r>
      <w:r>
        <w:rPr>
          <w:rFonts w:ascii="Arial" w:cs="Arial" w:eastAsia="Arial" w:hAnsi="Arial"/>
          <w:sz w:val="21"/>
          <w:szCs w:val="21"/>
        </w:rPr>
        <w:t xml:space="preserve">When the Stripe payout notification arrives, get the individual charges behind it — amount and fee for each (Stripe's payout detail page shows this: Type, Amount, Fees, Total, Created date).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2.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Record each invoice payment to Undeposited Funds — </w:t>
      </w:r>
      <w:r>
        <w:rPr>
          <w:rFonts w:ascii="Arial" w:cs="Arial" w:eastAsia="Arial" w:hAnsi="Arial"/>
          <w:sz w:val="21"/>
          <w:szCs w:val="21"/>
        </w:rPr>
        <w:t xml:space="preserve">On each invoice, Apply Payment → Deposit Account = Undeposited Funds (never Checking) → full gross amount → dated the actual charge date, not today's date.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3.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Record each fee as its own Journal Entry — </w:t>
      </w:r>
      <w:r>
        <w:rPr>
          <w:rFonts w:ascii="Arial" w:cs="Arial" w:eastAsia="Arial" w:hAnsi="Arial"/>
          <w:sz w:val="21"/>
          <w:szCs w:val="21"/>
        </w:rPr>
        <w:t xml:space="preserve">Same date as the charge. Debit Bank Processing Fees, Credit Undeposited Funds, for the fee amount. Double-check the debit/credit sides before saving — this is the step most likely to get flipped.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4.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Leave the bank-feed payout transaction alone — </w:t>
      </w:r>
      <w:r>
        <w:rPr>
          <w:rFonts w:ascii="Arial" w:cs="Arial" w:eastAsia="Arial" w:hAnsi="Arial"/>
          <w:sz w:val="21"/>
          <w:szCs w:val="21"/>
        </w:rPr>
        <w:t xml:space="preserve">When the payout itself shows up in the Checking bank feed, it should just clear Undeposited Funds — never categorize it as new Service Revenue. If it was auto-categorized as revenue, edit it: change that line to Undeposited Funds instead.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5.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Confirm Undeposited Funds nets to $0.00 — </w:t>
      </w:r>
      <w:r>
        <w:rPr>
          <w:rFonts w:ascii="Arial" w:cs="Arial" w:eastAsia="Arial" w:hAnsi="Arial"/>
          <w:sz w:val="21"/>
          <w:szCs w:val="21"/>
        </w:rPr>
        <w:t xml:space="preserve">Once every invoice payment and every fee for that payout is entered, Undeposited Funds should return to exactly $0.00. That is your proof everything is reconciled correctly.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The Rule of Thumb</w:t>
      </w:r>
    </w:p>
    <w:p>
      <w:pPr>
        <w:shd w:fill="D1FAE5" w:val="clear"/>
        <w:spacing w:after="200" w:before="60"/>
      </w:pPr>
      <w:r>
        <w:rPr>
          <w:rFonts w:ascii="Arial" w:cs="Arial" w:eastAsia="Arial" w:hAnsi="Arial"/>
          <w:b/>
          <w:bCs/>
          <w:color w:val="047857"/>
          <w:sz w:val="21"/>
          <w:szCs w:val="21"/>
        </w:rPr>
        <w:t xml:space="preserve">Gross revenue in, fee out, net cash matches the real bank deposit — always through Undeposited Funds, never straight to Checking.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Reference: the Accounts Involved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2800"/>
        <w:gridCol w:w="6560"/>
      </w:tblGrid>
      <w:tr>
        <w:tc>
          <w:tcPr>
            <w:tcW w:type="dxa" w:w="2800"/>
            <w:shd w:fill="1F293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</w:t>
            </w:r>
          </w:p>
        </w:tc>
        <w:tc>
          <w:tcPr>
            <w:tcW w:type="dxa" w:w="6560"/>
            <w:shd w:fill="1F293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Checking</w:t>
            </w:r>
          </w:p>
        </w:tc>
        <w:tc>
          <w:tcPr>
            <w:tcW w:type="dxa" w:w="6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 Bluevine bank balance — only touched by the actual imported payout transaction.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Undeposited Funds</w:t>
            </w:r>
          </w:p>
        </w:tc>
        <w:tc>
          <w:tcPr>
            <w:tcW w:type="dxa" w:w="6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Holding account. Gross payments in (Step 2), fees out (Step 3), payout clears it (Step 4). Should always return to $0.00 after each payout is fully reconciled.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Service Revenue</w:t>
            </w:r>
          </w:p>
        </w:tc>
        <w:tc>
          <w:tcPr>
            <w:tcW w:type="dxa" w:w="6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Gross revenue, recognized once per invoice at the full billed amount — never net of fees.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Bank Processing Fees</w:t>
            </w:r>
          </w:p>
        </w:tc>
        <w:tc>
          <w:tcPr>
            <w:tcW w:type="dxa" w:w="6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Stripe's processing fee, recorded as its own expense — not netted silently out of revenue.</w:t>
            </w:r>
          </w:p>
        </w:tc>
      </w:tr>
    </w:tbl>
    <w:p>
      <w:pPr>
        <w:spacing w:before="260"/>
      </w:pP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Reference case: the Sep 11, 2026 payout (Andy Studer Therapy $99, Karen Welch Therapy $149, Gratitude and Growth Counseling $99 — $347.00 gross, $10.96 in fees, $336.04 net) was reconciled using exactly this process.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2026-09-14T19:49:14.445Z</dcterms:created>
  <dcterms:modified xsi:type="dcterms:W3CDTF">2026-09-14T19:49:14.461Z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