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2937"/>
          <w:sz w:val="32"/>
          <w:szCs w:val="32"/>
        </w:rPr>
        <w:t xml:space="preserve">INTERCOMPANY SETTLEMENT MEMO</w:t>
      </w:r>
    </w:p>
    <w:p>
      <w:pPr>
        <w:spacing w:after="40"/>
        <w:jc w:val="center"/>
      </w:pPr>
      <w:r>
        <w:rPr>
          <w:rFonts w:ascii="Arial" w:cs="Arial" w:eastAsia="Arial" w:hAnsi="Arial"/>
          <w:color w:val="6B7280"/>
          <w:sz w:val="24"/>
          <w:szCs w:val="24"/>
        </w:rPr>
        <w:t xml:space="preserve">Parts of Practice — GroupRB</w:t>
      </w:r>
    </w:p>
    <w:p>
      <w:pPr>
        <w:spacing w:after="200"/>
        <w:jc w:val="center"/>
      </w:pPr>
      <w:r>
        <w:rPr>
          <w:rFonts w:ascii="Arial" w:cs="Arial" w:eastAsia="Arial" w:hAnsi="Arial"/>
          <w:i/>
          <w:iCs/>
          <w:color w:val="6B7280"/>
          <w:sz w:val="20"/>
          <w:szCs w:val="20"/>
        </w:rPr>
        <w:t xml:space="preserve">Revenue Collection &amp; Cost Reimbursement, Related-Party Settlement</w:t>
      </w:r>
    </w:p>
    <w:p>
      <w:pPr>
        <w:pBdr>
          <w:bottom w:val="single" w:color="D1D5DB" w:sz="6" w:space="4"/>
        </w:pBdr>
        <w:spacing w:after="200"/>
      </w:pPr>
    </w:p>
    <w:p>
      <w:pPr>
        <w:spacing w:after="40"/>
      </w:pPr>
      <w:r>
        <w:rPr>
          <w:rFonts w:ascii="Arial" w:cs="Arial" w:eastAsia="Arial" w:hAnsi="Arial"/>
          <w:b/>
          <w:bCs/>
          <w:sz w:val="21"/>
          <w:szCs w:val="21"/>
        </w:rPr>
        <w:t xml:space="preserve">Period covered:  </w:t>
      </w:r>
      <w:r>
        <w:rPr>
          <w:rFonts w:ascii="Arial" w:cs="Arial" w:eastAsia="Arial" w:hAnsi="Arial"/>
          <w:sz w:val="21"/>
          <w:szCs w:val="21"/>
        </w:rPr>
        <w:t xml:space="preserve">January 1, 2026 – September 30, 2026</w:t>
      </w:r>
    </w:p>
    <w:p>
      <w:pPr>
        <w:spacing w:after="40"/>
      </w:pPr>
      <w:r>
        <w:rPr>
          <w:rFonts w:ascii="Arial" w:cs="Arial" w:eastAsia="Arial" w:hAnsi="Arial"/>
          <w:b/>
          <w:bCs/>
          <w:sz w:val="21"/>
          <w:szCs w:val="21"/>
        </w:rPr>
        <w:t xml:space="preserve">Memo date:  </w:t>
      </w:r>
      <w:r>
        <w:rPr>
          <w:rFonts w:ascii="Arial" w:cs="Arial" w:eastAsia="Arial" w:hAnsi="Arial"/>
          <w:sz w:val="21"/>
          <w:szCs w:val="21"/>
        </w:rPr>
        <w:t xml:space="preserve">September 14, 2026</w:t>
      </w:r>
    </w:p>
    <w:p>
      <w:pPr>
        <w:spacing w:after="40"/>
      </w:pPr>
      <w:r>
        <w:rPr>
          <w:rFonts w:ascii="Arial" w:cs="Arial" w:eastAsia="Arial" w:hAnsi="Arial"/>
          <w:b/>
          <w:bCs/>
          <w:sz w:val="21"/>
          <w:szCs w:val="21"/>
        </w:rPr>
        <w:t xml:space="preserve">Parties:  </w:t>
      </w:r>
      <w:r>
        <w:rPr>
          <w:rFonts w:ascii="Arial" w:cs="Arial" w:eastAsia="Arial" w:hAnsi="Arial"/>
          <w:sz w:val="21"/>
          <w:szCs w:val="21"/>
        </w:rPr>
        <w:t xml:space="preserve">GroupRB (“GroupRB”) and Parts of Practice (“Parts of Practice”), separate legal entities.</w:t>
      </w:r>
    </w:p>
    <w:p>
      <w:pPr>
        <w:pStyle w:val="Heading1"/>
        <w:spacing w:after="120" w:before="300"/>
      </w:pPr>
      <w:r>
        <w:rPr>
          <w:rFonts w:ascii="Arial" w:cs="Arial" w:eastAsia="Arial" w:hAnsi="Arial"/>
          <w:b/>
          <w:bCs/>
          <w:color w:val="1F2937"/>
          <w:sz w:val="24"/>
          <w:szCs w:val="24"/>
        </w:rPr>
        <w:t xml:space="preserve">1. Background</w:t>
      </w:r>
    </w:p>
    <w:p>
      <w:pPr>
        <w:spacing w:after="160"/>
      </w:pPr>
      <w:r>
        <w:rPr>
          <w:rFonts w:ascii="Arial" w:cs="Arial" w:eastAsia="Arial" w:hAnsi="Arial"/>
          <w:sz w:val="21"/>
          <w:szCs w:val="21"/>
        </w:rPr>
        <w:t xml:space="preserve">GroupRB collects the $99/month “SEO &amp; Web Services” membership revenue owed to Parts of Practice through GroupRB's QuickBooks Payments merchant account. In the course of delivering that service, GroupRB also pays directly for hosting, SEO tooling (Seobility and Ubersuggest), and the payment processing fee on those collections. This memo documents both amounts for the period above and records the net settlement between the two entities.</w:t>
      </w:r>
    </w:p>
    <w:p>
      <w:pPr>
        <w:pStyle w:val="Heading1"/>
        <w:spacing w:after="120" w:before="300"/>
      </w:pPr>
      <w:r>
        <w:rPr>
          <w:rFonts w:ascii="Arial" w:cs="Arial" w:eastAsia="Arial" w:hAnsi="Arial"/>
          <w:b/>
          <w:bCs/>
          <w:color w:val="1F2937"/>
          <w:sz w:val="24"/>
          <w:szCs w:val="24"/>
        </w:rPr>
        <w:t xml:space="preserve">2. Revenue Collected by GroupRB (owed to Parts of Practice)</w:t>
      </w:r>
    </w:p>
    <w:tbl>
      <w:tblPr>
        <w:tblW w:type="dxa" w:w="3600"/>
        <w:tblBorders>
          <w:top w:val="single" w:color="D1D5DB" w:sz="2"/>
          <w:left w:val="single" w:color="D1D5DB" w:sz="2"/>
          <w:bottom w:val="single" w:color="D1D5DB" w:sz="2"/>
          <w:right w:val="single" w:color="D1D5DB" w:sz="2"/>
          <w:insideH w:val="single" w:color="D1D5DB" w:sz="2"/>
          <w:insideV w:val="single" w:color="D1D5DB" w:sz="2"/>
        </w:tblBorders>
      </w:tblPr>
      <w:tblGrid>
        <w:gridCol w:w="1800"/>
        <w:gridCol w:w="1800"/>
      </w:tblGrid>
      <w:tr>
        <w:tc>
          <w:tcPr>
            <w:tcW w:type="dxa" w:w="1800"/>
            <w:shd w:fill="1F293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w:t>
            </w:r>
          </w:p>
        </w:tc>
        <w:tc>
          <w:tcPr>
            <w:tcW w:type="dxa" w:w="1800"/>
            <w:shd w:fill="1F2937"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SEO &amp; Web Services Revenue</w:t>
            </w:r>
          </w:p>
        </w:tc>
      </w:tr>
      <w:tr>
        <w:tc>
          <w:tcPr>
            <w:tcW w:type="dxa" w:w="1800"/>
            <w:tcMar>
              <w:top w:type="dxa" w:w="80"/>
              <w:left w:type="dxa" w:w="120"/>
              <w:bottom w:type="dxa" w:w="80"/>
              <w:right w:type="dxa" w:w="120"/>
            </w:tcMar>
          </w:tcPr>
          <w:p>
            <w:pPr>
              <w:jc w:val="left"/>
            </w:pPr>
            <w:r>
              <w:rPr>
                <w:rFonts w:ascii="Arial" w:cs="Arial" w:eastAsia="Arial" w:hAnsi="Arial"/>
                <w:b w:val="false"/>
                <w:bCs w:val="false"/>
                <w:sz w:val="20"/>
                <w:szCs w:val="20"/>
              </w:rPr>
              <w:t xml:space="preserve">Jan-26</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$198.00</w:t>
            </w:r>
          </w:p>
        </w:tc>
      </w:tr>
      <w:tr>
        <w:tc>
          <w:tcPr>
            <w:tcW w:type="dxa" w:w="1800"/>
            <w:tcMar>
              <w:top w:type="dxa" w:w="80"/>
              <w:left w:type="dxa" w:w="120"/>
              <w:bottom w:type="dxa" w:w="80"/>
              <w:right w:type="dxa" w:w="120"/>
            </w:tcMar>
          </w:tcPr>
          <w:p>
            <w:pPr>
              <w:jc w:val="left"/>
            </w:pPr>
            <w:r>
              <w:rPr>
                <w:rFonts w:ascii="Arial" w:cs="Arial" w:eastAsia="Arial" w:hAnsi="Arial"/>
                <w:b w:val="false"/>
                <w:bCs w:val="false"/>
                <w:sz w:val="20"/>
                <w:szCs w:val="20"/>
              </w:rPr>
              <w:t xml:space="preserve">Feb-26</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$0.00</w:t>
            </w:r>
          </w:p>
        </w:tc>
      </w:tr>
      <w:tr>
        <w:tc>
          <w:tcPr>
            <w:tcW w:type="dxa" w:w="1800"/>
            <w:tcMar>
              <w:top w:type="dxa" w:w="80"/>
              <w:left w:type="dxa" w:w="120"/>
              <w:bottom w:type="dxa" w:w="80"/>
              <w:right w:type="dxa" w:w="120"/>
            </w:tcMar>
          </w:tcPr>
          <w:p>
            <w:pPr>
              <w:jc w:val="left"/>
            </w:pPr>
            <w:r>
              <w:rPr>
                <w:rFonts w:ascii="Arial" w:cs="Arial" w:eastAsia="Arial" w:hAnsi="Arial"/>
                <w:b w:val="false"/>
                <w:bCs w:val="false"/>
                <w:sz w:val="20"/>
                <w:szCs w:val="20"/>
              </w:rPr>
              <w:t xml:space="preserve">Mar-26</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$396.00</w:t>
            </w:r>
          </w:p>
        </w:tc>
      </w:tr>
      <w:tr>
        <w:tc>
          <w:tcPr>
            <w:tcW w:type="dxa" w:w="1800"/>
            <w:tcMar>
              <w:top w:type="dxa" w:w="80"/>
              <w:left w:type="dxa" w:w="120"/>
              <w:bottom w:type="dxa" w:w="80"/>
              <w:right w:type="dxa" w:w="120"/>
            </w:tcMar>
          </w:tcPr>
          <w:p>
            <w:pPr>
              <w:jc w:val="left"/>
            </w:pPr>
            <w:r>
              <w:rPr>
                <w:rFonts w:ascii="Arial" w:cs="Arial" w:eastAsia="Arial" w:hAnsi="Arial"/>
                <w:b w:val="false"/>
                <w:bCs w:val="false"/>
                <w:sz w:val="20"/>
                <w:szCs w:val="20"/>
              </w:rPr>
              <w:t xml:space="preserve">Apr-26</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$0.00</w:t>
            </w:r>
          </w:p>
        </w:tc>
      </w:tr>
      <w:tr>
        <w:tc>
          <w:tcPr>
            <w:tcW w:type="dxa" w:w="1800"/>
            <w:tcMar>
              <w:top w:type="dxa" w:w="80"/>
              <w:left w:type="dxa" w:w="120"/>
              <w:bottom w:type="dxa" w:w="80"/>
              <w:right w:type="dxa" w:w="120"/>
            </w:tcMar>
          </w:tcPr>
          <w:p>
            <w:pPr>
              <w:jc w:val="left"/>
            </w:pPr>
            <w:r>
              <w:rPr>
                <w:rFonts w:ascii="Arial" w:cs="Arial" w:eastAsia="Arial" w:hAnsi="Arial"/>
                <w:b w:val="false"/>
                <w:bCs w:val="false"/>
                <w:sz w:val="20"/>
                <w:szCs w:val="20"/>
              </w:rPr>
              <w:t xml:space="preserve">May-26</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$198.00</w:t>
            </w:r>
          </w:p>
        </w:tc>
      </w:tr>
      <w:tr>
        <w:tc>
          <w:tcPr>
            <w:tcW w:type="dxa" w:w="1800"/>
            <w:tcMar>
              <w:top w:type="dxa" w:w="80"/>
              <w:left w:type="dxa" w:w="120"/>
              <w:bottom w:type="dxa" w:w="80"/>
              <w:right w:type="dxa" w:w="120"/>
            </w:tcMar>
          </w:tcPr>
          <w:p>
            <w:pPr>
              <w:jc w:val="left"/>
            </w:pPr>
            <w:r>
              <w:rPr>
                <w:rFonts w:ascii="Arial" w:cs="Arial" w:eastAsia="Arial" w:hAnsi="Arial"/>
                <w:b w:val="false"/>
                <w:bCs w:val="false"/>
                <w:sz w:val="20"/>
                <w:szCs w:val="20"/>
              </w:rPr>
              <w:t xml:space="preserve">Jun-26</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$198.00</w:t>
            </w:r>
          </w:p>
        </w:tc>
      </w:tr>
      <w:tr>
        <w:tc>
          <w:tcPr>
            <w:tcW w:type="dxa" w:w="1800"/>
            <w:tcMar>
              <w:top w:type="dxa" w:w="80"/>
              <w:left w:type="dxa" w:w="120"/>
              <w:bottom w:type="dxa" w:w="80"/>
              <w:right w:type="dxa" w:w="120"/>
            </w:tcMar>
          </w:tcPr>
          <w:p>
            <w:pPr>
              <w:jc w:val="left"/>
            </w:pPr>
            <w:r>
              <w:rPr>
                <w:rFonts w:ascii="Arial" w:cs="Arial" w:eastAsia="Arial" w:hAnsi="Arial"/>
                <w:b w:val="false"/>
                <w:bCs w:val="false"/>
                <w:sz w:val="20"/>
                <w:szCs w:val="20"/>
              </w:rPr>
              <w:t xml:space="preserve">Jul-26</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$198.00</w:t>
            </w:r>
          </w:p>
        </w:tc>
      </w:tr>
      <w:tr>
        <w:tc>
          <w:tcPr>
            <w:tcW w:type="dxa" w:w="1800"/>
            <w:tcMar>
              <w:top w:type="dxa" w:w="80"/>
              <w:left w:type="dxa" w:w="120"/>
              <w:bottom w:type="dxa" w:w="80"/>
              <w:right w:type="dxa" w:w="120"/>
            </w:tcMar>
          </w:tcPr>
          <w:p>
            <w:pPr>
              <w:jc w:val="left"/>
            </w:pPr>
            <w:r>
              <w:rPr>
                <w:rFonts w:ascii="Arial" w:cs="Arial" w:eastAsia="Arial" w:hAnsi="Arial"/>
                <w:b w:val="false"/>
                <w:bCs w:val="false"/>
                <w:sz w:val="20"/>
                <w:szCs w:val="20"/>
              </w:rPr>
              <w:t xml:space="preserve">Aug-26</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$297.00</w:t>
            </w:r>
          </w:p>
        </w:tc>
      </w:tr>
      <w:tr>
        <w:tc>
          <w:tcPr>
            <w:tcW w:type="dxa" w:w="1800"/>
            <w:tcMar>
              <w:top w:type="dxa" w:w="80"/>
              <w:left w:type="dxa" w:w="120"/>
              <w:bottom w:type="dxa" w:w="80"/>
              <w:right w:type="dxa" w:w="120"/>
            </w:tcMar>
          </w:tcPr>
          <w:p>
            <w:pPr>
              <w:jc w:val="left"/>
            </w:pPr>
            <w:r>
              <w:rPr>
                <w:rFonts w:ascii="Arial" w:cs="Arial" w:eastAsia="Arial" w:hAnsi="Arial"/>
                <w:b w:val="false"/>
                <w:bCs w:val="false"/>
                <w:sz w:val="20"/>
                <w:szCs w:val="20"/>
              </w:rPr>
              <w:t xml:space="preserve">Sep-26</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$0.00</w:t>
            </w:r>
          </w:p>
        </w:tc>
      </w:tr>
      <w:tr>
        <w:tc>
          <w:tcPr>
            <w:tcW w:type="dxa" w:w="1800"/>
            <w:shd w:fill="F3F4F6" w:val="clear"/>
            <w:tcMar>
              <w:top w:type="dxa" w:w="80"/>
              <w:left w:type="dxa" w:w="120"/>
              <w:bottom w:type="dxa" w:w="80"/>
              <w:right w:type="dxa" w:w="120"/>
            </w:tcMar>
          </w:tcPr>
          <w:p>
            <w:pPr>
              <w:jc w:val="left"/>
            </w:pPr>
            <w:r>
              <w:rPr>
                <w:rFonts w:ascii="Arial" w:cs="Arial" w:eastAsia="Arial" w:hAnsi="Arial"/>
                <w:b/>
                <w:bCs/>
                <w:sz w:val="20"/>
                <w:szCs w:val="20"/>
              </w:rPr>
              <w:t xml:space="preserve">Total (15 invoices, 3 clients)</w:t>
            </w:r>
          </w:p>
        </w:tc>
        <w:tc>
          <w:tcPr>
            <w:tcW w:type="dxa" w:w="1800"/>
            <w:shd w:fill="F3F4F6" w:val="clear"/>
            <w:tcMar>
              <w:top w:type="dxa" w:w="80"/>
              <w:left w:type="dxa" w:w="120"/>
              <w:bottom w:type="dxa" w:w="80"/>
              <w:right w:type="dxa" w:w="120"/>
            </w:tcMar>
          </w:tcPr>
          <w:p>
            <w:pPr>
              <w:jc w:val="right"/>
            </w:pPr>
            <w:r>
              <w:rPr>
                <w:rFonts w:ascii="Arial" w:cs="Arial" w:eastAsia="Arial" w:hAnsi="Arial"/>
                <w:b/>
                <w:bCs/>
                <w:sz w:val="20"/>
                <w:szCs w:val="20"/>
              </w:rPr>
              <w:t xml:space="preserve">$1,485.00</w:t>
            </w:r>
          </w:p>
        </w:tc>
      </w:tr>
    </w:tbl>
    <w:p>
      <w:pPr>
        <w:spacing w:after="200" w:before="120"/>
      </w:pPr>
      <w:r>
        <w:rPr>
          <w:rFonts w:ascii="Arial" w:cs="Arial" w:eastAsia="Arial" w:hAnsi="Arial"/>
          <w:i/>
          <w:iCs/>
          <w:color w:val="6B7280"/>
          <w:sz w:val="18"/>
          <w:szCs w:val="18"/>
        </w:rPr>
        <w:t xml:space="preserve">Full invoice-level detail (date, invoice number, customer) is provided in Exhibit A.</w:t>
      </w:r>
    </w:p>
    <w:p>
      <w:pPr>
        <w:pStyle w:val="Heading1"/>
        <w:spacing w:after="120" w:before="300"/>
      </w:pPr>
      <w:r>
        <w:rPr>
          <w:rFonts w:ascii="Arial" w:cs="Arial" w:eastAsia="Arial" w:hAnsi="Arial"/>
          <w:b/>
          <w:bCs/>
          <w:color w:val="1F2937"/>
          <w:sz w:val="24"/>
          <w:szCs w:val="24"/>
        </w:rPr>
        <w:t xml:space="preserve">3. Costs Incurred by GroupRB (reimbursable by Parts of Practice)</w:t>
      </w:r>
    </w:p>
    <w:tbl>
      <w:tblPr>
        <w:tblW w:type="dxa" w:w="7200"/>
        <w:tblBorders>
          <w:top w:val="single" w:color="D1D5DB" w:sz="2"/>
          <w:left w:val="single" w:color="D1D5DB" w:sz="2"/>
          <w:bottom w:val="single" w:color="D1D5DB" w:sz="2"/>
          <w:right w:val="single" w:color="D1D5DB" w:sz="2"/>
          <w:insideH w:val="single" w:color="D1D5DB" w:sz="2"/>
          <w:insideV w:val="single" w:color="D1D5DB" w:sz="2"/>
        </w:tblBorders>
      </w:tblPr>
      <w:tblGrid>
        <w:gridCol w:w="5400"/>
        <w:gridCol w:w="1800"/>
      </w:tblGrid>
      <w:tr>
        <w:tc>
          <w:tcPr>
            <w:tcW w:type="dxa" w:w="5400"/>
            <w:shd w:fill="1F293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Category</w:t>
            </w:r>
          </w:p>
        </w:tc>
        <w:tc>
          <w:tcPr>
            <w:tcW w:type="dxa" w:w="1800"/>
            <w:shd w:fill="1F2937"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Amount</w:t>
            </w:r>
          </w:p>
        </w:tc>
      </w:tr>
      <w:tr>
        <w:tc>
          <w:tcPr>
            <w:tcW w:type="dxa" w:w="5400"/>
            <w:tcMar>
              <w:top w:type="dxa" w:w="80"/>
              <w:left w:type="dxa" w:w="120"/>
              <w:bottom w:type="dxa" w:w="80"/>
              <w:right w:type="dxa" w:w="120"/>
            </w:tcMar>
          </w:tcPr>
          <w:p>
            <w:pPr>
              <w:jc w:val="left"/>
            </w:pPr>
            <w:r>
              <w:rPr>
                <w:rFonts w:ascii="Arial" w:cs="Arial" w:eastAsia="Arial" w:hAnsi="Arial"/>
                <w:b w:val="false"/>
                <w:bCs w:val="false"/>
                <w:sz w:val="20"/>
                <w:szCs w:val="20"/>
              </w:rPr>
              <w:t xml:space="preserve">Hosting Fees</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$190.00</w:t>
            </w:r>
          </w:p>
        </w:tc>
      </w:tr>
      <w:tr>
        <w:tc>
          <w:tcPr>
            <w:tcW w:type="dxa" w:w="5400"/>
            <w:tcMar>
              <w:top w:type="dxa" w:w="80"/>
              <w:left w:type="dxa" w:w="120"/>
              <w:bottom w:type="dxa" w:w="80"/>
              <w:right w:type="dxa" w:w="120"/>
            </w:tcMar>
          </w:tcPr>
          <w:p>
            <w:pPr>
              <w:jc w:val="left"/>
            </w:pPr>
            <w:r>
              <w:rPr>
                <w:rFonts w:ascii="Arial" w:cs="Arial" w:eastAsia="Arial" w:hAnsi="Arial"/>
                <w:b w:val="false"/>
                <w:bCs w:val="false"/>
                <w:sz w:val="20"/>
                <w:szCs w:val="20"/>
              </w:rPr>
              <w:t xml:space="preserve">SEO Tools (Seobility + Ubersuggest)</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$198.00</w:t>
            </w:r>
          </w:p>
        </w:tc>
      </w:tr>
      <w:tr>
        <w:tc>
          <w:tcPr>
            <w:tcW w:type="dxa" w:w="5400"/>
            <w:tcMar>
              <w:top w:type="dxa" w:w="80"/>
              <w:left w:type="dxa" w:w="120"/>
              <w:bottom w:type="dxa" w:w="80"/>
              <w:right w:type="dxa" w:w="120"/>
            </w:tcMar>
          </w:tcPr>
          <w:p>
            <w:pPr>
              <w:jc w:val="left"/>
            </w:pPr>
            <w:r>
              <w:rPr>
                <w:rFonts w:ascii="Arial" w:cs="Arial" w:eastAsia="Arial" w:hAnsi="Arial"/>
                <w:b w:val="false"/>
                <w:bCs w:val="false"/>
                <w:sz w:val="20"/>
                <w:szCs w:val="20"/>
              </w:rPr>
              <w:t xml:space="preserve">Bank Processing Fees (QuickBooks Payments)</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$57.00</w:t>
            </w:r>
          </w:p>
        </w:tc>
      </w:tr>
      <w:tr>
        <w:tc>
          <w:tcPr>
            <w:tcW w:type="dxa" w:w="5400"/>
            <w:shd w:fill="F3F4F6" w:val="clear"/>
            <w:tcMar>
              <w:top w:type="dxa" w:w="80"/>
              <w:left w:type="dxa" w:w="120"/>
              <w:bottom w:type="dxa" w:w="80"/>
              <w:right w:type="dxa" w:w="120"/>
            </w:tcMar>
          </w:tcPr>
          <w:p>
            <w:pPr>
              <w:jc w:val="left"/>
            </w:pPr>
            <w:r>
              <w:rPr>
                <w:rFonts w:ascii="Arial" w:cs="Arial" w:eastAsia="Arial" w:hAnsi="Arial"/>
                <w:b/>
                <w:bCs/>
                <w:sz w:val="20"/>
                <w:szCs w:val="20"/>
              </w:rPr>
              <w:t xml:space="preserve">Total (Jan-Sep 2026)</w:t>
            </w:r>
          </w:p>
        </w:tc>
        <w:tc>
          <w:tcPr>
            <w:tcW w:type="dxa" w:w="1800"/>
            <w:shd w:fill="F3F4F6" w:val="clear"/>
            <w:tcMar>
              <w:top w:type="dxa" w:w="80"/>
              <w:left w:type="dxa" w:w="120"/>
              <w:bottom w:type="dxa" w:w="80"/>
              <w:right w:type="dxa" w:w="120"/>
            </w:tcMar>
          </w:tcPr>
          <w:p>
            <w:pPr>
              <w:jc w:val="right"/>
            </w:pPr>
            <w:r>
              <w:rPr>
                <w:rFonts w:ascii="Arial" w:cs="Arial" w:eastAsia="Arial" w:hAnsi="Arial"/>
                <w:b/>
                <w:bCs/>
                <w:sz w:val="20"/>
                <w:szCs w:val="20"/>
              </w:rPr>
              <w:t xml:space="preserve">$445.00</w:t>
            </w:r>
          </w:p>
        </w:tc>
      </w:tr>
    </w:tbl>
    <w:p>
      <w:pPr>
        <w:spacing w:after="200" w:before="120"/>
      </w:pPr>
      <w:r>
        <w:rPr>
          <w:rFonts w:ascii="Arial" w:cs="Arial" w:eastAsia="Arial" w:hAnsi="Arial"/>
          <w:i/>
          <w:iCs/>
          <w:color w:val="6B7280"/>
          <w:sz w:val="18"/>
          <w:szCs w:val="18"/>
        </w:rPr>
        <w:t xml:space="preserve">Full monthly, per-customer detail is provided in Exhibit A. These are classified as Cost of Goods Sold (Hosting Fees, SEO Tools) and Operating Expense (Bank Processing Fees) in Parts of Practice's books.</w:t>
      </w:r>
    </w:p>
    <w:p>
      <w:pPr>
        <w:pStyle w:val="Heading1"/>
        <w:spacing w:after="120" w:before="300"/>
      </w:pPr>
      <w:r>
        <w:rPr>
          <w:rFonts w:ascii="Arial" w:cs="Arial" w:eastAsia="Arial" w:hAnsi="Arial"/>
          <w:b/>
          <w:bCs/>
          <w:color w:val="1F2937"/>
          <w:sz w:val="24"/>
          <w:szCs w:val="24"/>
        </w:rPr>
        <w:t xml:space="preserve">4. Net Settlement</w:t>
      </w:r>
    </w:p>
    <w:tbl>
      <w:tblPr>
        <w:tblW w:type="dxa" w:w="7200"/>
        <w:tblBorders>
          <w:top w:val="single" w:color="D1D5DB" w:sz="2"/>
          <w:left w:val="single" w:color="D1D5DB" w:sz="2"/>
          <w:bottom w:val="single" w:color="D1D5DB" w:sz="2"/>
          <w:right w:val="single" w:color="D1D5DB" w:sz="2"/>
          <w:insideH w:val="single" w:color="D1D5DB" w:sz="2"/>
          <w:insideV w:val="single" w:color="D1D5DB" w:sz="2"/>
        </w:tblBorders>
      </w:tblPr>
      <w:tblGrid>
        <w:gridCol w:w="5400"/>
        <w:gridCol w:w="1800"/>
      </w:tblGrid>
      <w:tr>
        <w:tc>
          <w:tcPr>
            <w:tcW w:type="dxa" w:w="5400"/>
            <w:tcMar>
              <w:top w:type="dxa" w:w="80"/>
              <w:left w:type="dxa" w:w="120"/>
              <w:bottom w:type="dxa" w:w="80"/>
              <w:right w:type="dxa" w:w="120"/>
            </w:tcMar>
          </w:tcPr>
          <w:p>
            <w:pPr>
              <w:jc w:val="left"/>
            </w:pPr>
            <w:r>
              <w:rPr>
                <w:rFonts w:ascii="Arial" w:cs="Arial" w:eastAsia="Arial" w:hAnsi="Arial"/>
                <w:b w:val="false"/>
                <w:bCs w:val="false"/>
                <w:sz w:val="20"/>
                <w:szCs w:val="20"/>
              </w:rPr>
              <w:t xml:space="preserve">Revenue collected by GroupRB on behalf of Parts of Practice</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$1,485.00</w:t>
            </w:r>
          </w:p>
        </w:tc>
      </w:tr>
      <w:tr>
        <w:tc>
          <w:tcPr>
            <w:tcW w:type="dxa" w:w="5400"/>
            <w:tcMar>
              <w:top w:type="dxa" w:w="80"/>
              <w:left w:type="dxa" w:w="120"/>
              <w:bottom w:type="dxa" w:w="80"/>
              <w:right w:type="dxa" w:w="120"/>
            </w:tcMar>
          </w:tcPr>
          <w:p>
            <w:pPr>
              <w:jc w:val="left"/>
            </w:pPr>
            <w:r>
              <w:rPr>
                <w:rFonts w:ascii="Arial" w:cs="Arial" w:eastAsia="Arial" w:hAnsi="Arial"/>
                <w:b w:val="false"/>
                <w:bCs w:val="false"/>
                <w:sz w:val="20"/>
                <w:szCs w:val="20"/>
              </w:rPr>
              <w:t xml:space="preserve">Less: Costs incurred by GroupRB on behalf of Parts of Practice</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($445.00)</w:t>
            </w:r>
          </w:p>
        </w:tc>
      </w:tr>
      <w:tr>
        <w:tc>
          <w:tcPr>
            <w:tcW w:type="dxa" w:w="5400"/>
            <w:shd w:fill="F3F4F6" w:val="clear"/>
            <w:tcMar>
              <w:top w:type="dxa" w:w="80"/>
              <w:left w:type="dxa" w:w="120"/>
              <w:bottom w:type="dxa" w:w="80"/>
              <w:right w:type="dxa" w:w="120"/>
            </w:tcMar>
          </w:tcPr>
          <w:p>
            <w:pPr>
              <w:jc w:val="left"/>
            </w:pPr>
            <w:r>
              <w:rPr>
                <w:rFonts w:ascii="Arial" w:cs="Arial" w:eastAsia="Arial" w:hAnsi="Arial"/>
                <w:b/>
                <w:bCs/>
                <w:sz w:val="20"/>
                <w:szCs w:val="20"/>
              </w:rPr>
              <w:t xml:space="preserve">Net amount due to Parts of Practice</w:t>
            </w:r>
          </w:p>
        </w:tc>
        <w:tc>
          <w:tcPr>
            <w:tcW w:type="dxa" w:w="1800"/>
            <w:shd w:fill="F3F4F6" w:val="clear"/>
            <w:tcMar>
              <w:top w:type="dxa" w:w="80"/>
              <w:left w:type="dxa" w:w="120"/>
              <w:bottom w:type="dxa" w:w="80"/>
              <w:right w:type="dxa" w:w="120"/>
            </w:tcMar>
          </w:tcPr>
          <w:p>
            <w:pPr>
              <w:jc w:val="right"/>
            </w:pPr>
            <w:r>
              <w:rPr>
                <w:rFonts w:ascii="Arial" w:cs="Arial" w:eastAsia="Arial" w:hAnsi="Arial"/>
                <w:b/>
                <w:bCs/>
                <w:sz w:val="20"/>
                <w:szCs w:val="20"/>
              </w:rPr>
              <w:t xml:space="preserve">$1,040.00</w:t>
            </w:r>
          </w:p>
        </w:tc>
      </w:tr>
    </w:tbl>
    <w:p>
      <w:pPr>
        <w:spacing w:after="120" w:before="200"/>
      </w:pPr>
      <w:r>
        <w:rPr>
          <w:rFonts w:ascii="Arial" w:cs="Arial" w:eastAsia="Arial" w:hAnsi="Arial"/>
          <w:sz w:val="21"/>
          <w:szCs w:val="21"/>
        </w:rPr>
        <w:t xml:space="preserve">Settlement method: two gross transactions, both dated September 14, 2026, in Parts of Practice's own bank account — not a single netted transfer — so Parts of Practice's books show full revenue and full cost of goods sold rather than a blended number:</w:t>
      </w:r>
    </w:p>
    <w:p>
      <w:pPr>
        <w:spacing w:after="60"/>
      </w:pPr>
      <w:r>
        <w:rPr>
          <w:rFonts w:ascii="Arial" w:cs="Arial" w:eastAsia="Arial" w:hAnsi="Arial"/>
          <w:sz w:val="21"/>
          <w:szCs w:val="21"/>
        </w:rPr>
        <w:t xml:space="preserve">• GroupRB transfers $1,485.00 to Parts of Practice (gross revenue).</w:t>
      </w:r>
    </w:p>
    <w:p>
      <w:pPr>
        <w:spacing w:after="200"/>
      </w:pPr>
      <w:r>
        <w:rPr>
          <w:rFonts w:ascii="Arial" w:cs="Arial" w:eastAsia="Arial" w:hAnsi="Arial"/>
          <w:sz w:val="21"/>
          <w:szCs w:val="21"/>
        </w:rPr>
        <w:t xml:space="preserve">• Parts of Practice pays $445.00 to GroupRB (cost reimbursement).</w:t>
      </w:r>
    </w:p>
    <w:p>
      <w:pPr>
        <w:pStyle w:val="Heading1"/>
        <w:spacing w:after="120" w:before="300"/>
      </w:pPr>
      <w:r>
        <w:rPr>
          <w:rFonts w:ascii="Arial" w:cs="Arial" w:eastAsia="Arial" w:hAnsi="Arial"/>
          <w:b/>
          <w:bCs/>
          <w:color w:val="1F2937"/>
          <w:sz w:val="24"/>
          <w:szCs w:val="24"/>
        </w:rPr>
        <w:t xml:space="preserve">5. Exhibits</w:t>
      </w:r>
    </w:p>
    <w:p>
      <w:pPr>
        <w:spacing w:after="60"/>
      </w:pPr>
      <w:r>
        <w:rPr>
          <w:rFonts w:ascii="Arial" w:cs="Arial" w:eastAsia="Arial" w:hAnsi="Arial"/>
          <w:sz w:val="21"/>
          <w:szCs w:val="21"/>
        </w:rPr>
        <w:t xml:space="preserve">Exhibit A — Itemized Revenue &amp; Cost Detail (Patriot-Revenue-Import.csv / .xlsx), 89 line items.</w:t>
      </w:r>
    </w:p>
    <w:p>
      <w:pPr>
        <w:spacing w:after="200"/>
      </w:pPr>
      <w:r>
        <w:rPr>
          <w:rFonts w:ascii="Arial" w:cs="Arial" w:eastAsia="Arial" w:hAnsi="Arial"/>
          <w:sz w:val="21"/>
          <w:szCs w:val="21"/>
        </w:rPr>
        <w:t xml:space="preserve">Exhibit B — Monthly Profit &amp; Loss Summary (2026 P&amp;L by Month.xlsx).</w:t>
      </w:r>
    </w:p>
    <w:p>
      <w:pPr>
        <w:shd w:fill="F3F4F6" w:val="clear"/>
        <w:spacing w:after="200" w:before="200"/>
      </w:pPr>
      <w:r>
        <w:rPr>
          <w:rFonts w:ascii="Arial" w:cs="Arial" w:eastAsia="Arial" w:hAnsi="Arial"/>
          <w:i/>
          <w:iCs/>
          <w:color w:val="6B7280"/>
          <w:sz w:val="18"/>
          <w:szCs w:val="18"/>
        </w:rPr>
        <w:t xml:space="preserve">This memo documents an intercompany transaction between two related but separate legal entities, for internal accounting and tax substantiation purposes. Retain with supporting records in both entities' books. Not a substitute for advice from your CPA on related-party transaction treatment.</w:t>
      </w:r>
    </w:p>
    <w:p>
      <w:pPr>
        <w:pStyle w:val="Heading1"/>
        <w:spacing w:after="120" w:before="300"/>
      </w:pPr>
      <w:r>
        <w:rPr>
          <w:rFonts w:ascii="Arial" w:cs="Arial" w:eastAsia="Arial" w:hAnsi="Arial"/>
          <w:b/>
          <w:bCs/>
          <w:color w:val="1F2937"/>
          <w:sz w:val="24"/>
          <w:szCs w:val="24"/>
        </w:rPr>
        <w:t xml:space="preserve">Approved By</w:t>
      </w:r>
    </w:p>
    <w:p>
      <w:pPr>
        <w:spacing w:after="40" w:before="400"/>
      </w:pPr>
      <w:r>
        <w:rPr>
          <w:rFonts w:ascii="Arial" w:cs="Arial" w:eastAsia="Arial" w:hAnsi="Arial"/>
          <w:b/>
          <w:bCs/>
          <w:sz w:val="21"/>
          <w:szCs w:val="21"/>
        </w:rPr>
        <w:t xml:space="preserve">GroupRB</w:t>
      </w:r>
    </w:p>
    <w:p>
      <w:pPr>
        <w:pBdr>
          <w:bottom w:val="single" w:color="9CA3AF" w:sz="4" w:space="1"/>
        </w:pBdr>
        <w:spacing w:after="40"/>
      </w:pPr>
      <w:r>
        <w:rPr>
          <w:rFonts w:ascii="Arial" w:cs="Arial" w:eastAsia="Arial" w:hAnsi="Arial"/>
          <w:sz w:val="20"/>
          <w:szCs w:val="20"/>
        </w:rPr>
        <w:t xml:space="preserve">                                                            </w:t>
      </w:r>
    </w:p>
    <w:p>
      <w:pPr>
        <w:spacing w:after="300"/>
      </w:pPr>
      <w:r>
        <w:rPr>
          <w:rFonts w:ascii="Arial" w:cs="Arial" w:eastAsia="Arial" w:hAnsi="Arial"/>
          <w:i/>
          <w:iCs/>
          <w:color w:val="6B7280"/>
          <w:sz w:val="18"/>
          <w:szCs w:val="18"/>
        </w:rPr>
        <w:t xml:space="preserve">Signature / Title / Date</w:t>
      </w:r>
    </w:p>
    <w:p>
      <w:pPr>
        <w:spacing w:after="40" w:before="400"/>
      </w:pPr>
      <w:r>
        <w:rPr>
          <w:rFonts w:ascii="Arial" w:cs="Arial" w:eastAsia="Arial" w:hAnsi="Arial"/>
          <w:b/>
          <w:bCs/>
          <w:sz w:val="21"/>
          <w:szCs w:val="21"/>
        </w:rPr>
        <w:t xml:space="preserve">Parts of Practice</w:t>
      </w:r>
    </w:p>
    <w:p>
      <w:pPr>
        <w:pBdr>
          <w:bottom w:val="single" w:color="9CA3AF" w:sz="4" w:space="1"/>
        </w:pBdr>
        <w:spacing w:after="40"/>
      </w:pPr>
      <w:r>
        <w:rPr>
          <w:rFonts w:ascii="Arial" w:cs="Arial" w:eastAsia="Arial" w:hAnsi="Arial"/>
          <w:sz w:val="20"/>
          <w:szCs w:val="20"/>
        </w:rPr>
        <w:t xml:space="preserve">                                                            </w:t>
      </w:r>
    </w:p>
    <w:p>
      <w:pPr>
        <w:spacing w:after="300"/>
      </w:pPr>
      <w:r>
        <w:rPr>
          <w:rFonts w:ascii="Arial" w:cs="Arial" w:eastAsia="Arial" w:hAnsi="Arial"/>
          <w:i/>
          <w:iCs/>
          <w:color w:val="6B7280"/>
          <w:sz w:val="18"/>
          <w:szCs w:val="18"/>
        </w:rPr>
        <w:t xml:space="preserve">Signature / Title / Date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2026-09-14T16:16:00.416Z</dcterms:created>
  <dcterms:modified xsi:type="dcterms:W3CDTF">2026-09-14T16:16:00.417Z</dcterms:modified>
</cp:coreProperties>
</file>

<file path=docProps/custom.xml><?xml version="1.0" encoding="utf-8"?>
<Properties xmlns="http://schemas.openxmlformats.org/officeDocument/2006/custom-properties" xmlns:vt="http://schemas.openxmlformats.org/officeDocument/2006/docPropsVTypes"/>
</file>