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2937"/>
          <w:sz w:val="32"/>
          <w:szCs w:val="32"/>
        </w:rPr>
        <w:t xml:space="preserve">INTERCOMPANY TRANSFER MEMO</w:t>
      </w:r>
    </w:p>
    <w:p>
      <w:pPr>
        <w:spacing w:after="40"/>
        <w:jc w:val="center"/>
      </w:pPr>
      <w:r>
        <w:rPr>
          <w:rFonts w:ascii="Arial" w:cs="Arial" w:eastAsia="Arial" w:hAnsi="Arial"/>
          <w:color w:val="6B7280"/>
          <w:sz w:val="24"/>
          <w:szCs w:val="24"/>
        </w:rPr>
        <w:t xml:space="preserve">Cost Reimbursement</w:t>
      </w:r>
    </w:p>
    <w:p>
      <w:pPr>
        <w:spacing w:after="200"/>
        <w:jc w:val="center"/>
      </w:pPr>
      <w:r>
        <w:rPr>
          <w:rFonts w:ascii="Arial" w:cs="Arial" w:eastAsia="Arial" w:hAnsi="Arial"/>
          <w:i/>
          <w:iCs/>
          <w:color w:val="6B7280"/>
          <w:sz w:val="20"/>
          <w:szCs w:val="20"/>
        </w:rPr>
        <w:t xml:space="preserve">Parts of Practice — GroupRB, Related-Party Settlement</w:t>
      </w:r>
    </w:p>
    <w:p>
      <w:pPr>
        <w:pBdr>
          <w:bottom w:val="single" w:color="D1D5DB" w:sz="6" w:space="4"/>
        </w:pBdr>
        <w:spacing w:after="200"/>
      </w:pPr>
    </w:p>
    <w:p>
      <w:pPr>
        <w:shd w:fill="FEF3C7" w:val="clear"/>
        <w:spacing w:after="200" w:before="100"/>
      </w:pPr>
      <w:r>
        <w:rPr>
          <w:rFonts w:ascii="Arial" w:cs="Arial" w:eastAsia="Arial" w:hAnsi="Arial"/>
          <w:b/>
          <w:bCs/>
          <w:color w:val="B45309"/>
          <w:sz w:val="20"/>
          <w:szCs w:val="20"/>
        </w:rPr>
        <w:t xml:space="preserve">STATUS: PENDING — scheduled for September 15, 2026, after the $1,485.00 revenue transfer clears. Do not execute until that transfer is confirmed.</w:t>
      </w:r>
    </w:p>
    <w:p>
      <w:pPr>
        <w:spacing w:after="40"/>
      </w:pPr>
      <w:r>
        <w:rPr>
          <w:rFonts w:ascii="Arial" w:cs="Arial" w:eastAsia="Arial" w:hAnsi="Arial"/>
          <w:b/>
          <w:bCs/>
          <w:sz w:val="21"/>
          <w:szCs w:val="21"/>
        </w:rPr>
        <w:t xml:space="preserve">From:  </w:t>
      </w:r>
      <w:r>
        <w:rPr>
          <w:rFonts w:ascii="Arial" w:cs="Arial" w:eastAsia="Arial" w:hAnsi="Arial"/>
          <w:sz w:val="21"/>
          <w:szCs w:val="21"/>
        </w:rPr>
        <w:t xml:space="preserve">Parts of Practice</w:t>
      </w:r>
    </w:p>
    <w:p>
      <w:pPr>
        <w:spacing w:after="40"/>
      </w:pPr>
      <w:r>
        <w:rPr>
          <w:rFonts w:ascii="Arial" w:cs="Arial" w:eastAsia="Arial" w:hAnsi="Arial"/>
          <w:b/>
          <w:bCs/>
          <w:sz w:val="21"/>
          <w:szCs w:val="21"/>
        </w:rPr>
        <w:t xml:space="preserve">To:  </w:t>
      </w:r>
      <w:r>
        <w:rPr>
          <w:rFonts w:ascii="Arial" w:cs="Arial" w:eastAsia="Arial" w:hAnsi="Arial"/>
          <w:sz w:val="21"/>
          <w:szCs w:val="21"/>
        </w:rPr>
        <w:t xml:space="preserve">GroupRB</w:t>
      </w:r>
    </w:p>
    <w:p>
      <w:pPr>
        <w:spacing w:after="40"/>
      </w:pPr>
      <w:r>
        <w:rPr>
          <w:rFonts w:ascii="Arial" w:cs="Arial" w:eastAsia="Arial" w:hAnsi="Arial"/>
          <w:b/>
          <w:bCs/>
          <w:sz w:val="21"/>
          <w:szCs w:val="21"/>
        </w:rPr>
        <w:t xml:space="preserve">Amount:  </w:t>
      </w:r>
      <w:r>
        <w:rPr>
          <w:rFonts w:ascii="Arial" w:cs="Arial" w:eastAsia="Arial" w:hAnsi="Arial"/>
          <w:sz w:val="21"/>
          <w:szCs w:val="21"/>
        </w:rPr>
        <w:t xml:space="preserve">$445.00</w:t>
      </w:r>
    </w:p>
    <w:p>
      <w:pPr>
        <w:spacing w:after="40"/>
      </w:pPr>
      <w:r>
        <w:rPr>
          <w:rFonts w:ascii="Arial" w:cs="Arial" w:eastAsia="Arial" w:hAnsi="Arial"/>
          <w:b/>
          <w:bCs/>
          <w:sz w:val="21"/>
          <w:szCs w:val="21"/>
        </w:rPr>
        <w:t xml:space="preserve">Transfer date:  </w:t>
      </w:r>
      <w:r>
        <w:rPr>
          <w:rFonts w:ascii="Arial" w:cs="Arial" w:eastAsia="Arial" w:hAnsi="Arial"/>
          <w:sz w:val="21"/>
          <w:szCs w:val="21"/>
        </w:rPr>
        <w:t xml:space="preserve">September 15, 2026 (planned, upon confirmation the $1,485.00 revenue transfer has cleared into Parts of Practice's Bluevine account)</w:t>
      </w:r>
    </w:p>
    <w:p>
      <w:pPr>
        <w:spacing w:after="40"/>
      </w:pPr>
      <w:r>
        <w:rPr>
          <w:rFonts w:ascii="Arial" w:cs="Arial" w:eastAsia="Arial" w:hAnsi="Arial"/>
          <w:b/>
          <w:bCs/>
          <w:sz w:val="21"/>
          <w:szCs w:val="21"/>
        </w:rPr>
        <w:t xml:space="preserve">Period covered:  </w:t>
      </w:r>
      <w:r>
        <w:rPr>
          <w:rFonts w:ascii="Arial" w:cs="Arial" w:eastAsia="Arial" w:hAnsi="Arial"/>
          <w:sz w:val="21"/>
          <w:szCs w:val="21"/>
        </w:rPr>
        <w:t xml:space="preserve">January 1, 2026 – September 30, 2026</w:t>
      </w:r>
    </w:p>
    <w:p>
      <w:pPr>
        <w:pStyle w:val="Heading1"/>
        <w:spacing w:after="120" w:before="300"/>
      </w:pPr>
      <w:r>
        <w:rPr>
          <w:rFonts w:ascii="Arial" w:cs="Arial" w:eastAsia="Arial" w:hAnsi="Arial"/>
          <w:b/>
          <w:bCs/>
          <w:color w:val="1F2937"/>
          <w:sz w:val="24"/>
          <w:szCs w:val="24"/>
        </w:rPr>
        <w:t xml:space="preserve">Purpose</w:t>
      </w:r>
    </w:p>
    <w:p>
      <w:pPr>
        <w:spacing w:after="160"/>
      </w:pPr>
      <w:r>
        <w:rPr>
          <w:rFonts w:ascii="Arial" w:cs="Arial" w:eastAsia="Arial" w:hAnsi="Arial"/>
          <w:sz w:val="21"/>
          <w:szCs w:val="21"/>
        </w:rPr>
        <w:t xml:space="preserve">In the course of delivering Parts of Practice's SEO &amp; Web Services product, GroupRB pays directly for hosting, SEO tooling (Seobility and Ubersuggest), and the QuickBooks Payments processing fee on the revenue it collects on Parts of Practice's behalf. This memo documents Parts of Practice's reimbursement of those costs to GroupRB for January through September 2026, from Parts of Practice's Bluevine checking account back to GroupRB.</w:t>
      </w:r>
    </w:p>
    <w:p>
      <w:pPr>
        <w:pStyle w:val="Heading1"/>
        <w:spacing w:after="120" w:before="300"/>
      </w:pPr>
      <w:r>
        <w:rPr>
          <w:rFonts w:ascii="Arial" w:cs="Arial" w:eastAsia="Arial" w:hAnsi="Arial"/>
          <w:b/>
          <w:bCs/>
          <w:color w:val="1F2937"/>
          <w:sz w:val="24"/>
          <w:szCs w:val="24"/>
        </w:rPr>
        <w:t xml:space="preserve">Detail</w:t>
      </w:r>
    </w:p>
    <w:tbl>
      <w:tblPr>
        <w:tblW w:type="dxa" w:w="7200"/>
        <w:tblBorders>
          <w:top w:val="single" w:color="D1D5DB" w:sz="2"/>
          <w:left w:val="single" w:color="D1D5DB" w:sz="2"/>
          <w:bottom w:val="single" w:color="D1D5DB" w:sz="2"/>
          <w:right w:val="single" w:color="D1D5DB" w:sz="2"/>
          <w:insideH w:val="single" w:color="D1D5DB" w:sz="2"/>
          <w:insideV w:val="single" w:color="D1D5DB" w:sz="2"/>
        </w:tblBorders>
      </w:tblPr>
      <w:tblGrid>
        <w:gridCol w:w="5400"/>
        <w:gridCol w:w="1800"/>
      </w:tblGrid>
      <w:tr>
        <w:tc>
          <w:tcPr>
            <w:tcW w:type="dxa" w:w="5400"/>
            <w:shd w:fill="1F293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Category</w:t>
            </w:r>
          </w:p>
        </w:tc>
        <w:tc>
          <w:tcPr>
            <w:tcW w:type="dxa" w:w="1800"/>
            <w:shd w:fill="1F2937"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Amount</w:t>
            </w:r>
          </w:p>
        </w:tc>
      </w:tr>
      <w:tr>
        <w:tc>
          <w:tcPr>
            <w:tcW w:type="dxa" w:w="5400"/>
            <w:tcMar>
              <w:top w:type="dxa" w:w="80"/>
              <w:left w:type="dxa" w:w="120"/>
              <w:bottom w:type="dxa" w:w="80"/>
              <w:right w:type="dxa" w:w="120"/>
            </w:tcMar>
          </w:tcPr>
          <w:p>
            <w:pPr>
              <w:jc w:val="left"/>
            </w:pPr>
            <w:r>
              <w:rPr>
                <w:rFonts w:ascii="Arial" w:cs="Arial" w:eastAsia="Arial" w:hAnsi="Arial"/>
                <w:b w:val="false"/>
                <w:bCs w:val="false"/>
                <w:sz w:val="20"/>
                <w:szCs w:val="20"/>
              </w:rPr>
              <w:t xml:space="preserve">Hosting Fees</w:t>
            </w:r>
          </w:p>
        </w:tc>
        <w:tc>
          <w:tcPr>
            <w:tcW w:type="dxa" w:w="1800"/>
            <w:tcMar>
              <w:top w:type="dxa" w:w="80"/>
              <w:left w:type="dxa" w:w="120"/>
              <w:bottom w:type="dxa" w:w="80"/>
              <w:right w:type="dxa" w:w="120"/>
            </w:tcMar>
          </w:tcPr>
          <w:p>
            <w:pPr>
              <w:jc w:val="right"/>
            </w:pPr>
            <w:r>
              <w:rPr>
                <w:rFonts w:ascii="Arial" w:cs="Arial" w:eastAsia="Arial" w:hAnsi="Arial"/>
                <w:b w:val="false"/>
                <w:bCs w:val="false"/>
                <w:sz w:val="20"/>
                <w:szCs w:val="20"/>
              </w:rPr>
              <w:t xml:space="preserve">$190.00</w:t>
            </w:r>
          </w:p>
        </w:tc>
      </w:tr>
      <w:tr>
        <w:tc>
          <w:tcPr>
            <w:tcW w:type="dxa" w:w="5400"/>
            <w:tcMar>
              <w:top w:type="dxa" w:w="80"/>
              <w:left w:type="dxa" w:w="120"/>
              <w:bottom w:type="dxa" w:w="80"/>
              <w:right w:type="dxa" w:w="120"/>
            </w:tcMar>
          </w:tcPr>
          <w:p>
            <w:pPr>
              <w:jc w:val="left"/>
            </w:pPr>
            <w:r>
              <w:rPr>
                <w:rFonts w:ascii="Arial" w:cs="Arial" w:eastAsia="Arial" w:hAnsi="Arial"/>
                <w:b w:val="false"/>
                <w:bCs w:val="false"/>
                <w:sz w:val="20"/>
                <w:szCs w:val="20"/>
              </w:rPr>
              <w:t xml:space="preserve">SEO Tools (Seobility + Ubersuggest)</w:t>
            </w:r>
          </w:p>
        </w:tc>
        <w:tc>
          <w:tcPr>
            <w:tcW w:type="dxa" w:w="1800"/>
            <w:tcMar>
              <w:top w:type="dxa" w:w="80"/>
              <w:left w:type="dxa" w:w="120"/>
              <w:bottom w:type="dxa" w:w="80"/>
              <w:right w:type="dxa" w:w="120"/>
            </w:tcMar>
          </w:tcPr>
          <w:p>
            <w:pPr>
              <w:jc w:val="right"/>
            </w:pPr>
            <w:r>
              <w:rPr>
                <w:rFonts w:ascii="Arial" w:cs="Arial" w:eastAsia="Arial" w:hAnsi="Arial"/>
                <w:b w:val="false"/>
                <w:bCs w:val="false"/>
                <w:sz w:val="20"/>
                <w:szCs w:val="20"/>
              </w:rPr>
              <w:t xml:space="preserve">$198.00</w:t>
            </w:r>
          </w:p>
        </w:tc>
      </w:tr>
      <w:tr>
        <w:tc>
          <w:tcPr>
            <w:tcW w:type="dxa" w:w="5400"/>
            <w:tcMar>
              <w:top w:type="dxa" w:w="80"/>
              <w:left w:type="dxa" w:w="120"/>
              <w:bottom w:type="dxa" w:w="80"/>
              <w:right w:type="dxa" w:w="120"/>
            </w:tcMar>
          </w:tcPr>
          <w:p>
            <w:pPr>
              <w:jc w:val="left"/>
            </w:pPr>
            <w:r>
              <w:rPr>
                <w:rFonts w:ascii="Arial" w:cs="Arial" w:eastAsia="Arial" w:hAnsi="Arial"/>
                <w:b w:val="false"/>
                <w:bCs w:val="false"/>
                <w:sz w:val="20"/>
                <w:szCs w:val="20"/>
              </w:rPr>
              <w:t xml:space="preserve">Bank Processing Fees (QuickBooks Payments)</w:t>
            </w:r>
          </w:p>
        </w:tc>
        <w:tc>
          <w:tcPr>
            <w:tcW w:type="dxa" w:w="1800"/>
            <w:tcMar>
              <w:top w:type="dxa" w:w="80"/>
              <w:left w:type="dxa" w:w="120"/>
              <w:bottom w:type="dxa" w:w="80"/>
              <w:right w:type="dxa" w:w="120"/>
            </w:tcMar>
          </w:tcPr>
          <w:p>
            <w:pPr>
              <w:jc w:val="right"/>
            </w:pPr>
            <w:r>
              <w:rPr>
                <w:rFonts w:ascii="Arial" w:cs="Arial" w:eastAsia="Arial" w:hAnsi="Arial"/>
                <w:b w:val="false"/>
                <w:bCs w:val="false"/>
                <w:sz w:val="20"/>
                <w:szCs w:val="20"/>
              </w:rPr>
              <w:t xml:space="preserve">$57.00</w:t>
            </w:r>
          </w:p>
        </w:tc>
      </w:tr>
      <w:tr>
        <w:tc>
          <w:tcPr>
            <w:tcW w:type="dxa" w:w="5400"/>
            <w:shd w:fill="F3F4F6" w:val="clear"/>
            <w:tcMar>
              <w:top w:type="dxa" w:w="80"/>
              <w:left w:type="dxa" w:w="120"/>
              <w:bottom w:type="dxa" w:w="80"/>
              <w:right w:type="dxa" w:w="120"/>
            </w:tcMar>
          </w:tcPr>
          <w:p>
            <w:pPr>
              <w:jc w:val="left"/>
            </w:pPr>
            <w:r>
              <w:rPr>
                <w:rFonts w:ascii="Arial" w:cs="Arial" w:eastAsia="Arial" w:hAnsi="Arial"/>
                <w:b/>
                <w:bCs/>
                <w:sz w:val="20"/>
                <w:szCs w:val="20"/>
              </w:rPr>
              <w:t xml:space="preserve">Total (Jan-Sep 2026)</w:t>
            </w:r>
          </w:p>
        </w:tc>
        <w:tc>
          <w:tcPr>
            <w:tcW w:type="dxa" w:w="1800"/>
            <w:shd w:fill="F3F4F6" w:val="clear"/>
            <w:tcMar>
              <w:top w:type="dxa" w:w="80"/>
              <w:left w:type="dxa" w:w="120"/>
              <w:bottom w:type="dxa" w:w="80"/>
              <w:right w:type="dxa" w:w="120"/>
            </w:tcMar>
          </w:tcPr>
          <w:p>
            <w:pPr>
              <w:jc w:val="right"/>
            </w:pPr>
            <w:r>
              <w:rPr>
                <w:rFonts w:ascii="Arial" w:cs="Arial" w:eastAsia="Arial" w:hAnsi="Arial"/>
                <w:b/>
                <w:bCs/>
                <w:sz w:val="20"/>
                <w:szCs w:val="20"/>
              </w:rPr>
              <w:t xml:space="preserve">$445.00</w:t>
            </w:r>
          </w:p>
        </w:tc>
      </w:tr>
    </w:tbl>
    <w:p>
      <w:pPr>
        <w:spacing w:after="200" w:before="120"/>
      </w:pPr>
      <w:r>
        <w:rPr>
          <w:rFonts w:ascii="Arial" w:cs="Arial" w:eastAsia="Arial" w:hAnsi="Arial"/>
          <w:i/>
          <w:iCs/>
          <w:color w:val="6B7280"/>
          <w:sz w:val="18"/>
          <w:szCs w:val="18"/>
        </w:rPr>
        <w:t xml:space="preserve">Full monthly, per-customer detail is provided in Exhibit A (Patriot-Revenue-Import.csv / .xlsx). Classified as Cost of Goods Sold (Hosting Fees, SEO Tools) and Operating Expense (Bank Processing Fees) in Parts of Practice's books.</w:t>
      </w:r>
    </w:p>
    <w:p>
      <w:pPr>
        <w:shd w:fill="F3F4F6" w:val="clear"/>
        <w:spacing w:after="200" w:before="200"/>
      </w:pPr>
      <w:r>
        <w:rPr>
          <w:rFonts w:ascii="Arial" w:cs="Arial" w:eastAsia="Arial" w:hAnsi="Arial"/>
          <w:i/>
          <w:iCs/>
          <w:color w:val="6B7280"/>
          <w:sz w:val="18"/>
          <w:szCs w:val="18"/>
        </w:rPr>
        <w:t xml:space="preserve">This is the second of two related settlement legs for the period; see the companion memo for the $1,485.00 revenue remittance. This memo documents an intercompany transaction between two related but separate legal entities, for internal accounting and tax substantiation purposes. Retain with the bank transfer confirmation in both entities' records.</w:t>
      </w:r>
    </w:p>
    <w:p>
      <w:pPr>
        <w:pStyle w:val="Heading1"/>
        <w:spacing w:after="120" w:before="300"/>
      </w:pPr>
      <w:r>
        <w:rPr>
          <w:rFonts w:ascii="Arial" w:cs="Arial" w:eastAsia="Arial" w:hAnsi="Arial"/>
          <w:b/>
          <w:bCs/>
          <w:color w:val="1F2937"/>
          <w:sz w:val="24"/>
          <w:szCs w:val="24"/>
        </w:rPr>
        <w:t xml:space="preserve">Approved By</w:t>
      </w:r>
    </w:p>
    <w:p>
      <w:pPr>
        <w:spacing w:after="40" w:before="400"/>
      </w:pPr>
      <w:r>
        <w:rPr>
          <w:rFonts w:ascii="Arial" w:cs="Arial" w:eastAsia="Arial" w:hAnsi="Arial"/>
          <w:b/>
          <w:bCs/>
          <w:sz w:val="21"/>
          <w:szCs w:val="21"/>
        </w:rPr>
        <w:t xml:space="preserve">Parts of Practice</w:t>
      </w:r>
    </w:p>
    <w:p>
      <w:pPr>
        <w:pBdr>
          <w:bottom w:val="single" w:color="9CA3AF" w:sz="4" w:space="1"/>
        </w:pBdr>
        <w:spacing w:after="40"/>
      </w:pPr>
      <w:r>
        <w:rPr>
          <w:rFonts w:ascii="Arial" w:cs="Arial" w:eastAsia="Arial" w:hAnsi="Arial"/>
          <w:sz w:val="20"/>
          <w:szCs w:val="20"/>
        </w:rPr>
        <w:t xml:space="preserve">                                                            </w:t>
      </w:r>
    </w:p>
    <w:p>
      <w:pPr>
        <w:spacing w:after="300"/>
      </w:pPr>
      <w:r>
        <w:rPr>
          <w:rFonts w:ascii="Arial" w:cs="Arial" w:eastAsia="Arial" w:hAnsi="Arial"/>
          <w:i/>
          <w:iCs/>
          <w:color w:val="6B7280"/>
          <w:sz w:val="18"/>
          <w:szCs w:val="18"/>
        </w:rPr>
        <w:t xml:space="preserve">Signature / Title / Date</w:t>
      </w:r>
    </w:p>
    <w:p>
      <w:pPr>
        <w:spacing w:after="40" w:before="400"/>
      </w:pPr>
      <w:r>
        <w:rPr>
          <w:rFonts w:ascii="Arial" w:cs="Arial" w:eastAsia="Arial" w:hAnsi="Arial"/>
          <w:b/>
          <w:bCs/>
          <w:sz w:val="21"/>
          <w:szCs w:val="21"/>
        </w:rPr>
        <w:t xml:space="preserve">GroupRB</w:t>
      </w:r>
    </w:p>
    <w:p>
      <w:pPr>
        <w:pBdr>
          <w:bottom w:val="single" w:color="9CA3AF" w:sz="4" w:space="1"/>
        </w:pBdr>
        <w:spacing w:after="40"/>
      </w:pPr>
      <w:r>
        <w:rPr>
          <w:rFonts w:ascii="Arial" w:cs="Arial" w:eastAsia="Arial" w:hAnsi="Arial"/>
          <w:sz w:val="20"/>
          <w:szCs w:val="20"/>
        </w:rPr>
        <w:t xml:space="preserve">                                                            </w:t>
      </w:r>
    </w:p>
    <w:p>
      <w:pPr>
        <w:spacing w:after="300"/>
      </w:pPr>
      <w:r>
        <w:rPr>
          <w:rFonts w:ascii="Arial" w:cs="Arial" w:eastAsia="Arial" w:hAnsi="Arial"/>
          <w:i/>
          <w:iCs/>
          <w:color w:val="6B7280"/>
          <w:sz w:val="18"/>
          <w:szCs w:val="18"/>
        </w:rPr>
        <w:t xml:space="preserve">Signature / Title / Date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2026-09-14T18:02:40.879Z</dcterms:created>
  <dcterms:modified xsi:type="dcterms:W3CDTF">2026-09-14T18:02:40.879Z</dcterms:modified>
</cp:coreProperties>
</file>

<file path=docProps/custom.xml><?xml version="1.0" encoding="utf-8"?>
<Properties xmlns="http://schemas.openxmlformats.org/officeDocument/2006/custom-properties" xmlns:vt="http://schemas.openxmlformats.org/officeDocument/2006/docPropsVTypes"/>
</file>