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F582A">
      <w:pPr>
        <w:spacing w:before="120" w:after="120" w:line="360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52"/>
        </w:rPr>
        <w:t>聊斋幻境</w:t>
      </w:r>
      <w:r>
        <w:rPr>
          <w:rFonts w:hint="eastAsia" w:ascii="Arial" w:hAnsi="Arial" w:eastAsia="等线" w:cs="Arial"/>
          <w:b/>
          <w:sz w:val="52"/>
          <w:lang w:eastAsia="zh-CN"/>
        </w:rPr>
        <w:t>——</w:t>
      </w:r>
      <w:r>
        <w:rPr>
          <w:rFonts w:ascii="Arial" w:hAnsi="Arial" w:eastAsia="等线" w:cs="Arial"/>
          <w:b/>
          <w:sz w:val="52"/>
        </w:rPr>
        <w:t>篇目库与人物库</w:t>
      </w:r>
    </w:p>
    <w:p w14:paraId="01FCB1E8">
      <w:pPr>
        <w:spacing w:before="320" w:after="120" w:line="360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一、篇目库（全脚本涉及篇目，按场景顺序排序）</w:t>
      </w:r>
      <w:bookmarkEnd w:id="0"/>
    </w:p>
    <w:p w14:paraId="0FC94993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导入场景对应篇目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：《聊斋志异·序言</w:t>
      </w:r>
      <w:r>
        <w:rPr>
          <w:rFonts w:hint="eastAsia" w:asciiTheme="minorEastAsia" w:hAnsiTheme="minorEastAsia" w:eastAsiaTheme="minorEastAsia" w:cstheme="minorEastAsia"/>
          <w:sz w:val="22"/>
          <w:lang w:eastAsia="zh-CN"/>
        </w:rPr>
        <w:t>》</w:t>
      </w:r>
    </w:p>
    <w:p w14:paraId="0B349874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第一场景对应篇目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：《聊斋志异·婴宁》（核心篇目，场景主题“自然之韵·纯真向善”）</w:t>
      </w:r>
    </w:p>
    <w:p w14:paraId="05636C40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第二场景对应篇目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：《聊斋志异·罗刹海市》《聊斋志异·晚霞》（双篇目融合）</w:t>
      </w:r>
    </w:p>
    <w:p w14:paraId="77F9B653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第三场景对应篇目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：《聊斋志异·小谢》（核心篇目）</w:t>
      </w:r>
    </w:p>
    <w:p w14:paraId="40EB48F3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第四场景对应篇目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：《聊斋志异》全著相关（</w:t>
      </w:r>
      <w:r>
        <w:rPr>
          <w:rFonts w:hint="eastAsia" w:asciiTheme="minorEastAsia" w:hAnsiTheme="minorEastAsia" w:eastAsiaTheme="minorEastAsia" w:cstheme="minorEastAsia"/>
          <w:sz w:val="22"/>
          <w:lang w:eastAsia="zh-CN"/>
        </w:rPr>
        <w:t>《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祝翁》《狐梦》《杨千总》《绛妃》</w:t>
      </w:r>
      <w:r>
        <w:rPr>
          <w:rFonts w:hint="eastAsia" w:asciiTheme="minorEastAsia" w:hAnsiTheme="minorEastAsia" w:eastAsiaTheme="minorEastAsia" w:cstheme="minorEastAsia"/>
          <w:sz w:val="22"/>
        </w:rPr>
        <w:t>）</w:t>
      </w:r>
    </w:p>
    <w:p w14:paraId="049488C6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第五场景对应篇目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：《聊斋志异·促织》（核心篇目，场景主题“民间疾苦·世事冷暖·生命为重”）</w:t>
      </w:r>
    </w:p>
    <w:p w14:paraId="02ECA2E2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第六场景对应篇目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：《聊斋志异·种梨》（核心篇目）</w:t>
      </w:r>
    </w:p>
    <w:p w14:paraId="25F286E1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第七场景对应篇目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：《聊斋志异·劳山道士》（核心篇目）</w:t>
      </w:r>
    </w:p>
    <w:p w14:paraId="4AAF4ACC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第八场景对应篇目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：《聊斋志异·连城》（核心篇目）</w:t>
      </w:r>
    </w:p>
    <w:p w14:paraId="4932C6FB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第九场景对应篇目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：《聊斋志异·叶生》（核心篇目，场景主题“科举浮沉”）</w:t>
      </w:r>
    </w:p>
    <w:p w14:paraId="2E9472E9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第十场景对应篇目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：《聊斋志异·石清虚》（核心篇目）</w:t>
      </w:r>
    </w:p>
    <w:p w14:paraId="48625107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第十一场景对应篇目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：《聊斋志异·聂小倩》（核心篇目，场景主题“善恶有报”）</w:t>
      </w:r>
    </w:p>
    <w:p w14:paraId="3F11FBF1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第十二场景对应篇目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：《聊斋志异·画皮》（核心篇目，场景主题“戒贪戒痴”）</w:t>
      </w:r>
    </w:p>
    <w:p w14:paraId="19EC1C32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终章场景对应篇目</w:t>
      </w:r>
      <w:r>
        <w:rPr>
          <w:rFonts w:hint="eastAsia" w:asciiTheme="minorEastAsia" w:hAnsiTheme="minorEastAsia" w:eastAsiaTheme="minorEastAsia" w:cstheme="minorEastAsia"/>
          <w:sz w:val="22"/>
        </w:rPr>
        <w:t>：《聊斋志异》合集（总结全著核心内涵，传递“文脉永续”理念）</w:t>
      </w:r>
    </w:p>
    <w:p w14:paraId="5E4F4E1E">
      <w:pPr>
        <w:spacing w:before="320" w:after="120" w:line="360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二、人物库</w:t>
      </w:r>
      <w:bookmarkEnd w:id="1"/>
    </w:p>
    <w:p w14:paraId="374350B8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核心说明：人物均来自对应《聊斋志异》篇目，严格贴合原著核心特质，同时适配沉浸式场景体验设计，明确人物身份、关联篇目及场景，为人物形象要素提取、互动设计提供直接依据。</w:t>
      </w:r>
    </w:p>
    <w:p w14:paraId="0EA736B3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（一）导入场景相关人物</w:t>
      </w:r>
      <w:bookmarkEnd w:id="2"/>
    </w:p>
    <w:p w14:paraId="60363131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蒲松龄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：核心人物，关联篇目《聊斋志异·序言》《聊斋志异》合集，身份为《聊斋志异》作者，场景中以动态动画形象呈现，铺垫“孤愤著书”背景，终章中以晚年画像、模拟语音收尾，传递文脉传承理念。</w:t>
      </w:r>
    </w:p>
    <w:p w14:paraId="01C8C10E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（二）第一场景（南山·花坞）相关人物</w:t>
      </w:r>
      <w:bookmarkEnd w:id="3"/>
    </w:p>
    <w:p w14:paraId="372081A7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婴宁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：核心人物，关联篇目《聊斋志异·婴宁》，身份为灵狐（前期）/少女（后期），性格纯真烂漫、灵动善良，视觉符号为梅花、桃花，场景中作为互动核心，传递“自然纯真”的文化内涵。</w:t>
      </w:r>
    </w:p>
    <w:p w14:paraId="5181BAA2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（三）第二场景（玄溟·鲛宫）相关人物</w:t>
      </w:r>
      <w:bookmarkEnd w:id="4"/>
    </w:p>
    <w:p w14:paraId="604158E7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马骥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：核心人物，关联篇目《聊斋志异·罗刹海市》，身份为渡海旅人，场景中作为游客的“引导者”，串联罗刹国与龙宫的剧情。</w:t>
      </w:r>
    </w:p>
    <w:p w14:paraId="128B865A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晚霞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：核心人物，关联篇目《聊斋志异·晚霞》，身份为龙女，性格温婉深情，视觉符号为鲛绡、龙形元素，场景中作为互动核心，传递“真情可贵”的内涵。</w:t>
      </w:r>
    </w:p>
    <w:p w14:paraId="4847E47F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龙王</w:t>
      </w:r>
      <w:r>
        <w:rPr>
          <w:rFonts w:hint="eastAsia" w:asciiTheme="minorEastAsia" w:hAnsiTheme="minorEastAsia" w:eastAsiaTheme="minorEastAsia" w:cstheme="minorEastAsia"/>
          <w:sz w:val="22"/>
        </w:rPr>
        <w:t>：辅助人物，关联篇目《聊斋志异·晚霞》，身份为龙宫之主，场景中以背景形象呈现，烘托龙宫的恢弘氛围，无直接互动。</w:t>
      </w:r>
    </w:p>
    <w:p w14:paraId="255A6DB5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（四）第三场景（芸庭·小榭）相关人物</w:t>
      </w:r>
      <w:bookmarkEnd w:id="5"/>
    </w:p>
    <w:p w14:paraId="345B59D7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小谢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：核心人物，关联篇目《聊斋志异·小谢》，身份为古宅女鬼，性格灵动善良、懂得感恩，场景中以虚影、完整形象逐步呈现，与游客互动。</w:t>
      </w:r>
    </w:p>
    <w:p w14:paraId="4F8730D9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秋容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：核心人物，关联篇目《聊斋志异·小谢》，身份为古宅女鬼，性格温婉内敛，与小谢相伴，共同与游客互动，传递“善意与救赎”的内涵。</w:t>
      </w:r>
    </w:p>
    <w:p w14:paraId="2FF198D7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</w:rPr>
        <w:t>（五）第四场景（西铺·笔耕）相关人物</w:t>
      </w:r>
      <w:bookmarkEnd w:id="6"/>
    </w:p>
    <w:p w14:paraId="3F953244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蒲松龄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：核心人物，关联篇目《聊斋志异》全著，身份为授书先生、《聊斋志异》作者，场景中以动态光影形象呈现，展现授书、著书的日常，传递“孤愤著书·文脉初心”的内涵。</w:t>
      </w:r>
    </w:p>
    <w:p w14:paraId="63179C56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蒲松龄弟子</w:t>
      </w:r>
      <w:r>
        <w:rPr>
          <w:rFonts w:hint="eastAsia" w:asciiTheme="minorEastAsia" w:hAnsiTheme="minorEastAsia" w:eastAsiaTheme="minorEastAsia" w:cstheme="minorEastAsia"/>
          <w:sz w:val="22"/>
        </w:rPr>
        <w:t>：辅助人物，关联篇目《聊斋志异》全著，身份为蒲松龄的授书弟子，场景中以光影虚影呈现，配合蒲松龄授书场景，烘托氛围，无直接互动。</w:t>
      </w:r>
    </w:p>
    <w:p w14:paraId="0462F3D3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（六）第五场景（促织·秋声）相关人物</w:t>
      </w:r>
      <w:bookmarkEnd w:id="7"/>
    </w:p>
    <w:p w14:paraId="436BAAEF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成名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：核心人物，关联篇目《聊斋志异·促织》，身份为底层百姓，性格愁苦、坚韧，场景中以水墨人影意象呈现，展现寻虫、养虫的艰辛，传递对底层百姓的悲悯。</w:t>
      </w:r>
    </w:p>
    <w:p w14:paraId="3B0A0301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成名子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：核心人物，关联篇目《聊斋志异·促织》，身份为成名的儿子，天真单纯，场景中以光影意象呈现“魂化促织”的核心剧情，凸显“生命为重”的内涵。</w:t>
      </w:r>
    </w:p>
    <w:p w14:paraId="4CDDDA1E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官府差役</w:t>
      </w:r>
      <w:r>
        <w:rPr>
          <w:rFonts w:hint="eastAsia" w:asciiTheme="minorEastAsia" w:hAnsiTheme="minorEastAsia" w:eastAsiaTheme="minorEastAsia" w:cstheme="minorEastAsia"/>
          <w:sz w:val="22"/>
        </w:rPr>
        <w:t>：辅助人物，关联篇目《聊斋志异·促织》，身份为封建官府差役，场景中以水墨虚影呈现，烘托“催征”的紧张氛围，凸显封建苛政的残酷。</w:t>
      </w:r>
    </w:p>
    <w:p w14:paraId="5356732F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（七）第六场景（道梨·归善）相关人物</w:t>
      </w:r>
      <w:bookmarkEnd w:id="8"/>
    </w:p>
    <w:p w14:paraId="2FF5F48E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乡人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：核心人物，关联篇目《聊斋志异·种梨》，身份为卖梨的市井百姓，性格吝啬、后有所醒悟，场景中以淡墨剪影呈现，串联“乞梨、种梨”的剧情，传递“善有回甘”的内涵。</w:t>
      </w:r>
    </w:p>
    <w:p w14:paraId="1799EFB1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道士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：核心人物，关联篇目《聊斋志异·种梨》，身份为有道行的隐士，性格洒脱、心怀善意，场景中以虚影呈现，点化乡人，演示“种梨生花”的奇幻场景。</w:t>
      </w:r>
    </w:p>
    <w:p w14:paraId="62619B5C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0"/>
        </w:rPr>
        <w:t>（八）第七场景（崂山·问道）相关人物</w:t>
      </w:r>
      <w:bookmarkEnd w:id="9"/>
    </w:p>
    <w:p w14:paraId="49EE6FA8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王生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：核心人物，关联篇目《聊斋志异·劳山道士》，身份为求道者，性格骄矜浮躁、急于求成，场景中以光影虚影呈现“求道、学道、妄用、碰壁”的剧情，传递“戒骄戒躁、脚踏实地”的哲思。</w:t>
      </w:r>
    </w:p>
    <w:p w14:paraId="5E3EAF35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崂山道士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：核心人物，关联篇目《聊斋志异·劳山道士》，身份为崂山修行者，性格沉稳、通透，场景中以虚影呈现，传授修行之道，点化王生。</w:t>
      </w:r>
    </w:p>
    <w:p w14:paraId="755491BA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（九）第八场景（锦书·情盟）相关人物</w:t>
      </w:r>
      <w:bookmarkEnd w:id="10"/>
    </w:p>
    <w:p w14:paraId="52E47C36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连城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：核心人物，关联篇目《聊斋志异·连城》，身份为闺中女子，才情出众、重情重义，场景中以剪影、光影意象呈现，与乔生形成“知己情深”的剧情，传递“死生不负”的内涵。</w:t>
      </w:r>
    </w:p>
    <w:p w14:paraId="47FDEA12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乔生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：核心人物，关联篇目《聊斋志异·连城》，身份为才子，深情专一、重情重义，场景中以剪影、光影意象呈现，与连城相知相守，凸显“知己之情”。</w:t>
      </w:r>
    </w:p>
    <w:p w14:paraId="3FAE521B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</w:rPr>
        <w:t>（十）第九场景（秋闱·寄意）相关人物</w:t>
      </w:r>
      <w:bookmarkEnd w:id="11"/>
    </w:p>
    <w:p w14:paraId="086560E7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叶生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：核心人物，关联篇目《聊斋志异·叶生》，身份为科举士子，才华横溢却怀才不遇，性格执着、最终释怀，场景中以水墨光影呈现，呼应蒲松龄自身科举经历，传递“放下执念、向阳前行”的内涵。</w:t>
      </w:r>
    </w:p>
    <w:p w14:paraId="054B5C85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丁公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：核心人物，关联篇目《聊斋志异·叶生》，身份为官员，赏识叶生的才华，作为叶生的“知己”，场景中以光影虚影呈现，慰藉叶生的怅惘。</w:t>
      </w:r>
    </w:p>
    <w:p w14:paraId="12777CC5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0"/>
        </w:rPr>
        <w:t>（十一）第十场景（石清虚·忘执）相关人物</w:t>
      </w:r>
      <w:bookmarkEnd w:id="12"/>
    </w:p>
    <w:p w14:paraId="6BAF74C5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邢云飞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：核心人物，关联篇目《聊斋志异·石清虚》，身份为文人，痴迷藏石、深陷执念，场景中以光影意象呈现“得石、失石、悟石”的剧情，传递“放下执念、随缘自在”的内涵。</w:t>
      </w:r>
    </w:p>
    <w:p w14:paraId="74578855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0"/>
        </w:rPr>
        <w:t>（十二）第十一场景（倩影·兰心）相关人物</w:t>
      </w:r>
      <w:bookmarkEnd w:id="13"/>
    </w:p>
    <w:p w14:paraId="1C1AB298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聂小倩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：核心人物，关联篇目《聊斋志异·聂小倩》，身份为被胁迫的女鬼，性格柔弱却善良，后期被救赎，视觉符号为兰花，场景中以光影剪影呈现，与游客互动，传递“善恶有报、真情救赎”的内涵。</w:t>
      </w:r>
    </w:p>
    <w:p w14:paraId="0823518E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宁采臣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：核心人物，关联篇目《聊斋志异·聂小倩》，身份为书生，正直善良、心怀良知，场景中以光影虚影呈现，救赎聂小倩，凸显“人性本善”的力量。</w:t>
      </w:r>
    </w:p>
    <w:p w14:paraId="1627E611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胁迫聂小倩的黑影</w:t>
      </w:r>
      <w:r>
        <w:rPr>
          <w:rFonts w:hint="eastAsia" w:asciiTheme="minorEastAsia" w:hAnsiTheme="minorEastAsia" w:eastAsiaTheme="minorEastAsia" w:cstheme="minorEastAsia"/>
          <w:sz w:val="22"/>
        </w:rPr>
        <w:t>：辅助人物，关联篇目《聊斋志异·聂小倩》，身份为邪恶势力，场景中以光影黑影呈现，作为“恶”的象征，与聂小倩的“善”形成对比，触发游客互动。</w:t>
      </w:r>
    </w:p>
    <w:p w14:paraId="3101289F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0"/>
        </w:rPr>
        <w:t>（十三）第十二场景（画皮·心相）相关人物</w:t>
      </w:r>
      <w:bookmarkEnd w:id="14"/>
    </w:p>
    <w:p w14:paraId="70357528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王生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：核心人物，关联篇目《聊斋志异·画皮》，身份为普通男子，性格贪色、容易被表象迷惑，场景中以光影虚影呈现，经历“被诱惑、醒悟”的剧情，传递“坚守本心”的哲思。</w:t>
      </w:r>
    </w:p>
    <w:p w14:paraId="539777B2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画皮女鬼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：核心人物，关联篇目《聊斋志异·画皮》，身份为女鬼，以“美人表象”掩盖本心，场景中以双面光影呈现（美人/虚幻鬼怪），凸显“表象与本心”的对比。</w:t>
      </w:r>
    </w:p>
    <w:p w14:paraId="62C45135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道士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：核心人物，关联篇目《聊斋志异·画皮》，身份为有道行的隐士，清醒通透，场景中以虚影呈现，点化王生，传递“本心难违”的道理。</w:t>
      </w:r>
    </w:p>
    <w:p w14:paraId="03DA5777">
      <w:pPr>
        <w:spacing w:before="30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0"/>
        </w:rPr>
        <w:t>（十四）终章场景（幻散·终章）相关人物</w:t>
      </w:r>
      <w:bookmarkEnd w:id="15"/>
    </w:p>
    <w:p w14:paraId="1F778ADE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蒲松龄</w:t>
      </w:r>
      <w:r>
        <w:rPr>
          <w:rFonts w:hint="eastAsia" w:asciiTheme="minorEastAsia" w:hAnsiTheme="minorEastAsia" w:eastAsiaTheme="minorEastAsia" w:cstheme="minorEastAsia"/>
          <w:sz w:val="22"/>
        </w:rPr>
        <w:t>：核心人物，关联篇目《聊斋志异》合集，身份为《聊斋志异》作者，场景中以晚年画像、模拟语音呈现，总结全流程故事，传递“文脉永续”的理念。</w:t>
      </w:r>
    </w:p>
    <w:p w14:paraId="2CD8A51B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《聊斋志异》经典人物</w:t>
      </w:r>
      <w:r>
        <w:rPr>
          <w:rFonts w:hint="eastAsia" w:asciiTheme="minorEastAsia" w:hAnsiTheme="minorEastAsia" w:eastAsiaTheme="minorEastAsia" w:cstheme="minorEastAsia"/>
          <w:sz w:val="22"/>
        </w:rPr>
        <w:t>：辅助人物，关联篇目《聊斋志异》各核心篇目（婴宁、晚霞、小谢等），场景中以光影虚影呈现，形成剧情闭环，呼应前文所有场景。</w:t>
      </w:r>
    </w:p>
    <w:p w14:paraId="323B6894">
      <w:pPr>
        <w:spacing w:before="120" w:after="120" w:line="288" w:lineRule="auto"/>
        <w:ind w:left="0"/>
        <w:jc w:val="left"/>
      </w:pP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A30D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8AFD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A06F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4094</Words>
  <Characters>4103</Characters>
  <TotalTime>5</TotalTime>
  <ScaleCrop>false</ScaleCrop>
  <LinksUpToDate>false</LinksUpToDate>
  <CharactersWithSpaces>4111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2026-04-20T06:50:00Z</dcterms:created>
  <dc:creator>Apache POI</dc:creator>
  <cp:lastModifiedBy>韩辰语</cp:lastModifiedBy>
  <dcterms:modified xsi:type="dcterms:W3CDTF">2026-04-20T07:02:29Z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eyJoZGlkIjoiZWYzY2E3OTllODQ2ZDczOGRlNTdjMDMyMDAxZWEyOTMiLCJ1c2VySWQiOiIxNzU3MDI4MjYxIn0=</vt:lpwstr>
  </property>
  <property fmtid="{D5CDD505-2E9C-101B-9397-08002B2CF9AE}" pid="3" name="KSOProductBuildVer">
    <vt:lpwstr>2052-12.1.0.23125</vt:lpwstr>
  </property>
  <property fmtid="{D5CDD505-2E9C-101B-9397-08002B2CF9AE}" pid="4" name="ICV">
    <vt:lpwstr>5A5A8CD8EB004ACC8B7C838723C1732C_13</vt:lpwstr>
  </property>
</Properties>
</file>