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b/>
          <w:bCs/>
          <w:sz w:val="28"/>
          <w:szCs w:val="28"/>
        </w:rPr>
        <w:t xml:space="preserve">BE A NUMBER, INTERNATIONAL</w:t>
      </w:r>
    </w:p>
    <w:p>
      <w:pPr>
        <w:spacing w:after="80" w:before="80"/>
        <w:jc w:val="center"/>
      </w:pPr>
      <w:r>
        <w:rPr>
          <w:i/>
          <w:iCs/>
          <w:sz w:val="22"/>
          <w:szCs w:val="22"/>
        </w:rPr>
        <w:t xml:space="preserve">Web Funnel: Recommended Changes &amp; Additions</w:t>
      </w:r>
    </w:p>
    <w:p>
      <w:pPr>
        <w:spacing w:after="80" w:before="80"/>
        <w:jc w:val="center"/>
      </w:pPr>
      <w:r>
        <w:rPr>
          <w:i/>
          <w:iCs/>
          <w:sz w:val="22"/>
          <w:szCs w:val="22"/>
        </w:rPr>
        <w:t xml:space="preserve">Strategy Memo — v2 — May 2026</w:t>
      </w:r>
    </w:p>
    <w:p>
      <w:r>
        <w:t xml:space="preserve"/>
      </w:r>
    </w:p>
    <w:p>
      <w:pPr>
        <w:pBdr>
          <w:bottom w:val="single" w:color="999999" w:sz="6" w:space="1"/>
        </w:pBdr>
      </w:pPr>
      <w:r>
        <w:t xml:space="preserve"/>
      </w:r>
    </w:p>
    <w:p>
      <w:pPr>
        <w:pStyle w:val="Heading1"/>
      </w:pPr>
      <w:r>
        <w:t xml:space="preserve">Overview</w:t>
      </w:r>
    </w:p>
    <w:p>
      <w:r>
        <w:t xml:space="preserve">This memo captures the recommended changes to the beanumber.org purchase and sponsorship flow. The goal is to strengthen conversion from one-time shirt buyers into recurring child sponsors, expand the revenue surface area for engaged supporters, open net-new acquisition channels, and shore up the lapsed-sponsor relationship that the current funnel ignores — without compromising the trust and simplicity that define the brand.</w:t>
      </w:r>
    </w:p>
    <w:p>
      <w:r>
        <w:rPr>
          <w:b/>
          <w:bCs/>
        </w:rPr>
        <w:t xml:space="preserve">What’s already working. </w:t>
      </w:r>
      <w:r>
        <w:t xml:space="preserve">The current messaging on beanumber.org is strong and should be preserved. The narrative spine — “the shirt is how you meet them, $25/month is how you stay” — is exactly right, as is the FAQ’s explicit permission for buyers to opt out of recurring sponsorship without guilt. The changes in this memo build on that foundation; they do not replace it.</w:t>
      </w:r>
    </w:p>
    <w:p>
      <w:r>
        <w:rPr>
          <w:b/>
          <w:bCs/>
        </w:rPr>
        <w:t xml:space="preserve">Guiding principle. </w:t>
      </w:r>
      <w:r>
        <w:t xml:space="preserve">One principle worth holding through every implementation decision below: choice expands after commitment, not before it. Add giving options, upgrade paths, and gift flows where the donor has already said yes — not on the shirts page, where introducing them dilutes the entry decision.</w:t>
      </w:r>
    </w:p>
    <w:p>
      <w:r>
        <w:t xml:space="preserve">Eight changes are recommended:</w:t>
      </w:r>
    </w:p>
    <w:p>
      <w:pPr>
        <w:pStyle w:val="ListParagraph"/>
        <w:numPr>
          <w:ilvl w:val="0"/>
          <w:numId w:val="2"/>
        </w:numPr>
      </w:pPr>
      <w:r>
        <w:t xml:space="preserve">Make the funding model explicit (Section 0 — new in v2; should be ratified before any of the others ship).</w:t>
      </w:r>
    </w:p>
    <w:p>
      <w:pPr>
        <w:pStyle w:val="ListParagraph"/>
        <w:numPr>
          <w:ilvl w:val="0"/>
          <w:numId w:val="2"/>
        </w:numPr>
      </w:pPr>
      <w:r>
        <w:t xml:space="preserve">Replace the current opt-in monthly toggle with an active-choice two-button pattern.</w:t>
      </w:r>
    </w:p>
    <w:p>
      <w:pPr>
        <w:pStyle w:val="ListParagraph"/>
        <w:numPr>
          <w:ilvl w:val="0"/>
          <w:numId w:val="2"/>
        </w:numPr>
      </w:pPr>
      <w:r>
        <w:t xml:space="preserve">Optimize the post-purchase number-lookup page as the highest-leverage conversion moment in the funnel.</w:t>
      </w:r>
    </w:p>
    <w:p>
      <w:pPr>
        <w:pStyle w:val="ListParagraph"/>
        <w:numPr>
          <w:ilvl w:val="0"/>
          <w:numId w:val="2"/>
        </w:numPr>
      </w:pPr>
      <w:r>
        <w:t xml:space="preserve">Adopt school-year framing in the core sponsorship copy.</w:t>
      </w:r>
    </w:p>
    <w:p>
      <w:pPr>
        <w:pStyle w:val="ListParagraph"/>
        <w:numPr>
          <w:ilvl w:val="0"/>
          <w:numId w:val="2"/>
        </w:numPr>
      </w:pPr>
      <w:r>
        <w:t xml:space="preserve">Expand the giving architecture — add an annual (“school year”) option and four upgrade paths for high-conviction donors.</w:t>
      </w:r>
    </w:p>
    <w:p>
      <w:pPr>
        <w:pStyle w:val="ListParagraph"/>
        <w:numPr>
          <w:ilvl w:val="0"/>
          <w:numId w:val="2"/>
        </w:numPr>
      </w:pPr>
      <w:r>
        <w:t xml:space="preserve">Build number persistence across gear (“Shop Your Number”).</w:t>
      </w:r>
    </w:p>
    <w:p>
      <w:pPr>
        <w:pStyle w:val="ListParagraph"/>
        <w:numPr>
          <w:ilvl w:val="0"/>
          <w:numId w:val="2"/>
        </w:numPr>
      </w:pPr>
      <w:r>
        <w:t xml:space="preserve">Build gift sponsorships as a parallel product.</w:t>
      </w:r>
    </w:p>
    <w:p>
      <w:pPr>
        <w:pStyle w:val="ListParagraph"/>
        <w:numPr>
          <w:ilvl w:val="0"/>
          <w:numId w:val="2"/>
        </w:numPr>
      </w:pPr>
      <w:r>
        <w:t xml:space="preserve">Build a lapsed-sponsor reactivation motion.</w:t>
      </w:r>
    </w:p>
    <w:p>
      <w:r>
        <w:rPr>
          <w:b/>
          <w:bCs/>
        </w:rPr>
        <w:t xml:space="preserve">Sequencing note. </w:t>
      </w:r>
      <w:r>
        <w:t xml:space="preserve">Of the eight, Section 0 is the prerequisite for everything else. Once it’s ratified, the highest-leverage single change is Section 2 — the post-purchase number-lookup page. That is where the recurring-sponsorship decision is actually made, and it should be optimized before the checkout redesign in Section 1 ships. The two are different surfaces with different specs and can be built in parallel without dependency; “sequence by leverage, not by order” is the right discipline.</w:t>
      </w:r>
    </w:p>
    <w:p>
      <w:r>
        <w:rPr>
          <w:b/>
          <w:bCs/>
        </w:rPr>
        <w:t xml:space="preserve">Scope. </w:t>
      </w:r>
      <w:r>
        <w:t xml:space="preserve">This is a conversion memo. Acquisition — top-of-funnel paid social, regional press, Catholic-creator outreach — is handled in a separate workstream and is intentionally out of scope here. Section 10 names the adjacencies where the two strategies meet.</w:t>
      </w:r>
    </w:p>
    <w:p>
      <w:pPr>
        <w:pStyle w:val="Heading1"/>
      </w:pPr>
      <w:r>
        <w:t xml:space="preserve">0. The Funding Model — What “Sponsor a Child” Actually Means</w:t>
      </w:r>
    </w:p>
    <w:p>
      <w:r>
        <w:rPr>
          <w:b/>
          <w:bCs/>
        </w:rPr>
        <w:t xml:space="preserve">Status. </w:t>
      </w:r>
      <w:r>
        <w:t xml:space="preserve">Currently undocumented in any internal doc. Both the project state doc and the v1 memo referred to “sponsoring a child” without ever stating the funding mechanic. This section makes it explicit so the rest of the memo, the receipt language, the 501(c)(3) posture, and future strategy docs all ground on the same truth.</w:t>
      </w:r>
    </w:p>
    <w:p>
      <w:r>
        <w:rPr>
          <w:b/>
          <w:bCs/>
        </w:rPr>
        <w:t xml:space="preserve">The model. </w:t>
      </w:r>
      <w:r>
        <w:t xml:space="preserve">Be A Number operates a pool-funded program with narrative matching. Every donation — shirt purchase, monthly sponsorship, gift, annual — flows into the general operating budget of the YDO campus. That budget funds the school, the clinic, the meals program, the vocational training, the campus staff, and the children’s care year-round. Individual donors are matched to individual children for relationship and storytelling purposes: the child whose number the donor receives becomes their personal connection point — the source of their photos, their updates, their letters, the kid they ask after.</w:t>
      </w:r>
    </w:p>
    <w:p>
      <w:r>
        <w:t xml:space="preserve">This is the same model Compassion International and World Vision operate on. Strict 1:1 financial allocation is operationally untenable for a campus with 30+ employees, a 6-acre footprint, a school, a clinic, and a vocational training program — annual operating cost vastly exceeds what one donor’s $25/month could literally cover for one child’s full needs.</w:t>
      </w:r>
    </w:p>
    <w:p>
      <w:r>
        <w:rPr>
          <w:b/>
          <w:bCs/>
        </w:rPr>
        <w:t xml:space="preserve">Why this matters for the funnel. </w:t>
      </w:r>
      <w:r>
        <w:t xml:space="preserve">Three implications ripple through every section of this memo.</w:t>
      </w:r>
    </w:p>
    <w:p>
      <w:pPr>
        <w:pStyle w:val="ListParagraph"/>
        <w:numPr>
          <w:ilvl w:val="0"/>
          <w:numId w:val="2"/>
        </w:numPr>
      </w:pPr>
      <w:r>
        <w:t xml:space="preserve">The “your child” relationship language is honest and emotionally true — but it’s a narrative match, not a financial restriction. The v1 copy “Your $25 covers the shirt and their first month of school, meals, and medical care” reads as a restricted gift. It should read “Your $25 supports the campus where [child] attends school, gets meals, and receives medical care.” Same emotional arc, cleaner legal posture.</w:t>
      </w:r>
    </w:p>
    <w:p>
      <w:pPr>
        <w:pStyle w:val="ListParagraph"/>
        <w:numPr>
          <w:ilvl w:val="0"/>
          <w:numId w:val="2"/>
        </w:numPr>
      </w:pPr>
      <w:r>
        <w:t xml:space="preserve">Supply concerns dissolve. A “sponsor a second child” upgrade doesn’t deplete a fixed pool of un-sponsored kids, because the model is narrative match, not exclusive sponsorship. Multiple donors matched to the same child is operationally fine — what matters is that each donor experiences a clear, named, individual relationship with their matched child.</w:t>
      </w:r>
    </w:p>
    <w:p>
      <w:pPr>
        <w:pStyle w:val="ListParagraph"/>
        <w:numPr>
          <w:ilvl w:val="0"/>
          <w:numId w:val="2"/>
        </w:numPr>
      </w:pPr>
      <w:r>
        <w:t xml:space="preserve">Restricted gifts are reserved for explicit major-donor and project-specific designations — Founder’s Series tied to a specific capital project, named scholarships, vocational program restricted gifts. Everything else is unrestricted general support, and the receipt language has to be consistent with that.</w:t>
      </w:r>
    </w:p>
    <w:p>
      <w:r>
        <w:rPr>
          <w:b/>
          <w:bCs/>
        </w:rPr>
        <w:t xml:space="preserve">Recommendation. </w:t>
      </w:r>
      <w:r>
        <w:t xml:space="preserve">Add a short, public-facing version of the funding model to /about or /governance. Two paragraphs. Donors who want to know how the math works can read it; the home page doesn’t have to drag the legal posture into the emotional arc. But the page has to exist, because some donor or journalist will eventually ask.</w:t>
      </w:r>
    </w:p>
    <w:p>
      <w:pPr>
        <w:pStyle w:val="Heading1"/>
      </w:pPr>
      <w:r>
        <w:t xml:space="preserve">1. Checkout Flow Redesign</w:t>
      </w:r>
    </w:p>
    <w:p>
      <w:r>
        <w:rPr>
          <w:b/>
          <w:bCs/>
        </w:rPr>
        <w:t xml:space="preserve">Current state. </w:t>
      </w:r>
      <w:r>
        <w:t xml:space="preserve">The shirts page presents the $25 purchase with an opt-in monthly continuation card (unchecked by default) that, when checked, converts the purchase into a monthly subscription from day one. The CTA subtext switches: unchecked says “Your $25 covers the shirt and their first month”; checked says “$25 today. $25/month after. Cancel anytime.” The architecture is already active-choice opt-in — not auto-enrollment, not pre-checked recurring.</w:t>
      </w:r>
    </w:p>
    <w:p>
      <w:r>
        <w:rPr>
          <w:b/>
          <w:bCs/>
        </w:rPr>
        <w:t xml:space="preserve">What needs to change. </w:t>
      </w:r>
      <w:r>
        <w:t xml:space="preserve">Two refinements rather than a full redesign:</w:t>
      </w:r>
    </w:p>
    <w:p>
      <w:pPr>
        <w:pStyle w:val="ListParagraph"/>
        <w:numPr>
          <w:ilvl w:val="0"/>
          <w:numId w:val="3"/>
        </w:numPr>
      </w:pPr>
      <w:r>
        <w:t xml:space="preserve">The unchecked default subtext implies continuation without naming it. “Their first month” presumes month two; nothing on the page tells the buyer who isn’t reading carefully that selecting the card is what makes that happen. Replace the dynamic subtext with consistent language that doesn’t pre-imply continuation: unchecked default should say “$25 supports their campus this month. One-time, unless you add monthly below.”</w:t>
      </w:r>
    </w:p>
    <w:p>
      <w:pPr>
        <w:pStyle w:val="ListParagraph"/>
        <w:numPr>
          <w:ilvl w:val="0"/>
          <w:numId w:val="3"/>
        </w:numPr>
      </w:pPr>
      <w:r>
        <w:t xml:space="preserve">The single-CTA + opt-in card pattern is a soft active-choice. The stronger version is two side-by-side buttons of deliberately unequal visual weight:</w:t>
      </w:r>
    </w:p>
    <w:p>
      <w:pPr>
        <w:pStyle w:val="ListParagraph"/>
        <w:numPr>
          <w:ilvl w:val="0"/>
          <w:numId w:val="3"/>
        </w:numPr>
      </w:pPr>
      <w:r>
        <w:t xml:space="preserve">    Primary (larger, filled): “Shirt + Stay — $25 today, then $25/mo”</w:t>
      </w:r>
    </w:p>
    <w:p>
      <w:pPr>
        <w:pStyle w:val="ListParagraph"/>
        <w:numPr>
          <w:ilvl w:val="0"/>
          <w:numId w:val="3"/>
        </w:numPr>
      </w:pPr>
      <w:r>
        <w:t xml:space="preserve">    Secondary (smaller, outlined): “Just the shirt — $25 once”</w:t>
      </w:r>
    </w:p>
    <w:p>
      <w:r>
        <w:rPr>
          <w:b/>
          <w:bCs/>
        </w:rPr>
        <w:t xml:space="preserve">Rationale. </w:t>
      </w:r>
      <w:r>
        <w:t xml:space="preserve">Active choice with a recommended default outperforms pure opt-in by surfacing both paths with comparable visual weight. The behavioral research on opt-in vs. active-choice vs. opt-out shows a clear order: opt-out converts highest, active-choice converts in the middle, opt-in converts lowest. Active-choice doesn’t match opt-out conversion — but it doesn’t have to. The argument for active-choice over opt-out isn’t conversion parity; it’s that auto-enrolled recurring billing carries asymmetric legal and reputational tail risk for a faith-based 501(c)(3) where trust is the core moat. FTC’s Click-to-Cancel rule and state auto-renewal laws (CA, NY, IL, FL) all push toward affirmative consent for recurring billing. Active-choice is correctly the ceiling — opt-out’s downside scenarios cost more than its conversion lift earns.</w:t>
      </w:r>
    </w:p>
    <w:p>
      <w:r>
        <w:rPr>
          <w:b/>
          <w:bCs/>
        </w:rPr>
        <w:t xml:space="preserve">What this resolves. </w:t>
      </w:r>
      <w:r>
        <w:t xml:space="preserve">Eliminates the soft implication of continuation in the unchecked state. Surfaces both paths at equal cognitive weight. Removes any chance of buyer-misunderstanding chargebacks.</w:t>
      </w:r>
    </w:p>
    <w:p>
      <w:pPr>
        <w:pStyle w:val="Heading1"/>
      </w:pPr>
      <w:r>
        <w:t xml:space="preserve">2. The Post-Purchase Number-Lookup Page — Highest-Leverage Conversion Moment</w:t>
      </w:r>
    </w:p>
    <w:p>
      <w:r>
        <w:rPr>
          <w:b/>
          <w:bCs/>
        </w:rPr>
        <w:t xml:space="preserve">Principle. </w:t>
      </w:r>
      <w:r>
        <w:t xml:space="preserve">The checkout box gets disproportionate strategic attention because it’s the obvious decision point. But the highest-trust, highest-conversion moment in the entire funnel is not checkout — it’s the moment after the shirt arrives, when the sponsor enters their number on the site and meets their matched child for the first time. They’ve already committed. They’re emotionally in. They have their child’s name and face in front of them. Pre-checked boxes cannot compete with that.</w:t>
      </w:r>
    </w:p>
    <w:p>
      <w:r>
        <w:rPr>
          <w:b/>
          <w:bCs/>
        </w:rPr>
        <w:t xml:space="preserve">Recommendation. </w:t>
      </w:r>
      <w:r>
        <w:t xml:space="preserve">Treat /[number] as the primary conversion page on the site and optimize it for the recurring sponsorship ask before optimizing checkout.</w:t>
      </w:r>
    </w:p>
    <w:p>
      <w:r>
        <w:t xml:space="preserve">The page should include:</w:t>
      </w:r>
    </w:p>
    <w:p>
      <w:pPr>
        <w:pStyle w:val="ListParagraph"/>
        <w:numPr>
          <w:ilvl w:val="0"/>
          <w:numId w:val="3"/>
        </w:numPr>
      </w:pPr>
      <w:r>
        <w:t xml:space="preserve">The child’s photo, name, age, and grade — prominently displayed above the fold.</w:t>
      </w:r>
    </w:p>
    <w:p>
      <w:pPr>
        <w:pStyle w:val="ListParagraph"/>
        <w:numPr>
          <w:ilvl w:val="0"/>
          <w:numId w:val="3"/>
        </w:numPr>
      </w:pPr>
      <w:r>
        <w:t xml:space="preserve">A short paragraph in the child’s own voice (sourced from the structured intake form) about who they are and what they dream about.</w:t>
      </w:r>
    </w:p>
    <w:p>
      <w:pPr>
        <w:pStyle w:val="ListParagraph"/>
        <w:numPr>
          <w:ilvl w:val="0"/>
          <w:numId w:val="3"/>
        </w:numPr>
      </w:pPr>
      <w:r>
        <w:t xml:space="preserve">A single, central CTA: “Will you stay with [child]?” with the $25/mo continuation built in.</w:t>
      </w:r>
    </w:p>
    <w:p>
      <w:pPr>
        <w:pStyle w:val="ListParagraph"/>
        <w:numPr>
          <w:ilvl w:val="0"/>
          <w:numId w:val="3"/>
        </w:numPr>
      </w:pPr>
      <w:r>
        <w:t xml:space="preserve">One-tap recurring confirmation where possible (Stripe Link, Apple Pay, Google Pay).</w:t>
      </w:r>
    </w:p>
    <w:p>
      <w:pPr>
        <w:pStyle w:val="ListParagraph"/>
        <w:numPr>
          <w:ilvl w:val="0"/>
          <w:numId w:val="3"/>
        </w:numPr>
      </w:pPr>
      <w:r>
        <w:t xml:space="preserve">A secondary, no-pressure option: “Send me [child]’s monthly newsletter” — free, captures email for nurture.</w:t>
      </w:r>
    </w:p>
    <w:p>
      <w:pPr>
        <w:pStyle w:val="ListParagraph"/>
        <w:numPr>
          <w:ilvl w:val="0"/>
          <w:numId w:val="3"/>
        </w:numPr>
      </w:pPr>
      <w:r>
        <w:t xml:space="preserve">Subtle reinforcement of the no-pressure stance already in the FAQ (“continuing is your choice”) so the page doesn’t feel like a hard sell.</w:t>
      </w:r>
    </w:p>
    <w:p>
      <w:r>
        <w:rPr>
          <w:b/>
          <w:bCs/>
        </w:rPr>
        <w:t xml:space="preserve">The Stripe object-model requirement. </w:t>
      </w:r>
      <w:r>
        <w:t xml:space="preserve">The “one-tap” promise above is doing real engineering work, not cosmetic work. For it to actually be one tap, the shirt purchase Checkout Session has to (a) create or attach a Stripe Customer, (b) save the payment method with off-session usage enabled, and (c) thread the customer_id forward to the sponsor’s Airtable record so /[number] can re-present that saved method via Stripe Link or wallet flows. Without that chain, “one-tap” becomes “re-enter your card information.” This is the hard requirement; if it’s not buildable in the current architecture, scope it explicitly before promising the experience. Verification of the current create-shirt-checkout route is step one.</w:t>
      </w:r>
    </w:p>
    <w:p>
      <w:r>
        <w:rPr>
          <w:b/>
          <w:bCs/>
        </w:rPr>
        <w:t xml:space="preserve">Sequencing priority. </w:t>
      </w:r>
      <w:r>
        <w:t xml:space="preserve">If only one page on the site is optimized this quarter, this is the page. Every shirt buyer who reaches the number-lookup is already past the hardest decision (purchase). Converting them to recurring at that moment is meaningfully higher-yield than converting them at the colder moment of checkout. Section 1 is correct and should ship, but Section 2 is where the heart-level decision actually happens.</w:t>
      </w:r>
    </w:p>
    <w:p>
      <w:pPr>
        <w:pStyle w:val="Heading1"/>
      </w:pPr>
      <w:r>
        <w:t xml:space="preserve">3. Copy Framework — School-Year Framing</w:t>
      </w:r>
    </w:p>
    <w:p>
      <w:r>
        <w:rPr>
          <w:b/>
          <w:bCs/>
        </w:rPr>
        <w:t xml:space="preserve">Current state. </w:t>
      </w:r>
      <w:r>
        <w:t xml:space="preserve">“Your $25 covers the shirt and their first month of school, meals, and medical care.”</w:t>
      </w:r>
    </w:p>
    <w:p>
      <w:r>
        <w:rPr>
          <w:b/>
          <w:bCs/>
        </w:rPr>
        <w:t xml:space="preserve">Recommendation. </w:t>
      </w:r>
      <w:r>
        <w:t xml:space="preserve">Adopt active-verb, school-year framing across the funnel. Combined with the funding-model corrections in Section 0, the lead headline becomes:</w:t>
      </w:r>
    </w:p>
    <w:p>
      <w:r>
        <w:t xml:space="preserve">“$25 starts their year. $25/month finishes it.”</w:t>
      </w:r>
    </w:p>
    <w:p>
      <w:r>
        <w:t xml:space="preserve">This implicitly does the math for the donor — they instantly understand that one shirt is not the finish line, the year is.</w:t>
      </w:r>
    </w:p>
    <w:p>
      <w:r>
        <w:t xml:space="preserve">Variant options for different placements:</w:t>
      </w:r>
    </w:p>
    <w:p>
      <w:pPr>
        <w:pStyle w:val="ListParagraph"/>
        <w:numPr>
          <w:ilvl w:val="0"/>
          <w:numId w:val="3"/>
        </w:numPr>
      </w:pPr>
      <w:r>
        <w:t xml:space="preserve">“$25 puts them in school. $25/month keeps them there.” — most concise; strongest loss-aversion framing. Use where space is tight.</w:t>
      </w:r>
    </w:p>
    <w:p>
      <w:pPr>
        <w:pStyle w:val="ListParagraph"/>
        <w:numPr>
          <w:ilvl w:val="0"/>
          <w:numId w:val="3"/>
        </w:numPr>
      </w:pPr>
      <w:r>
        <w:t xml:space="preserve">“Your shirt sends a child to school. Your $25/month keeps them there.” — warmer, gift-framed. Use in donor letters and gift-flow copy.</w:t>
      </w:r>
    </w:p>
    <w:p>
      <w:pPr>
        <w:pStyle w:val="ListParagraph"/>
        <w:numPr>
          <w:ilvl w:val="0"/>
          <w:numId w:val="3"/>
        </w:numPr>
      </w:pPr>
      <w:r>
        <w:t xml:space="preserve">“The shirt enrolls them. Staying is what graduates them.” — long-game framing. Use for cohort/multi-year storytelling and major-donor materials.</w:t>
      </w:r>
    </w:p>
    <w:p>
      <w:r>
        <w:rPr>
          <w:b/>
          <w:bCs/>
        </w:rPr>
        <w:t xml:space="preserve">Rationale. </w:t>
      </w:r>
      <w:r>
        <w:t xml:space="preserve">Time-bound framing is a structural advantage. Compassion International and World Vision use vague aspirational language (“send a girl to school”) because they have no physical product to anchor the gift. Be A Number has the shirt. The shirt is the bridge, and the time-bound month is what makes the rest of the year visibly incomplete in the donor’s head. Dropping the time anchor in favor of generic copy would collapse the funnel — it would give donors permission to feel they had done enough after one shirt. The school year is the natural unit of incompleteness that motivates continuation. Loss-aversion framing (“keep them there”) is psychologically heavier than gain framing.</w:t>
      </w:r>
    </w:p>
    <w:p>
      <w:r>
        <w:rPr>
          <w:b/>
          <w:bCs/>
        </w:rPr>
        <w:t xml:space="preserve">A note on the verb. </w:t>
      </w:r>
      <w:r>
        <w:t xml:space="preserve">“Covers” in the current copy implies restricted-gift-style allocation (“your $25 pays for X”). Per Section 0, the actual mechanic is general support of the campus where the matched child is a beneficiary. The variants above use “starts,” “finishes,” “puts,” “keeps,” “supports,” “enrolls” — all honest and emotionally true under the pool model. Avoid “covers,” “funds,” “pays for [child]’s X” anywhere in customer-facing copy.</w:t>
      </w:r>
    </w:p>
    <w:p>
      <w:r>
        <w:rPr>
          <w:b/>
          <w:bCs/>
        </w:rPr>
        <w:t xml:space="preserve">Compatibility with existing site copy. </w:t>
      </w:r>
      <w:r>
        <w:t xml:space="preserve">The lead headline pairs cleanly with the existing “the shirt is how you meet them, $25/month is how you stay” structure that already runs through the site. Adoption is additive, not a rebrand.</w:t>
      </w:r>
    </w:p>
    <w:p>
      <w:pPr>
        <w:pStyle w:val="Heading1"/>
      </w:pPr>
      <w:r>
        <w:t xml:space="preserve">4. Giving Architecture — Annual Option &amp; Upgrade Paths</w:t>
      </w:r>
    </w:p>
    <w:p>
      <w:r>
        <w:t xml:space="preserve">Two complementary additions to the giving structure: an annual giving option for the most committed sponsors, and a set of distinct upgrade paths for high-conviction donors who want to give more than $25/mo.</w:t>
      </w:r>
    </w:p>
    <w:p>
      <w:pPr>
        <w:pStyle w:val="Heading2"/>
      </w:pPr>
      <w:r>
        <w:t xml:space="preserve">4A. Annual Giving Option</w:t>
      </w:r>
    </w:p>
    <w:p>
      <w:r>
        <w:rPr>
          <w:b/>
          <w:bCs/>
        </w:rPr>
        <w:t xml:space="preserve">Recommendation. </w:t>
      </w:r>
      <w:r>
        <w:t xml:space="preserve">Add an annual sponsorship option positioned as “Commit to the school year — $300,” offered on the sponsorship and donate pages (not the shirts page — see Discipline Notes).</w:t>
      </w:r>
    </w:p>
    <w:p>
      <w:pPr>
        <w:pStyle w:val="ListParagraph"/>
        <w:numPr>
          <w:ilvl w:val="0"/>
          <w:numId w:val="3"/>
        </w:numPr>
      </w:pPr>
      <w:r>
        <w:t xml:space="preserve">Headline: “Commit to the school year — $300”</w:t>
      </w:r>
    </w:p>
    <w:p>
      <w:pPr>
        <w:pStyle w:val="ListParagraph"/>
        <w:numPr>
          <w:ilvl w:val="0"/>
          <w:numId w:val="3"/>
        </w:numPr>
      </w:pPr>
      <w:r>
        <w:t xml:space="preserve">Math: $300 = 12 × $25. No discount, no math gymnastics, no implicit subsidy off the books.</w:t>
      </w:r>
    </w:p>
    <w:p>
      <w:pPr>
        <w:pStyle w:val="ListParagraph"/>
        <w:numPr>
          <w:ilvl w:val="0"/>
          <w:numId w:val="3"/>
        </w:numPr>
      </w:pPr>
      <w:r>
        <w:t xml:space="preserve">Positioning: Year-long commitment, predictable cashflow for the campus, aligned to the academic calendar. Visual hierarchy signals this as the highest-conviction option without screaming it.</w:t>
      </w:r>
    </w:p>
    <w:p>
      <w:r>
        <w:rPr>
          <w:b/>
          <w:bCs/>
        </w:rPr>
        <w:t xml:space="preserve">Rationale. </w:t>
      </w:r>
      <w:r>
        <w:t xml:space="preserve">Eliminates churn on the most committed donor segment. Provides predictable cashflow for Uganda payroll and school-year operations. Captures year-end tax-strategic giving (Nov–Dec), where lump-sum gifts dominate. Anchors commitment to the academic calendar, reinforcing the sponsorship narrative. The engagement risk other sponsorship orgs cite (loss of the monthly heartbeat) is mitigated here by the campus newsletter, the number-lookup mechanic, and the cohort-trip motion — the relationship is anchored in the child and the campus, not in the transaction cadence.</w:t>
      </w:r>
    </w:p>
    <w:p>
      <w:r>
        <w:rPr>
          <w:b/>
          <w:bCs/>
        </w:rPr>
        <w:t xml:space="preserve">Tax-receipt note. </w:t>
      </w:r>
      <w:r>
        <w:t xml:space="preserve">$300 single-payment crosses the IRC §170(f)(8) $250 threshold for written acknowledgment. The receipt must include a contemporaneous written acknowledgment with FMV disclosure (effectively zero for annual sponsorship since no tangible goods are exchanged). Build this into receipt logic from day one (see Section 8).</w:t>
      </w:r>
    </w:p>
    <w:p>
      <w:pPr>
        <w:pStyle w:val="Heading2"/>
      </w:pPr>
      <w:r>
        <w:t xml:space="preserve">4B. Upgrade Paths for High-Conviction Donors</w:t>
      </w:r>
    </w:p>
    <w:p>
      <w:r>
        <w:rPr>
          <w:b/>
          <w:bCs/>
        </w:rPr>
        <w:t xml:space="preserve">Principle. </w:t>
      </w:r>
      <w:r>
        <w:t xml:space="preserve">High-conviction donors who want to give more should be routed to specific products, each with its own emotional logic — not a generic “give more” slider that introduces choice paralysis. Tiered monthly amounts ($50/mo, $100/mo) break the narrative elegance (one shirt = one matched child = $25) that drives conversion at the entry point.</w:t>
      </w:r>
    </w:p>
    <w:p>
      <w:r>
        <w:t xml:space="preserve">Four upgrade paths to make available on the sponsorship and donate pages:</w:t>
      </w:r>
    </w:p>
    <w:p>
      <w:pPr>
        <w:pStyle w:val="ListParagraph"/>
        <w:numPr>
          <w:ilvl w:val="0"/>
          <w:numId w:val="2"/>
        </w:numPr>
      </w:pPr>
      <w:r>
        <w:t xml:space="preserve">Sponsor a second child (+$25/mo). The sponsor is matched with another child from the campus roster. Same mechanics as the first sponsorship — number, photo, story, monthly updates. Preserves the narrative elegance: each $25 = one matched child. Under the pool model, this is narrative-match expansion, not a fight over a shrinking pool — there is no supply constraint.</w:t>
      </w:r>
    </w:p>
    <w:p>
      <w:pPr>
        <w:pStyle w:val="ListParagraph"/>
        <w:numPr>
          <w:ilvl w:val="0"/>
          <w:numId w:val="2"/>
        </w:numPr>
      </w:pPr>
      <w:r>
        <w:t xml:space="preserve">Founder’s Series shirt ($150–$250). Limited run of 25 hand-pressed premium shirts. The major-donor entry point and the natural step up for a donor who already owns a $25 flagship and wants something more meaningful. Restricted-gift framing is appropriate here if Kevin wants to designate Founder’s Series proceeds to a specific capital project (clinic equipment, vocational expansion, etc.) — that designation is what makes the $150–$250 price defensible and the donor proud.</w:t>
      </w:r>
    </w:p>
    <w:p>
      <w:pPr>
        <w:pStyle w:val="ListParagraph"/>
        <w:numPr>
          <w:ilvl w:val="0"/>
          <w:numId w:val="2"/>
        </w:numPr>
      </w:pPr>
      <w:r>
        <w:t xml:space="preserve">Sponsorship Cohort Trip deposit. For sponsors ready to consider visiting the campus in Uganda. A trip deposit or interest registration that surfaces the cohort program and the scholarship retention mechanism.</w:t>
      </w:r>
    </w:p>
    <w:p>
      <w:pPr>
        <w:pStyle w:val="ListParagraph"/>
        <w:numPr>
          <w:ilvl w:val="0"/>
          <w:numId w:val="2"/>
        </w:numPr>
      </w:pPr>
      <w:r>
        <w:t xml:space="preserve">General fund / restricted donations. The /donate page should let high-conviction donors direct gifts to specific impact areas (clinic, vocational program, women’s sewing program, construction apprenticeships). The vocational program in particular has its own donor narrative — 60 women, named makers, the bag program — and attracts donors who connect to that story differently than child sponsors.</w:t>
      </w:r>
    </w:p>
    <w:p>
      <w:r>
        <w:rPr>
          <w:b/>
          <w:bCs/>
        </w:rPr>
        <w:t xml:space="preserve">Effect. </w:t>
      </w:r>
      <w:r>
        <w:t xml:space="preserve">Each path is its own product with its own emotional logic. Together they form a ladder from $25/mo to whatever the donor’s natural ceiling is, without ever forcing a slider or tier-selector decision.</w:t>
      </w:r>
    </w:p>
    <w:p>
      <w:pPr>
        <w:pStyle w:val="Heading1"/>
      </w:pPr>
      <w:r>
        <w:t xml:space="preserve">5. Number Persistence — “Shop Your Number”</w:t>
      </w:r>
    </w:p>
    <w:p>
      <w:r>
        <w:rPr>
          <w:b/>
          <w:bCs/>
        </w:rPr>
        <w:t xml:space="preserve">Concept. </w:t>
      </w:r>
      <w:r>
        <w:t xml:space="preserve">Once a sponsor has been matched to their number and connected to their child, every additional purchase carries the same number. A sponsor with #0247 matched to Grace can buy a second shirt, a hat, a hoodie — all stamped with #0247. If every purchase generated a new number, the number would be a SKU, not a relationship.</w:t>
      </w:r>
    </w:p>
    <w:p>
      <w:r>
        <w:rPr>
          <w:b/>
          <w:bCs/>
        </w:rPr>
        <w:t xml:space="preserve">Revenue impact. </w:t>
      </w:r>
      <w:r>
        <w:t xml:space="preserve">This is the highest-LTV change in the memo. A sponsor who buys three shirts and a hat over the life of their sponsorship represents roughly 4× the merch revenue of a one-and-done buyer — and walks around as a larger, more visible billboard for the cause. Word-of-mouth compounds when the same number appears on multiple items: people notice the pattern and ask. Number persistence is what makes that repeat behavior feel natural rather than performative.</w:t>
      </w:r>
    </w:p>
    <w:p>
      <w:r>
        <w:rPr>
          <w:b/>
          <w:bCs/>
        </w:rPr>
        <w:t xml:space="preserve">Mechanic. </w:t>
      </w:r>
      <w:r>
        <w:t xml:space="preserve">After the number-lookup moment, a “Get more gear with #0247” section appears in the sponsor portal. Each SKU’s narrative supports a specific impact area associated with the matched child rather than generic support.</w:t>
      </w:r>
    </w:p>
    <w:p>
      <w:r>
        <w:t xml:space="preserve">Suggested SKU-to-narrative mapping:</w:t>
      </w:r>
    </w:p>
    <w:p>
      <w:pPr>
        <w:pStyle w:val="ListParagraph"/>
        <w:numPr>
          <w:ilvl w:val="0"/>
          <w:numId w:val="3"/>
        </w:numPr>
      </w:pPr>
      <w:r>
        <w:t xml:space="preserve">Second shirt ($25) → supports school supplies for [child]’s grade level this term</w:t>
      </w:r>
    </w:p>
    <w:p>
      <w:pPr>
        <w:pStyle w:val="ListParagraph"/>
        <w:numPr>
          <w:ilvl w:val="0"/>
          <w:numId w:val="3"/>
        </w:numPr>
      </w:pPr>
      <w:r>
        <w:t xml:space="preserve">Hat ($20) → supports meals for [child]’s classroom for a month</w:t>
      </w:r>
    </w:p>
    <w:p>
      <w:pPr>
        <w:pStyle w:val="ListParagraph"/>
        <w:numPr>
          <w:ilvl w:val="0"/>
          <w:numId w:val="3"/>
        </w:numPr>
      </w:pPr>
      <w:r>
        <w:t xml:space="preserve">Hoodie ($40) → supports clinic access at the campus for two weeks</w:t>
      </w:r>
    </w:p>
    <w:p>
      <w:r>
        <w:rPr>
          <w:b/>
          <w:bCs/>
        </w:rPr>
        <w:t xml:space="preserve">A deliberate language note. </w:t>
      </w:r>
      <w:r>
        <w:t xml:space="preserve">“Supports” is the correct verb here, not “funds.” “Funds” implies contractual restriction under 501(c)(3) accounting — a restricted gift has legal status and the org must honor it. The SKU-to-narrative mapping is a narrative association that helps the donor visualize where their money is doing work, not a contractual restriction on how the funds are deployed. Use “supports,” “helps,” “goes toward,” “is the kind of thing that pays for.” Avoid “funds,” “covers,” “pays for [child]’s X.”</w:t>
      </w:r>
    </w:p>
    <w:p>
      <w:r>
        <w:rPr>
          <w:b/>
          <w:bCs/>
        </w:rPr>
        <w:t xml:space="preserve">Business rule. </w:t>
      </w:r>
      <w:r>
        <w:t xml:space="preserve">The “Shop Your Number” experience lives inside the sponsor portal and is naturally aligned with active sponsorship status. Lapsed sponsors lose access to buy more gear at their number — a quiet retention lever, without being punitive (the number itself is never stripped, and the relationship persists). See Section 7 for the lapsed-sponsor reactivation motion.</w:t>
      </w:r>
    </w:p>
    <w:p>
      <w:r>
        <w:rPr>
          <w:b/>
          <w:bCs/>
        </w:rPr>
        <w:t xml:space="preserve">Content benefit. </w:t>
      </w:r>
      <w:r>
        <w:t xml:space="preserve">Every reorder generates a specific story for the monthly newsletter: “This month, hat sales supported science workbooks at the campus.” Converts merch into ongoing narrative.</w:t>
      </w:r>
    </w:p>
    <w:p>
      <w:r>
        <w:rPr>
          <w:b/>
          <w:bCs/>
        </w:rPr>
        <w:t xml:space="preserve">What stays separate. </w:t>
      </w:r>
      <w:r>
        <w:t xml:space="preserve">The bag program ($45) remains tied to named makers (the women in the vocational training program), not numbered to sponsors. This preserves the two distinct relationship lines: child sponsor ↔ matched child, bag buyer ↔ named maker.</w:t>
      </w:r>
    </w:p>
    <w:p>
      <w:pPr>
        <w:pStyle w:val="Heading1"/>
      </w:pPr>
      <w:r>
        <w:t xml:space="preserve">6. Gift Sponsorships</w:t>
      </w:r>
    </w:p>
    <w:p>
      <w:r>
        <w:rPr>
          <w:b/>
          <w:bCs/>
        </w:rPr>
        <w:t xml:space="preserve">Recommendation. </w:t>
      </w:r>
      <w:r>
        <w:t xml:space="preserve">Build gift sponsorships as a parallel product, not a checkout add-on. Two flavors:</w:t>
      </w:r>
    </w:p>
    <w:p>
      <w:pPr>
        <w:pStyle w:val="Heading2"/>
      </w:pPr>
      <w:r>
        <w:t xml:space="preserve">A. Gift Shirt</w:t>
      </w:r>
    </w:p>
    <w:p>
      <w:r>
        <w:t xml:space="preserve">Sarah orders, marks “this is a gift,” ships to mom. Mom receives the shirt + the number + the first month of campus support already paid. Mom enters her number, meets her matched child, is invited to continue at $25/mo. Tax receipt to Sarah (she paid); the sponsorship belongs to mom going forward.</w:t>
      </w:r>
    </w:p>
    <w:p>
      <w:pPr>
        <w:pStyle w:val="Heading2"/>
      </w:pPr>
      <w:r>
        <w:t xml:space="preserve">B. Gift Sponsorship (No Shirt)</w:t>
      </w:r>
    </w:p>
    <w:p>
      <w:r>
        <w:t xml:space="preserve">Sarah pays $25, no physical product. Branded digital card delivered to mom’s email on a date Sarah selects. Card design: cross logo, the number front and center, “Sarah sponsored a child in your honor,” optional personal message, single CTA — “Meet her.” Mom clicks through, lands on the number-lookup page with a “gift” frame, is invited to continue at $25/mo.</w:t>
      </w:r>
    </w:p>
    <w:p>
      <w:pPr>
        <w:pStyle w:val="Heading2"/>
      </w:pPr>
      <w:r>
        <w:t xml:space="preserve">Why this is an undervalued channel</w:t>
      </w:r>
    </w:p>
    <w:p>
      <w:pPr>
        <w:pStyle w:val="ListParagraph"/>
        <w:numPr>
          <w:ilvl w:val="0"/>
          <w:numId w:val="2"/>
        </w:numPr>
      </w:pPr>
      <w:r>
        <w:t xml:space="preserve">New acquisition channel, not just an upsell. Gifts pull in donors who would never have found Be A Number on their own. Sarah’s mom may not have been in the market for a child sponsorship — but receiving one as a gift introduces her to the organization at the highest possible emotional intensity.</w:t>
      </w:r>
    </w:p>
    <w:p>
      <w:pPr>
        <w:pStyle w:val="ListParagraph"/>
        <w:numPr>
          <w:ilvl w:val="0"/>
          <w:numId w:val="2"/>
        </w:numPr>
      </w:pPr>
      <w:r>
        <w:t xml:space="preserve">Occasion breadth. The natural moments are many: baptism gifts, godparent gifts, Christmas, Mother’s Day, in-memoriam donations, grandparent-to-grandchild gifts. For a Christian/Catholic donor base specifically, these occasions are recurring and meaningful in ways that align with the organization’s mission.</w:t>
      </w:r>
    </w:p>
    <w:p>
      <w:pPr>
        <w:pStyle w:val="ListParagraph"/>
        <w:numPr>
          <w:ilvl w:val="0"/>
          <w:numId w:val="2"/>
        </w:numPr>
      </w:pPr>
      <w:r>
        <w:t xml:space="preserve">Higher emotional weight, identical margin. Giving a child sponsorship as a gift carries more emotional weight than buying a shirt for oneself, while the unit economics are identical. The product is the same; the meaning is amplified.</w:t>
      </w:r>
    </w:p>
    <w:p>
      <w:pPr>
        <w:pStyle w:val="Heading2"/>
      </w:pPr>
      <w:r>
        <w:t xml:space="preserve">Two product details that matter disproportionately</w:t>
      </w:r>
    </w:p>
    <w:p>
      <w:r>
        <w:rPr>
          <w:b/>
          <w:bCs/>
        </w:rPr>
        <w:t xml:space="preserve">Scheduled delivery. </w:t>
      </w:r>
      <w:r>
        <w:t xml:space="preserve">Sarah buys in November; mom doesn’t see the card until her March birthday. Most nonprofit gift sponsorships skip this and lose the moment — the card arrives on a random Tuesday and feels like marketing. Scheduled reveal is what makes it feel like a gift.</w:t>
      </w:r>
    </w:p>
    <w:p>
      <w:r>
        <w:rPr>
          <w:b/>
          <w:bCs/>
        </w:rPr>
        <w:t xml:space="preserve">No-obligation framing. </w:t>
      </w:r>
      <w:r>
        <w:t xml:space="preserve">The first month is fully supported, no strings on the recipient. Continuation is invited (“Want to stay with Joseph?”), never demanded (“Your daughter started this — will you finish it?”). The moment recipients feel obligated, the mechanic turns toxic and gets rejected at the next family dinner.</w:t>
      </w:r>
    </w:p>
    <w:p>
      <w:pPr>
        <w:pStyle w:val="Heading2"/>
      </w:pPr>
      <w:r>
        <w:t xml:space="preserve">The gift-to-gifter conversion loop</w:t>
      </w:r>
    </w:p>
    <w:p>
      <w:r>
        <w:t xml:space="preserve">This is the most under-built motion in v1. Sarah, who gifted her mom a sponsorship in November, is the hottest possible lead for her own sponsorship in December. She has already (a) paid Be A Number once, (b) watched her mom go through the reveal, (c) absorbed the model end-to-end without ever being asked herself, and (d) presumably has a recurring giving occasion of her own coming up. The v1 memo only routes Sarah to “free CC on mom’s newsletter.” That’s leaving the larger conversion on the table. Build:</w:t>
      </w:r>
    </w:p>
    <w:p>
      <w:pPr>
        <w:pStyle w:val="ListParagraph"/>
        <w:numPr>
          <w:ilvl w:val="0"/>
          <w:numId w:val="3"/>
        </w:numPr>
      </w:pPr>
      <w:r>
        <w:t xml:space="preserve">A dedicated gifter follow-up email two weeks after the recipient’s reveal — “You introduced your mom to a child this year. Want to meet one of your own?”</w:t>
      </w:r>
    </w:p>
    <w:p>
      <w:pPr>
        <w:pStyle w:val="ListParagraph"/>
        <w:numPr>
          <w:ilvl w:val="0"/>
          <w:numId w:val="3"/>
        </w:numPr>
      </w:pPr>
      <w:r>
        <w:t xml:space="preserve">A logged-in /sponsor/gifter view that surfaces, “You gifted Mom sponsorship of Joseph. Sponsor your own at /sponsor/start.”</w:t>
      </w:r>
    </w:p>
    <w:p>
      <w:pPr>
        <w:pStyle w:val="ListParagraph"/>
        <w:numPr>
          <w:ilvl w:val="0"/>
          <w:numId w:val="3"/>
        </w:numPr>
      </w:pPr>
      <w:r>
        <w:t xml:space="preserve">Holiday-specific re-engagement (Christmas, Mother’s Day, etc.) timed to the gifter, not the recipient.</w:t>
      </w:r>
    </w:p>
    <w:p>
      <w:pPr>
        <w:pStyle w:val="Heading2"/>
      </w:pPr>
      <w:r>
        <w:t xml:space="preserve">Tax receipts — two donors, two records</w:t>
      </w:r>
    </w:p>
    <w:p>
      <w:r>
        <w:t xml:space="preserve">The gifter (Sarah) receives a tax receipt for the initial $25 since she paid. If the recipient (mom) continues at $25/mo recurring after meeting her matched child, those continuing donations are her own and she receives separate receipts for each. The result is two distinct donor records in the system — one a one-time gifter, one a recurring sponsor — from a single $25 starting transaction.</w:t>
      </w:r>
    </w:p>
    <w:p>
      <w:r>
        <w:rPr>
          <w:b/>
          <w:bCs/>
        </w:rPr>
        <w:t xml:space="preserve">Quid-pro-quo note. </w:t>
      </w:r>
      <w:r>
        <w:t xml:space="preserve">If the gift includes a physical shirt (option A), the shirt’s FMV reduces Sarah’s deductible portion under IRC §6115 / §170. The receipt language must reflect this (see Section 8). Option B (no shirt) is a clean $25 deductible gift to a 501(c)(3) — no FMV to strip.</w:t>
      </w:r>
    </w:p>
    <w:p>
      <w:pPr>
        <w:pStyle w:val="Heading1"/>
      </w:pPr>
      <w:r>
        <w:t xml:space="preserve">7. Lapsed-Sponsor Reactivation</w:t>
      </w:r>
    </w:p>
    <w:p>
      <w:r>
        <w:rPr>
          <w:b/>
          <w:bCs/>
        </w:rPr>
        <w:t xml:space="preserve">The gap. </w:t>
      </w:r>
      <w:r>
        <w:t xml:space="preserve">Be A Number’s existing motion handles new acquisition (shirt buyers, direct sponsorship signups, gift recipients) and existing-sponsor retention (Shop Your Number gating, newsletter updates). The motion that’s currently missing — and was missing from v1 of this memo — is the deliberate reactivation of sponsors who churned.</w:t>
      </w:r>
    </w:p>
    <w:p>
      <w:r>
        <w:rPr>
          <w:b/>
          <w:bCs/>
        </w:rPr>
        <w:t xml:space="preserve">Why this matters. </w:t>
      </w:r>
      <w:r>
        <w:t xml:space="preserve">Lapsed sponsors are warmer than any cold lead in three ways: (a) they have a child relationship already in the system, (b) they’ve already gone through the entire psychological commitment of the first sponsorship, and (c) they know the model end-to-end and don’t need re-education. The relationship infrastructure — the child, the number, the photos, the updates — is already built. Cost to reactivate is meaningfully lower than cost to acquire, and the resulting LTV is often higher because lapsed donors who return tend to be on their second emotional commitment, which sticks.</w:t>
      </w:r>
    </w:p>
    <w:p>
      <w:r>
        <w:t xml:space="preserve">The mechanic:</w:t>
      </w:r>
    </w:p>
    <w:p>
      <w:pPr>
        <w:pStyle w:val="ListParagraph"/>
        <w:numPr>
          <w:ilvl w:val="0"/>
          <w:numId w:val="2"/>
        </w:numPr>
      </w:pPr>
      <w:r>
        <w:t xml:space="preserve">Lapsed cohort segmentation. Define “lapsed” cleanly. A sponsor whose subscription canceled or whose payment method failed and wasn’t recovered after 30 days is lapsed. Their number and their match are preserved in Airtable; their portal access stays read-only.</w:t>
      </w:r>
    </w:p>
    <w:p>
      <w:pPr>
        <w:pStyle w:val="ListParagraph"/>
        <w:numPr>
          <w:ilvl w:val="0"/>
          <w:numId w:val="2"/>
        </w:numPr>
      </w:pPr>
      <w:r>
        <w:t xml:space="preserve">The 30-day check-in. Thirty days after lapse, send a low-pressure email from Kevin (not a system): “Joseph asked about you. No pressure to come back — but if you ever want to, the door is open.” Includes a recent photo, no payment CTA. The goal here is connection, not conversion.</w:t>
      </w:r>
    </w:p>
    <w:p>
      <w:pPr>
        <w:pStyle w:val="ListParagraph"/>
        <w:numPr>
          <w:ilvl w:val="0"/>
          <w:numId w:val="2"/>
        </w:numPr>
      </w:pPr>
      <w:r>
        <w:t xml:space="preserve">The 60-day update. A campus update specifically tagged to lapsed sponsors. Showcases what happened at the campus in the 60 days they were away. Still no hard CTA — just a small “Resume sponsoring Joseph” button at the bottom.</w:t>
      </w:r>
    </w:p>
    <w:p>
      <w:pPr>
        <w:pStyle w:val="ListParagraph"/>
        <w:numPr>
          <w:ilvl w:val="0"/>
          <w:numId w:val="2"/>
        </w:numPr>
      </w:pPr>
      <w:r>
        <w:t xml:space="preserve">The 90-day reactivation offer. A one-time offer to come back at the original $25/mo, with a “we’ll keep your number” promise. By 90 days, anyone who’s coming back is doing so deliberately.</w:t>
      </w:r>
    </w:p>
    <w:p>
      <w:pPr>
        <w:pStyle w:val="ListParagraph"/>
        <w:numPr>
          <w:ilvl w:val="0"/>
          <w:numId w:val="2"/>
        </w:numPr>
      </w:pPr>
      <w:r>
        <w:t xml:space="preserve">The annual re-engagement. Once a year, a thoughtfully-timed campaign (back-to-school works particularly well) reaches the entire lapsed cohort with photo+update content, the matched child front and center, and a single resume CTA.</w:t>
      </w:r>
    </w:p>
    <w:p>
      <w:pPr>
        <w:pStyle w:val="ListParagraph"/>
        <w:numPr>
          <w:ilvl w:val="0"/>
          <w:numId w:val="2"/>
        </w:numPr>
      </w:pPr>
      <w:r>
        <w:t xml:space="preserve">Win-back gating doesn’t strip the relationship. Per Section 5, the lapsed sponsor loses Shop Your Number access. Their number is never re-assigned to a new sponsor. Their matched child is not “freed up” for someone else. The relationship persists; only the commercial access pauses.</w:t>
      </w:r>
    </w:p>
    <w:p>
      <w:r>
        <w:rPr>
          <w:b/>
          <w:bCs/>
        </w:rPr>
        <w:t xml:space="preserve">Effect. </w:t>
      </w:r>
      <w:r>
        <w:t xml:space="preserve">A meaningful percentage of churned sponsors return within a year if handled this way. Combined with the existing Shop Your Number gating as a quiet retention lever, the lapsed cohort becomes a managed asset rather than a leak.</w:t>
      </w:r>
    </w:p>
    <w:p>
      <w:pPr>
        <w:pStyle w:val="Heading1"/>
      </w:pPr>
      <w:r>
        <w:t xml:space="preserve">8. Tech Implementation Notes</w:t>
      </w:r>
    </w:p>
    <w:p>
      <w:r>
        <w:rPr>
          <w:b/>
          <w:bCs/>
        </w:rPr>
        <w:t xml:space="preserve">Stack. </w:t>
      </w:r>
      <w:r>
        <w:t xml:space="preserve">Existing Next.js / Airtable / Stripe infrastructure supports all eight changes without architectural overhaul, but Section 2’s one-tap experience requires a Stripe customer-object continuity check before the UI is promised.</w:t>
      </w:r>
    </w:p>
    <w:p>
      <w:pPr>
        <w:pStyle w:val="Heading2"/>
      </w:pPr>
      <w:r>
        <w:t xml:space="preserve">Stripe customer-object continuity (hard requirement for §2)</w:t>
      </w:r>
    </w:p>
    <w:p>
      <w:r>
        <w:t xml:space="preserve">The shirt Checkout Session must (a) create or look up a Stripe Customer record, (b) attach the payment method to that customer (setup_future_usage=‘off_session’ or equivalent), and (c) thread customer_id forward to the sponsor’s Airtable record so /[number] can re-present the saved method via Stripe Link or wallet flow. Without this chain, the “Will you stay with [child]?” CTA presents a card-entry form, not a one-tap confirm. Verify the current create-shirt-checkout route does this; if it doesn’t, scope the change before promising the UI.</w:t>
      </w:r>
    </w:p>
    <w:p>
      <w:pPr>
        <w:pStyle w:val="Heading2"/>
      </w:pPr>
      <w:r>
        <w:t xml:space="preserve">Schema additions (Airtable Orders table)</w:t>
      </w:r>
    </w:p>
    <w:p>
      <w:r>
        <w:t xml:space="preserve">Verify against airtable_schema.md before writing — the webhook has 422’d on missing fields before.</w:t>
      </w:r>
    </w:p>
    <w:p>
      <w:pPr>
        <w:pStyle w:val="ListParagraph"/>
        <w:numPr>
          <w:ilvl w:val="0"/>
          <w:numId w:val="3"/>
        </w:numPr>
      </w:pPr>
      <w:r>
        <w:t xml:space="preserve">is_gift: checkbox</w:t>
      </w:r>
    </w:p>
    <w:p>
      <w:pPr>
        <w:pStyle w:val="ListParagraph"/>
        <w:numPr>
          <w:ilvl w:val="0"/>
          <w:numId w:val="3"/>
        </w:numPr>
      </w:pPr>
      <w:r>
        <w:t xml:space="preserve">recipient_name: singleLineText</w:t>
      </w:r>
    </w:p>
    <w:p>
      <w:pPr>
        <w:pStyle w:val="ListParagraph"/>
        <w:numPr>
          <w:ilvl w:val="0"/>
          <w:numId w:val="3"/>
        </w:numPr>
      </w:pPr>
      <w:r>
        <w:t xml:space="preserve">recipient_email: email</w:t>
      </w:r>
    </w:p>
    <w:p>
      <w:pPr>
        <w:pStyle w:val="ListParagraph"/>
        <w:numPr>
          <w:ilvl w:val="0"/>
          <w:numId w:val="3"/>
        </w:numPr>
      </w:pPr>
      <w:r>
        <w:t xml:space="preserve">gift_message: longText</w:t>
      </w:r>
    </w:p>
    <w:p>
      <w:pPr>
        <w:pStyle w:val="ListParagraph"/>
        <w:numPr>
          <w:ilvl w:val="0"/>
          <w:numId w:val="3"/>
        </w:numPr>
      </w:pPr>
      <w:r>
        <w:t xml:space="preserve">delivery_date: date</w:t>
      </w:r>
    </w:p>
    <w:p>
      <w:pPr>
        <w:pStyle w:val="ListParagraph"/>
        <w:numPr>
          <w:ilvl w:val="0"/>
          <w:numId w:val="3"/>
        </w:numPr>
      </w:pPr>
      <w:r>
        <w:t xml:space="preserve">sponsorship_term: singleSelect [monthly, annual, none]</w:t>
      </w:r>
    </w:p>
    <w:p>
      <w:pPr>
        <w:pStyle w:val="ListParagraph"/>
        <w:numPr>
          <w:ilvl w:val="0"/>
          <w:numId w:val="3"/>
        </w:numPr>
      </w:pPr>
      <w:r>
        <w:t xml:space="preserve">parent_order_id: linkToAnotherRecord (for reorders with same number)</w:t>
      </w:r>
    </w:p>
    <w:p>
      <w:pPr>
        <w:pStyle w:val="Heading2"/>
      </w:pPr>
      <w:r>
        <w:t xml:space="preserve">Donor model (Airtable Donors table)</w:t>
      </w:r>
    </w:p>
    <w:p>
      <w:pPr>
        <w:pStyle w:val="ListParagraph"/>
        <w:numPr>
          <w:ilvl w:val="0"/>
          <w:numId w:val="3"/>
        </w:numPr>
      </w:pPr>
      <w:r>
        <w:t xml:space="preserve">Maintain distinct donor records for gifters and recipients (see Section 6, tax receipts).</w:t>
      </w:r>
    </w:p>
    <w:p>
      <w:pPr>
        <w:pStyle w:val="ListParagraph"/>
        <w:numPr>
          <w:ilvl w:val="0"/>
          <w:numId w:val="3"/>
        </w:numPr>
      </w:pPr>
      <w:r>
        <w:t xml:space="preserve">Surface relationship: a “Gifted To” linked field so the gifter’s influence on the donor base is visible in reporting.</w:t>
      </w:r>
    </w:p>
    <w:p>
      <w:pPr>
        <w:pStyle w:val="ListParagraph"/>
        <w:numPr>
          <w:ilvl w:val="0"/>
          <w:numId w:val="3"/>
        </w:numPr>
      </w:pPr>
      <w:r>
        <w:t xml:space="preserve">Add a Lapsed computed status (see Section 7) and a LapsedAt date for segmentation.</w:t>
      </w:r>
    </w:p>
    <w:p>
      <w:pPr>
        <w:pStyle w:val="Heading2"/>
      </w:pPr>
      <w:r>
        <w:t xml:space="preserve">Stripe configuration</w:t>
      </w:r>
    </w:p>
    <w:p>
      <w:pPr>
        <w:pStyle w:val="ListParagraph"/>
        <w:numPr>
          <w:ilvl w:val="0"/>
          <w:numId w:val="3"/>
        </w:numPr>
      </w:pPr>
      <w:r>
        <w:t xml:space="preserve">Annual sponsorship: new subscription price ($300/year recurring) alongside the existing $25/mo.</w:t>
      </w:r>
    </w:p>
    <w:p>
      <w:pPr>
        <w:pStyle w:val="ListParagraph"/>
        <w:numPr>
          <w:ilvl w:val="0"/>
          <w:numId w:val="3"/>
        </w:numPr>
      </w:pPr>
      <w:r>
        <w:t xml:space="preserve">Gift checkout fields: capture recipient info via Stripe custom fields or a pre-checkout step.</w:t>
      </w:r>
    </w:p>
    <w:p>
      <w:pPr>
        <w:pStyle w:val="ListParagraph"/>
        <w:numPr>
          <w:ilvl w:val="0"/>
          <w:numId w:val="3"/>
        </w:numPr>
      </w:pPr>
      <w:r>
        <w:t xml:space="preserve">One-tap on /[number]: enable Stripe Link, Apple Pay, Google Pay for low-friction recurring confirmation (gated on the customer-object continuity work above).</w:t>
      </w:r>
    </w:p>
    <w:p>
      <w:pPr>
        <w:pStyle w:val="ListParagraph"/>
        <w:numPr>
          <w:ilvl w:val="0"/>
          <w:numId w:val="3"/>
        </w:numPr>
      </w:pPr>
      <w:r>
        <w:t xml:space="preserve">Receipts: gifter receives initial $25 receipt; recipient’s recurring subscription (if continued) is owned by them and generates its own receipts.</w:t>
      </w:r>
    </w:p>
    <w:p>
      <w:pPr>
        <w:pStyle w:val="Heading2"/>
      </w:pPr>
      <w:r>
        <w:t xml:space="preserve">Receipt logic and quid-pro-quo handling</w:t>
      </w:r>
    </w:p>
    <w:p>
      <w:r>
        <w:t xml:space="preserve">Every shirt sale is a quid-pro-quo transaction under IRC §6115: a donation made in exchange for goods. The donor’s deduction is the gift minus the FMV of the goods received. Build the receipt logic with three thresholds in mind:</w:t>
      </w:r>
    </w:p>
    <w:p>
      <w:pPr>
        <w:pStyle w:val="ListParagraph"/>
        <w:numPr>
          <w:ilvl w:val="0"/>
          <w:numId w:val="3"/>
        </w:numPr>
      </w:pPr>
      <w:r>
        <w:t xml:space="preserve">Single transactions under $75 (e.g., $25 shirt, $20 hat, $40 hoodie): No IRC §6115 disclosure threshold triggered, but the receipt should still note the FMV split — “Your $25 included a shirt (FMV $12). Deductible portion: $13.” — so itemizing donors can compute correctly.</w:t>
      </w:r>
    </w:p>
    <w:p>
      <w:pPr>
        <w:pStyle w:val="ListParagraph"/>
        <w:numPr>
          <w:ilvl w:val="0"/>
          <w:numId w:val="3"/>
        </w:numPr>
      </w:pPr>
      <w:r>
        <w:t xml:space="preserve">Single transactions of $75 or more with goods exchanged (e.g., Founder’s Series shirt at $150–$250): IRC §6115 disclosure requirement triggers. Receipt must include a good-faith estimate of FMV and explicitly state the deductible portion in writing.</w:t>
      </w:r>
    </w:p>
    <w:p>
      <w:pPr>
        <w:pStyle w:val="ListParagraph"/>
        <w:numPr>
          <w:ilvl w:val="0"/>
          <w:numId w:val="3"/>
        </w:numPr>
      </w:pPr>
      <w:r>
        <w:t xml:space="preserve">Single transactions of $250 or more (e.g., $300 annual sponsorship): IRC §170(f)(8) contemporaneous written acknowledgment requirement triggers. Receipt must be in writing, dated, with FMV disclosure (effectively zero for cash sponsorship, real for goods).</w:t>
      </w:r>
    </w:p>
    <w:p>
      <w:r>
        <w:t xml:space="preserve">Doing this correctly from day one prevents a painful retrofit when a donor’s CPA asks for documentation.</w:t>
      </w:r>
    </w:p>
    <w:p>
      <w:pPr>
        <w:pStyle w:val="Heading2"/>
      </w:pPr>
      <w:r>
        <w:t xml:space="preserve">Vercel / Next.js</w:t>
      </w:r>
    </w:p>
    <w:p>
      <w:pPr>
        <w:pStyle w:val="ListParagraph"/>
        <w:numPr>
          <w:ilvl w:val="0"/>
          <w:numId w:val="3"/>
        </w:numPr>
      </w:pPr>
      <w:r>
        <w:t xml:space="preserve">Rebuild /[number] as the primary conversion page (see Section 2). Includes child media, conviction copy, single recurring CTA, newsletter fallback.</w:t>
      </w:r>
    </w:p>
    <w:p>
      <w:pPr>
        <w:pStyle w:val="ListParagraph"/>
        <w:numPr>
          <w:ilvl w:val="0"/>
          <w:numId w:val="3"/>
        </w:numPr>
      </w:pPr>
      <w:r>
        <w:t xml:space="preserve">Cron / scheduled function fires on delivery_date and sends the gift-card email.</w:t>
      </w:r>
    </w:p>
    <w:p>
      <w:pPr>
        <w:pStyle w:val="ListParagraph"/>
        <w:numPr>
          <w:ilvl w:val="0"/>
          <w:numId w:val="3"/>
        </w:numPr>
      </w:pPr>
      <w:r>
        <w:t xml:space="preserve">Gift landing route: /[number]?gift=true swaps the framing on the number-lookup page.</w:t>
      </w:r>
    </w:p>
    <w:p>
      <w:pPr>
        <w:pStyle w:val="ListParagraph"/>
        <w:numPr>
          <w:ilvl w:val="0"/>
          <w:numId w:val="3"/>
        </w:numPr>
      </w:pPr>
      <w:r>
        <w:t xml:space="preserve">Lapsed-sponsor email cadence: 30-day, 60-day, 90-day, annual back-to-school. New scheduled tasks under /api/cron/lapsed.</w:t>
      </w:r>
    </w:p>
    <w:p>
      <w:pPr>
        <w:pStyle w:val="Heading2"/>
      </w:pPr>
      <w:r>
        <w:t xml:space="preserve">Sponsor portal additions</w:t>
      </w:r>
    </w:p>
    <w:p>
      <w:pPr>
        <w:pStyle w:val="ListParagraph"/>
        <w:numPr>
          <w:ilvl w:val="0"/>
          <w:numId w:val="3"/>
        </w:numPr>
      </w:pPr>
      <w:r>
        <w:t xml:space="preserve">“Shop Your Number” section, gated by active sponsorship.</w:t>
      </w:r>
    </w:p>
    <w:p>
      <w:pPr>
        <w:pStyle w:val="ListParagraph"/>
        <w:numPr>
          <w:ilvl w:val="0"/>
          <w:numId w:val="3"/>
        </w:numPr>
      </w:pPr>
      <w:r>
        <w:t xml:space="preserve">Gifter-side view: “Children I’ve gifted sponsorships for” and a self-sponsor CTA.</w:t>
      </w:r>
    </w:p>
    <w:p>
      <w:pPr>
        <w:pStyle w:val="ListParagraph"/>
        <w:numPr>
          <w:ilvl w:val="0"/>
          <w:numId w:val="3"/>
        </w:numPr>
      </w:pPr>
      <w:r>
        <w:t xml:space="preserve">Lapsed sponsor read-only view: child still visible, recent updates visible, single “Resume sponsorship” CTA, no Shop Your Number.</w:t>
      </w:r>
    </w:p>
    <w:p>
      <w:pPr>
        <w:pStyle w:val="Heading1"/>
      </w:pPr>
      <w:r>
        <w:t xml:space="preserve">9. Discipline Notes</w:t>
      </w:r>
    </w:p>
    <w:p>
      <w:r>
        <w:t xml:space="preserve">A short list of what NOT to do, captured here so it doesn’t get lost in execution.</w:t>
      </w:r>
    </w:p>
    <w:p>
      <w:pPr>
        <w:pStyle w:val="ListParagraph"/>
        <w:numPr>
          <w:ilvl w:val="0"/>
          <w:numId w:val="2"/>
        </w:numPr>
      </w:pPr>
      <w:r>
        <w:t xml:space="preserve">Do not auto-check recurring billing at checkout. The conversion lift is modest; the reputational and legal tail risk for a faith-based 501(c)(3) is asymmetric.</w:t>
      </w:r>
    </w:p>
    <w:p>
      <w:pPr>
        <w:pStyle w:val="ListParagraph"/>
        <w:numPr>
          <w:ilvl w:val="0"/>
          <w:numId w:val="2"/>
        </w:numPr>
      </w:pPr>
      <w:r>
        <w:t xml:space="preserve">Do not introduce tiered monthly amounts. Tiers break the narrative elegance (one shirt = one matched child = $25) and introduce choice paralysis. Upgrade paths are products, not slider positions.</w:t>
      </w:r>
    </w:p>
    <w:p>
      <w:pPr>
        <w:pStyle w:val="ListParagraph"/>
        <w:numPr>
          <w:ilvl w:val="0"/>
          <w:numId w:val="2"/>
        </w:numPr>
      </w:pPr>
      <w:r>
        <w:t xml:space="preserve">Do not drop the time anchor from the core copy. “Send them to school” alone collapses the funnel — the time-bound month is what makes the rest of the year feel incomplete.</w:t>
      </w:r>
    </w:p>
    <w:p>
      <w:pPr>
        <w:pStyle w:val="ListParagraph"/>
        <w:numPr>
          <w:ilvl w:val="0"/>
          <w:numId w:val="2"/>
        </w:numPr>
      </w:pPr>
      <w:r>
        <w:t xml:space="preserve">Do not place annual giving or gift options on the shirts page. Choice expansion belongs after commitment, not before.</w:t>
      </w:r>
    </w:p>
    <w:p>
      <w:pPr>
        <w:pStyle w:val="ListParagraph"/>
        <w:numPr>
          <w:ilvl w:val="0"/>
          <w:numId w:val="2"/>
        </w:numPr>
      </w:pPr>
      <w:r>
        <w:t xml:space="preserve">Do not guilt-trip gift recipients into continuing. The mechanic turns toxic and produces a returned gift at the next family dinner.</w:t>
      </w:r>
    </w:p>
    <w:p>
      <w:pPr>
        <w:pStyle w:val="ListParagraph"/>
        <w:numPr>
          <w:ilvl w:val="0"/>
          <w:numId w:val="2"/>
        </w:numPr>
      </w:pPr>
      <w:r>
        <w:t xml:space="preserve">Do not strip the number from lapsed sponsors. Relationships should outlast billing.</w:t>
      </w:r>
    </w:p>
    <w:p>
      <w:pPr>
        <w:pStyle w:val="ListParagraph"/>
        <w:numPr>
          <w:ilvl w:val="0"/>
          <w:numId w:val="2"/>
        </w:numPr>
      </w:pPr>
      <w:r>
        <w:t xml:space="preserve">Do not optimize checkout before optimizing the post-purchase /[number] page. That is where the highest-trust, highest-conversion moment lives.</w:t>
      </w:r>
    </w:p>
    <w:p>
      <w:pPr>
        <w:pStyle w:val="ListParagraph"/>
        <w:numPr>
          <w:ilvl w:val="0"/>
          <w:numId w:val="2"/>
        </w:numPr>
      </w:pPr>
      <w:r>
        <w:t xml:space="preserve">Do not collapse gifter and recipient into one donor record. Two distinct relationships, two distinct giving histories, separate receipts.</w:t>
      </w:r>
    </w:p>
    <w:p>
      <w:pPr>
        <w:pStyle w:val="ListParagraph"/>
        <w:numPr>
          <w:ilvl w:val="0"/>
          <w:numId w:val="2"/>
        </w:numPr>
      </w:pPr>
      <w:r>
        <w:t xml:space="preserve">Do not use restrictive verbs (“funds,” “covers,” “pays for [child]’s X”) in customer-facing copy. Use “supports,” “helps,” “goes toward.” This protects the pool-funding model legally and is also more honest.</w:t>
      </w:r>
    </w:p>
    <w:p>
      <w:pPr>
        <w:pStyle w:val="ListParagraph"/>
        <w:numPr>
          <w:ilvl w:val="0"/>
          <w:numId w:val="2"/>
        </w:numPr>
      </w:pPr>
      <w:r>
        <w:t xml:space="preserve">Do not promise one-tap recurring on /[number] before the Stripe customer-object continuity is in place. The UI promise breaks if the payment substrate doesn’t carry the saved method forward.</w:t>
      </w:r>
    </w:p>
    <w:p>
      <w:pPr>
        <w:pStyle w:val="ListParagraph"/>
        <w:numPr>
          <w:ilvl w:val="0"/>
          <w:numId w:val="2"/>
        </w:numPr>
      </w:pPr>
      <w:r>
        <w:t xml:space="preserve">Do not pitch annual sponsorship as a $50 discount. The math is honest at $300; “commit to the year” is the right framing.</w:t>
      </w:r>
    </w:p>
    <w:p>
      <w:pPr>
        <w:pStyle w:val="ListParagraph"/>
        <w:numPr>
          <w:ilvl w:val="0"/>
          <w:numId w:val="2"/>
        </w:numPr>
      </w:pPr>
      <w:r>
        <w:t xml:space="preserve">Do not let project_state.md go stale. When operational plans (Founder’s Series, etc.) live only in conversation, the next collaborator — human or AI — works from incomplete context and produces partial recommendations. Plans go in the doc.</w:t>
      </w:r>
    </w:p>
    <w:p>
      <w:pPr>
        <w:pStyle w:val="Heading1"/>
      </w:pPr>
      <w:r>
        <w:t xml:space="preserve">10. Scope — What This Memo Doesn’t Cover</w:t>
      </w:r>
    </w:p>
    <w:p>
      <w:r>
        <w:t xml:space="preserve">This is a conversion memo. Three adjacent workstreams interface with it but are out of scope here. Calling them out explicitly so the gaps aren’t mistaken for blind spots.</w:t>
      </w:r>
    </w:p>
    <w:p>
      <w:r>
        <w:rPr>
          <w:b/>
          <w:bCs/>
        </w:rPr>
        <w:t xml:space="preserve">Top-of-funnel acquisition. </w:t>
      </w:r>
      <w:r>
        <w:t xml:space="preserve">Currently handled in a separate workstream: Facebook/Instagram paid, Battle Creek Enquirer / Hillsdale Collegian / MLive press, Catholic-creator outreach. The next strategy document should integrate where the surfaces meet — specifically, whether a Catholic-creator audience needs a different /[number] reveal experience, and whether the press push justifies a /press landing page with reporter-facing assets.</w:t>
      </w:r>
    </w:p>
    <w:p>
      <w:r>
        <w:rPr>
          <w:b/>
          <w:bCs/>
        </w:rPr>
        <w:t xml:space="preserve">Major-donor relationship cultivation. </w:t>
      </w:r>
      <w:r>
        <w:t xml:space="preserve">Founder’s Series is the entry-point product (Section 4B); the cultivation motion around it — letter sequences, named-gift opportunities, the cohort trip program — is a separate program. The web funnel only has to surface the product cleanly.</w:t>
      </w:r>
    </w:p>
    <w:p>
      <w:r>
        <w:rPr>
          <w:b/>
          <w:bCs/>
        </w:rPr>
        <w:t xml:space="preserve">Operational sponsorship of children. </w:t>
      </w:r>
      <w:r>
        <w:t xml:space="preserve">The campus-side mechanics — child intake, photo cadence, teacher updates, scholarship retention — are upstream of this memo. Their quality determines whether /[number] has anything worth converting against. The /[number] redesign in Section 2 is bottlenecked by the structured intake form that the YDO team is currently completing (see project_state.md, in-flight).</w:t>
      </w:r>
    </w:p>
    <w:p>
      <w:pPr>
        <w:pBdr>
          <w:bottom w:val="single" w:color="999999" w:sz="6" w:space="1"/>
        </w:pBdr>
      </w:pPr>
      <w:r>
        <w:t xml:space="preserve"/>
      </w:r>
    </w:p>
    <w:p>
      <w:pPr>
        <w:pStyle w:val="Heading1"/>
      </w:pPr>
      <w:r>
        <w:t xml:space="preserve">Appendix: Changes from v1</w:t>
      </w:r>
    </w:p>
    <w:p>
      <w:r>
        <w:t xml:space="preserve">For traceability against the v1 memo, here’s what changed and why.</w:t>
      </w:r>
    </w:p>
    <w:p>
      <w:pPr>
        <w:pStyle w:val="ListParagraph"/>
        <w:numPr>
          <w:ilvl w:val="0"/>
          <w:numId w:val="2"/>
        </w:numPr>
      </w:pPr>
      <w:r>
        <w:t xml:space="preserve">Added Section 0 (Funding Model). The pool-funding mechanic with narrative matching was undocumented in v1 and in /docs/claude/. Without it, downstream sections drifted into restricted-gift language that doesn’t reflect operational reality.</w:t>
      </w:r>
    </w:p>
    <w:p>
      <w:pPr>
        <w:pStyle w:val="ListParagraph"/>
        <w:numPr>
          <w:ilvl w:val="0"/>
          <w:numId w:val="2"/>
        </w:numPr>
      </w:pPr>
      <w:r>
        <w:t xml:space="preserve">Tightened Section 1 diagnosis. v1 described the current checkout as “ambiguous toggle + ambiguous button.” The actual current state is opt-in active-choice with dynamic subtext — closer to where v1 wanted to land than v1 acknowledged. The two-button recommendation stands; the diagnosis is now accurate.</w:t>
      </w:r>
    </w:p>
    <w:p>
      <w:pPr>
        <w:pStyle w:val="ListParagraph"/>
        <w:numPr>
          <w:ilvl w:val="0"/>
          <w:numId w:val="2"/>
        </w:numPr>
      </w:pPr>
      <w:r>
        <w:t xml:space="preserve">Corrected Section 1 conversion-research framing. v1 claimed active-choice “converts nearly as well as opt-out.” The research actually shows opt-out &gt; active-choice &gt; opt-in. The argument for active-choice over opt-out is asymmetric legal/reputational tail risk for a faith-based 501(c)(3), not conversion parity.</w:t>
      </w:r>
    </w:p>
    <w:p>
      <w:pPr>
        <w:pStyle w:val="ListParagraph"/>
        <w:numPr>
          <w:ilvl w:val="0"/>
          <w:numId w:val="2"/>
        </w:numPr>
      </w:pPr>
      <w:r>
        <w:t xml:space="preserve">Added Section 2 Stripe object-model requirement. v1 promised “one-tap Stripe Link / Apple Pay / Google Pay” without specifying that the shirt Checkout Session has to create a Stripe Customer, save the payment method, and thread customer_id forward. The UI promise is bottlenecked by the payment substrate.</w:t>
      </w:r>
    </w:p>
    <w:p>
      <w:pPr>
        <w:pStyle w:val="ListParagraph"/>
        <w:numPr>
          <w:ilvl w:val="0"/>
          <w:numId w:val="2"/>
        </w:numPr>
      </w:pPr>
      <w:r>
        <w:t xml:space="preserve">Corrected Section 3 unit economics. v1 positioned annual at $250 with “10 months at $25” framing, which implied a $50 discount that wasn’t funded from anywhere. v2 moves annual to $300 (12 × $25) with “commit to the year” framing. Honest math, stronger emotional anchor.</w:t>
      </w:r>
    </w:p>
    <w:p>
      <w:pPr>
        <w:pStyle w:val="ListParagraph"/>
        <w:numPr>
          <w:ilvl w:val="0"/>
          <w:numId w:val="2"/>
        </w:numPr>
      </w:pPr>
      <w:r>
        <w:t xml:space="preserve">Removed Section 4B supply-constraint critique. Under the pool model (Section 0), there is no fixed roster of un-sponsored kids being depleted. “Sponsor a second child” is narrative-match expansion.</w:t>
      </w:r>
    </w:p>
    <w:p>
      <w:pPr>
        <w:pStyle w:val="ListParagraph"/>
        <w:numPr>
          <w:ilvl w:val="0"/>
          <w:numId w:val="2"/>
        </w:numPr>
      </w:pPr>
      <w:r>
        <w:t xml:space="preserve">Section 5 language fix. “Funds” → “supports” throughout the SKU-to-narrative mapping. “Funds” implies contractual restriction under 501(c)(3) accounting; “supports” is the honest verb under the pool model.</w:t>
      </w:r>
    </w:p>
    <w:p>
      <w:pPr>
        <w:pStyle w:val="ListParagraph"/>
        <w:numPr>
          <w:ilvl w:val="0"/>
          <w:numId w:val="2"/>
        </w:numPr>
      </w:pPr>
      <w:r>
        <w:t xml:space="preserve">Added Section 6 gift-to-gifter conversion loop. v1 only routed the gifter to “free CC on recipient’s newsletter.” Sarah, who gifted in November, is the warmest possible self-sponsorship lead in December.</w:t>
      </w:r>
    </w:p>
    <w:p>
      <w:pPr>
        <w:pStyle w:val="ListParagraph"/>
        <w:numPr>
          <w:ilvl w:val="0"/>
          <w:numId w:val="2"/>
        </w:numPr>
      </w:pPr>
      <w:r>
        <w:t xml:space="preserve">New Section 7 (Lapsed-Sponsor Reactivation). v1 only mentioned lapsed sponsors as people who lose Shop Your Number access. Lapsed sponsors are warmer than cold leads — the relationship infrastructure is already built — and they need their own motion.</w:t>
      </w:r>
    </w:p>
    <w:p>
      <w:pPr>
        <w:pStyle w:val="ListParagraph"/>
        <w:numPr>
          <w:ilvl w:val="0"/>
          <w:numId w:val="2"/>
        </w:numPr>
      </w:pPr>
      <w:r>
        <w:t xml:space="preserve">Section 8 quid-pro-quo and IRS threshold tiering. v1 didn’t address that every shirt sale is a quid-pro-quo transaction with FMV implications, not just gift purchases. v2 builds receipt logic against three IRS thresholds: under $75, $75–$250, $250+.</w:t>
      </w:r>
    </w:p>
    <w:p>
      <w:pPr>
        <w:pStyle w:val="ListParagraph"/>
        <w:numPr>
          <w:ilvl w:val="0"/>
          <w:numId w:val="2"/>
        </w:numPr>
      </w:pPr>
      <w:r>
        <w:t xml:space="preserve">New Section 10 (Scope). v1 was silent on top-of-funnel acquisition. v2 explicitly names the adjacent workstreams (paid social, regional press, Catholic-creator outreach, major-donor cultivation, campus operational sponsorship) so the gaps aren’t mistaken for blind spots.</w:t>
      </w:r>
    </w:p>
    <w:p>
      <w:pPr>
        <w:pStyle w:val="ListParagraph"/>
        <w:numPr>
          <w:ilvl w:val="0"/>
          <w:numId w:val="2"/>
        </w:numPr>
      </w:pPr>
      <w:r>
        <w:t xml:space="preserve">Expanded Discipline Notes. Added 5 new rules (verbs, Stripe object-model, annual-framing, state-doc hygiene, restricted-gift language).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2026-05-13T00:35:44.583Z</dcterms:created>
  <dcterms:modified xsi:type="dcterms:W3CDTF">2026-05-13T00:35:44.583Z</dcterms:modified>
</cp:coreProperties>
</file>

<file path=docProps/custom.xml><?xml version="1.0" encoding="utf-8"?>
<Properties xmlns="http://schemas.openxmlformats.org/officeDocument/2006/custom-properties" xmlns:vt="http://schemas.openxmlformats.org/officeDocument/2006/docPropsVTypes"/>
</file>