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1CCB4">
      <w:pPr>
        <w:spacing w:after="240" w:line="240" w:lineRule="auto"/>
        <w:jc w:val="center"/>
        <w:rPr>
          <w:rFonts w:hint="default" w:ascii="Arial" w:hAnsi="Arial" w:eastAsia="Times New Roman" w:cs="Arial"/>
          <w:b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b/>
          <w:sz w:val="24"/>
          <w:szCs w:val="24"/>
          <w:lang w:eastAsia="pt-BR"/>
        </w:rPr>
        <w:t>Usabilidade e Acessibilidade Web: O Papel Fundamental do Front-End no Desenvolvimento de Interfaces Inclusivas e Eficientes</w:t>
      </w:r>
    </w:p>
    <w:p w14:paraId="3536C199">
      <w:pPr>
        <w:spacing w:after="240" w:line="240" w:lineRule="auto"/>
        <w:jc w:val="center"/>
        <w:rPr>
          <w:rFonts w:hint="default" w:ascii="Arial" w:hAnsi="Arial" w:eastAsia="Times New Roman" w:cs="Arial"/>
          <w:b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b/>
          <w:sz w:val="24"/>
          <w:szCs w:val="24"/>
          <w:lang w:eastAsia="pt-BR"/>
        </w:rPr>
        <w:t>Arthur Bertoli Silva; Herton Silveira e Silva; [Debora Cabral Nazario – UDESC]</w:t>
      </w:r>
    </w:p>
    <w:p w14:paraId="7B1809C8">
      <w:pPr>
        <w:spacing w:after="0" w:line="240" w:lineRule="auto"/>
        <w:jc w:val="both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eastAsia="pt-BR"/>
        </w:rPr>
        <w:t>RESUMO</w:t>
      </w:r>
    </w:p>
    <w:p w14:paraId="643C3444">
      <w:pPr>
        <w:spacing w:after="0" w:line="240" w:lineRule="auto"/>
        <w:jc w:val="both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eastAsia="pt-BR"/>
        </w:rPr>
      </w:pPr>
    </w:p>
    <w:p w14:paraId="52BE7879">
      <w:pPr>
        <w:spacing w:after="0" w:line="240" w:lineRule="auto"/>
        <w:ind w:firstLine="708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Este trabalho analisa a convergência entre Acessibilidade e Usabilidade web, destacando o papel do Front-End. A usabilidade foca na eficiência e satisfação do usuário enquanto a Acessibilidade visa a inclusão de todos na web. 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eastAsia="Times New Roman" w:cs="Arial"/>
          <w:b/>
          <w:bCs/>
          <w:sz w:val="24"/>
          <w:szCs w:val="24"/>
          <w:lang w:eastAsia="pt-BR"/>
        </w:rPr>
        <w:t>Palavras-chave</w:t>
      </w:r>
      <w:r>
        <w:rPr>
          <w:rFonts w:hint="default" w:ascii="Arial" w:hAnsi="Arial" w:eastAsia="Times New Roman" w:cs="Arial"/>
          <w:bCs/>
          <w:sz w:val="24"/>
          <w:szCs w:val="24"/>
          <w:lang w:eastAsia="pt-BR"/>
        </w:rPr>
        <w:t xml:space="preserve">: </w:t>
      </w:r>
      <w:r>
        <w:rPr>
          <w:rFonts w:hint="default" w:ascii="Arial" w:hAnsi="Arial" w:cs="Arial"/>
          <w:sz w:val="24"/>
          <w:szCs w:val="24"/>
        </w:rPr>
        <w:t>Acessibilidade Web; Usabilidade; Front-End; WCAG; Design Inclusivo;</w:t>
      </w:r>
    </w:p>
    <w:p w14:paraId="7020A0FB">
      <w:pPr>
        <w:pStyle w:val="12"/>
        <w:jc w:val="both"/>
        <w:rPr>
          <w:rFonts w:hint="default" w:ascii="Arial" w:hAnsi="Arial" w:cs="Arial"/>
          <w:sz w:val="24"/>
          <w:szCs w:val="24"/>
        </w:rPr>
      </w:pPr>
    </w:p>
    <w:p w14:paraId="2ECCB405">
      <w:pPr>
        <w:pStyle w:val="12"/>
        <w:jc w:val="both"/>
        <w:rPr>
          <w:rFonts w:hint="default" w:ascii="Arial" w:hAnsi="Arial" w:cs="Arial"/>
          <w:sz w:val="24"/>
          <w:szCs w:val="24"/>
        </w:rPr>
      </w:pPr>
    </w:p>
    <w:p w14:paraId="7E2300F3">
      <w:pPr>
        <w:spacing w:after="240" w:line="240" w:lineRule="auto"/>
        <w:jc w:val="both"/>
        <w:rPr>
          <w:rFonts w:hint="default" w:ascii="Arial" w:hAnsi="Arial" w:eastAsia="Times New Roman" w:cs="Arial"/>
          <w:b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b/>
          <w:sz w:val="24"/>
          <w:szCs w:val="24"/>
          <w:lang w:eastAsia="pt-BR"/>
        </w:rPr>
        <w:t>INTRODUÇÃO</w:t>
      </w:r>
    </w:p>
    <w:p w14:paraId="7825D4DE">
      <w:pPr>
        <w:spacing w:after="0" w:line="240" w:lineRule="auto"/>
        <w:ind w:firstLine="709"/>
        <w:jc w:val="both"/>
        <w:rPr>
          <w:rFonts w:hint="default" w:ascii="Arial" w:hAnsi="Arial" w:eastAsia="Times New Roman" w:cs="Arial"/>
          <w:sz w:val="24"/>
          <w:szCs w:val="24"/>
          <w:lang w:eastAsia="pt-BR"/>
        </w:rPr>
      </w:pPr>
      <w:r>
        <w:rPr>
          <w:rFonts w:hint="default" w:ascii="Arial" w:hAnsi="Arial" w:cs="Arial"/>
          <w:color w:val="000000"/>
          <w:sz w:val="24"/>
          <w:szCs w:val="24"/>
        </w:rPr>
        <w:t>A World Wide Web foi concebida por Tim</w:t>
      </w:r>
      <w:r>
        <w:rPr>
          <w:rFonts w:hint="default" w:ascii="Arial" w:hAnsi="Arial" w:cs="Arial"/>
          <w:color w:val="000000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color w:val="000000"/>
          <w:sz w:val="24"/>
          <w:szCs w:val="24"/>
        </w:rPr>
        <w:t>Berners-Lee com um propósito claro: ser um espaço de informação aberto, acessível e utilizável por qualquer pessoa, independentemente de suas limitações físicas, cognitivas ou tecnológicas.​</w:t>
      </w:r>
      <w:r>
        <w:rPr>
          <w:rFonts w:hint="default" w:ascii="Arial" w:hAnsi="Arial" w:cs="Arial"/>
          <w:color w:val="4A4A4A"/>
          <w:position w:val="-1"/>
          <w:sz w:val="24"/>
          <w:szCs w:val="24"/>
          <w:shd w:val="clear" w:color="auto" w:fill="F5F5F5"/>
        </w:rPr>
        <w:t xml:space="preserve"> </w:t>
      </w:r>
      <w:r>
        <w:rPr>
          <w:rFonts w:hint="default" w:ascii="Arial" w:hAnsi="Arial" w:eastAsia="Times New Roman" w:cs="Arial"/>
          <w:sz w:val="24"/>
          <w:szCs w:val="24"/>
          <w:lang w:eastAsia="pt-BR"/>
        </w:rPr>
        <w:t>Apesar desse ideal, a realidade do desenvolvimento web moderno revela uma lacuna significativa: muitos sistemas digitais são construídos sem considerar a diversidade</w:t>
      </w:r>
      <w:r>
        <w:rPr>
          <w:rFonts w:hint="default" w:ascii="Arial" w:hAnsi="Arial" w:eastAsia="Times New Roman" w:cs="Arial"/>
          <w:sz w:val="24"/>
          <w:szCs w:val="24"/>
          <w:lang w:val="en-US" w:eastAsia="pt-BR"/>
        </w:rPr>
        <w:t xml:space="preserve"> </w:t>
      </w:r>
      <w:r>
        <w:rPr>
          <w:rFonts w:hint="default" w:ascii="Arial" w:hAnsi="Arial" w:eastAsia="Times New Roman" w:cs="Arial"/>
          <w:sz w:val="24"/>
          <w:szCs w:val="24"/>
          <w:lang w:eastAsia="pt-BR"/>
        </w:rPr>
        <w:t>dos seus usuários. Interfaces confusas, mal estruturadas ou inacessíveis excluem parcelas inteiras da população.</w:t>
      </w:r>
    </w:p>
    <w:p w14:paraId="61D366CF">
      <w:pPr>
        <w:spacing w:after="0" w:line="240" w:lineRule="auto"/>
        <w:ind w:firstLine="709"/>
        <w:jc w:val="both"/>
        <w:rPr>
          <w:rFonts w:hint="default" w:ascii="Arial" w:hAnsi="Arial" w:eastAsia="Times New Roman" w:cs="Arial"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sz w:val="24"/>
          <w:szCs w:val="24"/>
          <w:lang w:eastAsia="pt-BR"/>
        </w:rPr>
        <w:t>Nesse contexto, surgem duas lacunas essenciais para o desenvolvimento web: usabilidade e acessibilidade. Este resumo expandido tem como objetivo explorar os dois conceitos, suas interseções e distinções e demonstrar que convergem para um design inclusivo.</w:t>
      </w:r>
    </w:p>
    <w:p w14:paraId="603E8DB6">
      <w:pPr>
        <w:spacing w:after="0" w:line="240" w:lineRule="auto"/>
        <w:ind w:firstLine="709"/>
        <w:jc w:val="both"/>
        <w:rPr>
          <w:rFonts w:hint="default" w:ascii="Arial" w:hAnsi="Arial" w:cs="Arial"/>
          <w:sz w:val="24"/>
          <w:szCs w:val="24"/>
        </w:rPr>
      </w:pPr>
    </w:p>
    <w:p w14:paraId="5E6449D3">
      <w:pPr>
        <w:spacing w:after="240" w:line="240" w:lineRule="auto"/>
        <w:jc w:val="both"/>
        <w:rPr>
          <w:rFonts w:hint="default" w:ascii="Arial" w:hAnsi="Arial" w:eastAsia="Times New Roman" w:cs="Arial"/>
          <w:b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b/>
          <w:sz w:val="24"/>
          <w:szCs w:val="24"/>
          <w:lang w:eastAsia="pt-BR"/>
        </w:rPr>
        <w:t>METODOLOGIA</w:t>
      </w:r>
    </w:p>
    <w:p w14:paraId="3294129E">
      <w:pPr>
        <w:spacing w:after="0" w:line="240" w:lineRule="auto"/>
        <w:ind w:firstLine="709"/>
        <w:jc w:val="both"/>
        <w:rPr>
          <w:rFonts w:hint="default" w:ascii="Arial" w:hAnsi="Arial" w:eastAsia="Times New Roman" w:cs="Arial"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sz w:val="24"/>
          <w:szCs w:val="24"/>
          <w:lang w:eastAsia="pt-BR"/>
        </w:rPr>
        <w:t>O estudo se caracteriza como uma pesquisa exploratória, estruturada a partir da análise de literatura especializada e guias normativos da área de desenvolvimento web e Interação Humano-Computador (IHC). A análise foi fundamentada nos cinco componentes de qualidades estabelecidos por Jakob Nelsen e nas diretrizes do Web Content Accessibility Guidelines (WCAG) mantido pelo W3C. Foram utilizados dados quantitativos fornecidos pelo Baymard Institute referentes a métricas de abandono de sistemas e pelo WebAim sobre os erros de acessibilidade mais frequentes no desenvolvimento front-end.</w:t>
      </w:r>
      <w:r>
        <w:rPr>
          <w:rFonts w:hint="default" w:ascii="Arial" w:hAnsi="Arial" w:eastAsia="Times New Roman" w:cs="Arial"/>
          <w:sz w:val="24"/>
          <w:szCs w:val="24"/>
          <w:lang w:eastAsia="pt-BR"/>
        </w:rPr>
        <w:br w:type="textWrapping"/>
      </w:r>
    </w:p>
    <w:p w14:paraId="2D58B11B">
      <w:pPr>
        <w:spacing w:after="240" w:line="240" w:lineRule="auto"/>
        <w:jc w:val="both"/>
        <w:rPr>
          <w:rFonts w:hint="default" w:ascii="Arial" w:hAnsi="Arial" w:eastAsia="Times New Roman" w:cs="Arial"/>
          <w:b/>
          <w:sz w:val="24"/>
          <w:szCs w:val="24"/>
          <w:lang w:eastAsia="pt-BR"/>
        </w:rPr>
      </w:pPr>
    </w:p>
    <w:p w14:paraId="759B0A7E">
      <w:pPr>
        <w:spacing w:after="240" w:line="240" w:lineRule="auto"/>
        <w:jc w:val="both"/>
        <w:rPr>
          <w:rFonts w:hint="default" w:ascii="Arial" w:hAnsi="Arial" w:eastAsia="Times New Roman" w:cs="Arial"/>
          <w:b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b/>
          <w:sz w:val="24"/>
          <w:szCs w:val="24"/>
          <w:lang w:eastAsia="pt-BR"/>
        </w:rPr>
        <w:t>FUNDAMENTAÇÃO TEÓRICA OU DISCUSSÕES</w:t>
      </w:r>
    </w:p>
    <w:p w14:paraId="76A315C0">
      <w:pPr>
        <w:spacing w:after="240" w:line="240" w:lineRule="auto"/>
        <w:jc w:val="both"/>
        <w:rPr>
          <w:rFonts w:hint="default" w:ascii="Arial" w:hAnsi="Arial" w:eastAsia="Times New Roman" w:cs="Arial"/>
          <w:b/>
          <w:sz w:val="24"/>
          <w:szCs w:val="24"/>
          <w:lang w:eastAsia="pt-BR"/>
        </w:rPr>
      </w:pPr>
    </w:p>
    <w:p w14:paraId="636F7B91">
      <w:pPr>
        <w:spacing w:after="240" w:line="240" w:lineRule="auto"/>
        <w:ind w:firstLine="708" w:firstLineChars="0"/>
        <w:jc w:val="both"/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</w:pP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 xml:space="preserve">Temos como conceito central da Interação Humano-Computador a usabilidade, que avalia a facilidade no uso de uma interface. Como Jakob Nielsen explica, ela é medida por cinco componentes: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>facilidade de aprendizagem, eficiência após o aprendizado inicial, memorabilidade, prevenção e recuperação de erros, e a satisfação subjetiva durante o uso.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 xml:space="preserve"> Na ausência da usabilidade, é possível notar perdas concretas,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>dados do Baymard Institute (2022) demonstram que 17% dos usuários abandonam processos de checkout devido a interfaces longas ou complicadas.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 xml:space="preserve"> Ademais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 xml:space="preserve">, o investimento nessa área é altamente justificado, com um retorno de investimento (ROI) estimado de 100 dólares para cada 1 dólar investido em UX Design.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 xml:space="preserve">Já a acessibilidade na web, representa algo muito além do conforto, mas sim do direito fundamental ao acesso. Ela garante que pessoas com as mais diversas condições possam utilizar estes sistemas digitais.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 xml:space="preserve">O principal guia internacional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 xml:space="preserve">para este cenário de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>desenvolvimento acessível é o WCAG, estruturado pelo acrônimo POUR: Perceptível, Operável, Compreensível e Robusto.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 xml:space="preserve">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ab/>
      </w:r>
    </w:p>
    <w:p w14:paraId="7110E49B">
      <w:pPr>
        <w:spacing w:after="240" w:line="240" w:lineRule="auto"/>
        <w:ind w:firstLine="708" w:firstLineChars="0"/>
        <w:jc w:val="both"/>
        <w:rPr>
          <w:rFonts w:hint="default" w:ascii="Arial" w:hAnsi="Arial" w:eastAsia="Times New Roman" w:cs="Arial"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 xml:space="preserve">Apesar das normas existentes, o diagnóstico atual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 xml:space="preserve"> para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>o front-end web é crítico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>: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 xml:space="preserve"> o relatório do WebAIM aponta que 83,9% das páginas apresentam falhas de baixo contraste de texto, seguidas pela ausência de texto alternativo em imagens (53,1%) e falta de rótulos adequados (51%).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 xml:space="preserve"> Ainda que possuam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>escopos distintos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 xml:space="preserve">, a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>usabilidade focada no público geral e eficiência, e a acessibilidade em usuários com necessidades específica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>s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 xml:space="preserve">,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 xml:space="preserve">são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>conceitos convergentes. A interseção entre eles é o Inclusive Design. O desenvolvimento front-end atua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>m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 xml:space="preserve"> como o elo entre o planejamento inclusivo e a experiência real. O código escrito pelo desenvolvedor traduz essas regras de acessibilidade e usabilidade para o 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val="en-US" w:eastAsia="pt-BR"/>
        </w:rPr>
        <w:t>contexto do sistema</w:t>
      </w:r>
      <w:r>
        <w:rPr>
          <w:rFonts w:hint="default" w:ascii="Arial" w:hAnsi="Arial" w:eastAsia="Times New Roman" w:cs="Arial"/>
          <w:b w:val="0"/>
          <w:bCs/>
          <w:sz w:val="24"/>
          <w:szCs w:val="24"/>
          <w:lang w:eastAsia="pt-BR"/>
        </w:rPr>
        <w:t>, sendo responsável por garantir contraste mínimo (razão de 4,5:1 segundo a norma WCAG AA), navegação completa e funcional via teclado, tipografia legível e responsividade para variados dispositivos.</w:t>
      </w:r>
    </w:p>
    <w:p w14:paraId="49D6267C">
      <w:pPr>
        <w:spacing w:after="240" w:line="240" w:lineRule="auto"/>
        <w:jc w:val="both"/>
        <w:rPr>
          <w:rFonts w:hint="default" w:ascii="Arial" w:hAnsi="Arial" w:eastAsia="Times New Roman" w:cs="Arial"/>
          <w:b/>
          <w:sz w:val="24"/>
          <w:szCs w:val="24"/>
          <w:lang w:eastAsia="pt-BR"/>
        </w:rPr>
      </w:pPr>
    </w:p>
    <w:p w14:paraId="301F078B">
      <w:pPr>
        <w:spacing w:after="240" w:line="240" w:lineRule="auto"/>
        <w:jc w:val="both"/>
        <w:rPr>
          <w:rFonts w:hint="default" w:ascii="Arial" w:hAnsi="Arial" w:eastAsia="Times New Roman" w:cs="Arial"/>
          <w:b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b/>
          <w:sz w:val="24"/>
          <w:szCs w:val="24"/>
          <w:lang w:eastAsia="pt-BR"/>
        </w:rPr>
        <w:t>CONSIDERAÇÕES FINAIS</w:t>
      </w:r>
    </w:p>
    <w:p w14:paraId="67EBD928">
      <w:pPr>
        <w:spacing w:after="240" w:line="240" w:lineRule="auto"/>
        <w:ind w:firstLine="708" w:firstLineChars="0"/>
        <w:jc w:val="both"/>
        <w:rPr>
          <w:rFonts w:hint="default" w:ascii="Arial" w:hAnsi="Arial" w:eastAsia="Times New Roman" w:cs="Arial"/>
          <w:sz w:val="24"/>
          <w:szCs w:val="24"/>
          <w:lang w:val="en-US" w:eastAsia="pt-BR"/>
        </w:rPr>
      </w:pPr>
      <w:bookmarkStart w:id="0" w:name="_GoBack"/>
      <w:bookmarkEnd w:id="0"/>
      <w:r>
        <w:rPr>
          <w:rFonts w:hint="default" w:ascii="Arial" w:hAnsi="Arial" w:eastAsia="Times New Roman" w:cs="Arial"/>
          <w:sz w:val="24"/>
          <w:szCs w:val="24"/>
          <w:lang w:val="en-US" w:eastAsia="pt-BR"/>
        </w:rPr>
        <w:t>Por fim, concluímos que interfaces inclusivas não são simplesmente uma exceção, mas sim o básico que um sistema deve ter a fim de tornar a sua aderência democrática. Além do mais, u</w:t>
      </w:r>
      <w:r>
        <w:rPr>
          <w:rFonts w:hint="default" w:ascii="Arial" w:hAnsi="Arial" w:eastAsia="Times New Roman" w:cs="Arial"/>
          <w:sz w:val="24"/>
          <w:szCs w:val="24"/>
          <w:lang w:val="en-US" w:eastAsia="pt-BR"/>
        </w:rPr>
        <w:t>m sistema acessível que seja excessivamente complexo para uso por parte do usuário falha em seu propósito, assim como um sistema altamente intuitivo, porém restrito a quem não possui deficiências. Portanto, é fundamental a consciência por parte do desenvolvedor front-end, pois este exerce exerce um papel crítico nesse cenário. Cada linha de código tem o poder direto de incluir ou excluir usuários. Garantir a acessibilidade e a usabilidade é o caminho definitivo para que a internet possa cumprir a visão original do seu criador: ser verdadeiramente universal para todos.</w:t>
      </w:r>
    </w:p>
    <w:p w14:paraId="62D4FA3A">
      <w:pPr>
        <w:spacing w:after="240" w:line="240" w:lineRule="auto"/>
        <w:jc w:val="both"/>
        <w:rPr>
          <w:rFonts w:hint="default" w:ascii="Arial" w:hAnsi="Arial" w:eastAsia="Times New Roman" w:cs="Arial"/>
          <w:sz w:val="24"/>
          <w:szCs w:val="24"/>
          <w:lang w:val="en-US" w:eastAsia="pt-BR"/>
        </w:rPr>
      </w:pPr>
    </w:p>
    <w:p w14:paraId="7A19F442">
      <w:pPr>
        <w:spacing w:after="240" w:line="240" w:lineRule="auto"/>
        <w:jc w:val="both"/>
        <w:rPr>
          <w:rFonts w:hint="default" w:ascii="Arial" w:hAnsi="Arial" w:eastAsia="Times New Roman" w:cs="Arial"/>
          <w:b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b/>
          <w:sz w:val="24"/>
          <w:szCs w:val="24"/>
          <w:lang w:eastAsia="pt-BR"/>
        </w:rPr>
        <w:t>REFERÊNCIAS</w:t>
      </w:r>
    </w:p>
    <w:p w14:paraId="56875ECB">
      <w:pPr>
        <w:spacing w:after="240" w:line="24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BAYMARD INSTITUTE. </w:t>
      </w:r>
      <w:r>
        <w:rPr>
          <w:rFonts w:hint="default" w:ascii="Arial" w:hAnsi="Arial" w:cs="Arial"/>
          <w:b/>
          <w:bCs/>
          <w:sz w:val="24"/>
          <w:szCs w:val="24"/>
        </w:rPr>
        <w:t>UX Statistics</w:t>
      </w:r>
      <w:r>
        <w:rPr>
          <w:rFonts w:hint="default" w:ascii="Arial" w:hAnsi="Arial" w:cs="Arial"/>
          <w:sz w:val="24"/>
          <w:szCs w:val="24"/>
        </w:rPr>
        <w:t xml:space="preserve">. [S. l.]: Baymard Institute, [202-?]. Disponível em: 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"https://baymard.com/learn/ux-statistics" \t "_blank"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Style w:val="4"/>
          <w:rFonts w:hint="default" w:ascii="Arial" w:hAnsi="Arial" w:cs="Arial"/>
          <w:sz w:val="24"/>
          <w:szCs w:val="24"/>
        </w:rPr>
        <w:t>https://baymard.com/learn/ux-statistics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t>. Acesso em: 28 abr. 2026.</w:t>
      </w:r>
    </w:p>
    <w:p w14:paraId="2D15C6C8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NIELSEN, Jakob. </w:t>
      </w:r>
      <w:r>
        <w:rPr>
          <w:rFonts w:hint="default" w:ascii="Arial" w:hAnsi="Arial" w:cs="Arial"/>
          <w:b/>
          <w:bCs/>
          <w:sz w:val="24"/>
          <w:szCs w:val="24"/>
        </w:rPr>
        <w:t>Usability 101</w:t>
      </w:r>
      <w:r>
        <w:rPr>
          <w:rFonts w:hint="default" w:ascii="Arial" w:hAnsi="Arial" w:cs="Arial"/>
          <w:sz w:val="24"/>
          <w:szCs w:val="24"/>
        </w:rPr>
        <w:t xml:space="preserve">: Introduction to Usability. [S. l.]: Nielsen Norman Group, 2012. Disponível em: 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"https://www.nngroup.com/articles/usability-101-introduction-to-usability/" \t "_blank"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Style w:val="6"/>
          <w:rFonts w:hint="default" w:ascii="Arial" w:hAnsi="Arial" w:cs="Arial"/>
          <w:sz w:val="24"/>
          <w:szCs w:val="24"/>
        </w:rPr>
        <w:t>https://www.nngroup.com/articles/usability-101-introduction-to-usability/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t>. Acesso em:</w:t>
      </w:r>
      <w:r>
        <w:rPr>
          <w:rFonts w:hint="default" w:ascii="Arial" w:hAnsi="Arial" w:cs="Arial"/>
          <w:sz w:val="24"/>
          <w:szCs w:val="24"/>
          <w:lang w:val="pt-BR"/>
        </w:rPr>
        <w:t xml:space="preserve"> 28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pt-BR"/>
        </w:rPr>
        <w:t xml:space="preserve">de abr. </w:t>
      </w:r>
      <w:r>
        <w:rPr>
          <w:rFonts w:hint="default" w:ascii="Arial" w:hAnsi="Arial" w:cs="Arial"/>
          <w:sz w:val="24"/>
          <w:szCs w:val="24"/>
        </w:rPr>
        <w:t>2026.</w:t>
      </w:r>
    </w:p>
    <w:p w14:paraId="442CE17F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SONIX. </w:t>
      </w:r>
      <w:r>
        <w:rPr>
          <w:rFonts w:hint="default" w:ascii="Arial" w:hAnsi="Arial" w:cs="Arial"/>
          <w:b/>
          <w:bCs/>
          <w:sz w:val="24"/>
          <w:szCs w:val="24"/>
        </w:rPr>
        <w:t>O que é conformidade com WCAG?</w:t>
      </w:r>
      <w:r>
        <w:rPr>
          <w:rFonts w:hint="default" w:ascii="Arial" w:hAnsi="Arial" w:cs="Arial"/>
          <w:sz w:val="24"/>
          <w:szCs w:val="24"/>
        </w:rPr>
        <w:t xml:space="preserve">. [S. l.]: Sonix, [202-?]. Disponível em: 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"https://sonix.ai/resources/pt/wcag-compliance/" \t "_blank"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Style w:val="6"/>
          <w:rFonts w:hint="default" w:ascii="Arial" w:hAnsi="Arial" w:cs="Arial"/>
          <w:sz w:val="24"/>
          <w:szCs w:val="24"/>
        </w:rPr>
        <w:t>https://sonix.ai/resources/pt/wcag-compliance/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t>. Acesso em: 28 abr. 2026.</w:t>
      </w:r>
    </w:p>
    <w:p w14:paraId="2858F1A9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UXTWEAK. </w:t>
      </w:r>
      <w:r>
        <w:rPr>
          <w:rFonts w:hint="default" w:ascii="Arial" w:hAnsi="Arial" w:cs="Arial"/>
          <w:b/>
          <w:bCs/>
          <w:sz w:val="24"/>
          <w:szCs w:val="24"/>
        </w:rPr>
        <w:t>100+ UX Research Statistics</w:t>
      </w:r>
      <w:r>
        <w:rPr>
          <w:rFonts w:hint="default" w:ascii="Arial" w:hAnsi="Arial" w:cs="Arial"/>
          <w:sz w:val="24"/>
          <w:szCs w:val="24"/>
        </w:rPr>
        <w:t xml:space="preserve">. [S. l.]: UXtweak Blog, [202-?]. Disponível em: 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"https://blog.uxtweak.com/ux-statistics/" \t "_blank"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Style w:val="6"/>
          <w:rFonts w:hint="default" w:ascii="Arial" w:hAnsi="Arial" w:cs="Arial"/>
          <w:sz w:val="24"/>
          <w:szCs w:val="24"/>
        </w:rPr>
        <w:t>https://blog.uxtweak.com/ux-statistics/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t>. Acesso em: 28 abr. 2026.</w:t>
      </w:r>
    </w:p>
    <w:p w14:paraId="6C122DEB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W3C. </w:t>
      </w:r>
      <w:r>
        <w:rPr>
          <w:rFonts w:hint="default" w:ascii="Arial" w:hAnsi="Arial" w:cs="Arial"/>
          <w:b/>
          <w:bCs/>
          <w:sz w:val="24"/>
          <w:szCs w:val="24"/>
        </w:rPr>
        <w:t>Web Content Accessibility Guidelines (WCAG) 2.1</w:t>
      </w:r>
      <w:r>
        <w:rPr>
          <w:rFonts w:hint="default" w:ascii="Arial" w:hAnsi="Arial" w:cs="Arial"/>
          <w:sz w:val="24"/>
          <w:szCs w:val="24"/>
        </w:rPr>
        <w:t xml:space="preserve">. [S. l.]: World Wide Web Consortium, 2018. Disponível em: 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"https://www.w3.org/TR/WCAG21/" \t "_blank"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Style w:val="6"/>
          <w:rFonts w:hint="default" w:ascii="Arial" w:hAnsi="Arial" w:cs="Arial"/>
          <w:sz w:val="24"/>
          <w:szCs w:val="24"/>
        </w:rPr>
        <w:t>https://www.w3.org/TR/WCAG21/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t xml:space="preserve">. Acesso em: </w:t>
      </w:r>
      <w:r>
        <w:rPr>
          <w:rFonts w:hint="default" w:ascii="Arial" w:hAnsi="Arial" w:cs="Arial"/>
          <w:sz w:val="24"/>
          <w:szCs w:val="24"/>
        </w:rPr>
        <w:t>28 abr. 2026.</w:t>
      </w:r>
    </w:p>
    <w:p w14:paraId="06C730CC">
      <w:pPr>
        <w:pStyle w:val="7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WEBAIM. </w:t>
      </w:r>
      <w:r>
        <w:rPr>
          <w:rFonts w:hint="default" w:ascii="Arial" w:hAnsi="Arial" w:cs="Arial"/>
          <w:b/>
          <w:bCs/>
          <w:sz w:val="24"/>
          <w:szCs w:val="24"/>
        </w:rPr>
        <w:t>The WebAIM Million</w:t>
      </w:r>
      <w:r>
        <w:rPr>
          <w:rFonts w:hint="default" w:ascii="Arial" w:hAnsi="Arial" w:cs="Arial"/>
          <w:sz w:val="24"/>
          <w:szCs w:val="24"/>
        </w:rPr>
        <w:t xml:space="preserve">: an accessibility analysis of the top 1,000,000 home pages. [S. l.]: WebAIM, 2024. Disponível em: </w:t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"https://webaim.org/projects/million/" \t "_blank"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Style w:val="6"/>
          <w:rFonts w:hint="default" w:ascii="Arial" w:hAnsi="Arial" w:cs="Arial"/>
          <w:sz w:val="24"/>
          <w:szCs w:val="24"/>
        </w:rPr>
        <w:t>https://webaim.org/projects/million/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t>. Acesso em: 28 abr. 2026.</w:t>
      </w:r>
    </w:p>
    <w:p w14:paraId="7B48E063">
      <w:pPr>
        <w:spacing w:after="240" w:line="240" w:lineRule="auto"/>
        <w:jc w:val="left"/>
        <w:rPr>
          <w:rFonts w:hint="default" w:ascii="Arial" w:hAnsi="Arial" w:eastAsia="Times New Roman" w:cs="Arial"/>
          <w:sz w:val="24"/>
          <w:szCs w:val="24"/>
          <w:lang w:eastAsia="pt-BR"/>
        </w:rPr>
      </w:pPr>
      <w:r>
        <w:rPr>
          <w:rFonts w:hint="default" w:ascii="Arial" w:hAnsi="Arial" w:eastAsia="Symbol" w:cs="Arial"/>
          <w:sz w:val="24"/>
          <w:szCs w:val="24"/>
        </w:rPr>
        <w:t>·</w:t>
      </w:r>
      <w:r>
        <w:rPr>
          <w:rFonts w:hint="default" w:ascii="Arial" w:hAnsi="Arial" w:eastAsia="SimSun" w:cs="Arial"/>
          <w:sz w:val="24"/>
          <w:szCs w:val="24"/>
        </w:rPr>
        <w:t xml:space="preserve">  </w:t>
      </w:r>
    </w:p>
    <w:sectPr>
      <w:pgSz w:w="11906" w:h="16838"/>
      <w:pgMar w:top="1701" w:right="1134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772"/>
    <w:rsid w:val="0024691C"/>
    <w:rsid w:val="00535DEE"/>
    <w:rsid w:val="005F4F29"/>
    <w:rsid w:val="00961D25"/>
    <w:rsid w:val="0097055B"/>
    <w:rsid w:val="009B28FE"/>
    <w:rsid w:val="009C29BA"/>
    <w:rsid w:val="009E4518"/>
    <w:rsid w:val="00A67816"/>
    <w:rsid w:val="00A86C3E"/>
    <w:rsid w:val="00AD0DF0"/>
    <w:rsid w:val="00B66F38"/>
    <w:rsid w:val="00F43886"/>
    <w:rsid w:val="00F82772"/>
    <w:rsid w:val="3B33310F"/>
    <w:rsid w:val="72B3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footnote reference"/>
    <w:basedOn w:val="2"/>
    <w:semiHidden/>
    <w:unhideWhenUsed/>
    <w:uiPriority w:val="99"/>
    <w:rPr>
      <w:vertAlign w:val="superscript"/>
    </w:r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8">
    <w:name w:val="header"/>
    <w:basedOn w:val="1"/>
    <w:link w:val="14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9">
    <w:name w:val="footer"/>
    <w:basedOn w:val="1"/>
    <w:link w:val="15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0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note text"/>
    <w:basedOn w:val="1"/>
    <w:link w:val="13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customStyle="1" w:styleId="1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pt-BR" w:eastAsia="en-US" w:bidi="ar-SA"/>
    </w:rPr>
  </w:style>
  <w:style w:type="character" w:customStyle="1" w:styleId="13">
    <w:name w:val="Footnote Text Char"/>
    <w:basedOn w:val="2"/>
    <w:link w:val="11"/>
    <w:semiHidden/>
    <w:uiPriority w:val="99"/>
    <w:rPr>
      <w:sz w:val="20"/>
      <w:szCs w:val="20"/>
    </w:rPr>
  </w:style>
  <w:style w:type="character" w:customStyle="1" w:styleId="14">
    <w:name w:val="Header Char"/>
    <w:basedOn w:val="2"/>
    <w:link w:val="8"/>
    <w:uiPriority w:val="99"/>
  </w:style>
  <w:style w:type="character" w:customStyle="1" w:styleId="15">
    <w:name w:val="Footer Char"/>
    <w:basedOn w:val="2"/>
    <w:link w:val="9"/>
    <w:uiPriority w:val="99"/>
  </w:style>
  <w:style w:type="character" w:customStyle="1" w:styleId="16">
    <w:name w:val="Balloon Text Char"/>
    <w:basedOn w:val="2"/>
    <w:link w:val="10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3</Pages>
  <Words>332</Words>
  <Characters>2079</Characters>
  <Lines>17</Lines>
  <Paragraphs>4</Paragraphs>
  <TotalTime>40</TotalTime>
  <ScaleCrop>false</ScaleCrop>
  <LinksUpToDate>false</LinksUpToDate>
  <CharactersWithSpaces>2397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2016-09-14T19:38:00Z</dcterms:created>
  <dc:creator>Publica</dc:creator>
  <cp:lastModifiedBy>Herto</cp:lastModifiedBy>
  <dcterms:modified xsi:type="dcterms:W3CDTF">2026-05-05T23:32:59Z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eyJoZGlkIjoiMGZiMDcyYjVjNWMyMDJlYjdkZWYzY2JmOTJmYjc0ZmIiLCJ1c2VySWQiOiIxMjU0ODcxOTQ3MDMxIn0=</vt:lpwstr>
  </property>
  <property fmtid="{D5CDD505-2E9C-101B-9397-08002B2CF9AE}" pid="3" name="KSOProductBuildVer">
    <vt:lpwstr>1046-12.1.0.25862</vt:lpwstr>
  </property>
  <property fmtid="{D5CDD505-2E9C-101B-9397-08002B2CF9AE}" pid="4" name="ICV">
    <vt:lpwstr>3DF80E386A2244139D9B21B576D182D1_12</vt:lpwstr>
  </property>
</Properties>
</file>