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2812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Jogo:</w:t>
      </w:r>
      <w:r>
        <w:rPr>
          <w:rFonts w:hint="default" w:ascii="Arial" w:hAnsi="Arial" w:cs="Arial"/>
          <w:sz w:val="24"/>
          <w:szCs w:val="24"/>
        </w:rPr>
        <w:t xml:space="preserve"> EndeavorRx. </w:t>
      </w:r>
    </w:p>
    <w:p w14:paraId="446DF70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Empresa:</w:t>
      </w:r>
      <w:r>
        <w:rPr>
          <w:rFonts w:hint="default" w:ascii="Arial" w:hAnsi="Arial" w:cs="Arial"/>
          <w:sz w:val="24"/>
          <w:szCs w:val="24"/>
        </w:rPr>
        <w:t xml:space="preserve"> Akili Interactive (ou Akili, Inc.). </w:t>
      </w:r>
      <w:bookmarkStart w:id="0" w:name="_GoBack"/>
      <w:bookmarkEnd w:id="0"/>
    </w:p>
    <w:p w14:paraId="151DDA6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Aplicação (Tratamento):</w:t>
      </w:r>
      <w:r>
        <w:rPr>
          <w:rFonts w:hint="default" w:ascii="Arial" w:hAnsi="Arial" w:cs="Arial"/>
          <w:sz w:val="24"/>
          <w:szCs w:val="24"/>
        </w:rPr>
        <w:t xml:space="preserve"> O jogo foi aprovado pelo FDA (Food and Drug Administration) nos Estados Unidos como um tratamento prescrito para crianças e adolescentes (de 8 a 17 anos) com Transtorno do Déficit de Atenção com Hiperatividade (TDAH). O software utiliza estímulos sensoriais e desafios motores específicos para atingir e ativar áreas do cérebro que desempenham um papel fundamental na função de atenção, ajudando a melhorar o foco e a capacidade dos pacientes de lidar com múltiplas tarefas. </w:t>
      </w:r>
    </w:p>
    <w:p w14:paraId="1B6DBBC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AMERICAN PSYCHIATRIC ASSOCIATION. FDA Approves First Game-Based Therapy for ADHD. </w:t>
      </w:r>
      <w:r>
        <w:rPr>
          <w:rFonts w:hint="default" w:ascii="Arial" w:hAnsi="Arial" w:eastAsia="SimSun" w:cs="Arial"/>
          <w:b/>
          <w:bCs/>
          <w:sz w:val="24"/>
          <w:szCs w:val="24"/>
        </w:rPr>
        <w:t>Psychiatry.org</w:t>
      </w:r>
      <w:r>
        <w:rPr>
          <w:rFonts w:hint="default" w:ascii="Arial" w:hAnsi="Arial" w:eastAsia="SimSun" w:cs="Arial"/>
          <w:sz w:val="24"/>
          <w:szCs w:val="24"/>
        </w:rPr>
        <w:t xml:space="preserve">, Washington, DC, 24 jun. 2020. Disponível em: </w:t>
      </w: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"https://www.psychiatry.org/news-room/apa-blogs/fda-approves-first-game-based-therapy-for-adhd" \t "_blank"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4"/>
          <w:rFonts w:hint="default" w:ascii="Arial" w:hAnsi="Arial" w:eastAsia="SimSun" w:cs="Arial"/>
          <w:sz w:val="24"/>
          <w:szCs w:val="24"/>
        </w:rPr>
        <w:t>https://www.psychiatry.org/news-room/apa-blogs/fda-approves-first-game-based-therapy-for-adhd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  <w:r>
        <w:rPr>
          <w:rFonts w:hint="default" w:ascii="Arial" w:hAnsi="Arial" w:eastAsia="SimSun" w:cs="Arial"/>
          <w:sz w:val="24"/>
          <w:szCs w:val="24"/>
        </w:rPr>
        <w:t>. Acesso em: 2 maio 2026.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285D7A"/>
    <w:rsid w:val="050848CE"/>
    <w:rsid w:val="6828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477</Characters>
  <Lines>0</Lines>
  <Paragraphs>0</Paragraphs>
  <TotalTime>0</TotalTime>
  <ScaleCrop>false</ScaleCrop>
  <LinksUpToDate>false</LinksUpToDate>
  <CharactersWithSpaces>562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2026-05-02T21:48:00Z</dcterms:created>
  <dc:creator>Herto</dc:creator>
  <cp:lastModifiedBy>Herton Silva</cp:lastModifiedBy>
  <dcterms:modified xsi:type="dcterms:W3CDTF">2026-05-02T22:06:58Z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B18BDD11FDE449C4AEA8AFEF527F86D8_11</vt:lpwstr>
  </property>
  <property fmtid="{D5CDD505-2E9C-101B-9397-08002B2CF9AE}" pid="4" name="KSOTemplateDocerSaveRecord">
    <vt:lpwstr>eyJoZGlkIjoiMGZiMDcyYjVjNWMyMDJlYjdkZWYzY2JmOTJmYjc0ZmIiLCJ1c2VySWQiOiIxMjU0ODcxOTQ3MDMxIn0=</vt:lpwstr>
  </property>
</Properties>
</file>