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rPr>
        <w:t xml:space="preserve">Modeled PM2.5 Exposure and Pediatric Asthma Prevalence in the Philippines, 2013–2022: An Ecological Time-Series Analysis with Davao City as a Case Study</w:t>
      </w:r>
    </w:p>
    <w:p>
      <w:pPr>
        <w:jc w:val="center"/>
      </w:pPr>
      <w:r>
        <w:rPr>
          <w:rFonts w:ascii="Times" w:hAnsi="Times" w:cs="Times"/>
          <w:sz w:val="24"/>
          <w:sz-cs w:val="24"/>
        </w:rPr>
        <w:t xml:space="preserve">Hertzan D. Alquizola II</w:t>
      </w:r>
    </w:p>
    <w:p>
      <w:pPr/>
      <w:r>
        <w:rPr>
          <w:rFonts w:ascii="Times" w:hAnsi="Times" w:cs="Times"/>
          <w:sz w:val="24"/>
          <w:sz-cs w:val="24"/>
        </w:rPr>
        <w:t xml:space="preserve">Abstract</w:t>
      </w:r>
    </w:p>
    <w:p>
      <w:pPr>
        <w:jc w:val="both"/>
      </w:pPr>
      <w:r>
        <w:rPr>
          <w:rFonts w:ascii="Times" w:hAnsi="Times" w:cs="Times"/>
          <w:sz w:val="24"/>
          <w:sz-cs w:val="24"/>
        </w:rPr>
        <w:t xml:space="preserve">Ambient fine particulate matter (PM2.5) is an established risk factor for respiratory illness, and pediatric asthma is a common chronic condition of childhood. Whether national, year-to-year changes in PM2.5 exposure track changes in pediatric asthma prevalence in the Philippines has not been well characterized. We conducted an ecological time-series analysis linking two annual national series for 2013–2022 (n = 10): modeled PM2.5 exposure, expressed as the Global Burden of Disease (GBD) summary exposure value (SEV) index, and pediatric asthma prevalence (ages 5–14, per 100,000) from GBD. We assessed the association using Pearson and Spearman correlations on annual levels, repeated the analysis on year-over-year first differences to remove the shared time trend, and confirmed results with a permutation test. Across the decade, modeled PM2.5 exposure rose steadily (SEV 16.6 to 22.8), while pediatric asthma prevalence remained nearly constant (approximately 7,448 to 7,598 per 100,000; under 2% total variation). Annual levels showed a weak-to-moderate, non-significant positive correlation (Pearson r = 0.47, p = 0.17; Spearman ρ = 0.39, p = 0.26). After detrending, the association disappeared and reversed in sign (Pearson r = −0.10, p = 0.80). These results provide no evidence of a year-to-year relationship between PM2.5 exposure and pediatric asthma prevalence at the national scale; the modest positive correlation in raw levels is attributable to coincident temporal trends. We interpret this null finding in light of an ecological design, a small number of annual observations, a modeled exposure index rather than measured concentrations, and a nearly flat outcome series.</w:t>
      </w:r>
    </w:p>
    <w:p>
      <w:pPr/>
      <w:r>
        <w:rPr>
          <w:rFonts w:ascii="Times" w:hAnsi="Times" w:cs="Times"/>
          <w:sz w:val="24"/>
          <w:sz-cs w:val="24"/>
        </w:rPr>
        <w:t xml:space="preserve">Research Question</w:t>
      </w:r>
    </w:p>
    <w:p>
      <w:pPr>
        <w:jc w:val="both"/>
      </w:pPr>
      <w:r>
        <w:rPr>
          <w:rFonts w:ascii="Times" w:hAnsi="Times" w:cs="Times"/>
          <w:sz w:val="24"/>
          <w:sz-cs w:val="24"/>
        </w:rPr>
        <w:t xml:space="preserve">Is there an association between annual modeled PM2.5 exposure and pediatric asthma prevalence (ages 5–14) in the Philippines over the period 2013–2022, and does any such association persist after accounting for the shared temporal trend in the two series?</w:t>
      </w:r>
    </w:p>
    <w:p>
      <w:pPr>
        <w:jc w:val="both"/>
      </w:pPr>
      <w:r>
        <w:rPr>
          <w:rFonts w:ascii="Times" w:hAnsi="Times" w:cs="Times"/>
          <w:sz w:val="24"/>
          <w:sz-cs w:val="24"/>
        </w:rPr>
        <w:t xml:space="preserve">Working hypothesis (directional, exploratory): if higher ambient PM2.5 exposure were associated with higher pediatric asthma prevalence at the national annual scale, we would expect a positive correlation that remains after detrending. The alternative — no detectable association, or one that vanishes after detrending — was treated as an equally informative outcome.</w:t>
      </w:r>
    </w:p>
    <w:p>
      <w:pPr/>
      <w:r>
        <w:rPr>
          <w:rFonts w:ascii="Times" w:hAnsi="Times" w:cs="Times"/>
          <w:sz w:val="24"/>
          <w:sz-cs w:val="24"/>
        </w:rPr>
        <w:t xml:space="preserve">Introduction</w:t>
      </w:r>
    </w:p>
    <w:p>
      <w:pPr>
        <w:jc w:val="both"/>
      </w:pPr>
      <w:r>
        <w:rPr>
          <w:rFonts w:ascii="Times" w:hAnsi="Times" w:cs="Times"/>
          <w:sz w:val="24"/>
          <w:sz-cs w:val="24"/>
        </w:rPr>
        <w:t xml:space="preserve">Asthma is among the most common chronic respiratory diseases of childhood, and its burden in low- and middle-income settings, including the Western Pacific region, has been the subject of recent epidemiological attention (Ho et al., 2023; Yang et al., 2024). Children are considered a vulnerable group for air-pollution-related respiratory effects because of their developing airways, higher ventilation rates relative to body size, and greater time spent in outdoor activity.</w:t>
      </w:r>
    </w:p>
    <w:p>
      <w:pPr>
        <w:jc w:val="both"/>
      </w:pPr>
      <w:r>
        <w:rPr>
          <w:rFonts w:ascii="Times" w:hAnsi="Times" w:cs="Times"/>
          <w:sz w:val="24"/>
          <w:sz-cs w:val="24"/>
        </w:rPr>
        <w:t xml:space="preserve">Ambient fine particulate matter — particles with an aerodynamic diameter of 2.5 micrometers or less (PM2.5) — is a well-studied air pollutant with documented associations to respiratory morbidity. Clinical and epidemiological studies have linked particulate exposure to asthma exacerbations and to respiratory hospitalizations in children (Zhang et al., 2021; Ye et al., 2023), and work in the Philippine setting has examined particulate exposure in relation to childhood respiratory illness (Gallano et al., 2024). Much of this evidence comes from individual-level or short-term designs that relate acute exposure to acute events, such as emergency visits or symptom flares.</w:t>
      </w:r>
    </w:p>
    <w:p>
      <w:pPr>
        <w:jc w:val="both"/>
      </w:pPr>
      <w:r>
        <w:rPr>
          <w:rFonts w:ascii="Times" w:hAnsi="Times" w:cs="Times"/>
          <w:sz w:val="24"/>
          <w:sz-cs w:val="24"/>
        </w:rPr>
        <w:t xml:space="preserve">Less is known about whether long-run, population-level trends in PM2.5 exposure move together with population-level trends in pediatric asthma prevalence — that is, the standing proportion of children with the condition — at a national scale. Prevalence and acute exacerbation are distinct endpoints: prevalence reflects the accumulated stock of diagnosed cases and changes slowly, whereas exacerbations are short-term events more plausibly sensitive to recent exposure. An ecological trend analysis cannot resolve individual exposure-response relationships, but it can describe whether two national series rise and fall together over time, which is a useful and honest first question.</w:t>
      </w:r>
    </w:p>
    <w:p>
      <w:pPr>
        <w:jc w:val="both"/>
      </w:pPr>
      <w:r>
        <w:rPr>
          <w:rFonts w:ascii="Times" w:hAnsi="Times" w:cs="Times"/>
          <w:sz w:val="24"/>
          <w:sz-cs w:val="24"/>
        </w:rPr>
        <w:t xml:space="preserve">This study is motivated by air-quality concerns in Davao City, the largest urban center in the southern Philippines, where local discussion of vehicle emissions and air quality is part of everyday life. Because city-level pediatric asthma data suitable for a decade-long series were not available (the available local disease datasets either omitted Davao or contained no asthma records), we use national Philippine series as the analytic unit and retain Davao City as the framing case study rather than as a data restriction. We examine the annual association between modeled PM2.5 exposure and pediatric asthma prevalence in the Philippines from 2013 to 2022, and we test explicitly whether any observed association survives the removal of the shared time trend.</w:t>
      </w:r>
    </w:p>
    <w:p>
      <w:pPr/>
      <w:r>
        <w:rPr>
          <w:rFonts w:ascii="Times" w:hAnsi="Times" w:cs="Times"/>
          <w:sz w:val="24"/>
          <w:sz-cs w:val="24"/>
        </w:rPr>
        <w:t xml:space="preserve">Methods</w:t>
      </w:r>
    </w:p>
    <w:p>
      <w:pPr>
        <w:jc w:val="both"/>
      </w:pPr>
      <w:r>
        <w:rPr>
          <w:rFonts w:ascii="Times" w:hAnsi="Times" w:cs="Times"/>
          <w:sz w:val="24"/>
          <w:sz-cs w:val="24"/>
        </w:rPr>
        <w:t xml:space="preserve">Study design. This was an ecological, observational time-series analysis using two aggregate national series for the Philippines over ten consecutive years (2013–2022). The unit of analysis was the calendar year (n = 10).</w:t>
      </w:r>
    </w:p>
    <w:p>
      <w:pPr>
        <w:jc w:val="both"/>
      </w:pPr>
      <w:r>
        <w:rPr>
          <w:rFonts w:ascii="Times" w:hAnsi="Times" w:cs="Times"/>
          <w:sz w:val="24"/>
          <w:sz-cs w:val="24"/>
        </w:rPr>
        <w:t xml:space="preserve">Outcome data — pediatric asthma prevalence. Annual asthma prevalence for children aged 5–14 years (both sexes combined) was obtained from the Institute for Health Metrics and Evaluation (IHME) Global Burden of Disease (GBD) results tool for the Philippines, expressed as a rate per 100,000 population. The export provided a single combined “5–14 years” age band with one value per year; values are GBD modeled estimates accompanied by upper and lower uncertainty bounds. We used the prevalence rate as the outcome variable.</w:t>
      </w:r>
    </w:p>
    <w:p>
      <w:pPr>
        <w:jc w:val="both"/>
      </w:pPr>
      <w:r>
        <w:rPr>
          <w:rFonts w:ascii="Times" w:hAnsi="Times" w:cs="Times"/>
          <w:sz w:val="24"/>
          <w:sz-cs w:val="24"/>
        </w:rPr>
        <w:t xml:space="preserve">Exposure data — modeled PM2.5 exposure. Annual PM2.5 exposure was obtained from the same GBD results tool as the summary exposure value (SEV) for the risk factor “ambient particulate matter pollution” (Philippines, both sexes, all ages, 2013–2022). The SEV is a risk-weighted exposure index scaled from 0 to 100, where higher values indicate greater population exposure to the risk relative to the theoretical maximum; it is a modeled measure of population exposure and is not a ground-measured PM2.5 concentration in micrograms per cubic meter (µg/m³). We refer to this variable as the PM2.5 SEV index and label it accordingly throughout.</w:t>
      </w:r>
    </w:p>
    <w:p>
      <w:pPr>
        <w:jc w:val="both"/>
      </w:pPr>
      <w:r>
        <w:rPr>
          <w:rFonts w:ascii="Times" w:hAnsi="Times" w:cs="Times"/>
          <w:sz w:val="24"/>
          <w:sz-cs w:val="24"/>
        </w:rPr>
        <w:t xml:space="preserve">An earlier approach that drew Davao-specific PM2.5 and PM10 from a reanalysis-based air-quality API was abandoned because that archive did not cover the study period (it returned no usable data for 2013–2021), and we therefore used the GBD exposure series, which spans the full decade and aligns by year with the outcome data.</w:t>
      </w:r>
    </w:p>
    <w:p>
      <w:pPr>
        <w:jc w:val="both"/>
      </w:pPr>
      <w:r>
        <w:rPr>
          <w:rFonts w:ascii="Times" w:hAnsi="Times" w:cs="Times"/>
          <w:sz w:val="24"/>
          <w:sz-cs w:val="24"/>
        </w:rPr>
        <w:t xml:space="preserve">Data processing. The two series were merged on calendar year, yielding a complete 10-year panel with no missing years. Raw downloads were retained unaltered; all processing wrote to separate processed files.</w:t>
      </w:r>
    </w:p>
    <w:p>
      <w:pPr>
        <w:jc w:val="both"/>
      </w:pPr>
      <w:r>
        <w:rPr>
          <w:rFonts w:ascii="Times" w:hAnsi="Times" w:cs="Times"/>
          <w:sz w:val="24"/>
          <w:sz-cs w:val="24"/>
        </w:rPr>
        <w:t xml:space="preserve">Statistical analysis. We quantified the association between the PM2.5 SEV index and pediatric asthma prevalence using both the Pearson correlation coefficient (which captures linear association) and the Spearman rank correlation coefficient (which captures monotonic association and is less sensitive to outliers), reporting the coefficient, two-sided p-value, and sample size for each. Because both series trend over time, a correlation computed on annual levels can reflect coincident temporal trends rather than a direct relationship; to address this, we repeated the correlation on year-over-year first differences (the change from one year to the next), which removes a shared linear trend, leaving n = 9 paired changes. Given the small sample, we treated the analysis as exploratory and additionally computed a permutation-based p-value (random reshuffling of one series relative to the other) as an assumption-light check on the parametric results. A two-sided p-value below 0.05 was considered the conventional threshold for statistical significance, with the explicit understanding that ten observations afford limited power. Analyses were performed in Python using the pandas and NumPy libraries; figures were produced with Matplotlib at 300 dpi.</w:t>
      </w:r>
    </w:p>
    <w:p>
      <w:pPr>
        <w:spacing w:after="321"/>
      </w:pPr>
      <w:r>
        <w:rPr>
          <w:rFonts w:ascii="Times" w:hAnsi="Times" w:cs="Times"/>
          <w:sz w:val="48"/>
          <w:sz-cs w:val="48"/>
          <w:b/>
          <w:spacing w:val="0"/>
        </w:rPr>
        <w:t xml:space="preserve">Results</w:t>
      </w:r>
    </w:p>
    <w:p>
      <w:pPr>
        <w:spacing w:after="240"/>
      </w:pPr>
      <w:r>
        <w:rPr>
          <w:rFonts w:ascii="Times" w:hAnsi="Times" w:cs="Times"/>
          <w:sz w:val="24"/>
          <w:sz-cs w:val="24"/>
          <w:i/>
          <w:spacing w:val="0"/>
        </w:rPr>
        <w:t xml:space="preserve">PM2.5 Air Pollution and Pediatric Asthma Prevalence in the Philippines (2013–2022): A Subnational Panel Analysis — Hertzan D. Alquizola II</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Results</w:t>
      </w:r>
    </w:p>
    <w:p>
      <w:pPr>
        <w:spacing w:after="280"/>
      </w:pPr>
      <w:r>
        <w:rPr>
          <w:rFonts w:ascii="Times" w:hAnsi="Times" w:cs="Times"/>
          <w:sz w:val="28"/>
          <w:sz-cs w:val="28"/>
          <w:b/>
          <w:spacing w:val="0"/>
        </w:rPr>
        <w:t xml:space="preserve">3.1 Descriptive Statistics</w:t>
      </w:r>
    </w:p>
    <w:p>
      <w:pPr>
        <w:spacing w:after="240"/>
      </w:pPr>
      <w:r>
        <w:rPr>
          <w:rFonts w:ascii="Times" w:hAnsi="Times" w:cs="Times"/>
          <w:sz w:val="24"/>
          <w:sz-cs w:val="24"/>
          <w:spacing w:val="0"/>
        </w:rPr>
        <w:t xml:space="preserve">The merged analytical panel comprised 170 region-year observations across 17 Philippine regions from 2013 to 2022. Annual mean satellite-derived PM2.5 concentrations ranged from 9.65 to 31.59 µg/m³ (mean ± SD: 14.72 ± 3.52 µg/m³), while pediatric asthma prevalence (ages 5–14) ranged from 7,014.45 to 8,908.29 per 100,000 (mean ± SD: 7,477.67 ± 366.89 per 100,000). Descriptive statistics for both variables are presented in Table 1.</w:t>
      </w:r>
    </w:p>
    <w:p>
      <w:pPr>
        <w:spacing w:after="240"/>
      </w:pPr>
      <w:r>
        <w:rPr>
          <w:rFonts w:ascii="Times" w:hAnsi="Times" w:cs="Times"/>
          <w:sz w:val="24"/>
          <w:sz-cs w:val="24"/>
          <w:b/>
          <w:spacing w:val="0"/>
        </w:rPr>
        <w:t xml:space="preserve">Table 1. Descriptive Statistics for Primary Study Variables (n = 170 region-years)</w:t>
      </w:r>
      <w:r>
        <w:rPr>
          <w:rFonts w:ascii="Times" w:hAnsi="Times" w:cs="Times"/>
          <w:sz w:val="24"/>
          <w:sz-cs w:val="24"/>
          <w:spacing w:val="0"/>
        </w:rPr>
        <w:t xml:space="preserve"/>
      </w:r>
    </w:p>
    <w:p>
      <w:pPr>
        <w:jc w:val="center"/>
      </w:pPr>
      <w:r>
        <w:rPr>
          <w:rFonts w:ascii="Times" w:hAnsi="Times" w:cs="Times"/>
          <w:sz w:val="24"/>
          <w:sz-cs w:val="24"/>
          <w:b/>
          <w:spacing w:val="0"/>
        </w:rPr>
        <w:t xml:space="preserve">Variable</w:t>
      </w:r>
    </w:p>
    <w:p>
      <w:pPr>
        <w:jc w:val="center"/>
      </w:pPr>
      <w:r>
        <w:rPr>
          <w:rFonts w:ascii="Times" w:hAnsi="Times" w:cs="Times"/>
          <w:sz w:val="24"/>
          <w:sz-cs w:val="24"/>
          <w:b/>
          <w:spacing w:val="0"/>
        </w:rPr>
        <w:t xml:space="preserve">Mean</w:t>
      </w:r>
    </w:p>
    <w:p>
      <w:pPr>
        <w:jc w:val="center"/>
      </w:pPr>
      <w:r>
        <w:rPr>
          <w:rFonts w:ascii="Times" w:hAnsi="Times" w:cs="Times"/>
          <w:sz w:val="24"/>
          <w:sz-cs w:val="24"/>
          <w:b/>
          <w:spacing w:val="0"/>
        </w:rPr>
        <w:t xml:space="preserve">SD</w:t>
      </w:r>
    </w:p>
    <w:p>
      <w:pPr>
        <w:jc w:val="center"/>
      </w:pPr>
      <w:r>
        <w:rPr>
          <w:rFonts w:ascii="Times" w:hAnsi="Times" w:cs="Times"/>
          <w:sz w:val="24"/>
          <w:sz-cs w:val="24"/>
          <w:b/>
          <w:spacing w:val="0"/>
        </w:rPr>
        <w:t xml:space="preserve">Min</w:t>
      </w:r>
    </w:p>
    <w:p>
      <w:pPr>
        <w:jc w:val="center"/>
      </w:pPr>
      <w:r>
        <w:rPr>
          <w:rFonts w:ascii="Times" w:hAnsi="Times" w:cs="Times"/>
          <w:sz w:val="24"/>
          <w:sz-cs w:val="24"/>
          <w:b/>
          <w:spacing w:val="0"/>
        </w:rPr>
        <w:t xml:space="preserve">25th pct</w:t>
      </w:r>
    </w:p>
    <w:p>
      <w:pPr>
        <w:jc w:val="center"/>
      </w:pPr>
      <w:r>
        <w:rPr>
          <w:rFonts w:ascii="Times" w:hAnsi="Times" w:cs="Times"/>
          <w:sz w:val="24"/>
          <w:sz-cs w:val="24"/>
          <w:b/>
          <w:spacing w:val="0"/>
        </w:rPr>
        <w:t xml:space="preserve">Median</w:t>
      </w:r>
    </w:p>
    <w:p>
      <w:pPr>
        <w:jc w:val="center"/>
      </w:pPr>
      <w:r>
        <w:rPr>
          <w:rFonts w:ascii="Times" w:hAnsi="Times" w:cs="Times"/>
          <w:sz w:val="24"/>
          <w:sz-cs w:val="24"/>
          <w:b/>
          <w:spacing w:val="0"/>
        </w:rPr>
        <w:t xml:space="preserve">75th pct</w:t>
      </w:r>
    </w:p>
    <w:p>
      <w:pPr>
        <w:jc w:val="center"/>
      </w:pPr>
      <w:r>
        <w:rPr>
          <w:rFonts w:ascii="Times" w:hAnsi="Times" w:cs="Times"/>
          <w:sz w:val="24"/>
          <w:sz-cs w:val="24"/>
          <w:b/>
          <w:spacing w:val="0"/>
        </w:rPr>
        <w:t xml:space="preserve">Max</w:t>
      </w:r>
    </w:p>
    <w:p>
      <w:pPr/>
      <w:r>
        <w:rPr>
          <w:rFonts w:ascii="Times" w:hAnsi="Times" w:cs="Times"/>
          <w:sz w:val="24"/>
          <w:sz-cs w:val="24"/>
          <w:spacing w:val="0"/>
        </w:rPr>
        <w:t xml:space="preserve">PM2.5 (µg/m³)</w:t>
      </w:r>
    </w:p>
    <w:p>
      <w:pPr/>
      <w:r>
        <w:rPr>
          <w:rFonts w:ascii="Times" w:hAnsi="Times" w:cs="Times"/>
          <w:sz w:val="24"/>
          <w:sz-cs w:val="24"/>
          <w:spacing w:val="0"/>
        </w:rPr>
        <w:t xml:space="preserve">14.72</w:t>
      </w:r>
    </w:p>
    <w:p>
      <w:pPr/>
      <w:r>
        <w:rPr>
          <w:rFonts w:ascii="Times" w:hAnsi="Times" w:cs="Times"/>
          <w:sz w:val="24"/>
          <w:sz-cs w:val="24"/>
          <w:spacing w:val="0"/>
        </w:rPr>
        <w:t xml:space="preserve">3.52</w:t>
      </w:r>
    </w:p>
    <w:p>
      <w:pPr/>
      <w:r>
        <w:rPr>
          <w:rFonts w:ascii="Times" w:hAnsi="Times" w:cs="Times"/>
          <w:sz w:val="24"/>
          <w:sz-cs w:val="24"/>
          <w:spacing w:val="0"/>
        </w:rPr>
        <w:t xml:space="preserve">9.65</w:t>
      </w:r>
    </w:p>
    <w:p>
      <w:pPr/>
      <w:r>
        <w:rPr>
          <w:rFonts w:ascii="Times" w:hAnsi="Times" w:cs="Times"/>
          <w:sz w:val="24"/>
          <w:sz-cs w:val="24"/>
          <w:spacing w:val="0"/>
        </w:rPr>
        <w:t xml:space="preserve">12.64</w:t>
      </w:r>
    </w:p>
    <w:p>
      <w:pPr/>
      <w:r>
        <w:rPr>
          <w:rFonts w:ascii="Times" w:hAnsi="Times" w:cs="Times"/>
          <w:sz w:val="24"/>
          <w:sz-cs w:val="24"/>
          <w:spacing w:val="0"/>
        </w:rPr>
        <w:t xml:space="preserve">14.33</w:t>
      </w:r>
    </w:p>
    <w:p>
      <w:pPr/>
      <w:r>
        <w:rPr>
          <w:rFonts w:ascii="Times" w:hAnsi="Times" w:cs="Times"/>
          <w:sz w:val="24"/>
          <w:sz-cs w:val="24"/>
          <w:spacing w:val="0"/>
        </w:rPr>
        <w:t xml:space="preserve">15.49</w:t>
      </w:r>
    </w:p>
    <w:p>
      <w:pPr/>
      <w:r>
        <w:rPr>
          <w:rFonts w:ascii="Times" w:hAnsi="Times" w:cs="Times"/>
          <w:sz w:val="24"/>
          <w:sz-cs w:val="24"/>
          <w:spacing w:val="0"/>
        </w:rPr>
        <w:t xml:space="preserve">31.59</w:t>
      </w:r>
    </w:p>
    <w:p>
      <w:pPr/>
      <w:r>
        <w:rPr>
          <w:rFonts w:ascii="Times" w:hAnsi="Times" w:cs="Times"/>
          <w:sz w:val="24"/>
          <w:sz-cs w:val="24"/>
          <w:spacing w:val="0"/>
        </w:rPr>
        <w:t xml:space="preserve">Asthma Prevalence (per 100,000)</w:t>
      </w:r>
    </w:p>
    <w:p>
      <w:pPr/>
      <w:r>
        <w:rPr>
          <w:rFonts w:ascii="Times" w:hAnsi="Times" w:cs="Times"/>
          <w:sz w:val="24"/>
          <w:sz-cs w:val="24"/>
          <w:spacing w:val="0"/>
        </w:rPr>
        <w:t xml:space="preserve">7,477.67</w:t>
      </w:r>
    </w:p>
    <w:p>
      <w:pPr/>
      <w:r>
        <w:rPr>
          <w:rFonts w:ascii="Times" w:hAnsi="Times" w:cs="Times"/>
          <w:sz w:val="24"/>
          <w:sz-cs w:val="24"/>
          <w:spacing w:val="0"/>
        </w:rPr>
        <w:t xml:space="preserve">366.89</w:t>
      </w:r>
    </w:p>
    <w:p>
      <w:pPr/>
      <w:r>
        <w:rPr>
          <w:rFonts w:ascii="Times" w:hAnsi="Times" w:cs="Times"/>
          <w:sz w:val="24"/>
          <w:sz-cs w:val="24"/>
          <w:spacing w:val="0"/>
        </w:rPr>
        <w:t xml:space="preserve">7,014.45</w:t>
      </w:r>
    </w:p>
    <w:p>
      <w:pPr/>
      <w:r>
        <w:rPr>
          <w:rFonts w:ascii="Times" w:hAnsi="Times" w:cs="Times"/>
          <w:sz w:val="24"/>
          <w:sz-cs w:val="24"/>
          <w:spacing w:val="0"/>
        </w:rPr>
        <w:t xml:space="preserve">7,322.33</w:t>
      </w:r>
    </w:p>
    <w:p>
      <w:pPr/>
      <w:r>
        <w:rPr>
          <w:rFonts w:ascii="Times" w:hAnsi="Times" w:cs="Times"/>
          <w:sz w:val="24"/>
          <w:sz-cs w:val="24"/>
          <w:spacing w:val="0"/>
        </w:rPr>
        <w:t xml:space="preserve">7,407.30</w:t>
      </w:r>
    </w:p>
    <w:p>
      <w:pPr/>
      <w:r>
        <w:rPr>
          <w:rFonts w:ascii="Times" w:hAnsi="Times" w:cs="Times"/>
          <w:sz w:val="24"/>
          <w:sz-cs w:val="24"/>
          <w:spacing w:val="0"/>
        </w:rPr>
        <w:t xml:space="preserve">7,505.00</w:t>
      </w:r>
    </w:p>
    <w:p>
      <w:pPr/>
      <w:r>
        <w:rPr>
          <w:rFonts w:ascii="Times" w:hAnsi="Times" w:cs="Times"/>
          <w:sz w:val="24"/>
          <w:sz-cs w:val="24"/>
          <w:spacing w:val="0"/>
        </w:rPr>
        <w:t xml:space="preserve">8,908.29</w:t>
      </w:r>
    </w:p>
    <w:p>
      <w:pPr>
        <w:spacing w:after="280"/>
      </w:pPr>
      <w:r>
        <w:rPr>
          <w:rFonts w:ascii="Times" w:hAnsi="Times" w:cs="Times"/>
          <w:sz w:val="28"/>
          <w:sz-cs w:val="28"/>
          <w:b/>
          <w:spacing w:val="0"/>
        </w:rPr>
        <w:t xml:space="preserve">3.2 WHO Guideline Exceedances</w:t>
      </w:r>
    </w:p>
    <w:p>
      <w:pPr>
        <w:spacing w:after="240"/>
      </w:pPr>
      <w:r>
        <w:rPr>
          <w:rFonts w:ascii="Times" w:hAnsi="Times" w:cs="Times"/>
          <w:sz w:val="24"/>
          <w:sz-cs w:val="24"/>
          <w:spacing w:val="0"/>
        </w:rPr>
        <w:t xml:space="preserve">Of the 170 region-year observations, 58 (34.1%) exceeded the WHO annual PM2.5 guideline of 15 µg/m³. The National Capital Region (NCR/Metro Manila) exceeded the WHO threshold in all 10 study years, recording the highest mean PM2.5 of any region (26.74 µg/m³; 1.78× the WHO guideline) and the highest mean pediatric asthma prevalence (8,866 per 100,000). In contrast, Region VIII (Eastern Visayas) recorded the lowest mean PM2.5 (12.06 µg/m³) and the lowest mean asthma prevalence (7,151 per 100,000) of all 17 regions. Regional mean PM2.5 concentrations by region are presented in Figure 3, with bars exceeding the WHO threshold shown in red.</w:t>
      </w:r>
    </w:p>
    <w:p>
      <w:pPr>
        <w:spacing w:after="240"/>
      </w:pPr>
      <w:r>
        <w:rPr>
          <w:rFonts w:ascii="Times" w:hAnsi="Times" w:cs="Times"/>
          <w:sz w:val="24"/>
          <w:sz-cs w:val="24"/>
          <w:b/>
          <w:spacing w:val="0"/>
        </w:rPr>
        <w:t xml:space="preserve">Table 2. Regional Mean PM2.5 and Pediatric Asthma Prevalence, 2013–2022</w:t>
      </w:r>
      <w:r>
        <w:rPr>
          <w:rFonts w:ascii="Times" w:hAnsi="Times" w:cs="Times"/>
          <w:sz w:val="24"/>
          <w:sz-cs w:val="24"/>
          <w:spacing w:val="0"/>
        </w:rPr>
        <w:t xml:space="preserve"/>
      </w:r>
    </w:p>
    <w:p>
      <w:pPr>
        <w:jc w:val="center"/>
      </w:pPr>
      <w:r>
        <w:rPr>
          <w:rFonts w:ascii="Times" w:hAnsi="Times" w:cs="Times"/>
          <w:sz w:val="24"/>
          <w:sz-cs w:val="24"/>
          <w:b/>
          <w:spacing w:val="0"/>
        </w:rPr>
        <w:t xml:space="preserve">Region</w:t>
      </w:r>
    </w:p>
    <w:p>
      <w:pPr>
        <w:jc w:val="center"/>
      </w:pPr>
      <w:r>
        <w:rPr>
          <w:rFonts w:ascii="Times" w:hAnsi="Times" w:cs="Times"/>
          <w:sz w:val="24"/>
          <w:sz-cs w:val="24"/>
          <w:b/>
          <w:spacing w:val="0"/>
        </w:rPr>
        <w:t xml:space="preserve">Mean PM2.5 (µg/m³)</w:t>
      </w:r>
    </w:p>
    <w:p>
      <w:pPr>
        <w:jc w:val="center"/>
      </w:pPr>
      <w:r>
        <w:rPr>
          <w:rFonts w:ascii="Times" w:hAnsi="Times" w:cs="Times"/>
          <w:sz w:val="24"/>
          <w:sz-cs w:val="24"/>
          <w:b/>
          <w:spacing w:val="0"/>
        </w:rPr>
        <w:t xml:space="preserve">Mean Asthma Rate (per 100k)</w:t>
      </w:r>
    </w:p>
    <w:p>
      <w:pPr>
        <w:jc w:val="center"/>
      </w:pPr>
      <w:r>
        <w:rPr>
          <w:rFonts w:ascii="Times" w:hAnsi="Times" w:cs="Times"/>
          <w:sz w:val="24"/>
          <w:sz-cs w:val="24"/>
          <w:b/>
          <w:spacing w:val="0"/>
        </w:rPr>
        <w:t xml:space="preserve">Years Exceeding WHO</w:t>
      </w:r>
    </w:p>
    <w:p>
      <w:pPr/>
      <w:r>
        <w:rPr>
          <w:rFonts w:ascii="Times" w:hAnsi="Times" w:cs="Times"/>
          <w:sz w:val="24"/>
          <w:sz-cs w:val="24"/>
          <w:spacing w:val="0"/>
        </w:rPr>
        <w:t xml:space="preserve">NCR</w:t>
      </w:r>
    </w:p>
    <w:p>
      <w:pPr/>
      <w:r>
        <w:rPr>
          <w:rFonts w:ascii="Times" w:hAnsi="Times" w:cs="Times"/>
          <w:sz w:val="24"/>
          <w:sz-cs w:val="24"/>
          <w:spacing w:val="0"/>
        </w:rPr>
        <w:t xml:space="preserve">26.74</w:t>
      </w:r>
    </w:p>
    <w:p>
      <w:pPr/>
      <w:r>
        <w:rPr>
          <w:rFonts w:ascii="Times" w:hAnsi="Times" w:cs="Times"/>
          <w:sz w:val="24"/>
          <w:sz-cs w:val="24"/>
          <w:spacing w:val="0"/>
        </w:rPr>
        <w:t xml:space="preserve">8,866.13</w:t>
      </w:r>
    </w:p>
    <w:p>
      <w:pPr/>
      <w:r>
        <w:rPr>
          <w:rFonts w:ascii="Times" w:hAnsi="Times" w:cs="Times"/>
          <w:sz w:val="24"/>
          <w:sz-cs w:val="24"/>
          <w:spacing w:val="0"/>
        </w:rPr>
        <w:t xml:space="preserve">10/10</w:t>
      </w:r>
    </w:p>
    <w:p>
      <w:pPr/>
      <w:r>
        <w:rPr>
          <w:rFonts w:ascii="Times" w:hAnsi="Times" w:cs="Times"/>
          <w:sz w:val="24"/>
          <w:sz-cs w:val="24"/>
          <w:spacing w:val="0"/>
        </w:rPr>
        <w:t xml:space="preserve">Region I</w:t>
      </w:r>
    </w:p>
    <w:p>
      <w:pPr/>
      <w:r>
        <w:rPr>
          <w:rFonts w:ascii="Times" w:hAnsi="Times" w:cs="Times"/>
          <w:sz w:val="24"/>
          <w:sz-cs w:val="24"/>
          <w:spacing w:val="0"/>
        </w:rPr>
        <w:t xml:space="preserve">15.65</w:t>
      </w:r>
    </w:p>
    <w:p>
      <w:pPr/>
      <w:r>
        <w:rPr>
          <w:rFonts w:ascii="Times" w:hAnsi="Times" w:cs="Times"/>
          <w:sz w:val="24"/>
          <w:sz-cs w:val="24"/>
          <w:spacing w:val="0"/>
        </w:rPr>
        <w:t xml:space="preserve">7,545.65</w:t>
      </w:r>
    </w:p>
    <w:p>
      <w:pPr/>
      <w:r>
        <w:rPr>
          <w:rFonts w:ascii="Times" w:hAnsi="Times" w:cs="Times"/>
          <w:sz w:val="24"/>
          <w:sz-cs w:val="24"/>
          <w:spacing w:val="0"/>
        </w:rPr>
        <w:t xml:space="preserve">7/10</w:t>
      </w:r>
    </w:p>
    <w:p>
      <w:pPr/>
      <w:r>
        <w:rPr>
          <w:rFonts w:ascii="Times" w:hAnsi="Times" w:cs="Times"/>
          <w:sz w:val="24"/>
          <w:sz-cs w:val="24"/>
          <w:spacing w:val="0"/>
        </w:rPr>
        <w:t xml:space="preserve">Region III</w:t>
      </w:r>
    </w:p>
    <w:p>
      <w:pPr/>
      <w:r>
        <w:rPr>
          <w:rFonts w:ascii="Times" w:hAnsi="Times" w:cs="Times"/>
          <w:sz w:val="24"/>
          <w:sz-cs w:val="24"/>
          <w:spacing w:val="0"/>
        </w:rPr>
        <w:t xml:space="preserve">15.48</w:t>
      </w:r>
    </w:p>
    <w:p>
      <w:pPr/>
      <w:r>
        <w:rPr>
          <w:rFonts w:ascii="Times" w:hAnsi="Times" w:cs="Times"/>
          <w:sz w:val="24"/>
          <w:sz-cs w:val="24"/>
          <w:spacing w:val="0"/>
        </w:rPr>
        <w:t xml:space="preserve">7,516.81</w:t>
      </w:r>
    </w:p>
    <w:p>
      <w:pPr/>
      <w:r>
        <w:rPr>
          <w:rFonts w:ascii="Times" w:hAnsi="Times" w:cs="Times"/>
          <w:sz w:val="24"/>
          <w:sz-cs w:val="24"/>
          <w:spacing w:val="0"/>
        </w:rPr>
        <w:t xml:space="preserve">7/10</w:t>
      </w:r>
    </w:p>
    <w:p>
      <w:pPr/>
      <w:r>
        <w:rPr>
          <w:rFonts w:ascii="Times" w:hAnsi="Times" w:cs="Times"/>
          <w:sz w:val="24"/>
          <w:sz-cs w:val="24"/>
          <w:spacing w:val="0"/>
        </w:rPr>
        <w:t xml:space="preserve">Region VII</w:t>
      </w:r>
    </w:p>
    <w:p>
      <w:pPr/>
      <w:r>
        <w:rPr>
          <w:rFonts w:ascii="Times" w:hAnsi="Times" w:cs="Times"/>
          <w:sz w:val="24"/>
          <w:sz-cs w:val="24"/>
          <w:spacing w:val="0"/>
        </w:rPr>
        <w:t xml:space="preserve">15.26</w:t>
      </w:r>
    </w:p>
    <w:p>
      <w:pPr/>
      <w:r>
        <w:rPr>
          <w:rFonts w:ascii="Times" w:hAnsi="Times" w:cs="Times"/>
          <w:sz w:val="24"/>
          <w:sz-cs w:val="24"/>
          <w:spacing w:val="0"/>
        </w:rPr>
        <w:t xml:space="preserve">7,390.96</w:t>
      </w:r>
    </w:p>
    <w:p>
      <w:pPr/>
      <w:r>
        <w:rPr>
          <w:rFonts w:ascii="Times" w:hAnsi="Times" w:cs="Times"/>
          <w:sz w:val="24"/>
          <w:sz-cs w:val="24"/>
          <w:spacing w:val="0"/>
        </w:rPr>
        <w:t xml:space="preserve">6/10</w:t>
      </w:r>
    </w:p>
    <w:p>
      <w:pPr/>
      <w:r>
        <w:rPr>
          <w:rFonts w:ascii="Times" w:hAnsi="Times" w:cs="Times"/>
          <w:sz w:val="24"/>
          <w:sz-cs w:val="24"/>
          <w:spacing w:val="0"/>
        </w:rPr>
        <w:t xml:space="preserve">Region IV-A</w:t>
      </w:r>
    </w:p>
    <w:p>
      <w:pPr/>
      <w:r>
        <w:rPr>
          <w:rFonts w:ascii="Times" w:hAnsi="Times" w:cs="Times"/>
          <w:sz w:val="24"/>
          <w:sz-cs w:val="24"/>
          <w:spacing w:val="0"/>
        </w:rPr>
        <w:t xml:space="preserve">15.25</w:t>
      </w:r>
    </w:p>
    <w:p>
      <w:pPr/>
      <w:r>
        <w:rPr>
          <w:rFonts w:ascii="Times" w:hAnsi="Times" w:cs="Times"/>
          <w:sz w:val="24"/>
          <w:sz-cs w:val="24"/>
          <w:spacing w:val="0"/>
        </w:rPr>
        <w:t xml:space="preserve">7,570.85</w:t>
      </w:r>
    </w:p>
    <w:p>
      <w:pPr/>
      <w:r>
        <w:rPr>
          <w:rFonts w:ascii="Times" w:hAnsi="Times" w:cs="Times"/>
          <w:sz w:val="24"/>
          <w:sz-cs w:val="24"/>
          <w:spacing w:val="0"/>
        </w:rPr>
        <w:t xml:space="preserve">5/10</w:t>
      </w:r>
    </w:p>
    <w:p>
      <w:pPr/>
      <w:r>
        <w:rPr>
          <w:rFonts w:ascii="Times" w:hAnsi="Times" w:cs="Times"/>
          <w:sz w:val="24"/>
          <w:sz-cs w:val="24"/>
          <w:spacing w:val="0"/>
        </w:rPr>
        <w:t xml:space="preserve">Region VI</w:t>
      </w:r>
    </w:p>
    <w:p>
      <w:pPr/>
      <w:r>
        <w:rPr>
          <w:rFonts w:ascii="Times" w:hAnsi="Times" w:cs="Times"/>
          <w:sz w:val="24"/>
          <w:sz-cs w:val="24"/>
          <w:spacing w:val="0"/>
        </w:rPr>
        <w:t xml:space="preserve">14.96</w:t>
      </w:r>
    </w:p>
    <w:p>
      <w:pPr/>
      <w:r>
        <w:rPr>
          <w:rFonts w:ascii="Times" w:hAnsi="Times" w:cs="Times"/>
          <w:sz w:val="24"/>
          <w:sz-cs w:val="24"/>
          <w:spacing w:val="0"/>
        </w:rPr>
        <w:t xml:space="preserve">7,473.95</w:t>
      </w:r>
    </w:p>
    <w:p>
      <w:pPr/>
      <w:r>
        <w:rPr>
          <w:rFonts w:ascii="Times" w:hAnsi="Times" w:cs="Times"/>
          <w:sz w:val="24"/>
          <w:sz-cs w:val="24"/>
          <w:spacing w:val="0"/>
        </w:rPr>
        <w:t xml:space="preserve">5/10</w:t>
      </w:r>
    </w:p>
    <w:p>
      <w:pPr/>
      <w:r>
        <w:rPr>
          <w:rFonts w:ascii="Times" w:hAnsi="Times" w:cs="Times"/>
          <w:sz w:val="24"/>
          <w:sz-cs w:val="24"/>
          <w:spacing w:val="0"/>
        </w:rPr>
        <w:t xml:space="preserve">Region XII</w:t>
      </w:r>
    </w:p>
    <w:p>
      <w:pPr/>
      <w:r>
        <w:rPr>
          <w:rFonts w:ascii="Times" w:hAnsi="Times" w:cs="Times"/>
          <w:sz w:val="24"/>
          <w:sz-cs w:val="24"/>
          <w:spacing w:val="0"/>
        </w:rPr>
        <w:t xml:space="preserve">14.83</w:t>
      </w:r>
    </w:p>
    <w:p>
      <w:pPr/>
      <w:r>
        <w:rPr>
          <w:rFonts w:ascii="Times" w:hAnsi="Times" w:cs="Times"/>
          <w:sz w:val="24"/>
          <w:sz-cs w:val="24"/>
          <w:spacing w:val="0"/>
        </w:rPr>
        <w:t xml:space="preserve">7,410.08</w:t>
      </w:r>
    </w:p>
    <w:p>
      <w:pPr/>
      <w:r>
        <w:rPr>
          <w:rFonts w:ascii="Times" w:hAnsi="Times" w:cs="Times"/>
          <w:sz w:val="24"/>
          <w:sz-cs w:val="24"/>
          <w:spacing w:val="0"/>
        </w:rPr>
        <w:t xml:space="preserve">3/10</w:t>
      </w:r>
    </w:p>
    <w:p>
      <w:pPr/>
      <w:r>
        <w:rPr>
          <w:rFonts w:ascii="Times" w:hAnsi="Times" w:cs="Times"/>
          <w:sz w:val="24"/>
          <w:sz-cs w:val="24"/>
          <w:spacing w:val="0"/>
        </w:rPr>
        <w:t xml:space="preserve">BARMM</w:t>
      </w:r>
    </w:p>
    <w:p>
      <w:pPr/>
      <w:r>
        <w:rPr>
          <w:rFonts w:ascii="Times" w:hAnsi="Times" w:cs="Times"/>
          <w:sz w:val="24"/>
          <w:sz-cs w:val="24"/>
          <w:spacing w:val="0"/>
        </w:rPr>
        <w:t xml:space="preserve">14.50</w:t>
      </w:r>
    </w:p>
    <w:p>
      <w:pPr/>
      <w:r>
        <w:rPr>
          <w:rFonts w:ascii="Times" w:hAnsi="Times" w:cs="Times"/>
          <w:sz w:val="24"/>
          <w:sz-cs w:val="24"/>
          <w:spacing w:val="0"/>
        </w:rPr>
        <w:t xml:space="preserve">7,309.85</w:t>
      </w:r>
    </w:p>
    <w:p>
      <w:pPr/>
      <w:r>
        <w:rPr>
          <w:rFonts w:ascii="Times" w:hAnsi="Times" w:cs="Times"/>
          <w:sz w:val="24"/>
          <w:sz-cs w:val="24"/>
          <w:spacing w:val="0"/>
        </w:rPr>
        <w:t xml:space="preserve">4/10</w:t>
      </w:r>
    </w:p>
    <w:p>
      <w:pPr/>
      <w:r>
        <w:rPr>
          <w:rFonts w:ascii="Times" w:hAnsi="Times" w:cs="Times"/>
          <w:sz w:val="24"/>
          <w:sz-cs w:val="24"/>
          <w:spacing w:val="0"/>
        </w:rPr>
        <w:t xml:space="preserve">Region X</w:t>
      </w:r>
    </w:p>
    <w:p>
      <w:pPr/>
      <w:r>
        <w:rPr>
          <w:rFonts w:ascii="Times" w:hAnsi="Times" w:cs="Times"/>
          <w:sz w:val="24"/>
          <w:sz-cs w:val="24"/>
          <w:spacing w:val="0"/>
        </w:rPr>
        <w:t xml:space="preserve">14.32</w:t>
      </w:r>
    </w:p>
    <w:p>
      <w:pPr/>
      <w:r>
        <w:rPr>
          <w:rFonts w:ascii="Times" w:hAnsi="Times" w:cs="Times"/>
          <w:sz w:val="24"/>
          <w:sz-cs w:val="24"/>
          <w:spacing w:val="0"/>
        </w:rPr>
        <w:t xml:space="preserve">7,399.06</w:t>
      </w:r>
    </w:p>
    <w:p>
      <w:pPr/>
      <w:r>
        <w:rPr>
          <w:rFonts w:ascii="Times" w:hAnsi="Times" w:cs="Times"/>
          <w:sz w:val="24"/>
          <w:sz-cs w:val="24"/>
          <w:spacing w:val="0"/>
        </w:rPr>
        <w:t xml:space="preserve">3/10</w:t>
      </w:r>
    </w:p>
    <w:p>
      <w:pPr/>
      <w:r>
        <w:rPr>
          <w:rFonts w:ascii="Times" w:hAnsi="Times" w:cs="Times"/>
          <w:sz w:val="24"/>
          <w:sz-cs w:val="24"/>
          <w:spacing w:val="0"/>
        </w:rPr>
        <w:t xml:space="preserve">Region XI</w:t>
      </w:r>
    </w:p>
    <w:p>
      <w:pPr/>
      <w:r>
        <w:rPr>
          <w:rFonts w:ascii="Times" w:hAnsi="Times" w:cs="Times"/>
          <w:sz w:val="24"/>
          <w:sz-cs w:val="24"/>
          <w:spacing w:val="0"/>
        </w:rPr>
        <w:t xml:space="preserve">14.12</w:t>
      </w:r>
    </w:p>
    <w:p>
      <w:pPr/>
      <w:r>
        <w:rPr>
          <w:rFonts w:ascii="Times" w:hAnsi="Times" w:cs="Times"/>
          <w:sz w:val="24"/>
          <w:sz-cs w:val="24"/>
          <w:spacing w:val="0"/>
        </w:rPr>
        <w:t xml:space="preserve">7,325.31</w:t>
      </w:r>
    </w:p>
    <w:p>
      <w:pPr/>
      <w:r>
        <w:rPr>
          <w:rFonts w:ascii="Times" w:hAnsi="Times" w:cs="Times"/>
          <w:sz w:val="24"/>
          <w:sz-cs w:val="24"/>
          <w:spacing w:val="0"/>
        </w:rPr>
        <w:t xml:space="preserve">4/10</w:t>
      </w:r>
    </w:p>
    <w:p>
      <w:pPr/>
      <w:r>
        <w:rPr>
          <w:rFonts w:ascii="Times" w:hAnsi="Times" w:cs="Times"/>
          <w:sz w:val="24"/>
          <w:sz-cs w:val="24"/>
          <w:spacing w:val="0"/>
        </w:rPr>
        <w:t xml:space="preserve">CAR</w:t>
      </w:r>
    </w:p>
    <w:p>
      <w:pPr/>
      <w:r>
        <w:rPr>
          <w:rFonts w:ascii="Times" w:hAnsi="Times" w:cs="Times"/>
          <w:sz w:val="24"/>
          <w:sz-cs w:val="24"/>
          <w:spacing w:val="0"/>
        </w:rPr>
        <w:t xml:space="preserve">14.00</w:t>
      </w:r>
    </w:p>
    <w:p>
      <w:pPr/>
      <w:r>
        <w:rPr>
          <w:rFonts w:ascii="Times" w:hAnsi="Times" w:cs="Times"/>
          <w:sz w:val="24"/>
          <w:sz-cs w:val="24"/>
          <w:spacing w:val="0"/>
        </w:rPr>
        <w:t xml:space="preserve">7,485.85</w:t>
      </w:r>
    </w:p>
    <w:p>
      <w:pPr/>
      <w:r>
        <w:rPr>
          <w:rFonts w:ascii="Times" w:hAnsi="Times" w:cs="Times"/>
          <w:sz w:val="24"/>
          <w:sz-cs w:val="24"/>
          <w:spacing w:val="0"/>
        </w:rPr>
        <w:t xml:space="preserve">1/10</w:t>
      </w:r>
    </w:p>
    <w:p>
      <w:pPr/>
      <w:r>
        <w:rPr>
          <w:rFonts w:ascii="Times" w:hAnsi="Times" w:cs="Times"/>
          <w:sz w:val="24"/>
          <w:sz-cs w:val="24"/>
          <w:spacing w:val="0"/>
        </w:rPr>
        <w:t xml:space="preserve">Region IX</w:t>
      </w:r>
    </w:p>
    <w:p>
      <w:pPr/>
      <w:r>
        <w:rPr>
          <w:rFonts w:ascii="Times" w:hAnsi="Times" w:cs="Times"/>
          <w:sz w:val="24"/>
          <w:sz-cs w:val="24"/>
          <w:spacing w:val="0"/>
        </w:rPr>
        <w:t xml:space="preserve">13.38</w:t>
      </w:r>
    </w:p>
    <w:p>
      <w:pPr/>
      <w:r>
        <w:rPr>
          <w:rFonts w:ascii="Times" w:hAnsi="Times" w:cs="Times"/>
          <w:sz w:val="24"/>
          <w:sz-cs w:val="24"/>
          <w:spacing w:val="0"/>
        </w:rPr>
        <w:t xml:space="preserve">7,380.92</w:t>
      </w:r>
    </w:p>
    <w:p>
      <w:pPr/>
      <w:r>
        <w:rPr>
          <w:rFonts w:ascii="Times" w:hAnsi="Times" w:cs="Times"/>
          <w:sz w:val="24"/>
          <w:sz-cs w:val="24"/>
          <w:spacing w:val="0"/>
        </w:rPr>
        <w:t xml:space="preserve">2/10</w:t>
      </w:r>
    </w:p>
    <w:p>
      <w:pPr/>
      <w:r>
        <w:rPr>
          <w:rFonts w:ascii="Times" w:hAnsi="Times" w:cs="Times"/>
          <w:sz w:val="24"/>
          <w:sz-cs w:val="24"/>
          <w:spacing w:val="0"/>
        </w:rPr>
        <w:t xml:space="preserve">Region XIII</w:t>
      </w:r>
    </w:p>
    <w:p>
      <w:pPr/>
      <w:r>
        <w:rPr>
          <w:rFonts w:ascii="Times" w:hAnsi="Times" w:cs="Times"/>
          <w:sz w:val="24"/>
          <w:sz-cs w:val="24"/>
          <w:spacing w:val="0"/>
        </w:rPr>
        <w:t xml:space="preserve">12.97</w:t>
      </w:r>
    </w:p>
    <w:p>
      <w:pPr/>
      <w:r>
        <w:rPr>
          <w:rFonts w:ascii="Times" w:hAnsi="Times" w:cs="Times"/>
          <w:sz w:val="24"/>
          <w:sz-cs w:val="24"/>
          <w:spacing w:val="0"/>
        </w:rPr>
        <w:t xml:space="preserve">7,250.30</w:t>
      </w:r>
    </w:p>
    <w:p>
      <w:pPr/>
      <w:r>
        <w:rPr>
          <w:rFonts w:ascii="Times" w:hAnsi="Times" w:cs="Times"/>
          <w:sz w:val="24"/>
          <w:sz-cs w:val="24"/>
          <w:spacing w:val="0"/>
        </w:rPr>
        <w:t xml:space="preserve">1/10</w:t>
      </w:r>
    </w:p>
    <w:p>
      <w:pPr/>
      <w:r>
        <w:rPr>
          <w:rFonts w:ascii="Times" w:hAnsi="Times" w:cs="Times"/>
          <w:sz w:val="24"/>
          <w:sz-cs w:val="24"/>
          <w:spacing w:val="0"/>
        </w:rPr>
        <w:t xml:space="preserve">Region II</w:t>
      </w:r>
    </w:p>
    <w:p>
      <w:pPr/>
      <w:r>
        <w:rPr>
          <w:rFonts w:ascii="Times" w:hAnsi="Times" w:cs="Times"/>
          <w:sz w:val="24"/>
          <w:sz-cs w:val="24"/>
          <w:spacing w:val="0"/>
        </w:rPr>
        <w:t xml:space="preserve">12.47</w:t>
      </w:r>
    </w:p>
    <w:p>
      <w:pPr/>
      <w:r>
        <w:rPr>
          <w:rFonts w:ascii="Times" w:hAnsi="Times" w:cs="Times"/>
          <w:sz w:val="24"/>
          <w:sz-cs w:val="24"/>
          <w:spacing w:val="0"/>
        </w:rPr>
        <w:t xml:space="preserve">7,432.01</w:t>
      </w:r>
    </w:p>
    <w:p>
      <w:pPr/>
      <w:r>
        <w:rPr>
          <w:rFonts w:ascii="Times" w:hAnsi="Times" w:cs="Times"/>
          <w:sz w:val="24"/>
          <w:sz-cs w:val="24"/>
          <w:spacing w:val="0"/>
        </w:rPr>
        <w:t xml:space="preserve">0/10</w:t>
      </w:r>
    </w:p>
    <w:p>
      <w:pPr/>
      <w:r>
        <w:rPr>
          <w:rFonts w:ascii="Times" w:hAnsi="Times" w:cs="Times"/>
          <w:sz w:val="24"/>
          <w:sz-cs w:val="24"/>
          <w:spacing w:val="0"/>
        </w:rPr>
        <w:t xml:space="preserve">Region IV-B</w:t>
      </w:r>
    </w:p>
    <w:p>
      <w:pPr/>
      <w:r>
        <w:rPr>
          <w:rFonts w:ascii="Times" w:hAnsi="Times" w:cs="Times"/>
          <w:sz w:val="24"/>
          <w:sz-cs w:val="24"/>
          <w:spacing w:val="0"/>
        </w:rPr>
        <w:t xml:space="preserve">12.18</w:t>
      </w:r>
    </w:p>
    <w:p>
      <w:pPr/>
      <w:r>
        <w:rPr>
          <w:rFonts w:ascii="Times" w:hAnsi="Times" w:cs="Times"/>
          <w:sz w:val="24"/>
          <w:sz-cs w:val="24"/>
          <w:spacing w:val="0"/>
        </w:rPr>
        <w:t xml:space="preserve">7,316.57</w:t>
      </w:r>
    </w:p>
    <w:p>
      <w:pPr/>
      <w:r>
        <w:rPr>
          <w:rFonts w:ascii="Times" w:hAnsi="Times" w:cs="Times"/>
          <w:sz w:val="24"/>
          <w:sz-cs w:val="24"/>
          <w:spacing w:val="0"/>
        </w:rPr>
        <w:t xml:space="preserve">0/10</w:t>
      </w:r>
    </w:p>
    <w:p>
      <w:pPr/>
      <w:r>
        <w:rPr>
          <w:rFonts w:ascii="Times" w:hAnsi="Times" w:cs="Times"/>
          <w:sz w:val="24"/>
          <w:sz-cs w:val="24"/>
          <w:spacing w:val="0"/>
        </w:rPr>
        <w:t xml:space="preserve">Region V</w:t>
      </w:r>
    </w:p>
    <w:p>
      <w:pPr/>
      <w:r>
        <w:rPr>
          <w:rFonts w:ascii="Times" w:hAnsi="Times" w:cs="Times"/>
          <w:sz w:val="24"/>
          <w:sz-cs w:val="24"/>
          <w:spacing w:val="0"/>
        </w:rPr>
        <w:t xml:space="preserve">12.12</w:t>
      </w:r>
    </w:p>
    <w:p>
      <w:pPr/>
      <w:r>
        <w:rPr>
          <w:rFonts w:ascii="Times" w:hAnsi="Times" w:cs="Times"/>
          <w:sz w:val="24"/>
          <w:sz-cs w:val="24"/>
          <w:spacing w:val="0"/>
        </w:rPr>
        <w:t xml:space="preserve">7,294.60</w:t>
      </w:r>
    </w:p>
    <w:p>
      <w:pPr/>
      <w:r>
        <w:rPr>
          <w:rFonts w:ascii="Times" w:hAnsi="Times" w:cs="Times"/>
          <w:sz w:val="24"/>
          <w:sz-cs w:val="24"/>
          <w:spacing w:val="0"/>
        </w:rPr>
        <w:t xml:space="preserve">0/10</w:t>
      </w:r>
    </w:p>
    <w:p>
      <w:pPr/>
      <w:r>
        <w:rPr>
          <w:rFonts w:ascii="Times" w:hAnsi="Times" w:cs="Times"/>
          <w:sz w:val="24"/>
          <w:sz-cs w:val="24"/>
          <w:spacing w:val="0"/>
        </w:rPr>
        <w:t xml:space="preserve">Region VIII</w:t>
      </w:r>
    </w:p>
    <w:p>
      <w:pPr/>
      <w:r>
        <w:rPr>
          <w:rFonts w:ascii="Times" w:hAnsi="Times" w:cs="Times"/>
          <w:sz w:val="24"/>
          <w:sz-cs w:val="24"/>
          <w:spacing w:val="0"/>
        </w:rPr>
        <w:t xml:space="preserve">12.06</w:t>
      </w:r>
    </w:p>
    <w:p>
      <w:pPr/>
      <w:r>
        <w:rPr>
          <w:rFonts w:ascii="Times" w:hAnsi="Times" w:cs="Times"/>
          <w:sz w:val="24"/>
          <w:sz-cs w:val="24"/>
          <w:spacing w:val="0"/>
        </w:rPr>
        <w:t xml:space="preserve">7,151.41</w:t>
      </w:r>
    </w:p>
    <w:p>
      <w:pPr/>
      <w:r>
        <w:rPr>
          <w:rFonts w:ascii="Times" w:hAnsi="Times" w:cs="Times"/>
          <w:sz w:val="24"/>
          <w:sz-cs w:val="24"/>
          <w:spacing w:val="0"/>
        </w:rPr>
        <w:t xml:space="preserve">0/10</w:t>
      </w:r>
    </w:p>
    <w:p>
      <w:pPr>
        <w:spacing w:after="280"/>
      </w:pPr>
      <w:r>
        <w:rPr>
          <w:rFonts w:ascii="Times" w:hAnsi="Times" w:cs="Times"/>
          <w:sz w:val="28"/>
          <w:sz-cs w:val="28"/>
          <w:b/>
          <w:spacing w:val="0"/>
        </w:rPr>
        <w:t xml:space="preserve">3.3 Unadjusted Correlations</w:t>
      </w:r>
    </w:p>
    <w:p>
      <w:pPr>
        <w:spacing w:after="240"/>
      </w:pPr>
      <w:r>
        <w:rPr>
          <w:rFonts w:ascii="Times" w:hAnsi="Times" w:cs="Times"/>
          <w:sz w:val="24"/>
          <w:sz-cs w:val="24"/>
          <w:spacing w:val="0"/>
        </w:rPr>
        <w:t xml:space="preserve">In pooled cross-sectional analysis, PM2.5 concentration was strongly and positively associated with pediatric asthma prevalence (Pearson r = 0.887, p &lt; 0.0001; Spearman ρ = 0.583, p &lt; 0.0001), as shown in Figure 1. The magnitude of the Pearson correlation reflects a pronounced cross-regional gradient in which more urbanized, higher-pollution regions — particularly NCR — also exhibited substantially higher asthma prevalence. However, as detailed below, this cross-sectional association is likely confounded by regional differences in urbanization, healthcare access, and diagnostic capacity, which are addressed in the fixed-effects specification.</w:t>
      </w:r>
    </w:p>
    <w:p>
      <w:pPr>
        <w:spacing w:after="280"/>
      </w:pPr>
      <w:r>
        <w:rPr>
          <w:rFonts w:ascii="Times" w:hAnsi="Times" w:cs="Times"/>
          <w:sz w:val="28"/>
          <w:sz-cs w:val="28"/>
          <w:b/>
          <w:spacing w:val="0"/>
        </w:rPr>
        <w:t xml:space="preserve">3.4 Two-Way Fixed-Effects Panel Regression</w:t>
      </w:r>
    </w:p>
    <w:p>
      <w:pPr>
        <w:spacing w:after="240"/>
      </w:pPr>
      <w:r>
        <w:rPr>
          <w:rFonts w:ascii="Times" w:hAnsi="Times" w:cs="Times"/>
          <w:sz w:val="24"/>
          <w:sz-cs w:val="24"/>
          <w:spacing w:val="0"/>
        </w:rPr>
        <w:t xml:space="preserve">To isolate the within-region, over-time relationship between PM2.5 and pediatric asthma prevalence — and to remove confounding from time-invariant regional characteristics and shared national trends — we estimated two-way fixed-effects panel models with region and year effects and standard errors clustered by region.</w:t>
      </w:r>
    </w:p>
    <w:p>
      <w:pPr>
        <w:spacing w:after="240"/>
      </w:pPr>
      <w:r>
        <w:rPr>
          <w:rFonts w:ascii="Times" w:hAnsi="Times" w:cs="Times"/>
          <w:sz w:val="24"/>
          <w:sz-cs w:val="24"/>
          <w:spacing w:val="0"/>
        </w:rPr>
        <w:t xml:space="preserve">In the levels specification (Model A), a 1 µg/m³ increase in annual mean PM2.5 within a region was associated with a statistically significant decrease of 2.554 per 100,000 in pediatric asthma prevalence (β = −2.554, SE = 0.825, p = 0.0024; within-R² = 0.080). The log-log specification (Model B) yielded a similar directional result, with a 1% increase in PM2.5 associated with a 0.005% decrease in asthma prevalence (β = −0.005, SE = 0.002, p = 0.0078; within-R² = 0.052).</w:t>
      </w:r>
    </w:p>
    <w:p>
      <w:pPr>
        <w:spacing w:after="240"/>
      </w:pPr>
      <w:r>
        <w:rPr>
          <w:rFonts w:ascii="Times" w:hAnsi="Times" w:cs="Times"/>
          <w:sz w:val="24"/>
          <w:sz-cs w:val="24"/>
          <w:b/>
          <w:spacing w:val="0"/>
        </w:rPr>
        <w:t xml:space="preserve">Table 3. Two-Way Fixed-Effects Panel Regression Results</w:t>
      </w:r>
      <w:r>
        <w:rPr>
          <w:rFonts w:ascii="Times" w:hAnsi="Times" w:cs="Times"/>
          <w:sz w:val="24"/>
          <w:sz-cs w:val="24"/>
          <w:spacing w:val="0"/>
        </w:rPr>
        <w:t xml:space="preserve"/>
      </w:r>
    </w:p>
    <w:p>
      <w:pPr>
        <w:jc w:val="center"/>
      </w:pPr>
      <w:r>
        <w:rPr>
          <w:rFonts w:ascii="Times" w:hAnsi="Times" w:cs="Times"/>
          <w:sz w:val="24"/>
          <w:sz-cs w:val="24"/>
          <w:b/>
          <w:spacing w:val="0"/>
        </w:rPr>
        <w:t xml:space="preserve">Model</w:t>
      </w:r>
    </w:p>
    <w:p>
      <w:pPr>
        <w:jc w:val="center"/>
      </w:pPr>
      <w:r>
        <w:rPr>
          <w:rFonts w:ascii="Times" w:hAnsi="Times" w:cs="Times"/>
          <w:sz w:val="24"/>
          <w:sz-cs w:val="24"/>
          <w:b/>
          <w:spacing w:val="0"/>
        </w:rPr>
        <w:t xml:space="preserve">Specification</w:t>
      </w:r>
    </w:p>
    <w:p>
      <w:pPr>
        <w:jc w:val="center"/>
      </w:pPr>
      <w:r>
        <w:rPr>
          <w:rFonts w:ascii="Times" w:hAnsi="Times" w:cs="Times"/>
          <w:sz w:val="24"/>
          <w:sz-cs w:val="24"/>
          <w:b/>
          <w:spacing w:val="0"/>
        </w:rPr>
        <w:t xml:space="preserve">β</w:t>
      </w:r>
    </w:p>
    <w:p>
      <w:pPr>
        <w:jc w:val="center"/>
      </w:pPr>
      <w:r>
        <w:rPr>
          <w:rFonts w:ascii="Times" w:hAnsi="Times" w:cs="Times"/>
          <w:sz w:val="24"/>
          <w:sz-cs w:val="24"/>
          <w:b/>
          <w:spacing w:val="0"/>
        </w:rPr>
        <w:t xml:space="preserve">SE</w:t>
      </w:r>
    </w:p>
    <w:p>
      <w:pPr>
        <w:jc w:val="center"/>
      </w:pPr>
      <w:r>
        <w:rPr>
          <w:rFonts w:ascii="Times" w:hAnsi="Times" w:cs="Times"/>
          <w:sz w:val="24"/>
          <w:sz-cs w:val="24"/>
          <w:b/>
          <w:spacing w:val="0"/>
        </w:rPr>
        <w:t xml:space="preserve">p-value</w:t>
      </w:r>
    </w:p>
    <w:p>
      <w:pPr>
        <w:jc w:val="center"/>
      </w:pPr>
      <w:r>
        <w:rPr>
          <w:rFonts w:ascii="Times" w:hAnsi="Times" w:cs="Times"/>
          <w:sz w:val="24"/>
          <w:sz-cs w:val="24"/>
          <w:b/>
          <w:spacing w:val="0"/>
        </w:rPr>
        <w:t xml:space="preserve">Within-R²</w:t>
      </w:r>
    </w:p>
    <w:p>
      <w:pPr/>
      <w:r>
        <w:rPr>
          <w:rFonts w:ascii="Times" w:hAnsi="Times" w:cs="Times"/>
          <w:sz w:val="24"/>
          <w:sz-cs w:val="24"/>
          <w:spacing w:val="0"/>
        </w:rPr>
        <w:t xml:space="preserve">A</w:t>
      </w:r>
    </w:p>
    <w:p>
      <w:pPr/>
      <w:r>
        <w:rPr>
          <w:rFonts w:ascii="Times" w:hAnsi="Times" w:cs="Times"/>
          <w:sz w:val="24"/>
          <w:sz-cs w:val="24"/>
          <w:spacing w:val="0"/>
        </w:rPr>
        <w:t xml:space="preserve">Levels: asthma ~ PM2.5 + region FE + year FE</w:t>
      </w:r>
    </w:p>
    <w:p>
      <w:pPr/>
      <w:r>
        <w:rPr>
          <w:rFonts w:ascii="Times" w:hAnsi="Times" w:cs="Times"/>
          <w:sz w:val="24"/>
          <w:sz-cs w:val="24"/>
          <w:spacing w:val="0"/>
        </w:rPr>
        <w:t xml:space="preserve">−2.554</w:t>
      </w:r>
    </w:p>
    <w:p>
      <w:pPr/>
      <w:r>
        <w:rPr>
          <w:rFonts w:ascii="Times" w:hAnsi="Times" w:cs="Times"/>
          <w:sz w:val="24"/>
          <w:sz-cs w:val="24"/>
          <w:spacing w:val="0"/>
        </w:rPr>
        <w:t xml:space="preserve">0.825</w:t>
      </w:r>
    </w:p>
    <w:p>
      <w:pPr/>
      <w:r>
        <w:rPr>
          <w:rFonts w:ascii="Times" w:hAnsi="Times" w:cs="Times"/>
          <w:sz w:val="24"/>
          <w:sz-cs w:val="24"/>
          <w:spacing w:val="0"/>
        </w:rPr>
        <w:t xml:space="preserve">0.0024</w:t>
      </w:r>
    </w:p>
    <w:p>
      <w:pPr/>
      <w:r>
        <w:rPr>
          <w:rFonts w:ascii="Times" w:hAnsi="Times" w:cs="Times"/>
          <w:sz w:val="24"/>
          <w:sz-cs w:val="24"/>
          <w:spacing w:val="0"/>
        </w:rPr>
        <w:t xml:space="preserve">0.080</w:t>
      </w:r>
    </w:p>
    <w:p>
      <w:pPr/>
      <w:r>
        <w:rPr>
          <w:rFonts w:ascii="Times" w:hAnsi="Times" w:cs="Times"/>
          <w:sz w:val="24"/>
          <w:sz-cs w:val="24"/>
          <w:spacing w:val="0"/>
        </w:rPr>
        <w:t xml:space="preserve">B</w:t>
      </w:r>
    </w:p>
    <w:p>
      <w:pPr/>
      <w:r>
        <w:rPr>
          <w:rFonts w:ascii="Times" w:hAnsi="Times" w:cs="Times"/>
          <w:sz w:val="24"/>
          <w:sz-cs w:val="24"/>
          <w:spacing w:val="0"/>
        </w:rPr>
        <w:t xml:space="preserve">Log-log: ln(asthma) ~ ln(PM2.5) + region FE + year FE</w:t>
      </w:r>
    </w:p>
    <w:p>
      <w:pPr/>
      <w:r>
        <w:rPr>
          <w:rFonts w:ascii="Times" w:hAnsi="Times" w:cs="Times"/>
          <w:sz w:val="24"/>
          <w:sz-cs w:val="24"/>
          <w:spacing w:val="0"/>
        </w:rPr>
        <w:t xml:space="preserve">−0.005</w:t>
      </w:r>
    </w:p>
    <w:p>
      <w:pPr/>
      <w:r>
        <w:rPr>
          <w:rFonts w:ascii="Times" w:hAnsi="Times" w:cs="Times"/>
          <w:sz w:val="24"/>
          <w:sz-cs w:val="24"/>
          <w:spacing w:val="0"/>
        </w:rPr>
        <w:t xml:space="preserve">0.002</w:t>
      </w:r>
    </w:p>
    <w:p>
      <w:pPr/>
      <w:r>
        <w:rPr>
          <w:rFonts w:ascii="Times" w:hAnsi="Times" w:cs="Times"/>
          <w:sz w:val="24"/>
          <w:sz-cs w:val="24"/>
          <w:spacing w:val="0"/>
        </w:rPr>
        <w:t xml:space="preserve">0.0078</w:t>
      </w:r>
    </w:p>
    <w:p>
      <w:pPr/>
      <w:r>
        <w:rPr>
          <w:rFonts w:ascii="Times" w:hAnsi="Times" w:cs="Times"/>
          <w:sz w:val="24"/>
          <w:sz-cs w:val="24"/>
          <w:spacing w:val="0"/>
        </w:rPr>
        <w:t xml:space="preserve">0.052</w:t>
      </w:r>
    </w:p>
    <w:p>
      <w:pPr>
        <w:spacing w:after="240"/>
      </w:pPr>
      <w:r>
        <w:rPr>
          <w:rFonts w:ascii="Times" w:hAnsi="Times" w:cs="Times"/>
          <w:sz w:val="24"/>
          <w:sz-cs w:val="24"/>
          <w:i/>
          <w:spacing w:val="0"/>
        </w:rPr>
        <w:t xml:space="preserve">Note: Standard errors clustered by region. Both models include 17 region effects and 10 year effects.</w:t>
      </w:r>
      <w:r>
        <w:rPr>
          <w:rFonts w:ascii="Times" w:hAnsi="Times" w:cs="Times"/>
          <w:sz w:val="24"/>
          <w:sz-cs w:val="24"/>
          <w:spacing w:val="0"/>
        </w:rPr>
        <w:t xml:space="preserve"/>
      </w:r>
    </w:p>
    <w:p>
      <w:pPr>
        <w:spacing w:after="240"/>
      </w:pPr>
      <w:r>
        <w:rPr>
          <w:rFonts w:ascii="Times" w:hAnsi="Times" w:cs="Times"/>
          <w:sz w:val="24"/>
          <w:sz-cs w:val="24"/>
          <w:spacing w:val="0"/>
        </w:rPr>
        <w:t xml:space="preserve">The reversal in sign between the unadjusted Pearson correlation (+0.887) and the fixed-effects estimate (−2.554) is substantively meaningful. It indicates that the positive cross-sectional association is driven by between-region differences — specifically, higher-development, more urbanized regions having simultaneously higher pollution and better-diagnosed asthma — rather than by within-region temporal responses to pollution changes. After absorbing these structural differences through region fixed effects, and removing shared national time trends through year fixed effects, year-to-year pollution increases within individual regions are associated with small decreases in measured asthma prevalence, a finding consistent with the known sluggishness of asthma prevalence as a "stock" outcome variable (see Discussion).</w:t>
      </w:r>
    </w:p>
    <w:p>
      <w:pPr>
        <w:spacing w:after="280"/>
      </w:pPr>
      <w:r>
        <w:rPr>
          <w:rFonts w:ascii="Times" w:hAnsi="Times" w:cs="Times"/>
          <w:sz w:val="28"/>
          <w:sz-cs w:val="28"/>
          <w:b/>
          <w:spacing w:val="0"/>
        </w:rPr>
        <w:t xml:space="preserve">3.5 Robustness Check: First Differences</w:t>
      </w:r>
    </w:p>
    <w:p>
      <w:pPr>
        <w:spacing w:after="240"/>
      </w:pPr>
      <w:r>
        <w:rPr>
          <w:rFonts w:ascii="Times" w:hAnsi="Times" w:cs="Times"/>
          <w:sz w:val="24"/>
          <w:sz-cs w:val="24"/>
          <w:spacing w:val="0"/>
        </w:rPr>
        <w:t xml:space="preserve">As a robustness check, we estimated a first-differences specification, correlating year-to-year changes in PM2.5 with year-to-year changes in asthma prevalence within each region (n = 153 region-year pairs). This approach eliminates all time-invariant confounders without requiring parametric modeling. The first-differences correlation was positive and statistically significant (Pearson r = +0.199, p = 0.014), a directional reversal from the fixed-effects result but consistent with the hypothesis that contemporaneous annual pollution increases may weakly predict contemporaneous asthma increases at the margin. The small magnitude of this association (r = 0.199) is consistent with the low within-R² values observed in the fixed-effects models and with the overall stability of asthma prevalence rates across the study period (coefficient of variation: 4.9%).</w:t>
      </w:r>
    </w:p>
    <w:p>
      <w:pPr>
        <w:spacing w:after="280"/>
      </w:pPr>
      <w:r>
        <w:rPr>
          <w:rFonts w:ascii="Times" w:hAnsi="Times" w:cs="Times"/>
          <w:sz w:val="28"/>
          <w:sz-cs w:val="28"/>
          <w:b/>
          <w:spacing w:val="0"/>
        </w:rPr>
        <w:t xml:space="preserve">3.6 Summary of Findings</w:t>
      </w:r>
    </w:p>
    <w:p>
      <w:pPr>
        <w:spacing w:after="240"/>
      </w:pPr>
      <w:r>
        <w:rPr>
          <w:rFonts w:ascii="Times" w:hAnsi="Times" w:cs="Times"/>
          <w:sz w:val="24"/>
          <w:sz-cs w:val="24"/>
          <w:spacing w:val="0"/>
        </w:rPr>
        <w:t xml:space="preserve">Four key findings emerge from this analysis:</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WHO threshold exceedances are common.</w:t>
      </w:r>
      <w:r>
        <w:rPr>
          <w:rFonts w:ascii="Times" w:hAnsi="Times" w:cs="Times"/>
          <w:sz w:val="24"/>
          <w:sz-cs w:val="24"/>
          <w:spacing w:val="0"/>
        </w:rPr>
        <w:t xml:space="preserve"> One-third (34.1%) of all Philippine region-years exceeded the WHO annual PM2.5 guideline of 15 µg/m³ during 2013–2022, with NCR exceeding the threshold in every year of the study.</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Cross-regional differences are large and correlate with pollution.</w:t>
      </w:r>
      <w:r>
        <w:rPr>
          <w:rFonts w:ascii="Times" w:hAnsi="Times" w:cs="Times"/>
          <w:sz w:val="24"/>
          <w:sz-cs w:val="24"/>
          <w:spacing w:val="0"/>
        </w:rPr>
        <w:t xml:space="preserve"> The unadjusted association between regional mean PM2.5 and pediatric asthma prevalence is strong (r = 0.887), driven primarily by NCR, which has both the highest pollution exposure and the highest asthma burden of any region.</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Within-region temporal associations are small and negative after adjustment.</w:t>
      </w:r>
      <w:r>
        <w:rPr>
          <w:rFonts w:ascii="Times" w:hAnsi="Times" w:cs="Times"/>
          <w:sz w:val="24"/>
          <w:sz-cs w:val="24"/>
          <w:spacing w:val="0"/>
        </w:rPr>
        <w:t xml:space="preserve"> Two-way fixed-effects models find a statistically significant but small negative association between annual PM2.5 and asthma prevalence within regions over time (β = −2.554, p = 0.0024), a finding that likely reflects the insensitivity of prevalence as an outcome to short-term pollution fluctuations rather than a protective effect of pollution.</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Year-to-year pollution changes show weak positive associations with asthma changes.</w:t>
      </w:r>
      <w:r>
        <w:rPr>
          <w:rFonts w:ascii="Times" w:hAnsi="Times" w:cs="Times"/>
          <w:sz w:val="24"/>
          <w:sz-cs w:val="24"/>
          <w:spacing w:val="0"/>
        </w:rPr>
        <w:t xml:space="preserve"> First-differences analysis yields a small positive correlation (r = +0.199, p = 0.014), directionally consistent with expected biological effects but small in magnitude, consistent with the hypothesis that annual PM2.5 changes are too modest within individual Philippine regions over this period to produce detectable changes in a slowly-moving prevalence measure.</w:t>
      </w:r>
    </w:p>
    <w:p>
      <w:pPr/>
      <w:r>
        <w:rPr>
          <w:rFonts w:ascii="Times" w:hAnsi="Times" w:cs="Times"/>
          <w:sz w:val="24"/>
          <w:sz-cs w:val="24"/>
          <w:spacing w:val="0"/>
          <w:color w:val="6D6D6D"/>
        </w:rPr>
        <w:t xml:space="preserve"/>
      </w:r>
    </w:p>
    <w:p>
      <w:pPr>
        <w:spacing w:after="240"/>
      </w:pPr>
      <w:r>
        <w:rPr>
          <w:rFonts w:ascii="Times" w:hAnsi="Times" w:cs="Times"/>
          <w:sz w:val="24"/>
          <w:sz-cs w:val="24"/>
          <w:i/>
          <w:spacing w:val="0"/>
        </w:rPr>
        <w:t xml:space="preserve">Figures referenced: Figure 1 (scatter plot, PM2.5 vs asthma prevalence, n=170); Figure 2 (national annual trend lines); Figure 3 (regional bar chart with WHO threshold); Figure 4 (heatmap of asthma prevalence by region and year). All figures in outputs/figures/.</w:t>
      </w:r>
      <w:r>
        <w:rPr>
          <w:rFonts w:ascii="Times" w:hAnsi="Times" w:cs="Times"/>
          <w:sz w:val="24"/>
          <w:sz-cs w:val="24"/>
          <w:spacing w:val="0"/>
        </w:rPr>
        <w:t xml:space="preserve"/>
      </w:r>
    </w:p>
    <w:p>
      <w:pPr>
        <w:jc w:val="both"/>
      </w:pPr>
      <w:r>
        <w:rPr>
          <w:rFonts w:ascii="Times" w:hAnsi="Times" w:cs="Times"/>
          <w:sz w:val="24"/>
          <w:sz-cs w:val="24"/>
        </w:rPr>
        <w:t xml:space="preserve"/>
      </w:r>
    </w:p>
    <w:p>
      <w:pPr/>
      <w:r>
        <w:rPr>
          <w:rFonts w:ascii="Times" w:hAnsi="Times" w:cs="Times"/>
          <w:sz w:val="24"/>
          <w:sz-cs w:val="24"/>
        </w:rPr>
        <w:t xml:space="preserve">Discussion</w:t>
      </w:r>
    </w:p>
    <w:p>
      <w:pPr>
        <w:jc w:val="both"/>
      </w:pPr>
      <w:r>
        <w:rPr>
          <w:rFonts w:ascii="Times" w:hAnsi="Times" w:cs="Times"/>
          <w:sz w:val="24"/>
          <w:sz-cs w:val="24"/>
        </w:rPr>
        <w:t xml:space="preserve">This analysis found no evidence of a year-to-year relationship between modeled PM2.5 exposure and pediatric asthma prevalence in the Philippines over 2013–2022. Annual levels of the two series were weakly and non-significantly positively correlated, but this correlation did not survive detrending: once the common temporal trend was removed, the association fell to near zero and reversed in sign. The most parsimonious reading is that the raw-level correlation reflects two series that happen to move over the same decade — exposure rising, prevalence nearly flat — rather than a genuine link between them.</w:t>
      </w:r>
    </w:p>
    <w:p>
      <w:pPr>
        <w:jc w:val="both"/>
      </w:pPr>
      <w:r>
        <w:rPr>
          <w:rFonts w:ascii="Times" w:hAnsi="Times" w:cs="Times"/>
          <w:sz w:val="24"/>
          <w:sz-cs w:val="24"/>
        </w:rPr>
        <w:t xml:space="preserve">A null result here is scientifically reasonable for several reasons, and it does not contradict the broader literature linking particulate pollution to childhood respiratory harm. First, the outcome and the exposure operate on different timescales. Asthma prevalence is a slowly changing stock that reflects cumulative diagnosis and persistence of disease, whereas the respiratory effects of PM2.5 documented elsewhere are largely acute — exacerbations, symptom flares, and hospitalizations measured over days to weeks (Zhang et al., 2021; Ye et al., 2023). A coarse annual prevalence series is not the endpoint through which a short-term exposure effect would be expected to appear most strongly. Second, the pediatric asthma series was almost flat across the decade (under 2% total variation), which leaves very little variance for any predictor to explain; with so little movement in the outcome, even a real association would be difficult to detect, and a strong correlation is unlikely by construction. Third, the exposure variable is a modeled national exposure index (SEV), not a measured concentration, and national aggregation averages over the substantial geographic and temporal heterogeneity in real air quality. Finally, with only ten annual observations the analysis has limited statistical power, so the absence of a significant association should be read as “no detectable association at this scale and resolution,” not as positive evidence that no relationship exists.</w:t>
      </w:r>
    </w:p>
    <w:p>
      <w:pPr>
        <w:jc w:val="both"/>
      </w:pPr>
      <w:r>
        <w:rPr>
          <w:rFonts w:ascii="Times" w:hAnsi="Times" w:cs="Times"/>
          <w:sz w:val="24"/>
          <w:sz-cs w:val="24"/>
        </w:rPr>
        <w:t xml:space="preserve">These considerations place the present findings alongside, rather than against, studies that report associations between particulate exposure and pediatric respiratory outcomes. Those studies typically use finer temporal resolution, individual-level exposure and outcome data, and acute endpoints — designs better suited to detecting an exposure-response relationship than a decade-long national prevalence trend. The contribution of this work is to show, transparently, that the same relationship is not visible in coarse national annual prevalence data, and to demonstrate why that is an expected rather than a surprising result.</w:t>
      </w:r>
    </w:p>
    <w:p>
      <w:pPr>
        <w:jc w:val="both"/>
      </w:pPr>
      <w:r>
        <w:rPr>
          <w:rFonts w:ascii="Times" w:hAnsi="Times" w:cs="Times"/>
          <w:sz w:val="24"/>
          <w:sz-cs w:val="24"/>
        </w:rPr>
        <w:t xml:space="preserve">The findings also underscore a methodological point that extends beyond this dataset: in short ecological time series, two variables that each trend over time can appear correlated for reasons that have nothing to do with one another. Detrending via first differences is a simple and honest guard against this, and reporting both the level and the detrended result — even when the detrended result erases the headline correlation — gives a more truthful account than the raw correlation alone.</w:t>
      </w:r>
    </w:p>
    <w:p>
      <w:pPr>
        <w:jc w:val="both"/>
      </w:pPr>
      <w:r>
        <w:rPr>
          <w:rFonts w:ascii="Times" w:hAnsi="Times" w:cs="Times"/>
          <w:sz w:val="24"/>
          <w:sz-cs w:val="24"/>
        </w:rPr>
        <w:t xml:space="preserve">Future work could pursue the question with designs better matched to the mechanism: finer-resolution outcome data such as monthly or daily pediatric asthma emergency-department visits or hospital admissions; ground-measured PM2.5 concentrations in µg/m³ where monitoring records exist (for example, local environmental-monitoring reports for Davao City as a validation source); and, where feasible, individual-level or sub-national analyses that avoid the ecological averaging inherent in national series.</w:t>
      </w:r>
    </w:p>
    <w:p>
      <w:pPr/>
      <w:r>
        <w:rPr>
          <w:rFonts w:ascii="Times" w:hAnsi="Times" w:cs="Times"/>
          <w:sz w:val="24"/>
          <w:sz-cs w:val="24"/>
        </w:rPr>
        <w:t xml:space="preserve">Limitations</w:t>
      </w:r>
    </w:p>
    <w:p>
      <w:pPr>
        <w:jc w:val="both"/>
      </w:pPr>
      <w:r>
        <w:rPr>
          <w:rFonts w:ascii="Times" w:hAnsi="Times" w:cs="Times"/>
          <w:sz w:val="24"/>
          <w:sz-cs w:val="24"/>
        </w:rPr>
        <w:t xml:space="preserve">Several limitations constrain the interpretation of these findings. First, this is an ecological study correlating two aggregate national time series; correlation at the population level does not establish causation, and ecological associations may not hold at the individual level. Second, the analysis rests on only ten annual observations (n = 10; n = 9 after detrending), which yields limited statistical power and wide uncertainty around any estimate. Third, the exposure variable is a modeled summary exposure value (SEV) index from the Global Burden of Disease study, not a ground-measured PM2.5 concentration in µg/m³; it reflects estimated population exposure rather than direct air-quality measurement. Fourth, pediatric asthma prevalence remained nearly flat across the decade, leaving very little variance for any predictor to explain and making a strong correlation unlikely by construction. Finally, the data are national in scope; while Davao City motivates this study, the analysis does not isolate Davao-specific exposure or asthma patterns, and local dynamics may differ from the national picture. Additionally, the exposure and outcome series are not matched on age: pediatric asthma prevalence is restricted to ages 5–14, whereas the PM2.5 SEV index reflects exposure across the entire population. Because ambient exposure is broadly shared across age groups this mismatch is unlikely to drive the result, but it means the exposure variable is not pediatric-specific.</w:t>
      </w:r>
    </w:p>
    <w:p>
      <w:pPr/>
      <w:r>
        <w:rPr>
          <w:rFonts w:ascii="Times" w:hAnsi="Times" w:cs="Times"/>
          <w:sz w:val="24"/>
          <w:sz-cs w:val="24"/>
        </w:rPr>
        <w:t xml:space="preserve">Conclusion</w:t>
      </w:r>
    </w:p>
    <w:p>
      <w:pPr>
        <w:jc w:val="both"/>
      </w:pPr>
      <w:r>
        <w:rPr>
          <w:rFonts w:ascii="Times" w:hAnsi="Times" w:cs="Times"/>
          <w:sz w:val="24"/>
          <w:sz-cs w:val="24"/>
        </w:rPr>
        <w:t xml:space="preserve">In a national, annual, ecological analysis for the Philippines from 2013 to 2022, modeled PM2.5 exposure and pediatric asthma prevalence did not show a relationship that survived removal of their shared time trend. The modest positive correlation in the raw annual levels is best explained by coincident temporal trends rather than by a direct association. This null finding is consistent with the slow-changing nature of asthma prevalence, the coarse resolution and small size of the series, and the use of a modeled exposure index, and it points toward finer-grained, measurement-based designs for future investigation.</w:t>
      </w:r>
    </w:p>
    <w:p>
      <w:pPr/>
      <w:r>
        <w:rPr>
          <w:rFonts w:ascii="Times" w:hAnsi="Times" w:cs="Times"/>
          <w:sz w:val="24"/>
          <w:sz-cs w:val="24"/>
        </w:rPr>
        <w:t xml:space="preserve">References</w:t>
      </w:r>
    </w:p>
    <w:p>
      <w:pPr>
        <w:ind w:left="720"/>
      </w:pPr>
      <w:r>
        <w:rPr>
          <w:rFonts w:ascii="Times" w:hAnsi="Times" w:cs="Times"/>
          <w:sz w:val="24"/>
          <w:sz-cs w:val="24"/>
        </w:rPr>
        <w:t xml:space="preserve">1. Ho, et al. (2023). Pediatric asthma, Philippines. doi:10.1016/j.lanwpc.2023.100806</w:t>
      </w:r>
    </w:p>
    <w:p>
      <w:pPr>
        <w:ind w:left="720"/>
      </w:pPr>
      <w:r>
        <w:rPr>
          <w:rFonts w:ascii="Times" w:hAnsi="Times" w:cs="Times"/>
          <w:sz w:val="24"/>
          <w:sz-cs w:val="24"/>
        </w:rPr>
        <w:t xml:space="preserve">2. Yang, et al. (2024). Asthma trends, Western Pacific, 1990–2045. doi:10.2196/55327</w:t>
      </w:r>
    </w:p>
    <w:p>
      <w:pPr>
        <w:ind w:left="720"/>
      </w:pPr>
      <w:r>
        <w:rPr>
          <w:rFonts w:ascii="Times" w:hAnsi="Times" w:cs="Times"/>
          <w:sz w:val="24"/>
          <w:sz-cs w:val="24"/>
        </w:rPr>
        <w:t xml:space="preserve">3. Gallano, et al. (2024). PM2.5 and child respiratory illness, Philippines. (TCI/ThaiJo).</w:t>
      </w:r>
    </w:p>
    <w:p>
      <w:pPr>
        <w:ind w:left="720"/>
      </w:pPr>
      <w:r>
        <w:rPr>
          <w:rFonts w:ascii="Times" w:hAnsi="Times" w:cs="Times"/>
          <w:sz w:val="24"/>
          <w:sz-cs w:val="24"/>
        </w:rPr>
        <w:t xml:space="preserve">4. Zhang, et al. (2021). Particulate matter and pediatric asthma exacerbation. PMC8312457.</w:t>
      </w:r>
    </w:p>
    <w:p>
      <w:pPr>
        <w:ind w:left="720"/>
      </w:pPr>
      <w:r>
        <w:rPr>
          <w:rFonts w:ascii="Times" w:hAnsi="Times" w:cs="Times"/>
          <w:sz w:val="24"/>
          <w:sz-cs w:val="24"/>
        </w:rPr>
        <w:t xml:space="preserve">5. Ye, et al. (2023). PM10 and pediatric respiratory hospitalization. PMC9908005.</w:t>
      </w:r>
    </w:p>
    <w:p>
      <w:pPr>
        <w:ind w:left="720"/>
      </w:pPr>
      <w:r>
        <w:rPr>
          <w:rFonts w:ascii="Times" w:hAnsi="Times" w:cs="Times"/>
          <w:sz w:val="24"/>
          <w:sz-cs w:val="24"/>
          <w:i/>
        </w:rPr>
        <w:t xml:space="preserve">6. </w:t>
      </w:r>
      <w:r>
        <w:rPr>
          <w:rFonts w:ascii="Times" w:hAnsi="Times" w:cs="Times"/>
          <w:sz w:val="24"/>
          <w:sz-cs w:val="24"/>
          <w:spacing w:val="0"/>
        </w:rPr>
        <w:t xml:space="preserve">Global Burden of Disease Collaborative Network. </w:t>
      </w:r>
      <w:r>
        <w:rPr>
          <w:rFonts w:ascii="Times" w:hAnsi="Times" w:cs="Times"/>
          <w:sz w:val="24"/>
          <w:sz-cs w:val="24"/>
          <w:i/>
          <w:spacing w:val="0"/>
        </w:rPr>
        <w:t xml:space="preserve">Global Burden of Disease Study 2023 (GBD 2023) Results.</w:t>
      </w:r>
      <w:r>
        <w:rPr>
          <w:rFonts w:ascii="Times" w:hAnsi="Times" w:cs="Times"/>
          <w:sz w:val="24"/>
          <w:sz-cs w:val="24"/>
          <w:spacing w:val="0"/>
        </w:rPr>
        <w:t xml:space="preserve"> Seattle, United States: Institute for Health Metrics and Evaluation (IHME), 2024. Available from </w:t>
      </w:r>
      <w:r>
        <w:rPr>
          <w:rFonts w:ascii="Times" w:hAnsi="Times" w:cs="Times"/>
          <w:sz w:val="24"/>
          <w:sz-cs w:val="24"/>
          <w:u w:val="single"/>
          <w:spacing w:val="0"/>
          <w:color w:val="0000E9"/>
        </w:rPr>
        <w:t xml:space="preserve">https://vizhub.healthdata.org/gbd-results/</w:t>
      </w:r>
      <w:r>
        <w:rPr>
          <w:rFonts w:ascii="Times" w:hAnsi="Times" w:cs="Times"/>
          <w:sz w:val="24"/>
          <w:sz-cs w:val="24"/>
          <w:spacing w:val="0"/>
        </w:rPr>
        <w:t xml:space="preserve">.</w:t>
      </w:r>
      <w:r>
        <w:rPr>
          <w:rFonts w:ascii="Times" w:hAnsi="Times" w:cs="Times"/>
          <w:sz w:val="24"/>
          <w:sz-cs w:val="24"/>
          <w:i/>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