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Arial" w:hAnsi="Arial"/>
          <w:b/>
          <w:i w:val="0"/>
          <w:sz w:val="22"/>
        </w:rPr>
        <w:t>Hertzan D. Alquizola II</w:t>
      </w:r>
    </w:p>
    <w:p>
      <w:pPr>
        <w:spacing w:after="0"/>
      </w:pPr>
      <w:r>
        <w:rPr>
          <w:rFonts w:ascii="Arial" w:hAnsi="Arial"/>
          <w:b w:val="0"/>
          <w:i w:val="0"/>
          <w:sz w:val="22"/>
        </w:rPr>
        <w:t>Independent Researcher, Lee County High School, Leesburg, GA, USA</w:t>
      </w:r>
    </w:p>
    <w:p>
      <w:pPr>
        <w:spacing w:after="400"/>
      </w:pPr>
      <w:r>
        <w:rPr>
          <w:rFonts w:ascii="Arial" w:hAnsi="Arial"/>
          <w:b w:val="0"/>
          <w:i w:val="0"/>
          <w:sz w:val="22"/>
        </w:rPr>
        <w:t>[email address]</w:t>
      </w:r>
    </w:p>
    <w:p>
      <w:pPr>
        <w:spacing w:after="400"/>
      </w:pPr>
      <w:r>
        <w:rPr>
          <w:rFonts w:ascii="Arial" w:hAnsi="Arial"/>
          <w:b w:val="0"/>
          <w:i w:val="0"/>
          <w:sz w:val="22"/>
        </w:rPr>
        <w:t>[Date]</w:t>
      </w:r>
    </w:p>
    <w:p>
      <w:pPr>
        <w:spacing w:after="0"/>
      </w:pPr>
      <w:r>
        <w:rPr>
          <w:rFonts w:ascii="Arial" w:hAnsi="Arial"/>
          <w:b w:val="0"/>
          <w:i w:val="0"/>
          <w:sz w:val="22"/>
        </w:rPr>
        <w:t>The Editor-in-Chief</w:t>
      </w:r>
    </w:p>
    <w:p>
      <w:pPr>
        <w:spacing w:after="0"/>
      </w:pPr>
      <w:r>
        <w:rPr>
          <w:rFonts w:ascii="Arial" w:hAnsi="Arial"/>
          <w:b w:val="0"/>
          <w:i w:val="0"/>
          <w:sz w:val="22"/>
        </w:rPr>
        <w:t>Air Quality, Atmosphere &amp; Health</w:t>
      </w:r>
    </w:p>
    <w:p>
      <w:pPr>
        <w:spacing w:after="400"/>
      </w:pPr>
      <w:r>
        <w:rPr>
          <w:rFonts w:ascii="Arial" w:hAnsi="Arial"/>
          <w:b w:val="0"/>
          <w:i w:val="0"/>
          <w:sz w:val="22"/>
        </w:rPr>
        <w:t>Springer</w:t>
      </w:r>
    </w:p>
    <w:p>
      <w:pPr>
        <w:spacing w:after="320"/>
      </w:pPr>
      <w:r>
        <w:rPr>
          <w:rFonts w:ascii="Arial" w:hAnsi="Arial"/>
          <w:b/>
          <w:i w:val="0"/>
          <w:sz w:val="22"/>
        </w:rPr>
        <w:t>Re: Submission of original research article — “Satellite Product-Version Drift in Multi-Year PM2.5 Exposure Panels: A Methodological Caution from a Ground-Station Validation in Davao City, Philippines”</w:t>
      </w:r>
    </w:p>
    <w:p>
      <w:pPr>
        <w:spacing w:after="240"/>
      </w:pPr>
      <w:r>
        <w:rPr>
          <w:rFonts w:ascii="Arial" w:hAnsi="Arial"/>
          <w:b w:val="0"/>
          <w:i w:val="0"/>
          <w:sz w:val="22"/>
        </w:rPr>
        <w:t>Dear Editor,</w:t>
      </w:r>
    </w:p>
    <w:p>
      <w:pPr>
        <w:spacing w:after="240"/>
      </w:pPr>
      <w:r>
        <w:rPr>
          <w:rFonts w:ascii="Arial" w:hAnsi="Arial"/>
          <w:b w:val="0"/>
          <w:i w:val="0"/>
          <w:sz w:val="22"/>
        </w:rPr>
        <w:t>I am submitting an original research manuscript for consideration in Air Quality, Atmosphere &amp; Health. The manuscript's central and, I believe, most broadly relevant contribution is a methodological one: a systematic 2.87 µg/m³ discrepancy (mean absolute error 1.48 vs. 3.65 µg/m³ against co-located ground stations) between two releases of the same widely used satellite-derived PM2.5 product (ACAG), measured at identical locations and years in Davao City, Philippines.</w:t>
      </w:r>
    </w:p>
    <w:p>
      <w:pPr>
        <w:spacing w:after="240"/>
      </w:pPr>
      <w:r>
        <w:rPr>
          <w:rFonts w:ascii="Arial" w:hAnsi="Arial"/>
          <w:b w:val="0"/>
          <w:i w:val="0"/>
          <w:sz w:val="22"/>
        </w:rPr>
        <w:t>This version-drift effect is not specific to the Philippines. ACAG, like other modeled global PM2.5 products such as CAMS reanalysis and NASA's MODIS/MAIAC-derived surface estimates, is the output of a retrieval-and-calibration pipeline that is periodically revised as new satellite instruments, aerosol-optical-depth algorithms, geophysical priors and machine-learning components become available. Any research group building a multi-year subnational panel that happens to span one of these product-version boundaries — a routine occurrence given how frequently these products are updated — is exposed to a shift large enough to manufacture a spurious trend or mask a genuine one. This is a systematic source of bias that current practice in air-pollution epidemiology does not routinely test for, and it is most acute in exactly the low- and middle-income settings where ground-monitoring networks are sparsest and independent validation is hardest to come by — which is itself the wider methodological point.</w:t>
      </w:r>
    </w:p>
    <w:p>
      <w:pPr>
        <w:spacing w:after="240"/>
      </w:pPr>
      <w:r>
        <w:rPr>
          <w:rFonts w:ascii="Arial" w:hAnsi="Arial"/>
          <w:b w:val="0"/>
          <w:i w:val="0"/>
          <w:sz w:val="22"/>
        </w:rPr>
        <w:t>The Davao City ground-station comparison that surfaced this effect was conducted as part of a broader subnational panel study of satellite-derived PM2.5 and pediatric asthma prevalence across the 17 regions of the Philippines (2013–2022). That panel analysis, reported in the manuscript as context for the validation exercise, found that a strong pooled correlation between PM2.5 and asthma prevalence (r = +0.887) reverses and weakens once two-way fixed effects isolate within-region variation (β = −2.554, within-R² = 0.080) — evidence that the pooled association is substantially confounded by between-region differences in urbanization and diagnostic capacity rather than reflecting a direct temporal pollution effect. I include this analysis because it is the reason the validation exercise exists, and because a paper that finds a null result on its primary epidemiological question should not go unreported — but I want to be direct that I am submitting to Air Quality, Atmosphere &amp; Health specifically because of the journal's stated scope in satellite-based exposure measurement and its explicit interest in generalizable methodological contributions, and the version-drift finding is the part of this manuscript designed to travel well beyond one country's data.</w:t>
      </w:r>
    </w:p>
    <w:p>
      <w:pPr>
        <w:spacing w:after="240"/>
      </w:pPr>
      <w:r>
        <w:rPr>
          <w:rFonts w:ascii="Arial" w:hAnsi="Arial"/>
          <w:b w:val="0"/>
          <w:i w:val="0"/>
          <w:sz w:val="22"/>
        </w:rPr>
        <w:t>As a concrete recommendation arising from this finding, the manuscript proposes that any panel study built on ACAG, CAMS, NASA or comparable modeled satellite exposure products run a within-location, cross-version reconciliation check before treating a multi-year series as internally consistent — a low-cost step that current practice in the field does not treat as standard.</w:t>
      </w:r>
    </w:p>
    <w:p>
      <w:pPr>
        <w:spacing w:after="240"/>
      </w:pPr>
      <w:r>
        <w:rPr>
          <w:rFonts w:ascii="Arial" w:hAnsi="Arial"/>
          <w:b w:val="0"/>
          <w:i w:val="0"/>
          <w:sz w:val="22"/>
        </w:rPr>
        <w:t>This manuscript is original, has not been published previously, and is not under consideration elsewhere. I have no conflicts of interest to declare. As noted in the manuscript's Artificial Intelligence Disclosure, an AI assistant (Claude, Anthropic) was used for Python scripting, data processing, figure generation and document assembly; all analytical decisions, interpretation and scientific conclusions are my own, and I take full responsibility for the content of the manuscript.</w:t>
      </w:r>
    </w:p>
    <w:p>
      <w:pPr>
        <w:spacing w:after="400"/>
      </w:pPr>
      <w:r>
        <w:rPr>
          <w:rFonts w:ascii="Arial" w:hAnsi="Arial"/>
          <w:b w:val="0"/>
          <w:i w:val="0"/>
          <w:sz w:val="22"/>
        </w:rPr>
        <w:t>Thank you for considering this submission. I would be glad to provide any additional information the editorial team requires.</w:t>
      </w:r>
    </w:p>
    <w:p>
      <w:pPr>
        <w:spacing w:after="600"/>
      </w:pPr>
      <w:r>
        <w:rPr>
          <w:rFonts w:ascii="Arial" w:hAnsi="Arial"/>
          <w:b w:val="0"/>
          <w:i w:val="0"/>
          <w:sz w:val="22"/>
        </w:rPr>
        <w:t>Sincerely,</w:t>
      </w:r>
    </w:p>
    <w:p>
      <w:pPr>
        <w:spacing w:after="0"/>
      </w:pPr>
      <w:r>
        <w:rPr>
          <w:rFonts w:ascii="Arial" w:hAnsi="Arial"/>
          <w:b w:val="0"/>
          <w:i w:val="0"/>
          <w:sz w:val="22"/>
        </w:rPr>
        <w:t>Hertzan D. Alquizola II</w:t>
      </w:r>
    </w:p>
    <w:p>
      <w:pPr>
        <w:spacing w:after="0"/>
      </w:pPr>
      <w:r>
        <w:rPr>
          <w:rFonts w:ascii="Arial" w:hAnsi="Arial"/>
          <w:b w:val="0"/>
          <w:i w:val="0"/>
          <w:sz w:val="22"/>
        </w:rPr>
        <w:t>Independent Researcher, Lee County High School, Leesburg, GA, USA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