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STS 2027 Research Report — Compliance &amp; Prose Review</w:t>
      </w:r>
    </w:p>
    <w:p>
      <w:pPr>
        <w:spacing w:after="80"/>
      </w:pPr>
      <w:r>
        <w:rPr>
          <w:i/>
          <w:iCs/>
        </w:rPr>
        <w:t xml:space="preserve">Manuscript reviewed: PM25_Pediatric_Asthma_Philippines_REFORMATTED.docx</w:t>
      </w:r>
    </w:p>
    <w:p>
      <w:pPr>
        <w:spacing w:after="80"/>
      </w:pPr>
      <w:r>
        <w:rPr>
          <w:i/>
          <w:iCs/>
        </w:rPr>
        <w:t xml:space="preserve">Guideline source: Regeneron STS 2027 Research Report Guidelines (official PDF, fetched directly)</w:t>
      </w:r>
    </w:p>
    <w:p>
      <w:pPr>
        <w:spacing w:after="240"/>
      </w:pPr>
      <w:r>
        <w:rPr>
          <w:b/>
          <w:bCs/>
        </w:rPr>
        <w:t xml:space="preserve">This document flags issues only. No prose in the manuscript itself was rewritten, rephrased, or regenerated — per your hard rule, all wording decisions remain yours.</w:t>
      </w:r>
    </w:p>
    <w:p>
      <w:pPr>
        <w:pStyle w:val="Heading1"/>
      </w:pPr>
      <w:r>
        <w:t xml:space="preserve">1. Formatting &amp; Rules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rPr>
          <w:tblHeader/>
        </w:trPr>
        <w:tc>
          <w:tcPr>
            <w:tcW w:type="dxa" w:w="2600"/>
            <w:tcBorders>
              <w:top w:val="single" w:color="CCCCCC" w:sz="1"/>
              <w:left w:val="single" w:color="CCCCCC" w:sz="1"/>
              <w:bottom w:val="single" w:color="CCCCCC" w:sz="1"/>
              <w:right w:val="single" w:color="CCCCCC" w:sz="1"/>
            </w:tcBorders>
            <w:shd w:fill="D9E2F0" w:val="clear"/>
            <w:tcMar>
              <w:top w:type="dxa" w:w="80"/>
              <w:left w:type="dxa" w:w="100"/>
              <w:bottom w:type="dxa" w:w="80"/>
              <w:right w:type="dxa" w:w="100"/>
            </w:tcMar>
          </w:tcPr>
          <w:p>
            <w:r>
              <w:rPr>
                <w:b/>
                <w:bCs/>
                <w:sz w:val="20"/>
                <w:szCs w:val="20"/>
              </w:rPr>
              <w:t xml:space="preserve">Rule (2027 STS Research Report Guidelines)</w:t>
            </w:r>
          </w:p>
        </w:tc>
        <w:tc>
          <w:tcPr>
            <w:tcW w:type="dxa" w:w="1400"/>
            <w:tcBorders>
              <w:top w:val="single" w:color="CCCCCC" w:sz="1"/>
              <w:left w:val="single" w:color="CCCCCC" w:sz="1"/>
              <w:bottom w:val="single" w:color="CCCCCC" w:sz="1"/>
              <w:right w:val="single" w:color="CCCCCC" w:sz="1"/>
            </w:tcBorders>
            <w:shd w:fill="D9E2F0" w:val="clear"/>
            <w:tcMar>
              <w:top w:type="dxa" w:w="80"/>
              <w:left w:type="dxa" w:w="100"/>
              <w:bottom w:type="dxa" w:w="80"/>
              <w:right w:type="dxa" w:w="100"/>
            </w:tcMar>
          </w:tcPr>
          <w:p>
            <w:r>
              <w:rPr>
                <w:b/>
                <w:bCs/>
                <w:sz w:val="20"/>
                <w:szCs w:val="20"/>
              </w:rPr>
              <w:t xml:space="preserve">Status</w:t>
            </w:r>
          </w:p>
        </w:tc>
        <w:tc>
          <w:tcPr>
            <w:tcW w:type="dxa" w:w="1600"/>
            <w:tcBorders>
              <w:top w:val="single" w:color="CCCCCC" w:sz="1"/>
              <w:left w:val="single" w:color="CCCCCC" w:sz="1"/>
              <w:bottom w:val="single" w:color="CCCCCC" w:sz="1"/>
              <w:right w:val="single" w:color="CCCCCC" w:sz="1"/>
            </w:tcBorders>
            <w:shd w:fill="D9E2F0" w:val="clear"/>
            <w:tcMar>
              <w:top w:type="dxa" w:w="80"/>
              <w:left w:type="dxa" w:w="100"/>
              <w:bottom w:type="dxa" w:w="80"/>
              <w:right w:type="dxa" w:w="100"/>
            </w:tcMar>
          </w:tcPr>
          <w:p>
            <w:r>
              <w:rPr>
                <w:b/>
                <w:bCs/>
                <w:sz w:val="20"/>
                <w:szCs w:val="20"/>
              </w:rPr>
              <w:t xml:space="preserve">Location</w:t>
            </w:r>
          </w:p>
        </w:tc>
        <w:tc>
          <w:tcPr>
            <w:tcW w:type="dxa" w:w="3760"/>
            <w:tcBorders>
              <w:top w:val="single" w:color="CCCCCC" w:sz="1"/>
              <w:left w:val="single" w:color="CCCCCC" w:sz="1"/>
              <w:bottom w:val="single" w:color="CCCCCC" w:sz="1"/>
              <w:right w:val="single" w:color="CCCCCC" w:sz="1"/>
            </w:tcBorders>
            <w:shd w:fill="D9E2F0" w:val="clear"/>
            <w:tcMar>
              <w:top w:type="dxa" w:w="80"/>
              <w:left w:type="dxa" w:w="100"/>
              <w:bottom w:type="dxa" w:w="80"/>
              <w:right w:type="dxa" w:w="100"/>
            </w:tcMar>
          </w:tcPr>
          <w:p>
            <w:r>
              <w:rPr>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Title page (p.1) + Abstract (p.2), separate from body; both excluded from 20-page limit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NOT 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Page 1</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Title block, author info, keywords, AND the full Abstract are all crammed onto one page (p.1); Introduction already starts on p.2. No page breaks separate title / abstract / body.</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Recommended structure: intro, methods/results, discussion (no required order)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Whole doc</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Has Introduction, Methods, Results, Discussion, Limitations, Conclusion.</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Title page: name + project title (required); no email/phone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Page 1</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Name and title present; no email or phone number found.</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Appendices count toward 20-page limit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 appendix; all tables/figures are inline in the body.</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20-page content limit (excl. title/abstract/bibliography)</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Whole doc</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Current PDF export is 15 pages total (incl. title+abstract+refs) at present formatting. Will need to re-check once 1.5-line-spacing and separate title/abstract pages are applied in the formatting pass — page count will grow.</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Bibliography with internal citations; reference list must not be AI-generated / hallucinated</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Needs verification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References, p.~15</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8 numbered references present, each with a DOI/PMC ID. Recommend the author personally re-verify all 8 resolve to real sources before submission, since AI assisted with “document assembly” per the AI Disclosure section. Also: reference #3 (Gallano et al., 2024) is never cited anywhere in the body text — orphaned reference, needs a decision (cite it or remove it).</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Font ≥ Times New Roman 11pt (captions may be smaller)</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Whole doc</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Default body font is Times New Roman, 11pt exactly — at the floor, not below it.</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1.5 line spacing</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NOT 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Whole doc</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Document XML specifies w:line="276" (≈1.15 lines), not 360 (1.5 lines). Needs a global line-spacing fix.</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1” margins on all sides; no multiple columns</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Whole doc</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Margins confirmed at exactly 1” (1440 twips) top/bottom/left/right; single column confirmed.</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Page numbers in bottom-right corner, starting after the abstract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NOT 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Footer, all pages</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Footer page-number field is center-aligned, not right-aligned. Also numbers currently appear starting on page 1 (the title/abstract page) with no suppression — numbering should not start until after the abstract.</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 photographs of people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Figures 1–6</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All figures are data plots (scatter, heatmap, bar chart, forest plots) — no photos of people.</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 links in the Research Report except in bibliographic references</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NOT 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Page 1 title block; Methods p.~3; Footnote 1</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 bare GitHub URL appears in the title block (“GitHub: github.com/...”). “gadm.org” is named inline in Methods (Exposure Data). “satpm.org” is named inline in Footnote 1. None of these are in the bibliography — needs a decision on whether to cite them formally or remove.</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Every image/graph/table/chart cited per Citation Guide, Appendix 3 (p.33)</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Needs verification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Figures 1–6, Tables 1–6</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Appendix 3 itself was not retrieved by this fetch (only the main guideline body came through) — its exact citation format needs to be checked directly. As currently written, none of the 6 figures or 6 tables carry an explicit “Source:” / citation line in their caption; the data source is only stated in body prose (Methods). Recommend confirming Appendix 3’s required format once available.</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Generative AI must not be used to write the Research Report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Needs verification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“Artificial Intelligence Disclosure” section, second-to-last page</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HIGHEST-PRIORITY ITEM. The manuscript currently contains a full disclosure section stating an AI assistant helped with “Python scripting, data processing, figure generation, and document assembly” and that analytical decisions were made “in dialogue with the tool.” The guideline states the report must be written without generative AI, and that reviewers/mentors may not provide replacement text or rewrite any portion of the entry. Whether this disclosure describes assistance that falls inside or outside what STS permits is a judgment call only you (ideally with your mentor or STS directly) should make before submission — flagging rather than deciding.</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First-person voice: use “I” (not “we”) for solo research if the field conventionally uses “we”; otherwise passive voice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Needs verification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Throughout</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This is a single-author paper, but “we” appears 13 times (“we merged...,” “we calculated...,” “we conducted...”). Guideline specifically wants this changed to “I” (or passive) to clarify what was done independently. This is a prose change across many sentences — left for your own edit pass, not made here.</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 lengthy literature review/history of other researchers’ procedures beyond a short intro; no lengthy autobiographical material</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Introduction</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Introduction is 6 paragraphs, background-and-gap framing only; no autobiographical content anywhere in the manuscript.</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 survey data/statistics uploaded within the Research Report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No survey instrument used in this study.</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Final PDF ≤ 4MB (note: your task message said 2MB — the guideline itself states 4MB; flagging the correction)</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Compliant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Whole doc</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Current PDF export is ~1.3MB. Should stay well under budget even after formatting fixes, but re-check after final export.</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File named “LASTNAME.FIRSTNAME.ZIPCODE” at upload</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Needs verification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Submission step, not a doc property</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Action item for upload time, not something in the file itself.</w:t>
            </w:r>
          </w:p>
        </w:tc>
      </w:tr>
    </w:tbl>
    <w:p>
      <w:pPr>
        <w:pStyle w:val="Heading1"/>
      </w:pPr>
      <w:r>
        <w:t xml:space="preserve">2. In-Text Citation Style Inventory</w:t>
      </w:r>
    </w:p>
    <w:p>
      <w:pPr>
        <w:spacing w:after="160"/>
      </w:pPr>
      <w:r>
        <w:rPr>
          <w:i/>
          <w:iCs/>
        </w:rPr>
        <w:t xml:space="preserve">The manuscript currently mixes three citation conventions. Every instance is listed below so you can decide which single style to standardize on (task 6, once you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D9E2F0" w:val="clear"/>
            <w:tcMar>
              <w:top w:type="dxa" w:w="80"/>
              <w:left w:type="dxa" w:w="100"/>
              <w:bottom w:type="dxa" w:w="80"/>
              <w:right w:type="dxa" w:w="100"/>
            </w:tcMar>
          </w:tcPr>
          <w:p>
            <w:r>
              <w:rPr>
                <w:b/>
                <w:bCs/>
                <w:sz w:val="20"/>
                <w:szCs w:val="20"/>
              </w:rPr>
              <w:t xml:space="preserve">Style used</w:t>
            </w:r>
          </w:p>
        </w:tc>
        <w:tc>
          <w:tcPr>
            <w:tcW w:type="dxa" w:w="2400"/>
            <w:tcBorders>
              <w:top w:val="single" w:color="CCCCCC" w:sz="1"/>
              <w:left w:val="single" w:color="CCCCCC" w:sz="1"/>
              <w:bottom w:val="single" w:color="CCCCCC" w:sz="1"/>
              <w:right w:val="single" w:color="CCCCCC" w:sz="1"/>
            </w:tcBorders>
            <w:shd w:fill="D9E2F0" w:val="clear"/>
            <w:tcMar>
              <w:top w:type="dxa" w:w="80"/>
              <w:left w:type="dxa" w:w="100"/>
              <w:bottom w:type="dxa" w:w="80"/>
              <w:right w:type="dxa" w:w="100"/>
            </w:tcMar>
          </w:tcPr>
          <w:p>
            <w:r>
              <w:rPr>
                <w:b/>
                <w:bCs/>
                <w:sz w:val="20"/>
                <w:szCs w:val="20"/>
              </w:rPr>
              <w:t xml:space="preserve">Instance</w:t>
            </w:r>
          </w:p>
        </w:tc>
        <w:tc>
          <w:tcPr>
            <w:tcW w:type="dxa" w:w="5360"/>
            <w:tcBorders>
              <w:top w:val="single" w:color="CCCCCC" w:sz="1"/>
              <w:left w:val="single" w:color="CCCCCC" w:sz="1"/>
              <w:bottom w:val="single" w:color="CCCCCC" w:sz="1"/>
              <w:right w:val="single" w:color="CCCCCC" w:sz="1"/>
            </w:tcBorders>
            <w:shd w:fill="D9E2F0" w:val="clear"/>
            <w:tcMar>
              <w:top w:type="dxa" w:w="80"/>
              <w:left w:type="dxa" w:w="100"/>
              <w:bottom w:type="dxa" w:w="80"/>
              <w:right w:type="dxa" w:w="100"/>
            </w:tcMar>
          </w:tcPr>
          <w:p>
            <w:r>
              <w:rPr>
                <w:b/>
                <w:bCs/>
                <w:sz w:val="20"/>
                <w:szCs w:val="20"/>
              </w:rPr>
              <w:t xml:space="preserve">Location / notes</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Bracketed-number (bare, no brackets)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“(4,5)”</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Introduction, §2 (“...hospital admissions among children with asthma (4,5).”) — refs to Zhang et al. and Ye et al.</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Name-only (no year)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“Ho et al. found that...”</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Introduction, §4 — ref 1, no year or number attached at point of use.</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Name-year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“Yang et al. (2024) project that...”</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Introduction, §4 — ref 2, same sentence as the Ho et al. mention above.</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Bracketed-number (bare)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“...through 2045 (1,2).”</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Introduction, §4, same sentence — redundant: Ho and Yang were just cited by name two clauses earlier, then cited again by number. Even after standardizing style, this double-citation of the same two sources in one sentence is worth resolving.</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Name-year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“(Cameron &amp; Miller, 2015)”</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Results, Robustness Check: Permutation Test — ref 8.</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Mixed name-year + ref-number in one citation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“(Shen et al., 2024; ref. 7)”</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Footnote 1 — the only place in the manuscript where both styles appear inside the same parenthetical.</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Named but uncited (no marker at all)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“Global Burden of Disease (GBD)”</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Named 6+ times across Abstract/Methods/Results/Discussion/Conclusion (ref 6) but never carries an in-text number or year at any mention.</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Named but uncited (no marker at all)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“Atmospheric Composition Analysis Group (ACAG)”</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Named repeatedly in Methods/Results/Davao Case Study (ref 7, Shen et al.) but the only place ref 7 is explicitly tied to the name is the Footnote 1 mixed citation — not at first mention in Methods.</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Orphan reference (never cited)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Reference #3, Gallano et al. 2024</w:t>
            </w:r>
          </w:p>
        </w:tc>
        <w:tc>
          <w:tcPr>
            <w:tcW w:type="dxa" w:w="5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20"/>
                <w:szCs w:val="20"/>
              </w:rPr>
              <w:t xml:space="preserve">Appears in the bibliography only — no in-text citation anywhere in the body links to it.</w:t>
            </w:r>
          </w:p>
        </w:tc>
      </w:tr>
    </w:tbl>
    <w:p>
      <w:pPr>
        <w:pStyle w:val="Heading1"/>
      </w:pPr>
      <w:r>
        <w:t xml:space="preserve">3. Paragraphs Still Reading as Uniform / AI-Generated Prose</w:t>
      </w:r>
    </w:p>
    <w:p>
      <w:pPr>
        <w:spacing w:after="120"/>
      </w:pPr>
      <w:r>
        <w:rPr>
          <w:i/>
          <w:iCs/>
          <w:sz w:val="20"/>
          <w:szCs w:val="20"/>
        </w:rPr>
        <w:t xml:space="preserve">Per the hard rule for this task, no rewrites or replacement text are suggested below — only locations. These are candidates for your own voice pass.</w:t>
      </w:r>
    </w:p>
    <w:p>
      <w:pPr>
        <w:spacing w:before="160"/>
      </w:pPr>
      <w:r>
        <w:rPr>
          <w:b/>
          <w:bCs/>
          <w:sz w:val="21"/>
          <w:szCs w:val="21"/>
        </w:rPr>
        <w:t xml:space="preserve">Introduction, paragraphs 2–5 (“Air pollution is one of the most serious...” through “Globally, asthma is one of the most common...”)</w:t>
      </w:r>
    </w:p>
    <w:p>
      <w:pPr>
        <w:spacing w:after="60"/>
      </w:pPr>
      <w:r>
        <w:rPr>
          <w:sz w:val="21"/>
          <w:szCs w:val="21"/>
        </w:rPr>
        <w:t xml:space="preserve">Four consecutive paragraphs all follow the same shape: broad topic sentence, then 2–4 elaboration sentences of similar length. This is the clearest remaining run of uniform paragraph structure in the manuscript.</w:t>
      </w:r>
    </w:p>
    <w:p>
      <w:pPr>
        <w:spacing w:before="160"/>
      </w:pPr>
      <w:r>
        <w:rPr>
          <w:b/>
          <w:bCs/>
          <w:sz w:val="21"/>
          <w:szCs w:val="21"/>
        </w:rPr>
        <w:t xml:space="preserve">Discussion, “The Between-Region Confounding Problem” (“The pooled correlation is dominated by a simple structural reality...”)</w:t>
      </w:r>
    </w:p>
    <w:p>
      <w:pPr>
        <w:spacing w:after="60"/>
      </w:pPr>
      <w:r>
        <w:rPr>
          <w:sz w:val="21"/>
          <w:szCs w:val="21"/>
        </w:rPr>
        <w:t xml:space="preserve">“not only because pollution drives asthma diagnoses in NCR — it is also because...” — a not-only/but-also contrast construction. Left untouched in the prior light-editing pass as a natural additive construction, but flagging again here since it's part of the same family the guidelines ask you to watch for.</w:t>
      </w:r>
    </w:p>
    <w:p>
      <w:pPr>
        <w:spacing w:before="160"/>
      </w:pPr>
      <w:r>
        <w:rPr>
          <w:b/>
          <w:bCs/>
          <w:sz w:val="21"/>
          <w:szCs w:val="21"/>
        </w:rPr>
        <w:t xml:space="preserve">Results, Two-Way Fixed-Effects Panel Regression (“The sign reversal...is striking...” paragraph)</w:t>
      </w:r>
    </w:p>
    <w:p>
      <w:pPr>
        <w:spacing w:after="60"/>
      </w:pPr>
      <w:r>
        <w:rPr>
          <w:sz w:val="21"/>
          <w:szCs w:val="21"/>
        </w:rPr>
        <w:t xml:space="preserve">“The negative coefficient should NOT be interpreted as evidence that PM2.5 reduces asthma; it reflects the absence of...” — a not-X;-Y construction. Deliberately kept in the prior pass because it rules out a real, likely misreading (that a negative coefficient means PM2.5 is protective). Still worth your own read.</w:t>
      </w:r>
    </w:p>
    <w:p>
      <w:pPr>
        <w:spacing w:before="160"/>
      </w:pPr>
      <w:r>
        <w:rPr>
          <w:b/>
          <w:bCs/>
          <w:sz w:val="21"/>
          <w:szCs w:val="21"/>
        </w:rPr>
        <w:t xml:space="preserve">Discussion, “Testing Additional Respiratory Outcomes” (long paragraph beginning “To determine whether...”)</w:t>
      </w:r>
    </w:p>
    <w:p>
      <w:pPr>
        <w:spacing w:after="60"/>
      </w:pPr>
      <w:r>
        <w:rPr>
          <w:sz w:val="21"/>
          <w:szCs w:val="21"/>
        </w:rPr>
        <w:t xml:space="preserve">“...is not an artifact of asthma prevalence specifically, but a broader feature of this ecological panel...” — a not-X-but-Y construction. Also deliberately kept previously (rules out the finding being asthma-specific).</w:t>
      </w:r>
    </w:p>
    <w:p>
      <w:pPr>
        <w:spacing w:before="160"/>
      </w:pPr>
      <w:r>
        <w:rPr>
          <w:b/>
          <w:bCs/>
          <w:sz w:val="21"/>
          <w:szCs w:val="21"/>
        </w:rPr>
        <w:t xml:space="preserve">Conclusion, second paragraph (“These findings do not suggest that PM2.5 is harmless...”)</w:t>
      </w:r>
    </w:p>
    <w:p>
      <w:pPr>
        <w:spacing w:after="60"/>
      </w:pPr>
      <w:r>
        <w:rPr>
          <w:sz w:val="21"/>
          <w:szCs w:val="21"/>
        </w:rPr>
        <w:t xml:space="preserve">“These findings do not suggest that PM2.5 is harmless to children in the Philippines. They demonstrate that...” — split-sentence not-X/Y construction. Arguably the single most important instance to keep in some form, since misreading a null result as “pollution is safe” is a real risk — but it's still the same rhetorical shape, so flagging per your request for a complete list.</w:t>
      </w:r>
    </w:p>
    <w:p>
      <w:pPr>
        <w:spacing w:before="160"/>
      </w:pPr>
      <w:r>
        <w:rPr>
          <w:b/>
          <w:bCs/>
          <w:sz w:val="21"/>
          <w:szCs w:val="21"/>
        </w:rPr>
        <w:t xml:space="preserve">Discussion, opening paragraph (“This study found a striking discrepancy...”)</w:t>
      </w:r>
    </w:p>
    <w:p>
      <w:pPr>
        <w:spacing w:after="60"/>
      </w:pPr>
      <w:r>
        <w:rPr>
          <w:sz w:val="21"/>
          <w:szCs w:val="21"/>
        </w:rPr>
        <w:t xml:space="preserve">“Understanding why this happened is the core contribution of this paper.” — this is the one elevated “central finding”-style phrase that was deliberately kept (as the single surviving instance) after the prior pass removed four duplicates elsewhere in the manuscript. Not a repetition anymore, but still worth a look during your voice pass since the phrasing itself still reads a bit formulaic.</w:t>
      </w:r>
    </w:p>
    <w:p>
      <w:pPr>
        <w:spacing w:before="160"/>
      </w:pPr>
      <w:r>
        <w:rPr>
          <w:b/>
          <w:bCs/>
          <w:sz w:val="21"/>
          <w:szCs w:val="21"/>
        </w:rPr>
        <w:t xml:space="preserve">Minor / short instances of “not X” framing not treated as tics (low priority)</w:t>
      </w:r>
    </w:p>
    <w:p>
      <w:pPr>
        <w:spacing w:after="60"/>
      </w:pPr>
      <w:r>
        <w:rPr>
          <w:sz w:val="21"/>
          <w:szCs w:val="21"/>
        </w:rPr>
        <w:t xml:space="preserve">Results §1 (“...not a safe threshold...”); Davao Data (“...not Davao City.”); Davao Results footnote (“This is not a full-city average...”); Davao Results (“...not as a precise estimate of its size.”). All four are short parenthetical clarifications rather than full rhetorical constructions — listed for completeness only.</w:t>
      </w:r>
    </w:p>
    <w:p>
      <w:pPr>
        <w:pStyle w:val="Heading1"/>
      </w:pPr>
      <w:r>
        <w:t xml:space="preserve">4. Notes for Your Review</w:t>
      </w:r>
    </w:p>
    <w:p>
      <w:pPr>
        <w:spacing w:after="100"/>
      </w:pPr>
      <w:r>
        <w:t xml:space="preserve">• Appendix 3 (Citation Guide, p.33) was not retrieved by the fetch used for this review — only the main guideline body came through. Recommend checking that appendix directly before finalizing figure/table citations.</w:t>
      </w:r>
    </w:p>
    <w:p>
      <w:pPr>
        <w:spacing w:after="100"/>
      </w:pPr>
      <w:r>
        <w:t xml:space="preserve">• Task 6 (structurally-formatted STS_FORMATTED.docx copy) is queued and will proceed once you’ve made your own prose edits and told me which citation style to standardize on.</w:t>
      </w:r>
    </w:p>
    <w:p>
      <w:pPr>
        <w:spacing w:after="100"/>
      </w:pPr>
      <w:r>
        <w:t xml:space="preserve">• outputs/paper/PM25_Pediatric_Asthma_NHSJS_FORMATTED.docx was not touched or read for this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2026-07-13T04:20:12.861Z</dcterms:created>
  <dcterms:modified xsi:type="dcterms:W3CDTF">2026-07-13T04:20:12.861Z</dcterms:modified>
</cp:coreProperties>
</file>

<file path=docProps/custom.xml><?xml version="1.0" encoding="utf-8"?>
<Properties xmlns="http://schemas.openxmlformats.org/officeDocument/2006/custom-properties" xmlns:vt="http://schemas.openxmlformats.org/officeDocument/2006/docPropsVTypes"/>
</file>