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81BD" w:sz="12" w:space="4"/>
        </w:pBdr>
        <w:spacing w:after="60" w:before="0"/>
      </w:pPr>
      <w:r>
        <w:rPr>
          <w:b/>
          <w:bCs/>
          <w:color w:val="4F81BD"/>
          <w:sz w:val="26"/>
          <w:szCs w:val="26"/>
        </w:rPr>
        <w:t xml:space="preserve">Halaman 1/4  </w:t>
      </w:r>
      <w:r>
        <w:rPr>
          <w:b/>
          <w:bCs/>
          <w:color w:val="1F3A5F"/>
          <w:sz w:val="26"/>
          <w:szCs w:val="26"/>
        </w:rPr>
        <w:t xml:space="preserve">Dari Konsolidasi Aset Menjadi Platform Kapabilitas Industri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Durasi baca ±2 menit · Alur: masalah (1) → jawaban (2) → keterhubungan (3) → dampak &amp; risiko (4)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1F3A5F" w:sz="24"/>
              <w:bottom w:val="none"/>
              <w:right w:val="none"/>
            </w:tcBorders>
            <w:shd w:fill="ED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</w:rPr>
              <w:t xml:space="preserve">Pesan inti  </w:t>
            </w:r>
            <w:r>
              <w:t xml:space="preserve">Danantara sudah berdiri dan dipercaya pasar, tetapi mandat industrialisasinya belum terlihat. Tujuh masalah struktural membuat nilai tambah, devisa, dan kapabilitas mengalir ke luar negeri.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Kondisi saat ini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Skala:</w:t>
      </w:r>
      <w:r>
        <w:t xml:space="preserve"> aset awal ±US$600 miliar, target ±US$982 miliar (±Rp15.000 T). Investasi 2026 ±US$14 miliar, separuh ke pasar publik, separuh ke sektor riil. Separuh yang ke sektor riil itulah yang menentukan berhasilnya mandat industrialisasi.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Kepercayaan pasar terbukti:</w:t>
      </w:r>
      <w:r>
        <w:t xml:space="preserve"> obligasi DIM US$1,5 miliar (Jun 2026), imbal hasil 5,65%, permintaan ±3×. Namun 4 BUMN Karya diperkirakan rugi ±Rp28 T (2025).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Kelembagaan lengkap di atas kertas</w:t>
      </w:r>
      <w:r>
        <w:t xml:space="preserve"> (Badan Pelaksana, DAM, DIM, DDMF), tetapi belum ada lapisan yang menyatukannya di sekitar proyek dan pemasok. Imbal hasil dan dampak industri belum dapat diukur.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40 proyek strategis ±Rp2.091 T:</w:t>
      </w:r>
      <w:r>
        <w:t xml:space="preserve"> infrastruktur Rp1.275 T (61%), mineral &amp; hilirisasi Rp284 T, pertahanan Rp81 T, lainnya Rp452 T; irisan AI &amp; digital Rp25,6 T. Di luarnya: 80.000 Koperasi Desa Merah Putih (plafon ±Rp240 T).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Tujuh masalah struktural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Biaya dana tinggi:</w:t>
      </w:r>
      <w:r>
        <w:t xml:space="preserve"> kredit bank 9–11% (contoh PT PAL); pinjaman lunak luar negeri pun mahal karena terikat pengadaan dan berisiko kurs.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Industri lokal tidak dikembangkan:</w:t>
      </w:r>
      <w:r>
        <w:t xml:space="preserve"> ±75% material kapal PT PAL impor; TKDN DEFEND ID ±43%.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Rantai pasok domestik tidak dibangun:</w:t>
      </w:r>
      <w:r>
        <w:t xml:space="preserve"> ±US$39 miliar capex bocor ke luar negeri (2027–2032); UMKM jarang masuk rantai pasok strategis.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Ketergantungan teknologi asing:</w:t>
      </w:r>
      <w:r>
        <w:t xml:space="preserve"> impor ±US$14 miliar pada 2029; HKI dipegang mitra asing tanpa alih teknologi.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SDA belum optimal:</w:t>
      </w:r>
      <w:r>
        <w:t xml:space="preserve"> porsi penerimaan SDA turun dari 19,3% (2004–14) ke 7,7% (2015–24).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Under-invoicing ekspor SDA</w:t>
      </w:r>
      <w:r>
        <w:t xml:space="preserve"> menggerus royalti, pajak, dan devisa.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Uang gelap di luar sistem</w:t>
      </w:r>
      <w:r>
        <w:t xml:space="preserve"> diperkirakan ±Rp7.000 T, tidak dipajaki dan tidak membiayai pembangunan.</w:t>
      </w:r>
    </w:p>
    <w:p>
      <w:pPr>
        <w:spacing w:after="60"/>
      </w:pPr>
      <w:r>
        <w:rPr>
          <w:b/>
          <w:bCs/>
          <w:color w:val="1F3A5F"/>
        </w:rPr>
        <w:t xml:space="preserve">Akibatnya:</w:t>
      </w:r>
      <w:r>
        <w:t xml:space="preserve"> biaya proyek tinggi, nilai tambah dan devisa bocor, dan kekayaan SDA belum menjadi kapabilitas industri.</w:t>
      </w:r>
    </w:p>
    <w:p>
      <w:pPr>
        <w:spacing w:before="80"/>
      </w:pPr>
      <w:r>
        <w:rPr>
          <w:i/>
          <w:iCs/>
          <w:color w:val="1F3A5F"/>
        </w:rPr>
        <w:t xml:space="preserve">→ Dari tujuh masalah ini dirumuskan lima pertanyaan kunci.</w:t>
      </w:r>
    </w:p>
    <w:p>
      <w:pPr>
        <w:pBdr>
          <w:top w:val="single" w:color="C0C0C0" w:sz="4" w:space="4"/>
        </w:pBdr>
        <w:spacing w:before="120"/>
      </w:pPr>
      <w:r>
        <w:rPr>
          <w:b/>
          <w:bCs/>
          <w:color w:val="9E3A38"/>
          <w:sz w:val="18"/>
          <w:szCs w:val="18"/>
        </w:rPr>
        <w:t xml:space="preserve">Catatan penyaji: </w:t>
      </w:r>
      <w:r>
        <w:rPr>
          <w:color w:val="595959"/>
          <w:sz w:val="18"/>
          <w:szCs w:val="18"/>
        </w:rPr>
        <w:t xml:space="preserve">Masalah 6–7 dan angka Rp7.000 T bukan temuan kajian (indikasi, perlu verifikasi). Kerugian BUMN Karya belum teraudit. Register 40 proyek belum terekonsiliasi penuh; AI &amp; digital jangan dijumlahkan dengan sektor lain.</w:t>
      </w:r>
    </w:p>
    <w:p>
      <w:r>
        <w:br w:type="page"/>
      </w:r>
    </w:p>
    <w:p>
      <w:pPr>
        <w:pBdr>
          <w:bottom w:val="single" w:color="4F81BD" w:sz="12" w:space="4"/>
        </w:pBdr>
        <w:spacing w:after="60" w:before="0"/>
      </w:pPr>
      <w:r>
        <w:rPr>
          <w:b/>
          <w:bCs/>
          <w:color w:val="4F81BD"/>
          <w:sz w:val="26"/>
          <w:szCs w:val="26"/>
        </w:rPr>
        <w:t xml:space="preserve">Halaman 2/4  </w:t>
      </w:r>
      <w:r>
        <w:rPr>
          <w:b/>
          <w:bCs/>
          <w:color w:val="1F3A5F"/>
          <w:sz w:val="26"/>
          <w:szCs w:val="26"/>
        </w:rPr>
        <w:t xml:space="preserve">Lima Pertanyaan Kunci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Durasi baca ±2 menit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1F3A5F" w:sz="24"/>
              <w:bottom w:val="none"/>
              <w:right w:val="none"/>
            </w:tcBorders>
            <w:shd w:fill="ED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</w:rPr>
              <w:t xml:space="preserve">Pesan inti  </w:t>
            </w:r>
            <w:r>
              <w:t xml:space="preserve">Kajian menjawab lima pertanyaan: transformasi Danantara, pengelolaan BUMN dengan AI multi-agen, percepatan kapabilitas lewat DOCK-UP, pengendalian inflasi NRF, dan pendanaan tanpa pinjaman.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1. Bagaimana mentransformasi Danantara?</w:t>
      </w:r>
    </w:p>
    <w:p>
      <w:pPr>
        <w:spacing w:after="60"/>
      </w:pPr>
      <w:r>
        <w:t xml:space="preserve">Menjadi </w:t>
      </w:r>
      <w:r>
        <w:rPr>
          <w:b/>
          <w:bCs/>
          <w:color w:val="1F3A5F"/>
        </w:rPr>
        <w:t xml:space="preserve">Platform Kapabilitas Industri Nasional</w:t>
      </w:r>
      <w:r>
        <w:t xml:space="preserve">: modal → permintaan → pemasok → kapabilitas. Unit Industri Strategis yang ramping (konsep NITO) diuji 90 hari; register 40 proyek tunggal disahkan paling lambat Hari ke-45. Kinerja diukur dengan tiga scorecard (imbal hasil modal, kekuatan BUMN, kapabilitas industri). Portofolio dipisah: </w:t>
      </w:r>
      <w:r>
        <w:rPr>
          <w:b/>
          <w:bCs/>
          <w:color w:val="1F3A5F"/>
        </w:rPr>
        <w:t xml:space="preserve">Alpha</w:t>
      </w:r>
      <w:r>
        <w:t xml:space="preserve"> (komersial) dan </w:t>
      </w:r>
      <w:r>
        <w:rPr>
          <w:b/>
          <w:bCs/>
          <w:color w:val="1F3A5F"/>
        </w:rPr>
        <w:t xml:space="preserve">Impact</w:t>
      </w:r>
      <w:r>
        <w:t xml:space="preserve"> (pembangunan via SPV ring-fenced).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2. Bagaimana mengelola BUMN dengan AI multi-agen?</w:t>
      </w:r>
    </w:p>
    <w:p>
      <w:pPr>
        <w:spacing w:after="60"/>
      </w:pPr>
      <w:r>
        <w:t xml:space="preserve">Bukan chatbot, melainkan </w:t>
      </w:r>
      <w:r>
        <w:rPr>
          <w:b/>
          <w:bCs/>
          <w:color w:val="1F3A5F"/>
        </w:rPr>
        <w:t xml:space="preserve">sistem operasi proyek</w:t>
      </w:r>
      <w:r>
        <w:t xml:space="preserve"> di atas satu master data (ID proyek, WBS, kode biaya, pemasok, kontrak). MVP 3 bulan, 6 agen: risiko portofolio, bid/no-bid, estimasi biaya, piutang, jadwal, pengadaan. Akses ERP baca-saja, keputusan tetap di tangan manusia. Uji di 2–3 proyek BUMN Karya, lalu hub-and-spoke ke seluruh BUMN.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3. Bagaimana DOCK-UP mempercepat kapabilitas industri?</w:t>
      </w:r>
    </w:p>
    <w:p>
      <w:pPr>
        <w:spacing w:after="60"/>
      </w:pPr>
      <w:r>
        <w:rPr>
          <w:b/>
          <w:bCs/>
          <w:color w:val="1F3A5F"/>
        </w:rPr>
        <w:t xml:space="preserve">Develop, Off-taker, Certification, Upgrading</w:t>
      </w:r>
      <w:r>
        <w:t xml:space="preserve"> memutus lingkaran setan: integrator, UKM, dan bank saling menunggu. Ofset UU 16/2012 (35→85%) menjadi pesanan nyata; TRL/MRL jadi bahasa bersama; volume dan pembiayaan dibuka per gerbang </w:t>
      </w:r>
      <w:r>
        <w:rPr>
          <w:b/>
          <w:bCs/>
          <w:color w:val="1F3A5F"/>
        </w:rPr>
        <w:t xml:space="preserve">G1–G4</w:t>
      </w:r>
      <w:r>
        <w:t xml:space="preserve">, dengan kontrak payung 3–5 tahun. Bukti: V-Bracket PT Barata untuk kapal PT PAL, waktu dan biaya turun lebih dari separuh dibanding impor.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4. Apa dampak NRF dan tokenisasi terhadap inflasi?</w:t>
      </w:r>
    </w:p>
    <w:p>
      <w:pPr>
        <w:spacing w:after="60"/>
      </w:pPr>
      <w:r>
        <w:t xml:space="preserve">Manfaat fiskal NRF Rp1.000 T dalam 3 tahun (±4% PDB). Bila dibelanjakan dalam setahun, inflasi naik </w:t>
      </w:r>
      <w:r>
        <w:rPr>
          <w:b/>
          <w:bCs/>
          <w:color w:val="1F3A5F"/>
        </w:rPr>
        <w:t xml:space="preserve">0,1–1 poin</w:t>
      </w:r>
      <w:r>
        <w:t xml:space="preserve"> dan bisa menghabiskan ruang sasaran BI 2,5±1%. Batu bara adalah jalur kunci. Usulan: </w:t>
      </w:r>
      <w:r>
        <w:rPr>
          <w:b/>
          <w:bCs/>
          <w:color w:val="1F3A5F"/>
        </w:rPr>
        <w:t xml:space="preserve">Pemantau Inflasi NRF</w:t>
      </w:r>
      <w:r>
        <w:t xml:space="preserve"> (5 lapis indikator, ambang hijau–kuning–merah) dibangun sebelum penyaluran; pembiayaan moneter dilarang. Tokenisasi ±US$150 juta berdampak kecil, tetapi tetap kewajiban.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5. Adakah cara mendanai proyek tanpa pinjaman?</w:t>
      </w:r>
    </w:p>
    <w:p>
      <w:pPr>
        <w:spacing w:after="60"/>
      </w:pPr>
      <w:r>
        <w:t xml:space="preserve">Ada: ko-investasi ekuitas dengan Danantara sebagai jangkar, KPBU dan daur ulang aset via INA, dividen BUMN dan penerimaan SDA yang ditahan di NRF, ofset dan imbal dagang pertahanan, serta hibah/blended finance. </w:t>
      </w:r>
      <w:r>
        <w:rPr>
          <w:b/>
          <w:bCs/>
          <w:color w:val="1F3A5F"/>
        </w:rPr>
        <w:t xml:space="preserve">Instrumen berbasis arus kas negara di masa depan tetap dihitung utang.</w:t>
      </w:r>
    </w:p>
    <w:p>
      <w:pPr>
        <w:spacing w:before="80"/>
      </w:pPr>
      <w:r>
        <w:rPr>
          <w:i/>
          <w:iCs/>
          <w:color w:val="1F3A5F"/>
        </w:rPr>
        <w:t xml:space="preserve">→ Kelima jawaban ini terhubung dalam satu alur nilai.</w:t>
      </w:r>
    </w:p>
    <w:p>
      <w:pPr>
        <w:pBdr>
          <w:top w:val="single" w:color="C0C0C0" w:sz="4" w:space="4"/>
        </w:pBdr>
        <w:spacing w:before="120"/>
      </w:pPr>
      <w:r>
        <w:rPr>
          <w:b/>
          <w:bCs/>
          <w:color w:val="9E3A38"/>
          <w:sz w:val="18"/>
          <w:szCs w:val="18"/>
        </w:rPr>
        <w:t xml:space="preserve">Catatan penyaji: </w:t>
      </w:r>
      <w:r>
        <w:rPr>
          <w:color w:val="595959"/>
          <w:sz w:val="18"/>
          <w:szCs w:val="18"/>
        </w:rPr>
        <w:t xml:space="preserve">Hari ke-0 = persetujuan prinsip Kepala Badan Pelaksana. Angka inflasi adalah ilustrasi (pengganda 0,3–0,8). NRF dan tokenisasi bersifat pelengkap; sebagian besar Rp2.091 T tetap dari utang proyek dan ko-investasi.</w:t>
      </w:r>
    </w:p>
    <w:p>
      <w:r>
        <w:br w:type="page"/>
      </w:r>
    </w:p>
    <w:p>
      <w:pPr>
        <w:pBdr>
          <w:bottom w:val="single" w:color="4F81BD" w:sz="12" w:space="4"/>
        </w:pBdr>
        <w:spacing w:after="60" w:before="0"/>
      </w:pPr>
      <w:r>
        <w:rPr>
          <w:b/>
          <w:bCs/>
          <w:color w:val="4F81BD"/>
          <w:sz w:val="26"/>
          <w:szCs w:val="26"/>
        </w:rPr>
        <w:t xml:space="preserve">Halaman 3/4  </w:t>
      </w:r>
      <w:r>
        <w:rPr>
          <w:b/>
          <w:bCs/>
          <w:color w:val="1F3A5F"/>
          <w:sz w:val="26"/>
          <w:szCs w:val="26"/>
        </w:rPr>
        <w:t xml:space="preserve">Empat Pilar Menjadi Dampak: Alur Nilai Danantara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Durasi baca ±2 menit · Baca peta dari kiri ke kanan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1F3A5F" w:sz="24"/>
              <w:bottom w:val="none"/>
              <w:right w:val="none"/>
            </w:tcBorders>
            <w:shd w:fill="ED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</w:rPr>
              <w:t xml:space="preserve">Pesan inti  </w:t>
            </w:r>
            <w:r>
              <w:t xml:space="preserve">Empat pilar dialirkan melalui NRF dan proyek rinci, diubah menjadi kapabilitas lewat DOCK-UP, dikendalikan AI multi-agen, lalu menghasilkan dampak ekonomi dan sosial yang kembali ke NRF sebagai siklus.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Alur dari kiri ke kanan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Empat pilar:</w:t>
      </w:r>
      <w:r>
        <w:t xml:space="preserve"> mineral &amp; batu bara Rp284 T · infrastruktur Rp1.275 T · pertahanan Rp81 T · AI multi-agen Rp25,6 T (termasuk AI berdaulat Rp13,8 T).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NRF:</w:t>
      </w:r>
      <w:r>
        <w:t xml:space="preserve"> cadangan mineral dan batu bara negara menjadi aset dasar (valuasi minimum ±Rp10.000 T) dengan target manfaat fiskal ±Rp1.000 T dalam 3 tahun. Garis tegas = pendanaan NRF; garis putus-putus = permintaan dari tiap pilar.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Proyek rinci:</w:t>
      </w:r>
      <w:r>
        <w:t xml:space="preserve"> hilirisasi (nikel HPAL, bauksit–alumina, tembaga, baterai); Giant Sea Wall, energi, perumahan; kapal selam, fregat, MRO; enam agen AI dan dukungan KDKMP.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DOCK-UP:</w:t>
      </w:r>
      <w:r>
        <w:t xml:space="preserve"> belanja proyek menjadi pesanan bagi pemasok lokal, dengan gerbang G1–G4 sebagai penjaga mutu. Tanpanya, uang proyek mengalir ke impor.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AI multi-agen (control tower):</w:t>
      </w:r>
      <w:r>
        <w:t xml:space="preserve"> satu master data untuk memantau biaya, jadwal, pengadaan, dan risiko. Setiap klaim hasil dapat ditelusuri ke modal, baseline, penanggung jawab, dan bukti.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color w:val="1F3A5F"/>
        </w:rPr>
        <w:t xml:space="preserve">Dampak.</w:t>
      </w:r>
      <w:r>
        <w:t xml:space="preserve"> Ekonomi: PDB +1,55% (puncak 2030), +0,74% permanen; pajak +Rp169 T; hemat devisa US$2,4–7,2 miliar. Sosial: 9,4–11,4 juta tahun-kerja, ±1 juta pekerjaan tetap, TPT 4,68%→±4%, 80.000 koperasi dan UKM masuk rantai pasok.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Umpan balik dan penggerak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Siklus:</w:t>
      </w:r>
      <w:r>
        <w:t xml:space="preserve"> dividen, pajak, dan penerimaan SDA kembali ke NRF, sehingga belanja tidak sekali pakai.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Kelembagaan:</w:t>
      </w:r>
      <w:r>
        <w:t xml:space="preserve"> Badan Pelaksana mengorkestrasi. DIM/DAM mengurus modal, aset BUMN, NRF, dan dividen. DDMF/DSIM menjalankan proyek, industri strategis, dan DOCK-UP.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Prinsip:</w:t>
      </w:r>
      <w:r>
        <w:t xml:space="preserve"> manusia yang memutuskan. AI menganalisis dan merekomendasikan; keputusan material tetap pada pejabat yang bertanggung jawab.</w:t>
      </w:r>
    </w:p>
    <w:p>
      <w:pPr>
        <w:spacing w:before="80"/>
      </w:pPr>
      <w:r>
        <w:rPr>
          <w:i/>
          <w:iCs/>
          <w:color w:val="1F3A5F"/>
        </w:rPr>
        <w:t xml:space="preserve">→ Angka dampak di kolom kanan diurai di halaman terakhir.</w:t>
      </w:r>
    </w:p>
    <w:p>
      <w:pPr>
        <w:pBdr>
          <w:top w:val="single" w:color="C0C0C0" w:sz="4" w:space="4"/>
        </w:pBdr>
        <w:spacing w:before="120"/>
      </w:pPr>
      <w:r>
        <w:rPr>
          <w:b/>
          <w:bCs/>
          <w:color w:val="9E3A38"/>
          <w:sz w:val="18"/>
          <w:szCs w:val="18"/>
        </w:rPr>
        <w:t xml:space="preserve">Catatan penyaji: </w:t>
      </w:r>
      <w:r>
        <w:rPr>
          <w:color w:val="595959"/>
          <w:sz w:val="18"/>
          <w:szCs w:val="18"/>
        </w:rPr>
        <w:t xml:space="preserve">Konfirmasi kepanjangan resmi DSIM (dibaca dari sketsa). Valuasi NRF Rp10.000 T/Rp1.000 T belum diuji independen. Penghematan devisa (skenario lokalisasi) terpisah dari angka PDB, jangan dijumlahkan.</w:t>
      </w:r>
    </w:p>
    <w:p>
      <w:r>
        <w:br w:type="page"/>
      </w:r>
    </w:p>
    <w:p>
      <w:pPr>
        <w:pBdr>
          <w:bottom w:val="single" w:color="4F81BD" w:sz="12" w:space="4"/>
        </w:pBdr>
        <w:spacing w:after="60" w:before="0"/>
      </w:pPr>
      <w:r>
        <w:rPr>
          <w:b/>
          <w:bCs/>
          <w:color w:val="4F81BD"/>
          <w:sz w:val="26"/>
          <w:szCs w:val="26"/>
        </w:rPr>
        <w:t xml:space="preserve">Halaman 4/4  </w:t>
      </w:r>
      <w:r>
        <w:rPr>
          <w:b/>
          <w:bCs/>
          <w:color w:val="1F3A5F"/>
          <w:sz w:val="26"/>
          <w:szCs w:val="26"/>
        </w:rPr>
        <w:t xml:space="preserve">Narasi Dampak: PDB, Pekerjaan, Fiskal, Devisa, dan Sosial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Durasi baca ±2 menit · Model ilustratif atas pipeline Rp2.091 T (2027–2032), angka bruto: hipotesis, bukan janji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1F3A5F" w:sz="24"/>
              <w:bottom w:val="none"/>
              <w:right w:val="none"/>
            </w:tcBorders>
            <w:shd w:fill="ED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3A5F"/>
              </w:rPr>
              <w:t xml:space="preserve">Pesan inti  </w:t>
            </w:r>
            <w:r>
              <w:t xml:space="preserve">Dampaknya besar pada PDB, lapangan kerja, penerimaan negara, dan devisa, tetapi belum cukup untuk mencapai pertumbuhan 8% sendirian, dan membawa risiko inflasi serta penurunan investasi pada 2032.</w:t>
            </w:r>
          </w:p>
        </w:tc>
      </w:tr>
    </w:tbl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Empat angka utama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PDB +1,55% (puncak):</w:t>
      </w:r>
      <w:r>
        <w:t xml:space="preserve"> pengganda naik 0,5→1,2 dalam lima tahun; tambahan kumulatif ±Rp1.819 T. Infrastruktur menyumbang ±⅔ efek konstruksi, SDA ±⅖ efek permanen. Setelah selesai, PDB tetap +0,74% (±Rp260 T/tahun); puncak bisa mencapai 2% bila investasi lebih efisien.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9,4–11,4 juta tahun-kerja:</w:t>
      </w:r>
      <w:r>
        <w:t xml:space="preserve"> puncak ±2,6 juta/tahun (2028–30). Infrastruktur paling padat karya (6.300 tahun-kerja per Rp1 T). TPT turun ke ±4%, bergantung pada syarat rekrutmen lokal dan vokasi.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Pajak +Rp169 T</w:t>
      </w:r>
      <w:r>
        <w:t xml:space="preserve"> selama pembangunan, lalu ±Rp24 T/tahun. NRF menambah Rp100 T di tahun pertama dan Rp1.000 T dalam 3 tahun.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Devisa:</w:t>
      </w:r>
      <w:r>
        <w:t xml:space="preserve"> ±US$39 miliar capex akan ke luar negeri. Melokalkan 10–30% via DOCK-UP menghemat US$2,4–7,2 miliar dan menambah nilai tambah Rp23–68 T.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Dampak turunan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Konsumsi rumah tangga:</w:t>
      </w:r>
      <w:r>
        <w:t xml:space="preserve"> upah ±Rp79 T bagi ±2 juta pekerja (2029); Rp40–63 T pendapatan baru mendorong PDB +0,2–0,4%.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Industri lokal, UKM, desa:</w:t>
      </w:r>
      <w:r>
        <w:t xml:space="preserve"> ofset 35–85% menjadi pesanan; G1–G4 membawa UKM dari build-to-print ke design-and-build (90–271 ribu tahun-kerja); 80.000 KDKMP menyalurkan manfaat ke desa secara tertelusur.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Batas dan risiko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Target 8%:</w:t>
      </w:r>
      <w:r>
        <w:t xml:space="preserve"> dari 5,1% (2025) menjadi ±6,25% pada 2029 (±6,8% bila investasi lebih efisien). Sisa ±1,2 poin harus dari reformasi logistik, perizinan, dan BUMN: investasi ±33,5% PDB, ICOR ±4,2.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A5F"/>
        </w:rPr>
        <w:t xml:space="preserve">Inflasi dan tebing 2032:</w:t>
      </w:r>
      <w:r>
        <w:t xml:space="preserve"> inflasi +0,1–1 poin bila NRF dibelanjakan sekaligus; investasi anjlok Rp409 T→Rp87 T pada 2032 (−0,7 poin pertumbuhan). Respons: penyaluran bertahap, pemantau inflasi aktif, dan pipeline penerus sejak 2030.</w:t>
      </w:r>
    </w:p>
    <w:p>
      <w:pPr>
        <w:keepNext/>
        <w:spacing w:after="40" w:before="120"/>
      </w:pPr>
      <w:r>
        <w:rPr>
          <w:b/>
          <w:bCs/>
          <w:color w:val="4F81BD"/>
          <w:sz w:val="21"/>
          <w:szCs w:val="21"/>
        </w:rPr>
        <w:t xml:space="preserve">Penutup</w:t>
      </w:r>
    </w:p>
    <w:p>
      <w:pPr>
        <w:spacing w:after="60"/>
      </w:pPr>
      <w:r>
        <w:t xml:space="preserve">Danantara punya modal, kepercayaan pasar, dan pipeline besar; yang belum ada adalah mekanisme pengubah modal menjadi kapabilitas industri. </w:t>
      </w:r>
      <w:r>
        <w:rPr>
          <w:b/>
          <w:bCs/>
          <w:color w:val="1F3A5F"/>
        </w:rPr>
        <w:t xml:space="preserve">Empat pilar, NRF, DOCK-UP, dan AI multi-agen adalah mekanisme itu.</w:t>
      </w:r>
      <w:r>
        <w:t xml:space="preserve"> Tanpa disiplin, modal strategis sebagian besar akan membeli peralatan impor dan teknologi asing.</w:t>
      </w:r>
    </w:p>
    <w:p>
      <w:pPr>
        <w:pBdr>
          <w:top w:val="single" w:color="C0C0C0" w:sz="4" w:space="4"/>
        </w:pBdr>
        <w:spacing w:before="120"/>
      </w:pPr>
      <w:r>
        <w:rPr>
          <w:b/>
          <w:bCs/>
          <w:color w:val="9E3A38"/>
          <w:sz w:val="18"/>
          <w:szCs w:val="18"/>
        </w:rPr>
        <w:t xml:space="preserve">Catatan penyaji: </w:t>
      </w:r>
      <w:r>
        <w:rPr>
          <w:color w:val="595959"/>
          <w:sz w:val="18"/>
          <w:szCs w:val="18"/>
        </w:rPr>
        <w:t xml:space="preserve">Untuk target konservatif gunakan ujung bawah: 9,4 juta tahun-kerja, ±976 ribu pekerjaan tetap. Kaitan AI dengan ICOR adalah penalaran penyusun, bukan hasil model.</w:t>
      </w:r>
    </w:p>
    <w:sectPr>
      <w:headerReference w:type="default" r:id="rId6"/>
      <w:footerReference w:type="default" r:id="rId7"/>
      <w:pgSz w:w="12240" w:h="15840" w:orient="portrait"/>
      <w:pgMar w:top="1080" w:right="1247" w:bottom="900" w:left="1247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595959"/>
        <w:sz w:val="16"/>
        <w:szCs w:val="16"/>
      </w:rPr>
      <w:t xml:space="preserve">Angka dampak adalah hasil model ilustratif, bukan proyeksi resmi.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Naskah Narasi Ringkas · Danantara: Empat Pilar Menjadi Dampak · 14 Oktober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  <w:rPr>
        <w:b/>
        <w:bCs/>
        <w:color w:val="4F81B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Narasi Infografis Danantara (Ringkas)</dc:title>
  <dc:creator>Tim AI PAL</dc:creator>
  <cp:lastModifiedBy>Un-named</cp:lastModifiedBy>
  <cp:revision>1</cp:revision>
  <dcterms:created xsi:type="dcterms:W3CDTF">2026-10-14T00:47:13.495Z</dcterms:created>
  <dcterms:modified xsi:type="dcterms:W3CDTF">2026-10-14T00:47:13.495Z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