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Naskah Narasi Infografis</w:t>
        <w:br/>
        <w:t>Danantara: Empat Pilar Menjadi Dampak</w:t>
      </w:r>
    </w:p>
    <w:p>
      <w:pPr>
        <w:jc w:val="center"/>
      </w:pPr>
      <w:r>
        <w:rPr>
          <w:i/>
          <w:color w:val="595959"/>
        </w:rPr>
        <w:t>Penjelasan halaman demi halaman atas infografis 4 halaman (Infografis_Danantara_Empat_Pilar_Dampak_13102026)</w:t>
      </w:r>
    </w:p>
    <w:p>
      <w:pPr>
        <w:jc w:val="center"/>
      </w:pPr>
      <w:r>
        <w:rPr>
          <w:i/>
          <w:color w:val="595959"/>
        </w:rPr>
        <w:t>Disusun berdasarkan Kajian Danantara: Platform Kapabilitas Industri Nasional (Oktober 2026)</w:t>
      </w:r>
    </w:p>
    <w:p>
      <w:pPr>
        <w:jc w:val="center"/>
      </w:pPr>
      <w:r>
        <w:rPr>
          <w:i w:val="0"/>
          <w:color w:val="595959"/>
        </w:rPr>
        <w:t>14 Oktober 2026</w:t>
      </w:r>
    </w:p>
    <w:p>
      <w:pPr>
        <w:pStyle w:val="Heading2"/>
      </w:pPr>
      <w:r>
        <w:t>Cara memakai naskah ini</w:t>
      </w:r>
    </w:p>
    <w:p>
      <w:pPr>
        <w:pStyle w:val="ListBullet"/>
      </w:pPr>
      <w:r>
        <w:t>Setiap halaman infografis memiliki satu bagian: pesan inti, naskah narasi yang siap dibacakan, kalimat transisi ke halaman berikutnya, dan catatan untuk penyaji.</w:t>
      </w:r>
    </w:p>
    <w:p>
      <w:pPr>
        <w:pStyle w:val="ListBullet"/>
      </w:pPr>
      <w:r>
        <w:t>Naskah ditulis dalam bahasa lisan. Total durasi sekitar 14–17 menit; bagian yang dapat dipersingkat ditandai pada catatan penyaji.</w:t>
      </w:r>
    </w:p>
    <w:p>
      <w:pPr>
        <w:pStyle w:val="ListBullet"/>
      </w:pPr>
      <w:r>
        <w:t>Angka dampak ekonomi pada infografis adalah hasil model ilustratif, bukan proyeksi resmi. Naskah selalu menyebutnya sebagai ilustrasi atau perkiraan; mohon pertahankan nada ini saat menyajikan.</w:t>
      </w:r>
    </w:p>
    <w:p>
      <w:pPr>
        <w:pStyle w:val="ListBullet"/>
      </w:pPr>
      <w:r>
        <w:t>Alur cerita keseluruhan: kondisi dan masalah (hlm. 1) → pertanyaan dan arah jawaban (hlm. 2) → bagaimana semuanya terhubung (hlm. 3) → dampak yang dapat diharapkan dan risikonya (hlm. 4).</w:t>
      </w:r>
    </w:p>
    <w:p>
      <w:r>
        <w:br w:type="page"/>
      </w:r>
    </w:p>
    <w:p>
      <w:pPr>
        <w:pStyle w:val="Heading1"/>
      </w:pPr>
      <w:r>
        <w:t>Halaman 1/4 — Dari Konsolidasi Aset Menjadi Platform Kapabilitas Industri</w:t>
      </w:r>
    </w:p>
    <w:p>
      <w:r>
        <w:rPr>
          <w:i/>
          <w:color w:val="595959"/>
          <w:sz w:val="20"/>
        </w:rPr>
        <w:t>Perkiraan durasi baca: 4–5 menit</w:t>
      </w:r>
    </w:p>
    <w:p>
      <w:pPr>
        <w:spacing w:before="160"/>
      </w:pPr>
      <w:r>
        <w:rPr>
          <w:b/>
          <w:color w:val="1F3A5F"/>
        </w:rPr>
        <w:t>Pesan inti</w:t>
      </w:r>
    </w:p>
    <w:p>
      <w:r>
        <w:rPr>
          <w:i w:val="0"/>
        </w:rPr>
        <w:t>Danantara sudah berdiri dan sudah dipercaya pasar, tetapi mandat industrialisasinya belum terlihat. Tujuh masalah struktural membuat nilai tambah, devisa, dan kapabilitas Indonesia mengalir ke luar negeri.</w:t>
      </w:r>
    </w:p>
    <w:p>
      <w:pPr>
        <w:spacing w:before="160"/>
      </w:pPr>
      <w:r>
        <w:rPr>
          <w:b/>
          <w:color w:val="1F3A5F"/>
        </w:rPr>
        <w:t>Naskah narasi</w:t>
      </w:r>
    </w:p>
    <w:p>
      <w:r>
        <w:rPr>
          <w:i w:val="0"/>
        </w:rPr>
        <w:t>Bapak dan Ibu sekalian, halaman pertama ini menjawab satu pertanyaan sederhana: di mana posisi Danantara hari ini, dan apa yang menahannya untuk menjadi penggerak industri nasional.</w:t>
      </w:r>
    </w:p>
    <w:p>
      <w:r>
        <w:rPr>
          <w:i w:val="0"/>
        </w:rPr>
        <w:t>Mari mulai dari kotak kiri atas, kondisi Danantara saat ini. Danantara mengelola aset awal sekitar US$600 miliar, dengan target kapasitas sekitar US$982 miliar, atau kurang lebih Rp15.000 triliun. Untuk 2026, rencana investasinya sekitar US$14 miliar, dibagi kira-kira separuh ke pasar publik dan separuh ke proyek di sektor riil. Pembagian ini wajar untuk menjaga likuiditas. Namun perlu kita sadari: membeli saham di pasar tidak dengan sendirinya membangun pabrik, mesin, atau teknologi Indonesia. Separuh yang masuk ke sektor riil itulah yang menentukan berhasil atau tidaknya mandat industrialisasi.</w:t>
      </w:r>
    </w:p>
    <w:p>
      <w:r>
        <w:rPr>
          <w:i w:val="0"/>
        </w:rPr>
        <w:t>Kepercayaan pasar sudah terbukti. Surat utang Danantara Investment Management pada Juni 2026 sebesar US$1,5 miliar laku dengan imbal hasil 5,65 persen dan permintaan sekitar tiga kali lipat. Di sisi lain, empat BUMN Karya diperkirakan merugi sekitar Rp28 triliun pada 2025, sementara anggaran infrastruktur turun sekitar 45 persen. Angka kerugian ini masih estimasi dan perlu diganti dengan angka teraudit.</w:t>
      </w:r>
    </w:p>
    <w:p>
      <w:r>
        <w:rPr>
          <w:i w:val="0"/>
        </w:rPr>
        <w:t>Di bawahnya ada struktur kelembagaan: Badan Pelaksana sebagai pengarah, DAM yang mengelola BUMN di bawah COO, DIM untuk investasi di bawah CIO, dan DDMF untuk proyek pembangunan di bawah CTO. Fungsinya sudah lengkap di atas kertas. Yang belum ada adalah lapisan yang menyatukan fungsi-fungsi itu di sekitar proyek dan pemasok tertentu. Kesimpulan kotak ini: akses pasar terbukti, tetapi imbal hasil, nilai BUMN, dan dampak industri belum dapat diukur, karena datanya belum tersedia atau belum direkonsiliasi.</w:t>
      </w:r>
    </w:p>
    <w:p>
      <w:r>
        <w:rPr>
          <w:i w:val="0"/>
        </w:rPr>
        <w:t>Sekarang lihat kotak kanan atas: 40 proyek strategis dengan nilai sekitar Rp2.091 triliun. Infrastruktur mendominasi, sekitar Rp1.275 triliun atau 61 persen, mencakup Giant Sea Wall, energi, pengolahan sampah menjadi energi, kota cerdas, perumahan, dan air. Mineral dan hilirisasi sekitar Rp284 triliun atau 13,6 persen: nikel HPAL, bauksit–alumina, tembaga, dan material baterai. Industri pertahanan sekitar Rp81 triliun, untuk kapal selam, fregat, LPD, MRO, dan DEFEND ID. Sisanya, sekitar Rp452 triliun, tersebar di kimia, pangan, tekstil, dan kesehatan. Dari daftar ini kami tarik pula portofolio AI dan digital sekitar Rp25,6 triliun, termasuk AI berdaulat Rp13,8 triliun, semikonduktor, dan pusat data. Di luar 40 proyek, ada Koperasi Desa Merah Putih: 80.000 koperasi dengan plafon hingga Rp3 miliar per unit, atau sekitar Rp240 triliun. Perlu dicatat, register 40 proyek ini belum sepenuhnya terekonsiliasi; sebagian slot proyek masih belum bernama.</w:t>
      </w:r>
    </w:p>
    <w:p>
      <w:r>
        <w:rPr>
          <w:i w:val="0"/>
        </w:rPr>
        <w:t>Bagian bawah halaman adalah inti diagnosisnya: tujuh masalah struktural.</w:t>
      </w:r>
    </w:p>
    <w:p>
      <w:r>
        <w:rPr>
          <w:i w:val="0"/>
        </w:rPr>
        <w:t>Pertama, biaya dana tinggi. Contoh PT PAL: pinjaman bank berbiaya 9 sampai 11 persen. Bahkan pinjaman lunak luar negeri pun pada akhirnya mahal, karena pengadaannya terikat ke negara pemberi pinjaman, ada risiko kurs, dan ada biaya komitmen.</w:t>
      </w:r>
    </w:p>
    <w:p>
      <w:r>
        <w:rPr>
          <w:i w:val="0"/>
        </w:rPr>
        <w:t>Kedua, industri lokal tidak dikembangkan. Sekitar 75 persen material kapal PT PAL masih impor, dan tingkat kandungan dalam negeri DEFEND ID baru sekitar 43 persen. Belanja proyek besar belum membangun industri dalam negeri.</w:t>
      </w:r>
    </w:p>
    <w:p>
      <w:r>
        <w:rPr>
          <w:i w:val="0"/>
        </w:rPr>
        <w:t>Ketiga, rantai pasok domestik tidak pernah dibangun. Dalam model kajian, sekitar US$39 miliar belanja modal 40 proyek akan bocor ke luar negeri sepanjang 2027–2032. UMKM menyumbang sekitar 62 persen PDB, tetapi jarang masuk rantai pasok strategis karena pemasok Tier 1 sampai 3 belum terkualifikasi.</w:t>
      </w:r>
    </w:p>
    <w:p>
      <w:r>
        <w:rPr>
          <w:i w:val="0"/>
        </w:rPr>
        <w:t>Keempat, ketergantungan teknologi asing. Pada 2029 saja, pipeline proyek dan hilirisasi memerlukan impor sekitar US$14 miliar. Hak kekayaan intelektual dipegang mitra asing, tanpa alih teknologi, sehingga ketergantungan berulang pada proyek berikutnya.</w:t>
      </w:r>
    </w:p>
    <w:p>
      <w:r>
        <w:rPr>
          <w:i w:val="0"/>
        </w:rPr>
        <w:t>Kelima, sumber daya alam belum dimanfaatkan penuh. Porsi penerimaan dari SDA dalam penerimaan negara turun dari rata-rata 19,3 persen pada 2004–2014 menjadi 7,7 persen pada 2015–2024. SDA masih dijual sebagai komoditas; nilai cadangannya belum dijadikan dasar nilai finansial.</w:t>
      </w:r>
    </w:p>
    <w:p>
      <w:r>
        <w:rPr>
          <w:i w:val="0"/>
        </w:rPr>
        <w:t>Keenam, under-invoicing ekspor SDA: faktur ekspor yang dicatat di bawah nilai riil, sehingga royalti, pajak, dan devisa yang diterima negara jauh lebih kecil dari seharusnya.</w:t>
      </w:r>
    </w:p>
    <w:p>
      <w:r>
        <w:rPr>
          <w:i w:val="0"/>
        </w:rPr>
        <w:t>Ketujuh, uang gelap di luar sistem keuangan, yang diperkirakan mencapai Rp7.000 triliun, dari korupsi, narkoba, dan judi online. Uang ini tidak dipajaki dan tidak membiayai pembangunan.</w:t>
      </w:r>
    </w:p>
    <w:p>
      <w:r>
        <w:rPr>
          <w:i w:val="0"/>
        </w:rPr>
        <w:t>Jadi, akibatnya: biaya proyek tinggi, nilai tambah dan devisa bocor, dan kekayaan SDA belum berubah menjadi kapabilitas industri. Inilah titik berangkat kajian kami.</w:t>
      </w:r>
    </w:p>
    <w:p>
      <w:pPr>
        <w:spacing w:before="160"/>
      </w:pPr>
      <w:r>
        <w:rPr>
          <w:b/>
          <w:color w:val="1F3A5F"/>
        </w:rPr>
        <w:t>Kalimat transisi</w:t>
      </w:r>
    </w:p>
    <w:p>
      <w:r>
        <w:rPr>
          <w:i/>
        </w:rPr>
        <w:t>Dari tujuh masalah ini, kajian merumuskan lima pertanyaan kunci. Mari kita lihat di halaman berikutnya.</w:t>
      </w:r>
    </w:p>
    <w:p>
      <w:pPr>
        <w:spacing w:before="160"/>
      </w:pPr>
      <w:r>
        <w:rPr>
          <w:b/>
          <w:color w:val="1F3A5F"/>
        </w:rPr>
        <w:t>Catatan untuk penyaji</w:t>
      </w:r>
    </w:p>
    <w:p>
      <w:pPr>
        <w:pStyle w:val="ListBullet"/>
      </w:pPr>
      <w:r>
        <w:t>Angka Rp7.000 triliun dan masalah under-invoicing (butir 8 dan 9) bukan berasal dari kajian; infografis menandainya sebagai estimasi yang perlu diverifikasi. Sampaikan sebagai indikasi, bukan temuan.</w:t>
      </w:r>
    </w:p>
    <w:p>
      <w:pPr>
        <w:pStyle w:val="ListBullet"/>
      </w:pPr>
      <w:r>
        <w:t>Angka kerugian BUMN Karya Rp28 triliun adalah estimasi, belum teraudit.</w:t>
      </w:r>
    </w:p>
    <w:p>
      <w:pPr>
        <w:pStyle w:val="ListBullet"/>
      </w:pPr>
      <w:r>
        <w:t>Nilai per sektor (kelas C) belum direkonsiliasi penuh; AI &amp; digital adalah irisan dari Infrastruktur/Lainnya, jadi jangan dijumlahkan dengan sektor lain. KDKMP adalah plafon pembiayaan di luar 40 proyek.</w:t>
      </w:r>
    </w:p>
    <w:p>
      <w:pPr>
        <w:pStyle w:val="ListBullet"/>
      </w:pPr>
      <w:r>
        <w:t>Jika waktu terbatas: bacakan tiga masalah pertama secara lengkap, lalu sebut empat sisanya dalam satu kalimat.</w:t>
      </w:r>
    </w:p>
    <w:p>
      <w:r>
        <w:br w:type="page"/>
      </w:r>
    </w:p>
    <w:p>
      <w:pPr>
        <w:pStyle w:val="Heading1"/>
      </w:pPr>
      <w:r>
        <w:t>Halaman 2/4 — Lima Pertanyaan Kunci</w:t>
      </w:r>
    </w:p>
    <w:p>
      <w:r>
        <w:rPr>
          <w:i/>
          <w:color w:val="595959"/>
          <w:sz w:val="20"/>
        </w:rPr>
        <w:t>Perkiraan durasi baca: 3–4 menit</w:t>
      </w:r>
    </w:p>
    <w:p>
      <w:pPr>
        <w:spacing w:before="160"/>
      </w:pPr>
      <w:r>
        <w:rPr>
          <w:b/>
          <w:color w:val="1F3A5F"/>
        </w:rPr>
        <w:t>Pesan inti</w:t>
      </w:r>
    </w:p>
    <w:p>
      <w:r>
        <w:rPr>
          <w:i w:val="0"/>
        </w:rPr>
        <w:t>Kajian menjawab lima pertanyaan: bagaimana mentransformasi Danantara, bagaimana mengelola BUMN dengan AI multi-agen, bagaimana DOCK-UP mempercepat kapabilitas industri, bagaimana mengendalikan inflasi dari NRF, dan bagaimana mendanai proyek tanpa menambah pinjaman.</w:t>
      </w:r>
    </w:p>
    <w:p>
      <w:pPr>
        <w:spacing w:before="160"/>
      </w:pPr>
      <w:r>
        <w:rPr>
          <w:b/>
          <w:color w:val="1F3A5F"/>
        </w:rPr>
        <w:t>Naskah narasi</w:t>
      </w:r>
    </w:p>
    <w:p>
      <w:r>
        <w:rPr>
          <w:i w:val="0"/>
        </w:rPr>
        <w:t>Halaman kedua merangkum lima pertanyaan yang dijawab kajian ini, masing-masing dengan arah jawabannya.</w:t>
      </w:r>
    </w:p>
    <w:p>
      <w:r>
        <w:rPr>
          <w:i w:val="0"/>
        </w:rPr>
        <w:t>Pertanyaan pertama: bagaimana mentransformasi Danantara? Jawaban kami, Danantara perlu memosisikan ulang dirinya sebagai Platform Kapabilitas Industri Nasional. Logikanya berantai: modal menciptakan permintaan, permintaan menumbuhkan pemasok, dan pemasok membangun kapabilitas. Untuk menjalankannya, dibentuk unit Industri Strategis dan Pelaksanaan Proyek yang ramping di tingkat Badan Pelaksana, dengan konsep National Industrial Transformation Office, dan diuji dalam 90 hari. Paling lambat Hari ke-45, harus ada satu register 40 proyek yang disahkan, satu sumber kebenaran. Kinerja diukur dengan tiga scorecard: apakah modal menghasilkan imbal hasil, apakah BUMN menjadi lebih kuat, dan apakah kapabilitas industri bertambah. Portofolio dipisah dua: Alpha untuk imbal hasil komersial, dan Impact untuk proyek pembangunan yang dibiayai melalui SPV yang dipagari risikonya.</w:t>
      </w:r>
    </w:p>
    <w:p>
      <w:r>
        <w:rPr>
          <w:i w:val="0"/>
        </w:rPr>
        <w:t>Pertanyaan kedua: bagaimana mengelola BUMN dengan AI multi-agen? Yang diusulkan bukan chatbot, melainkan sistem operasi proyek. Sejumlah agen AI spesialis membaca data dari ERP yang sudah ada, memprediksi risiko, dan merekomendasikan tindakan, di atas satu master data yang sama: ID proyek, WBS, kode biaya, ID pemasok, dan ID kontrak. MVP-nya tiga bulan dengan enam agen: risiko portofolio, bid/no-bid, estimasi biaya, piutang, jadwal, dan pengadaan. Aksesnya baca-saja ke ERP, dan keputusan material tetap di tangan manusia. Uji dimulai pada dua atau tiga proyek BUMN Karya, lalu diperluas dengan pola hub-and-spoke ke seluruh BUMN.</w:t>
      </w:r>
    </w:p>
    <w:p>
      <w:r>
        <w:rPr>
          <w:i w:val="0"/>
        </w:rPr>
        <w:t>Pertanyaan ketiga: bagaimana DOCK-UP mempercepat kapabilitas industri? DOCK-UP singkatan dari Develop, Off-taker, Certification, dan Upgrading. Masalahnya adalah lingkaran setan: integrator tidak mau memesan dari UKM yang belum terkualifikasi, UKM tidak bisa berinvestasi tanpa pesanan, dan bank tidak mau memberi kredit tanpa keduanya. DOCK-UP memutus lingkaran itu. Kewajiban ofset dalam UU 16/2012 tentang Industri Pertahanan, yang naik dari 35 persen ke 85 persen, dijadikan pesanan nyata bagi pemasok lokal. TRL dan MRL, yaitu tingkat kesiapan teknologi dan manufaktur, menjadi bahasa bersama. Volume pesanan baru dilepas ketika pemasok lolos gerbang G1 sampai G4, dan pembiayaannya mengikuti gerbang yang sama, dengan kontrak payung tiga sampai lima tahun. Contoh nyatanya sudah ada: PT Barata Indonesia memasok V-Bracket untuk kapal perang PT PAL, disupervisi PT PAL dan diverifikasi Lloyd's Register. Waktu produksi dan biayanya turun lebih dari separuh dibanding impor dari Korea.</w:t>
      </w:r>
    </w:p>
    <w:p>
      <w:r>
        <w:rPr>
          <w:i w:val="0"/>
        </w:rPr>
        <w:t>Pertanyaan keempat: apa dampak Natural Resource Fund dan tokenisasi terhadap inflasi, dan bagaimana mengawasinya? NRF menargetkan manfaat fiskal Rp1.000 triliun dalam tiga tahun, setara sekitar 4 persen PDB. Bila seluruhnya dibelanjakan dalam satu tahun, ilustrasi kami menunjukkan tambahan inflasi 0,1 sampai 1 poin, padahal sasaran Bank Indonesia 2,5 persen plus minus 1. Artinya, seluruh ruang toleransi bisa habis. Ada delapan jalur transmisi; salah satu yang terpenting adalah harga batu bara, karena batu bara adalah aset utama NRF sekaligus bahan bakar listrik PLN. Karena itu kami mengusulkan Pemantau Inflasi NRF: indikator lima lapis, ambang hijau–kuning–merah, dan umpan balik langsung ke laju penyaluran dana. Pemantau ini harus dibangun sebelum rupiah pertama disalurkan, dan pembiayaan moneter oleh bank sentral harus dilarang. Tokenisasi sekitar US$150 juta dampak inflasinya kecil, tetapi secara hukum tetap merupakan kewajiban.</w:t>
      </w:r>
    </w:p>
    <w:p>
      <w:r>
        <w:rPr>
          <w:i w:val="0"/>
        </w:rPr>
        <w:t>Pertanyaan kelima: adakah cara mendanai proyek tanpa pinjaman? Ada beberapa. Ekuitas dan ko-investasi mitra global maupun swasta di tingkat proyek, dengan ekuitas Danantara sebagai jangkar. Skema KPBU, pembayaran ketersediaan layanan, dan daur ulang aset melalui INA. Dividen BUMN dan penerimaan SDA yang ditahan di NRF, bukan disekuritisasi. Ofset dan imbal dagang pertahanan. Serta hibah dan blended finance dari lembaga multilateral. Satu catatan penting: instrumen apa pun yang dasarnya arus kas negara di masa depan, apa pun namanya, tetap dihitung sebagai utang.</w:t>
      </w:r>
    </w:p>
    <w:p>
      <w:pPr>
        <w:spacing w:before="160"/>
      </w:pPr>
      <w:r>
        <w:rPr>
          <w:b/>
          <w:color w:val="1F3A5F"/>
        </w:rPr>
        <w:t>Kalimat transisi</w:t>
      </w:r>
    </w:p>
    <w:p>
      <w:r>
        <w:rPr>
          <w:i/>
        </w:rPr>
        <w:t>Lima jawaban ini bukan program yang berdiri sendiri. Halaman berikutnya menunjukkan bagaimana semuanya terhubung dalam satu alur nilai.</w:t>
      </w:r>
    </w:p>
    <w:p>
      <w:pPr>
        <w:spacing w:before="160"/>
      </w:pPr>
      <w:r>
        <w:rPr>
          <w:b/>
          <w:color w:val="1F3A5F"/>
        </w:rPr>
        <w:t>Catatan untuk penyaji</w:t>
      </w:r>
    </w:p>
    <w:p>
      <w:pPr>
        <w:pStyle w:val="ListBullet"/>
      </w:pPr>
      <w:r>
        <w:t>Hari ke-0 adalah tanggal Kepala Badan Pelaksana menyetujui model platform secara prinsip; Hari ke-45 dan uji 90 hari dihitung dari tanggal itu.</w:t>
      </w:r>
    </w:p>
    <w:p>
      <w:pPr>
        <w:pStyle w:val="ListBullet"/>
      </w:pPr>
      <w:r>
        <w:t>Angka inflasi 0,1–1,0 poin adalah ilustrasi dengan asumsi pengganda fiskal 0,3–0,8, bukan prakiraan.</w:t>
      </w:r>
    </w:p>
    <w:p>
      <w:pPr>
        <w:pStyle w:val="ListBullet"/>
      </w:pPr>
      <w:r>
        <w:t>Bila audiens bertanya soal skala: NRF dan tokenisasi bersifat pelengkap. Sebagian besar pendanaan Rp2.091 triliun tetap harus datang dari utang tingkat proyek dan mitra ko-investasi.</w:t>
      </w:r>
    </w:p>
    <w:p>
      <w:r>
        <w:br w:type="page"/>
      </w:r>
    </w:p>
    <w:p>
      <w:pPr>
        <w:pStyle w:val="Heading1"/>
      </w:pPr>
      <w:r>
        <w:t>Halaman 3/4 — Empat Pilar Menjadi Dampak: Alur Nilai Danantara</w:t>
      </w:r>
    </w:p>
    <w:p>
      <w:r>
        <w:rPr>
          <w:i/>
          <w:color w:val="595959"/>
          <w:sz w:val="20"/>
        </w:rPr>
        <w:t>Perkiraan durasi baca: 3–4 menit</w:t>
      </w:r>
    </w:p>
    <w:p>
      <w:pPr>
        <w:spacing w:before="160"/>
      </w:pPr>
      <w:r>
        <w:rPr>
          <w:b/>
          <w:color w:val="1F3A5F"/>
        </w:rPr>
        <w:t>Pesan inti</w:t>
      </w:r>
    </w:p>
    <w:p>
      <w:r>
        <w:rPr>
          <w:i w:val="0"/>
        </w:rPr>
        <w:t>Empat pilar portofolio dialirkan melalui NRF dan proyek rinci, diubah menjadi kapabilitas lewat DOCK-UP, dikendalikan oleh sistem AI multi-agen, lalu menghasilkan dampak ekonomi dan sosial. Hasilnya kembali ke NRF sehingga siklusnya berulang.</w:t>
      </w:r>
    </w:p>
    <w:p>
      <w:pPr>
        <w:spacing w:before="160"/>
      </w:pPr>
      <w:r>
        <w:rPr>
          <w:b/>
          <w:color w:val="1F3A5F"/>
        </w:rPr>
        <w:t>Naskah narasi</w:t>
      </w:r>
    </w:p>
    <w:p>
      <w:r>
        <w:rPr>
          <w:i w:val="0"/>
        </w:rPr>
        <w:t>Halaman ketiga adalah peta keseluruhan. Bacalah dari kiri ke kanan.</w:t>
      </w:r>
    </w:p>
    <w:p>
      <w:r>
        <w:rPr>
          <w:i w:val="0"/>
        </w:rPr>
        <w:t>Di kolom paling kiri ada empat pilar. Mineral dan batu bara, sekitar Rp284 triliun. Infrastruktur, sekitar Rp1.275 triliun. Industri pertahanan, sekitar Rp81 triliun. Dan AI multi-agen, sekitar Rp25,6 triliun, termasuk AI berdaulat Rp13,8 triliun.</w:t>
      </w:r>
    </w:p>
    <w:p>
      <w:r>
        <w:rPr>
          <w:i w:val="0"/>
        </w:rPr>
        <w:t>Pilar mineral dan batu bara punya peran khusus: ia menjadi dasar Natural Resource Fund. Cadangan mineral dan batu bara milik negara dijadikan aset dasar, dengan valuasi minimum sekitar Rp10.000 triliun, untuk menghasilkan manfaat fiskal sekitar Rp1.000 triliun dalam tiga tahun. Garis tegas pada gambar menunjukkan pendanaan NRF; garis putus-putus menunjukkan permintaan yang diciptakan tiap pilar.</w:t>
      </w:r>
    </w:p>
    <w:p>
      <w:r>
        <w:rPr>
          <w:i w:val="0"/>
        </w:rPr>
        <w:t>Di kolom kedua, pilar-pilar itu menjadi proyek rinci: industri hulu dan hilirisasi seperti nikel HPAL, bauksit–alumina, tembaga, dan material baterai; proyek infrastruktur seperti Giant Sea Wall, energi, dan perumahan; proyek pertahanan seperti kapal selam, fregat, dan MRO; serta proyek AI dan digital, termasuk enam agen AI dan dukungan bagi Koperasi Desa Merah Putih.</w:t>
      </w:r>
    </w:p>
    <w:p>
      <w:r>
        <w:rPr>
          <w:i w:val="0"/>
        </w:rPr>
        <w:t>Semua proyek itu kemudian melewati DOCK-UP. Di sinilah belanja proyek berubah menjadi pesanan bagi pemasok lokal yang siap produksi, dengan gerbang G1 sampai G4 sebagai penjaga mutu. Tanpa tahap ini, uang proyek akan mengalir ke pemasok impor, seperti yang kita lihat pada halaman pertama.</w:t>
      </w:r>
    </w:p>
    <w:p>
      <w:r>
        <w:rPr>
          <w:i w:val="0"/>
        </w:rPr>
        <w:t>Berikutnya, sistem AI multi-agen. Ia bekerja sebagai control tower portofolio di atas satu master data, memantau biaya, jadwal, pengadaan, dan risiko dari tingkat proyek sampai portofolio. Fungsinya: setiap hasil yang diklaim dapat ditelusuri ke modal, baseline, penanggung jawab, dan buktinya.</w:t>
      </w:r>
    </w:p>
    <w:p>
      <w:r>
        <w:rPr>
          <w:i w:val="0"/>
        </w:rPr>
        <w:t>Di kolom kanan adalah dampaknya. Secara ekonomi: level PDB naik hingga sekitar 1,55 persen pada puncak 2030 dan tetap 0,74 persen lebih tinggi secara permanen; tambahan pajak sekitar Rp169 triliun selama pembangunan; dan penghematan devisa US$2,4 sampai 7,2 miliar bila 10 sampai 30 persen impor dapat dilokalkan. Secara sosial: 9,4 sampai 11,4 juta tahun-kerja selama pembangunan, sekitar 1 juta pekerjaan tetap, tingkat pengangguran terbuka turun dari 4,68 persen ke sekitar 4 persen pada 2028–2030, dan 80.000 koperasi desa serta UKM masuk ke rantai pasok.</w:t>
      </w:r>
    </w:p>
    <w:p>
      <w:r>
        <w:rPr>
          <w:i w:val="0"/>
        </w:rPr>
        <w:t>Perhatikan panah putus-putus di atas: dividen, pajak, dan penerimaan SDA mengalir kembali ke NRF. Inilah yang membuat model ini menjadi siklus, bukan belanja sekali pakai.</w:t>
      </w:r>
    </w:p>
    <w:p>
      <w:r>
        <w:rPr>
          <w:i w:val="0"/>
        </w:rPr>
        <w:t>Terakhir, baris paling bawah menunjukkan penggerak kelembagaannya. Badan Pelaksana mengorkestrasi. DIM dan DAM mengurus modal, investasi, dan pengelolaan aset BUMN, termasuk menyalurkan NRF dan dividen. DDMF dan DSIM menjalankan pengembangan proyek dan industri strategis, termasuk DOCK-UP. Dan di ujung kanan ada satu prinsip yang tidak boleh hilang: manusia yang memutuskan. AI menganalisis dan merekomendasikan, tetapi keputusan material tetap di tangan pejabat yang bertanggung jawab.</w:t>
      </w:r>
    </w:p>
    <w:p>
      <w:pPr>
        <w:spacing w:before="160"/>
      </w:pPr>
      <w:r>
        <w:rPr>
          <w:b/>
          <w:color w:val="1F3A5F"/>
        </w:rPr>
        <w:t>Kalimat transisi</w:t>
      </w:r>
    </w:p>
    <w:p>
      <w:r>
        <w:rPr>
          <w:i/>
        </w:rPr>
        <w:t>Angka dampak di kolom kanan tadi baru ringkasannya. Halaman terakhir menguraikan dari mana angka itu berasal dan apa risikonya.</w:t>
      </w:r>
    </w:p>
    <w:p>
      <w:pPr>
        <w:spacing w:before="160"/>
      </w:pPr>
      <w:r>
        <w:rPr>
          <w:b/>
          <w:color w:val="1F3A5F"/>
        </w:rPr>
        <w:t>Catatan untuk penyaji</w:t>
      </w:r>
    </w:p>
    <w:p>
      <w:pPr>
        <w:pStyle w:val="ListBullet"/>
      </w:pPr>
      <w:r>
        <w:t>Label DSIM dibaca dari sketsa tangan dan diartikan sebagai unit industri strategis (padanan terdekat dalam kajian adalah Unit Industri Strategis dan Pelaksanaan Proyek). Konfirmasi kepanjangan resminya sebelum menyajikan.</w:t>
      </w:r>
    </w:p>
    <w:p>
      <w:pPr>
        <w:pStyle w:val="ListBullet"/>
      </w:pPr>
      <w:r>
        <w:t>Valuasi minimum Rp10.000 triliun dan manfaat Rp1.000 triliun berasal dari usulan NRF dan belum diuji independen; disiplin valuasi masih harus diselesaikan sebelum desain final.</w:t>
      </w:r>
    </w:p>
    <w:p>
      <w:pPr>
        <w:pStyle w:val="ListBullet"/>
      </w:pPr>
      <w:r>
        <w:t>Pastikan audiens memahami bahwa angka penghematan devisa (skenario lokalisasi) terpisah dari angka PDB dan tidak dijumlahkan.</w:t>
      </w:r>
    </w:p>
    <w:p>
      <w:r>
        <w:br w:type="page"/>
      </w:r>
    </w:p>
    <w:p>
      <w:pPr>
        <w:pStyle w:val="Heading1"/>
      </w:pPr>
      <w:r>
        <w:t>Halaman 4/4 — Narasi Dampak: PDB, Pekerjaan, Fiskal, Devisa, dan Sosial</w:t>
      </w:r>
    </w:p>
    <w:p>
      <w:r>
        <w:rPr>
          <w:i/>
          <w:color w:val="595959"/>
          <w:sz w:val="20"/>
        </w:rPr>
        <w:t>Perkiraan durasi baca: 4 menit</w:t>
      </w:r>
    </w:p>
    <w:p>
      <w:pPr>
        <w:spacing w:before="160"/>
      </w:pPr>
      <w:r>
        <w:rPr>
          <w:b/>
          <w:color w:val="1F3A5F"/>
        </w:rPr>
        <w:t>Pesan inti</w:t>
      </w:r>
    </w:p>
    <w:p>
      <w:r>
        <w:rPr>
          <w:i w:val="0"/>
        </w:rPr>
        <w:t>Model ilustratif atas pipeline Rp2.091 triliun 2027–2032 menunjukkan dampak besar pada PDB, lapangan kerja, penerimaan negara, dan devisa, tetapi belum cukup untuk mencapai pertumbuhan 8 persen sendirian, dan membawa risiko inflasi serta penurunan investasi pada 2032.</w:t>
      </w:r>
    </w:p>
    <w:p>
      <w:pPr>
        <w:spacing w:before="160"/>
      </w:pPr>
      <w:r>
        <w:rPr>
          <w:b/>
          <w:color w:val="1F3A5F"/>
        </w:rPr>
        <w:t>Naskah narasi</w:t>
      </w:r>
    </w:p>
    <w:p>
      <w:r>
        <w:rPr>
          <w:i w:val="0"/>
        </w:rPr>
        <w:t>Halaman terakhir menguraikan dampak. Satu catatan sebelum mulai: semua angka di halaman ini berasal dari model ilustratif atas pipeline Rp2.091 triliun untuk 2027–2032. Angkanya bruto, belum dikurangi efek pengalihan. Anggaplah ini sebagai hipotesis yang akan diuji, bukan janji.</w:t>
      </w:r>
    </w:p>
    <w:p>
      <w:r>
        <w:rPr>
          <w:i w:val="0"/>
        </w:rPr>
        <w:t>Empat angka utama di atas: PDB naik 1,55 persen pada puncaknya, 9,4 sampai 11,4 juta tahun-kerja, Rp169 triliun tambahan pajak, dan penghematan devisa US$2,4 sampai 7,2 miliar. Mari kita urai satu per satu.</w:t>
      </w:r>
    </w:p>
    <w:p>
      <w:r>
        <w:rPr>
          <w:i w:val="0"/>
        </w:rPr>
        <w:t>PDB. Selama konstruksi, pengganda investasi publik naik dari sekitar 0,5 pada tahun pertama ke sekitar 1,2 setelah lima tahun. Tambahan PDB kumulatif sekitar Rp1.819 triliun. Infrastruktur menyumbang sekitar dua pertiga efek selama pembangunan, karena paling besar dan belanjanya tetap di dalam negeri. SDA menyumbang sekitar dua perlima efek permanen, karena seluruh modalnya produktif. Setelah proyek selesai, PDB tetap sekitar 0,74 persen lebih tinggi, kira-kira Rp260 triliun per tahun. Dengan efisiensi investasi yang lebih baik, puncaknya bisa mencapai 2 persen.</w:t>
      </w:r>
    </w:p>
    <w:p>
      <w:r>
        <w:rPr>
          <w:i w:val="0"/>
        </w:rPr>
        <w:t>Lapangan kerja. Pekerjaan memuncak pada 2028–2030, sekitar 2,6 juta per tahun. Infrastruktur paling padat karya: sekitar 6.300 tahun-kerja per Rp1 triliun, dibandingkan 4.600 untuk SDA dan 3.600 untuk pertahanan. Pengangguran terbuka turun dari 4,68 persen ke sekitar 4 persen. Tetapi berapa yang benar-benar jatuh ke pekerja Indonesia sangat ditentukan oleh syarat rekrutmen lokal dan pelatihan vokasi.</w:t>
      </w:r>
    </w:p>
    <w:p>
      <w:r>
        <w:rPr>
          <w:i w:val="0"/>
        </w:rPr>
        <w:t>Konsumsi rumah tangga. Pada puncak 2029, sekitar 2 juta pekerja di lokasi proyek dan pemasok menerima upah sekitar Rp79 triliun. Rp40 sampai 63 triliun di antaranya pendapatan yang benar-benar baru, yang menambah konsumsi Rp30 sampai 53 triliun, lalu mendorong PDB 0,2 sampai 0,4 persen pada putaran berikutnya.</w:t>
      </w:r>
    </w:p>
    <w:p>
      <w:r>
        <w:rPr>
          <w:i w:val="0"/>
        </w:rPr>
        <w:t>Penerimaan negara. Selama pembangunan ada tambahan pajak sekitar Rp169 triliun, lalu sekitar Rp24 triliun per tahun dari kapasitas permanen. NRF menambah manfaat fiskal Rp100 triliun pada tahun pertama dan Rp1.000 triliun dalam tiga tahun, memulihkan peran SDA yang porsinya turun dari 19,3 ke 7,7 persen.</w:t>
      </w:r>
    </w:p>
    <w:p>
      <w:r>
        <w:rPr>
          <w:i w:val="0"/>
        </w:rPr>
        <w:t>Baris bawah, empat kartu lagi. Devisa dan neraca pembayaran: sekitar US$39 miliar belanja modal, atau US$6,5 miliar per tahun, akan mengalir ke luar negeri. Bila 10 sampai 30 persen barang impor itu dialihkan ke pemasok DOCK-UP, kita menghemat devisa US$2,4 sampai 7,2 miliar dan menambah nilai tambah Rp23 sampai 68 triliun.</w:t>
      </w:r>
    </w:p>
    <w:p>
      <w:r>
        <w:rPr>
          <w:i w:val="0"/>
        </w:rPr>
        <w:t>Industri lokal, UKM, dan desa. Kewajiban ofset 35 sampai 85 persen menjadi pesanan bagi pemasok lokal. Gerbang G1 sampai G4 membawa UKM dari sekadar membuat sesuai gambar pelanggan menuju merancang dan membangun sendiri, dengan potensi 90 sampai 271 ribu tahun-kerja. Sementara itu, 80.000 Koperasi Desa Merah Putih menyalurkan manfaat sampai ke desa dengan transaksi yang dapat ditelusuri.</w:t>
      </w:r>
    </w:p>
    <w:p>
      <w:r>
        <w:rPr>
          <w:i w:val="0"/>
        </w:rPr>
        <w:t>Pertumbuhan 8 persen. Di sini kita perlu jujur. Pertumbuhan 2025 sekitar 5,1 persen. Dengan semua pengungkit SDA dan pipeline berjalan, pertumbuhan 2029 bisa mencapai sekitar 6,25 persen, dan sekitar 6,8 persen bila efisiensi investasi membaik. Sisa sekitar 1,2 poin harus datang dari reformasi di luar SDA: logistik, perizinan, dan BUMN. Targetnya investasi sekitar 33,5 persen PDB dengan ICOR sekitar 4,2. Sistem AI multi-agen membantu menekan ICOR melalui kendali biaya, jadwal, dan pengadaan.</w:t>
      </w:r>
    </w:p>
    <w:p>
      <w:r>
        <w:rPr>
          <w:i w:val="0"/>
        </w:rPr>
        <w:t>Terakhir, inflasi dan risiko 2032. Bila Rp1.000 triliun NRF dibelanjakan dalam satu tahun, inflasi bisa naik 0,1 sampai 1 poin. Dan karena hampir semua proyek selesai pada 2031, investasi turun tajam dari sekitar Rp409 triliun ke Rp87 triliun pada 2032, memangkas pertumbuhan sekitar 0,7 poin. Responsnya ada tiga: penyaluran bertahap, pemantau inflasi yang aktif sejak awal, dan pipeline penerus yang disiapkan sejak 2030.</w:t>
      </w:r>
    </w:p>
    <w:p>
      <w:r>
        <w:rPr>
          <w:i w:val="0"/>
        </w:rPr>
        <w:t>Sebagai penutup: Danantara memiliki modal, kepercayaan pasar, dan pipeline proyek yang besar. Yang belum ada adalah mekanisme yang mengubah modal itu menjadi kapabilitas industri Indonesia. Empat pilar, NRF, DOCK-UP, dan sistem AI multi-agen adalah mekanisme itu. Bila dijalankan dengan disiplin, dampaknya terukur; bila tidak, modal strategis kita sebagian besar akan membeli peralatan impor dan teknologi asing. Terima kasih.</w:t>
      </w:r>
    </w:p>
    <w:p>
      <w:pPr>
        <w:spacing w:before="160"/>
      </w:pPr>
      <w:r>
        <w:rPr>
          <w:b/>
          <w:color w:val="1F3A5F"/>
        </w:rPr>
        <w:t>Catatan untuk penyaji</w:t>
      </w:r>
    </w:p>
    <w:p>
      <w:pPr>
        <w:pStyle w:val="ListBullet"/>
      </w:pPr>
      <w:r>
        <w:t>Catatan kaki infografis: model ilustratif (kelas D). Pekerjaan, PDB, dan pajak dihitung atas pipeline Rp2.091 triliun; lokalisasi 10–30% adalah skenario terpisah dan tidak dijumlahkan dengan dampak PDB.</w:t>
      </w:r>
    </w:p>
    <w:p>
      <w:pPr>
        <w:pStyle w:val="ListBullet"/>
      </w:pPr>
      <w:r>
        <w:t>Rentang 9,4–11,4 juta tahun-kerja berasal dari dua metode (turunan-PDB dan bawah-atas). Untuk target internal yang konservatif, gunakan ujung bawah: 9,4 juta tahun-kerja dan sekitar 976 ribu pekerjaan tetap.</w:t>
      </w:r>
    </w:p>
    <w:p>
      <w:pPr>
        <w:pStyle w:val="ListBullet"/>
      </w:pPr>
      <w:r>
        <w:t>Kaitan AI multi-agen dengan penurunan ICOR adalah penalaran penyusun infografis, bukan angka hasil model.</w:t>
      </w:r>
    </w:p>
    <w:p>
      <w:pPr>
        <w:pStyle w:val="ListBullet"/>
      </w:pPr>
      <w:r>
        <w:t>Bila waktu terbatas, kartu konsumsi rumah tangga dan industri lokal dapat diringkas menjadi satu kalimat masing-masing.</w:t>
      </w:r>
    </w:p>
    <w:p>
      <w:r>
        <w:br w:type="page"/>
      </w:r>
    </w:p>
    <w:p>
      <w:pPr>
        <w:pStyle w:val="Heading1"/>
      </w:pPr>
      <w:r>
        <w:t>Lampiran — Daftar istilah singkat</w:t>
      </w:r>
    </w:p>
    <w:tbl>
      <w:tblPr>
        <w:tblStyle w:val="LightGrid-Accent1"/>
        <w:tblW w:type="auto" w:w="0"/>
        <w:tblLook w:firstColumn="1" w:firstRow="1" w:lastColumn="0" w:lastRow="0" w:noHBand="0" w:noVBand="1" w:val="04A0"/>
      </w:tblPr>
      <w:tblGrid>
        <w:gridCol w:w="4759"/>
        <w:gridCol w:w="4759"/>
      </w:tblGrid>
      <w:tr>
        <w:tc>
          <w:tcPr>
            <w:tcW w:type="dxa" w:w="4759"/>
          </w:tcPr>
          <w:p>
            <w:r>
              <w:t>Istilah</w:t>
            </w:r>
          </w:p>
        </w:tc>
        <w:tc>
          <w:tcPr>
            <w:tcW w:type="dxa" w:w="4759"/>
          </w:tcPr>
          <w:p>
            <w:r>
              <w:t>Arti</w:t>
            </w:r>
          </w:p>
        </w:tc>
      </w:tr>
      <w:tr>
        <w:tc>
          <w:tcPr>
            <w:tcW w:type="dxa" w:w="4759"/>
          </w:tcPr>
          <w:p>
            <w:r>
              <w:t>BPI</w:t>
            </w:r>
          </w:p>
        </w:tc>
        <w:tc>
          <w:tcPr>
            <w:tcW w:type="dxa" w:w="4759"/>
          </w:tcPr>
          <w:p>
            <w:r>
              <w:t>Badan Pengelola Investasi Danantara, dipimpin Badan Pelaksana.</w:t>
            </w:r>
          </w:p>
        </w:tc>
      </w:tr>
      <w:tr>
        <w:tc>
          <w:tcPr>
            <w:tcW w:type="dxa" w:w="4759"/>
          </w:tcPr>
          <w:p>
            <w:r>
              <w:t>DAM / DIM / DDMF</w:t>
            </w:r>
          </w:p>
        </w:tc>
        <w:tc>
          <w:tcPr>
            <w:tcW w:type="dxa" w:w="4759"/>
          </w:tcPr>
          <w:p>
            <w:r>
              <w:t>Tiga lini operasional: pengelolaan aset BUMN, investasi, dan pengembangan proyek.</w:t>
            </w:r>
          </w:p>
        </w:tc>
      </w:tr>
      <w:tr>
        <w:tc>
          <w:tcPr>
            <w:tcW w:type="dxa" w:w="4759"/>
          </w:tcPr>
          <w:p>
            <w:r>
              <w:t>NRF</w:t>
            </w:r>
          </w:p>
        </w:tc>
        <w:tc>
          <w:tcPr>
            <w:tcW w:type="dxa" w:w="4759"/>
          </w:tcPr>
          <w:p>
            <w:r>
              <w:t>Natural Resource Fund / Dana Sumber Daya Alam: dana berbasis bagian negara atas kekayaan SDA.</w:t>
            </w:r>
          </w:p>
        </w:tc>
      </w:tr>
      <w:tr>
        <w:tc>
          <w:tcPr>
            <w:tcW w:type="dxa" w:w="4759"/>
          </w:tcPr>
          <w:p>
            <w:r>
              <w:t>DOCK-UP</w:t>
            </w:r>
          </w:p>
        </w:tc>
        <w:tc>
          <w:tcPr>
            <w:tcW w:type="dxa" w:w="4759"/>
          </w:tcPr>
          <w:p>
            <w:r>
              <w:t>Develop, Off-taker, Certification, Upgrading: skema pengembangan pemasok dalam negeri.</w:t>
            </w:r>
          </w:p>
        </w:tc>
      </w:tr>
      <w:tr>
        <w:tc>
          <w:tcPr>
            <w:tcW w:type="dxa" w:w="4759"/>
          </w:tcPr>
          <w:p>
            <w:r>
              <w:t>TRL / MRL</w:t>
            </w:r>
          </w:p>
        </w:tc>
        <w:tc>
          <w:tcPr>
            <w:tcW w:type="dxa" w:w="4759"/>
          </w:tcPr>
          <w:p>
            <w:r>
              <w:t>Technology / Manufacturing Readiness Level: tingkat kesiapan teknologi dan manufaktur.</w:t>
            </w:r>
          </w:p>
        </w:tc>
      </w:tr>
      <w:tr>
        <w:tc>
          <w:tcPr>
            <w:tcW w:type="dxa" w:w="4759"/>
          </w:tcPr>
          <w:p>
            <w:r>
              <w:t>G1–G4</w:t>
            </w:r>
          </w:p>
        </w:tc>
        <w:tc>
          <w:tcPr>
            <w:tcW w:type="dxa" w:w="4759"/>
          </w:tcPr>
          <w:p>
            <w:r>
              <w:t>Gerbang kesiapan pemasok yang menggabungkan TRL dan MRL; membuka volume pesanan dan pembiayaan.</w:t>
            </w:r>
          </w:p>
        </w:tc>
      </w:tr>
      <w:tr>
        <w:tc>
          <w:tcPr>
            <w:tcW w:type="dxa" w:w="4759"/>
          </w:tcPr>
          <w:p>
            <w:r>
              <w:t>KDKMP</w:t>
            </w:r>
          </w:p>
        </w:tc>
        <w:tc>
          <w:tcPr>
            <w:tcW w:type="dxa" w:w="4759"/>
          </w:tcPr>
          <w:p>
            <w:r>
              <w:t>Koperasi Desa/Kelurahan Merah Putih.</w:t>
            </w:r>
          </w:p>
        </w:tc>
      </w:tr>
      <w:tr>
        <w:tc>
          <w:tcPr>
            <w:tcW w:type="dxa" w:w="4759"/>
          </w:tcPr>
          <w:p>
            <w:r>
              <w:t>NITO</w:t>
            </w:r>
          </w:p>
        </w:tc>
        <w:tc>
          <w:tcPr>
            <w:tcW w:type="dxa" w:w="4759"/>
          </w:tcPr>
          <w:p>
            <w:r>
              <w:t>National Industrial Transformation Office: konsep unit integrasi portofolio industri.</w:t>
            </w:r>
          </w:p>
        </w:tc>
      </w:tr>
      <w:tr>
        <w:tc>
          <w:tcPr>
            <w:tcW w:type="dxa" w:w="4759"/>
          </w:tcPr>
          <w:p>
            <w:r>
              <w:t>ICOR</w:t>
            </w:r>
          </w:p>
        </w:tc>
        <w:tc>
          <w:tcPr>
            <w:tcW w:type="dxa" w:w="4759"/>
          </w:tcPr>
          <w:p>
            <w:r>
              <w:t>Incremental Capital-Output Ratio: investasi yang diperlukan untuk satu unit tambahan output; makin rendah makin efisien.</w:t>
            </w:r>
          </w:p>
        </w:tc>
      </w:tr>
      <w:tr>
        <w:tc>
          <w:tcPr>
            <w:tcW w:type="dxa" w:w="4759"/>
          </w:tcPr>
          <w:p>
            <w:r>
              <w:t>KPBU</w:t>
            </w:r>
          </w:p>
        </w:tc>
        <w:tc>
          <w:tcPr>
            <w:tcW w:type="dxa" w:w="4759"/>
          </w:tcPr>
          <w:p>
            <w:r>
              <w:t>Kerja Sama Pemerintah dan Badan Usaha.</w:t>
            </w:r>
          </w:p>
        </w:tc>
      </w:tr>
      <w:tr>
        <w:tc>
          <w:tcPr>
            <w:tcW w:type="dxa" w:w="4759"/>
          </w:tcPr>
          <w:p>
            <w:r>
              <w:t>SPV ring-fenced</w:t>
            </w:r>
          </w:p>
        </w:tc>
        <w:tc>
          <w:tcPr>
            <w:tcW w:type="dxa" w:w="4759"/>
          </w:tcPr>
          <w:p>
            <w:r>
              <w:t>Perusahaan proyek yang risikonya dipagari agar kerugiannya tidak menjalar ke BUMN induk atau bank BUMN.</w:t>
            </w:r>
          </w:p>
        </w:tc>
      </w:tr>
      <w:tr>
        <w:tc>
          <w:tcPr>
            <w:tcW w:type="dxa" w:w="4759"/>
          </w:tcPr>
          <w:p>
            <w:r>
              <w:t>Tahun-kerja</w:t>
            </w:r>
          </w:p>
        </w:tc>
        <w:tc>
          <w:tcPr>
            <w:tcW w:type="dxa" w:w="4759"/>
          </w:tcPr>
          <w:p>
            <w:r>
              <w:t>Satu pekerjaan selama satu tahun.</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