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Book</w:t>
      </w:r>
    </w:p>
    <w:p>
      <w:r>
        <w:rPr>
          <w:b/>
          <w:sz w:val="26"/>
        </w:rPr>
        <w:t>Stabilise, Save, Invest and Grow: Indonesia's Natural-Resource Wealth, Danantara's Pipeline and the Road to 8% Growth</w:t>
      </w:r>
    </w:p>
    <w:p>
      <w:r>
        <w:rPr>
          <w:sz w:val="21"/>
        </w:rPr>
        <w:t>All metrics, tables and chart data extracted from the Integrated Paper v3 (EN), dated 16 October 2026</w:t>
      </w:r>
    </w:p>
    <w:p>
      <w:r>
        <w:rPr>
          <w:color w:val="555555"/>
          <w:sz w:val="17"/>
        </w:rPr>
        <w:t>Compiled 17 October 2026  ·  Source file: Stabilise_Save_Invest_Grow_Integrated_Paper_v3_EN.docx  ·  Classification: Restricted (draws on the DDMF RKAP 2026, Private &amp; Confidential)</w:t>
      </w:r>
    </w:p>
    <w:p>
      <w:pPr>
        <w:pStyle w:val="Heading1"/>
      </w:pPr>
      <w:r>
        <w:t>About this data book</w:t>
      </w:r>
    </w:p>
    <w:p>
      <w:r>
        <w:t>This book puts every quantitative item in the paper into data tables. It has four parts: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Items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8"/>
              </w:rPr>
              <w:t>Headline metrics: the figures that carry the argument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8"/>
              </w:rPr>
              <w:t>24 rows</w:t>
            </w:r>
          </w:p>
        </w:tc>
      </w:tr>
      <w:tr>
        <w:tc>
          <w:tcPr>
            <w:tcW w:type="dxa" w:w="454"/>
            <w:shd w:val="clear" w:color="auto" w:fill="EEF2F8"/>
          </w:tcPr>
          <w:p>
            <w:pPr>
              <w:spacing w:after="0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sz w:val="18"/>
              </w:rPr>
              <w:t>Metrics stated in the text, by chapter (value, unit, period, section)</w:t>
            </w:r>
          </w:p>
        </w:tc>
        <w:tc>
          <w:tcPr>
            <w:tcW w:type="dxa" w:w="2381"/>
            <w:shd w:val="clear" w:color="auto" w:fill="EEF2F8"/>
          </w:tcPr>
          <w:p>
            <w:pPr>
              <w:spacing w:after="0"/>
            </w:pPr>
            <w:r/>
            <w:r>
              <w:rPr>
                <w:sz w:val="18"/>
              </w:rPr>
              <w:t>452 rows in 15 groups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8"/>
              </w:rPr>
              <w:t>Chart data: the values behind each figure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8"/>
              </w:rPr>
              <w:t>24 data tables</w:t>
            </w:r>
          </w:p>
        </w:tc>
      </w:tr>
      <w:tr>
        <w:tc>
          <w:tcPr>
            <w:tcW w:type="dxa" w:w="454"/>
            <w:shd w:val="clear" w:color="auto" w:fill="EEF2F8"/>
          </w:tcPr>
          <w:p>
            <w:pPr>
              <w:spacing w:after="0"/>
            </w:pPr>
            <w:r/>
            <w:r>
              <w:rPr>
                <w:sz w:val="18"/>
              </w:rPr>
              <w:t>D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sz w:val="18"/>
              </w:rPr>
              <w:t>The paper's own tables, reproduced in full</w:t>
            </w:r>
          </w:p>
        </w:tc>
        <w:tc>
          <w:tcPr>
            <w:tcW w:type="dxa" w:w="2381"/>
            <w:shd w:val="clear" w:color="auto" w:fill="EEF2F8"/>
          </w:tcPr>
          <w:p>
            <w:pPr>
              <w:spacing w:after="0"/>
            </w:pPr>
            <w:r/>
            <w:r>
              <w:rPr>
                <w:sz w:val="18"/>
              </w:rPr>
              <w:t>45 tables</w:t>
            </w:r>
          </w:p>
        </w:tc>
      </w:tr>
    </w:tbl>
    <w:p>
      <w:pPr>
        <w:spacing w:after="40"/>
      </w:pPr>
    </w:p>
    <w:p>
      <w:r>
        <w:t>How to read the values: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70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86"/>
          </w:tcPr>
          <w:p>
            <w:pPr>
              <w:spacing w:after="0"/>
            </w:pPr>
            <w:r/>
            <w:r>
              <w:rPr>
                <w:sz w:val="18"/>
              </w:rPr>
              <w:t>(no mark)</w:t>
            </w:r>
          </w:p>
        </w:tc>
        <w:tc>
          <w:tcPr>
            <w:tcW w:type="dxa" w:w="7052"/>
          </w:tcPr>
          <w:p>
            <w:pPr>
              <w:spacing w:after="0"/>
            </w:pPr>
            <w:r/>
            <w:r>
              <w:rPr>
                <w:sz w:val="18"/>
              </w:rPr>
              <w:t>Stated exactly in the paper (text, table or a data label printed on a chart)</w:t>
            </w:r>
          </w:p>
        </w:tc>
      </w:tr>
      <w:tr>
        <w:tc>
          <w:tcPr>
            <w:tcW w:type="dxa" w:w="2586"/>
            <w:shd w:val="clear" w:color="auto" w:fill="EEF2F8"/>
          </w:tcPr>
          <w:p>
            <w:pPr>
              <w:spacing w:after="0"/>
            </w:pPr>
            <w:r/>
            <w:r>
              <w:rPr>
                <w:sz w:val="18"/>
              </w:rPr>
              <w:t>≈</w:t>
            </w:r>
          </w:p>
        </w:tc>
        <w:tc>
          <w:tcPr>
            <w:tcW w:type="dxa" w:w="7052"/>
            <w:shd w:val="clear" w:color="auto" w:fill="EEF2F8"/>
          </w:tcPr>
          <w:p>
            <w:pPr>
              <w:spacing w:after="0"/>
            </w:pPr>
            <w:r/>
            <w:r>
              <w:rPr>
                <w:sz w:val="18"/>
              </w:rPr>
              <w:t>Read off a chart where no data label is printed; accurate to about the chart gridline resolution</w:t>
            </w:r>
          </w:p>
        </w:tc>
      </w:tr>
      <w:tr>
        <w:tc>
          <w:tcPr>
            <w:tcW w:type="dxa" w:w="2586"/>
          </w:tcPr>
          <w:p>
            <w:pPr>
              <w:spacing w:after="0"/>
            </w:pPr>
            <w:r/>
            <w:r>
              <w:rPr>
                <w:sz w:val="18"/>
              </w:rPr>
              <w:t>about / around</w:t>
            </w:r>
          </w:p>
        </w:tc>
        <w:tc>
          <w:tcPr>
            <w:tcW w:type="dxa" w:w="7052"/>
          </w:tcPr>
          <w:p>
            <w:pPr>
              <w:spacing w:after="0"/>
            </w:pPr>
            <w:r/>
            <w:r>
              <w:rPr>
                <w:sz w:val="18"/>
              </w:rPr>
              <w:t>The paper's own wording for a rounded figure, kept as written</w:t>
            </w:r>
          </w:p>
        </w:tc>
      </w:tr>
      <w:tr>
        <w:tc>
          <w:tcPr>
            <w:tcW w:type="dxa" w:w="2586"/>
            <w:shd w:val="clear" w:color="auto" w:fill="EEF2F8"/>
          </w:tcPr>
          <w:p>
            <w:pPr>
              <w:spacing w:after="0"/>
            </w:pPr>
            <w:r/>
            <w:r>
              <w:rPr>
                <w:sz w:val="18"/>
              </w:rPr>
              <w:t>T / L / R / C</w:t>
            </w:r>
          </w:p>
        </w:tc>
        <w:tc>
          <w:tcPr>
            <w:tcW w:type="dxa" w:w="7052"/>
            <w:shd w:val="clear" w:color="auto" w:fill="EEF2F8"/>
          </w:tcPr>
          <w:p>
            <w:pPr>
              <w:spacing w:after="0"/>
            </w:pPr>
            <w:r/>
            <w:r>
              <w:rPr>
                <w:sz w:val="18"/>
              </w:rPr>
              <w:t>In chart tables: from Text, chart Label, Read from chart, or reCalculated from the paper's project list</w:t>
            </w:r>
          </w:p>
        </w:tc>
      </w:tr>
      <w:tr>
        <w:tc>
          <w:tcPr>
            <w:tcW w:type="dxa" w:w="2586"/>
          </w:tcPr>
          <w:p>
            <w:pPr>
              <w:spacing w:after="0"/>
            </w:pPr>
            <w:r/>
            <w:r>
              <w:rPr>
                <w:sz w:val="18"/>
              </w:rPr>
              <w:t>Rp T  ·  US$ bn  ·  pp</w:t>
            </w:r>
          </w:p>
        </w:tc>
        <w:tc>
          <w:tcPr>
            <w:tcW w:type="dxa" w:w="7052"/>
          </w:tcPr>
          <w:p>
            <w:pPr>
              <w:spacing w:after="0"/>
            </w:pPr>
            <w:r/>
            <w:r>
              <w:rPr>
                <w:sz w:val="18"/>
              </w:rPr>
              <w:t>Rupiah trillion  ·  US dollar billion  ·  percentage points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i/>
          <w:color w:val="555555"/>
          <w:sz w:val="16"/>
        </w:rPr>
        <w:t>The paper treats economic-effect estimates (Ch. 8), fund simulations and funding stack (Ch. 10) and growth scenarios (Ch. 11–12) as illustrative, built on documented assumptions; they are not forecasts. DDMF figures are indicative RKAP 2026 values, with six programmes replaced by October 2026 figures.</w:t>
      </w:r>
    </w:p>
    <w:p>
      <w:r>
        <w:br w:type="page"/>
      </w:r>
    </w:p>
    <w:p>
      <w:pPr>
        <w:pStyle w:val="Heading1"/>
      </w:pPr>
      <w:r>
        <w:t>Part A · Headline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2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0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37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895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Period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Natural-resource exports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US$ 122 bn (8.4% of GDP)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2025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Record resource exports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US$ 150 bn (11.4% of GDP)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2022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DDMF pipeline, October 2026 figures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Rp 5,396 T (RKAP: Rp 2,092 T)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2027–2040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Industry / Technology / Finance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Rp 4,914 T (91%) / Rp 480 T (9%) / Rp 1 T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2027–2040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Defence modernisation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Rp 2,125 T (39% of pipeline)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2027–2034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Giant Sea Wall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Rp 1,200 T (22% of pipeline)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2027–2040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DDMF-type equity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Rp 1,133 T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2027–2040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Peak investment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Rp 829 T (2.86% of GDP)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2029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Peak GDP level effect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2.20% (2.86% enhanced efficiency)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2031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Permanent GDP gain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Rp 464 T a year (0.89% of GDP)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2041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Added growth, average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+0.61 pp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2027–2030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Imports embodied in capex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US$ 124 bn (defence US$ 72 bn, 58%)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2027–2040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Job-years during construction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25.5 million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build phase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Jobs at peak / lasting jobs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4.0 million / 1.4 million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2029 / after completion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Open unemployment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4.68% → about 3.7%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Feb 2026 → 2028–2030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Funding need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Rp 4,881 T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2027–2034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Funded by natural resources / resource-anchored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54% / 74% (maximised rule)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2027–2034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Budget gives up (resource PNBP saved)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Rp 111 T a year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2027–2034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Growth: baseline → resource-led → with efficiency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5.1% → 6.37% → 6.90%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2029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Gap to 8%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1.10 pp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2029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21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ICOR needed for 8% (with levers)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about 4.3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2029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Recommended path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Investment 33.5% of GDP, ICOR 4.2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2029</w:t>
            </w:r>
          </w:p>
        </w:tc>
      </w:tr>
      <w:tr>
        <w:tc>
          <w:tcPr>
            <w:tcW w:type="dxa" w:w="329"/>
          </w:tcPr>
          <w:p>
            <w:pPr>
              <w:spacing w:after="0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4036"/>
          </w:tcPr>
          <w:p>
            <w:pPr>
              <w:spacing w:after="0"/>
            </w:pPr>
            <w:r/>
            <w:r>
              <w:rPr>
                <w:sz w:val="17"/>
              </w:rPr>
              <w:t>Natural-resource PNBP</w:t>
            </w:r>
          </w:p>
        </w:tc>
        <w:tc>
          <w:tcPr>
            <w:tcW w:type="dxa" w:w="3377"/>
          </w:tcPr>
          <w:p>
            <w:pPr>
              <w:spacing w:after="0"/>
            </w:pPr>
            <w:r/>
            <w:r>
              <w:rPr>
                <w:sz w:val="17"/>
              </w:rPr>
              <w:t>Rp 194.6 T (Jan–Aug); Rp 283.4 T (RAPBN)</w:t>
            </w:r>
          </w:p>
        </w:tc>
        <w:tc>
          <w:tcPr>
            <w:tcW w:type="dxa" w:w="1895"/>
          </w:tcPr>
          <w:p>
            <w:pPr>
              <w:spacing w:after="0"/>
            </w:pPr>
            <w:r/>
            <w:r>
              <w:rPr>
                <w:sz w:val="17"/>
              </w:rPr>
              <w:t>2026; 2027</w:t>
            </w:r>
          </w:p>
        </w:tc>
      </w:tr>
      <w:tr>
        <w:tc>
          <w:tcPr>
            <w:tcW w:type="dxa" w:w="329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4036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Defence domestic content: current → target</w:t>
            </w:r>
          </w:p>
        </w:tc>
        <w:tc>
          <w:tcPr>
            <w:tcW w:type="dxa" w:w="3377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43% → 60%</w:t>
            </w:r>
          </w:p>
        </w:tc>
        <w:tc>
          <w:tcPr>
            <w:tcW w:type="dxa" w:w="1895"/>
            <w:shd w:val="clear" w:color="auto" w:fill="EEF2F8"/>
          </w:tcPr>
          <w:p>
            <w:pPr>
              <w:spacing w:after="0"/>
            </w:pPr>
            <w:r/>
            <w:r>
              <w:rPr>
                <w:sz w:val="17"/>
              </w:rPr>
              <w:t>2025 → 2029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 B · Metrics stated in the text</w:t>
      </w:r>
    </w:p>
    <w:p>
      <w:pPr>
        <w:spacing w:after="60"/>
      </w:pPr>
      <w:r>
        <w:rPr>
          <w:i/>
          <w:color w:val="555555"/>
          <w:sz w:val="16"/>
        </w:rPr>
        <w:t>Each row is one figure from a sentence of the paper. "Ref" is the section number (ES = Executive Summary; "box" = a highlighted callout box). Figures that also appear in the paper's tables are listed once in Part D unless the text adds context.</w:t>
      </w:r>
    </w:p>
    <w:p>
      <w:pPr>
        <w:pStyle w:val="Heading2"/>
      </w:pPr>
      <w:r>
        <w:t>Executive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99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3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0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40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52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B1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Natural-resource exports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122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Natural-resource exports, share of GDP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8.4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B3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Boom-and-bust phases since 2000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phases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2000–2025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DDMF pipeline total (October 2026 figures)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5,396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B5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Industry cluster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4,914 (91%)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Rp T (share)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B6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modernisation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2,125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B7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Giant Sea Wall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1,200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B8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 cluster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480 (9%)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(share)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B9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AI and IT programme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B10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National Data Centre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B11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Quantum technology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B12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Semiconductors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B13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GDP level effect at peak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about 2.2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2031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B14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Permanent GDP effect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0.9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long run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B15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Added growth a year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about 0.6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B16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Imports needed by pipeline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124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B17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Defence share of pipeline imports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B18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Job-years supported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25.5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build phase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B19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Jobs at peak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4.0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B20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Lasting jobs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after completion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B21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Open unemployment, from → to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4.7 → about 3.7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2028–2030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B22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Funding need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4,881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B23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Share funded by natural resources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about 54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B24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Share anchored on natural resources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B25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Share of resource revenue saved (maximised rule)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B26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Share of savings directed to development (maximised rule)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B27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Budget gives up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about 111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B28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Growth, baseline → with resource levers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 → about 6.4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B29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Growth with better investment efficiency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about 6.9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B30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Investment ratio with pipeline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32.5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B31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Remaining gap to 8%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about 1.1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B32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ICOR required for 8%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4.3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B33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Recommended path: investment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about 33.5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B34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Recommended path: ICOR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4.2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B35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Key message: defence share of pipeline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 box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B36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Key message: sea wall share of pipeline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 box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B37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Target: defence domestic content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 box</w:t>
            </w:r>
          </w:p>
        </w:tc>
      </w:tr>
      <w:tr>
        <w:tc>
          <w:tcPr>
            <w:tcW w:type="dxa" w:w="3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B38</w:t>
            </w:r>
          </w:p>
        </w:tc>
        <w:tc>
          <w:tcPr>
            <w:tcW w:type="dxa" w:w="49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Ceiling: current-account deficit</w:t>
            </w:r>
          </w:p>
        </w:tc>
        <w:tc>
          <w:tcPr>
            <w:tcW w:type="dxa" w:w="13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  <w:tc>
          <w:tcPr>
            <w:tcW w:type="dxa" w:w="1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4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ES box</w:t>
            </w:r>
          </w:p>
        </w:tc>
      </w:tr>
      <w:tr>
        <w:tc>
          <w:tcPr>
            <w:tcW w:type="dxa" w:w="350"/>
          </w:tcPr>
          <w:p>
            <w:pPr>
              <w:spacing w:after="0"/>
            </w:pPr>
            <w:r/>
            <w:r>
              <w:rPr>
                <w:sz w:val="16"/>
              </w:rPr>
              <w:t>B39</w:t>
            </w:r>
          </w:p>
        </w:tc>
        <w:tc>
          <w:tcPr>
            <w:tcW w:type="dxa" w:w="4994"/>
          </w:tcPr>
          <w:p>
            <w:pPr>
              <w:spacing w:after="0"/>
            </w:pPr>
            <w:r/>
            <w:r>
              <w:rPr>
                <w:sz w:val="16"/>
              </w:rPr>
              <w:t>Successor pipeline preparation from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sz w:val="16"/>
              </w:rPr>
              <w:t>2030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/>
            <w:r>
              <w:rPr>
                <w:sz w:val="16"/>
              </w:rPr>
              <w:t>ES box</w:t>
            </w:r>
          </w:p>
        </w:tc>
      </w:tr>
    </w:tbl>
    <w:p>
      <w:pPr>
        <w:spacing w:after="40"/>
      </w:pPr>
    </w:p>
    <w:p>
      <w:pPr>
        <w:pStyle w:val="Heading2"/>
      </w:pPr>
      <w:r>
        <w:t>Chapter 1 · Natural-resource exports, 2000–2025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2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76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04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200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32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B40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Commodity groups covered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groups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B41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HS four-digit headings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headings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B42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Years estimated from CEPII BACI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2001–03, 2005–09, 2011–13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B43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exports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2000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B44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Resource exports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122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B45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Growth multiple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more than 5×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times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2000–2025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B46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Earlier peak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111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2011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B47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Trough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2016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B48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Record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2022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B49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Peak weight: share of GDP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15.6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2008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B50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Peak weight: share of merchandise exports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2008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B51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Energy share of resource exports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67 → 30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2000 → 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B52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Metals &amp; minerals share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13 → 36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2000 → 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B53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Plantation share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 → 32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2000 → 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B54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Forestry share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9 → 1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2000 → 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B55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Raw-ore export bans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2014, 2020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B56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Size threshold: large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&gt; 10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US$ bn avg/yr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2021–2025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B57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Size threshold: medium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3–10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 avg/yr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2021–2025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B58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Size threshold: small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&lt; 3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US$ bn avg/yr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2021–2025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B59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Coal exports (largest)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32.6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 a year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avg 2021–2025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B60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Palm oil exports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27.2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US$ bn a year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avg 2021–2025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B61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Oleochemicals &amp; biodiesel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 a year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avg 2021–2025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B62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Nickel chain (ferronickel, matte, stainless)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28.3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US$ bn a year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avg 2021–2025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B63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Nickel chain at scale since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2017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B64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Raw-product share of resource exports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43 → 28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2000 → 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B65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Downstream-product share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 → 13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2000 → 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B66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Raw share during coal windfall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2022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B67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Volatility (s.d. of annual change): palm oil and gas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26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2000–2025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B68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Volatility: crude oil and coal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32–33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2000–2025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1.4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B69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Volatility: nickel intermediates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2000–2025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B70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Correlation with US$ GDP change (r)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0.63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coefficient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2001–2025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1.5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B71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Effect of +10% resource exports on US$ GDP growth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3.1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2001–2025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1.5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B72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Correlation with real GDP growth (r)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0.17 (0.20 excl. 2020)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coefficient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2001–2025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1.5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B73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Correlation of levels (r)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0.89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coefficient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2000–2025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1.5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B74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Real growth through booms and busts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close to 5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2000–2025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1.5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B75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exports / GDP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15.6 → 6.3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2008 → 2016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1.5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B76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Resource exports / GDP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11.4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2022</w:t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1.5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B77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exports / GDP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8.4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1.5</w:t>
            </w:r>
          </w:p>
        </w:tc>
      </w:tr>
      <w:tr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B78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Swing in dependence within two years</w:t>
            </w:r>
          </w:p>
        </w:tc>
        <w:tc>
          <w:tcPr>
            <w:tcW w:type="dxa" w:w="1767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pp of GDP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1"/>
          </w:tcPr>
          <w:p>
            <w:pPr>
              <w:spacing w:after="0"/>
            </w:pPr>
            <w:r/>
            <w:r>
              <w:rPr>
                <w:sz w:val="16"/>
              </w:rPr>
              <w:t>1.5</w:t>
            </w:r>
          </w:p>
        </w:tc>
      </w:tr>
      <w:tr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B79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Policy layers</w:t>
            </w:r>
          </w:p>
        </w:tc>
        <w:tc>
          <w:tcPr>
            <w:tcW w:type="dxa" w:w="17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layers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1.6</w:t>
            </w:r>
          </w:p>
        </w:tc>
      </w:tr>
    </w:tbl>
    <w:p>
      <w:pPr>
        <w:spacing w:after="40"/>
      </w:pPr>
    </w:p>
    <w:p>
      <w:pPr>
        <w:pStyle w:val="Heading2"/>
      </w:pPr>
      <w:r>
        <w:t>Chapter 2 · Danantara's pipeline in three clusters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7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13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99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23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51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48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B80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DDMF commercial-return benchmark: Khazanah Dana Impak sovereign-yield floor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about 3–4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2.1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B81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Development-finance hybrids (Bpifrance, SDIC) returns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3–7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2.1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B82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RKAP exchange rate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17,800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per US$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2.1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B83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Public goods &amp; social infrastructure group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997 (almost half)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2.1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B84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Resource conversion + energy transition groups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561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2.1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B85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Projects without cost estimate excluded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projects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2.1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B86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Number of programmes updated in Oct 2026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programmes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Oct 2026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2.3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B87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Pipeline growth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2,092 → 5,396 (2.6×)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RKAP → Oct 2026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2.3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B88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DDMF-type equity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419 → about 1,133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RKAP → Oct 2026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2.3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B89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modernisation share of pipeline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2.3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B90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Giant Sea Wall share of pipeline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2.3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B91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Investment in first year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539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2.4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B92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Investment plateau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about 829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2028–2030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2.4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B93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Investment peak, share of GDP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2.9 (RKAP peak 1.7)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2028–2030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2.4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B94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Investment after RKAP projects end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438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2032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2.4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B95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Investment after defence ends (sea wall only)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86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2035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2.4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B96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Sea wall finished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2041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2.4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B97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GDP projection base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23,821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 (BPS)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2.4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B98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GDP projection growth rate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 a year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constant 2025 prices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2.4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B99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 cluster: projects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projects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B100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648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B101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810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B102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123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B103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&amp; maritime industrial base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8.2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B104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Nickel exports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3.3 → 33.5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2017–18 → 2023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B105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Indonesia share of world nickel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B106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Chinese share of refining capacity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about 75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B107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Share of nickel exports to China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82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B108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Ore ban effect on value added in iron/steel-using industries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+5.6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B109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Ore ban effect across all exports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+1.1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B110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Health costs of captive coal power at smelters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2.6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US$ bn a year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B111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PTBA–Air Products–Pertamina DME project cost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2.1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2022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B112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DME project capacity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Mtpa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B113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DME coal use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6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Mt a year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B114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DME groundbreaking / Air Products withdrawal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Jan 2022 / Mar 2023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dates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B115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Revived DME programme (press)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164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Nov 2025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B116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RKAP CDME value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46.3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B117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New solar in RUPTL 2025–2034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17.1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GW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2025–2034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B118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Installed solar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about 700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MW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B119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JETP investment need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97.3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to 2030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B120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JETP renewable power target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2030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B121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Freeport Gresik smelter cost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3.7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B122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Freeport Gresik smelter capacity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1.7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Mt of concentrate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B123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Amman Sumbawa smelter capacity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900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kt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B124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DDMF copper project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B125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Monazite estimate, Bangka Belitung (PT Timah)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25,700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B126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IMF public-investment multiplier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0.5 / 1.2 / 2.0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multiplier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yr 1 / yr 5 / long run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B127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Multiplier with advanced-economy efficiency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0.7 / 2.6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multiplier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yr 1 / long run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B128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Public capital per person vs advanced economies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about one quarter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B129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Growth needed for high income by 2045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5.3–6.3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a year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to 2045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B130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National strategic projects completed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190 (Rp 1,515 T)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projects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2016–2023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B131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Jakarta–Bandung HSR cost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7.27 (incl. 1.2 overrun)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B132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Indonesian HSR consortium loss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4.2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B133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State capital to Hutama Karya (Trans-Sumatra)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131.1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2015–2024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B134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Housing ownership backlog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12.75 → 9.9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million units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2020 → 2023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B135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Data-centre capacity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637 MW → about 1.6 GW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capacity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now → 2027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B136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Government GSW estimate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about 80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B137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RKAP GSW first phase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97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B138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GSW annual spend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about 86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B139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GSW domestic content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B140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GSW capital counted as productive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B141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modernisation annual average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266 (about 1% of GDP)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B142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Kemhan budget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187.1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B143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Alutsista modernisation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84.5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B144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Defence domestic content assumed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B145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DEFEND ID local content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43 (target 50 by 2029)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B146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Defence imported cost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about 72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B147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Kemhan budget, share of GDP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0.8 (lowest in SE Asia)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B148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Kemhan routine costs / procurement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at least 50 / about 30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B149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Alutsista from foreign loans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46.5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B150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MEF achievement vs target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63.2 vs 68.9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2019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B151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MEF achievement vs target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62.3 vs 72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2020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B152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Law 16/2012 local content/offset minimum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35 (+10 every 5 yrs)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B153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DEFEND ID arms revenue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1.1 (+39%)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B154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DEFEND ID SIPRI Top 100 rank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96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rank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B155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Domestic inter-tier transactions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B156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Shipyards in Indonesia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342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yards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B157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New-build capacity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 DWT a year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B158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Shipyard workers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more than 46,000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workers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B159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Scorpène Evolved submarines at PT PAL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units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contract Mar 2024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B160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Studies surveyed (Dunne &amp; Tian)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about 170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studies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2013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B161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domestic content 40→60%: peak GDP gain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0.3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pp of GDP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2.5 box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B162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Defence domestic content 40→60%: imports saved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about 24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2.5 box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B163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 cluster: projects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projects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2.6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B164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Tech Corridor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186.9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2.6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B165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Digital-infrastructure capex staying in Indonesia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2.6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B166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Chip designers to be trained (Danantara–Arm)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up to 15,000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people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Feb 2026</w:t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2.6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B167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 equipment imports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13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2.6 box</w:t>
            </w:r>
          </w:p>
        </w:tc>
      </w:tr>
      <w:tr>
        <w:tc>
          <w:tcPr>
            <w:tcW w:type="dxa" w:w="275"/>
          </w:tcPr>
          <w:p>
            <w:pPr>
              <w:spacing w:after="0"/>
            </w:pPr>
            <w:r/>
            <w:r>
              <w:rPr>
                <w:sz w:val="16"/>
              </w:rPr>
              <w:t>B168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Finance cluster capex (e-commerce)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23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82"/>
          </w:tcPr>
          <w:p>
            <w:pPr>
              <w:spacing w:after="0"/>
            </w:pPr>
            <w:r/>
            <w:r>
              <w:rPr>
                <w:sz w:val="16"/>
              </w:rPr>
              <w:t>2.7</w:t>
            </w:r>
          </w:p>
        </w:tc>
      </w:tr>
      <w:tr>
        <w:tc>
          <w:tcPr>
            <w:tcW w:type="dxa" w:w="2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B169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Natural resources: share of money / anchored</w:t>
            </w:r>
          </w:p>
        </w:tc>
        <w:tc>
          <w:tcPr>
            <w:tcW w:type="dxa" w:w="199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54 / about 74</w:t>
            </w:r>
          </w:p>
        </w:tc>
        <w:tc>
          <w:tcPr>
            <w:tcW w:type="dxa" w:w="12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4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2.7</w:t>
            </w:r>
          </w:p>
        </w:tc>
      </w:tr>
    </w:tbl>
    <w:p>
      <w:pPr>
        <w:spacing w:after="40"/>
      </w:pPr>
    </w:p>
    <w:p>
      <w:pPr>
        <w:pStyle w:val="Heading2"/>
      </w:pPr>
      <w:r>
        <w:t>Chapter 3 · Stabilisation abroad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8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08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8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75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38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B170</w:t>
            </w:r>
          </w:p>
        </w:tc>
        <w:tc>
          <w:tcPr>
            <w:tcW w:type="dxa" w:w="4089"/>
          </w:tcPr>
          <w:p>
            <w:pPr>
              <w:spacing w:after="0"/>
            </w:pPr>
            <w:r/>
            <w:r>
              <w:rPr>
                <w:sz w:val="16"/>
              </w:rPr>
              <w:t>Chile structural balance rule since</w:t>
            </w:r>
          </w:p>
        </w:tc>
        <w:tc>
          <w:tcPr>
            <w:tcW w:type="dxa" w:w="1168"/>
          </w:tcPr>
          <w:p>
            <w:pPr>
              <w:spacing w:after="0"/>
            </w:pPr>
            <w:r/>
            <w:r>
              <w:rPr>
                <w:sz w:val="16"/>
              </w:rPr>
              <w:t>2001</w:t>
            </w:r>
          </w:p>
        </w:tc>
        <w:tc>
          <w:tcPr>
            <w:tcW w:type="dxa" w:w="1850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3.1</w:t>
            </w:r>
          </w:p>
        </w:tc>
      </w:tr>
      <w:tr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B171</w:t>
            </w:r>
          </w:p>
        </w:tc>
        <w:tc>
          <w:tcPr>
            <w:tcW w:type="dxa" w:w="40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Chile Fiscal Responsibility Law (ESSF)</w:t>
            </w:r>
          </w:p>
        </w:tc>
        <w:tc>
          <w:tcPr>
            <w:tcW w:type="dxa" w:w="11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2006</w:t>
            </w:r>
          </w:p>
        </w:tc>
        <w:tc>
          <w:tcPr>
            <w:tcW w:type="dxa" w:w="18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3.1</w:t>
            </w:r>
          </w:p>
        </w:tc>
      </w:tr>
      <w:tr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B172</w:t>
            </w:r>
          </w:p>
        </w:tc>
        <w:tc>
          <w:tcPr>
            <w:tcW w:type="dxa" w:w="4089"/>
          </w:tcPr>
          <w:p>
            <w:pPr>
              <w:spacing w:after="0"/>
            </w:pPr>
            <w:r/>
            <w:r>
              <w:rPr>
                <w:sz w:val="16"/>
              </w:rPr>
              <w:t>Copper Stabilization Fund established</w:t>
            </w:r>
          </w:p>
        </w:tc>
        <w:tc>
          <w:tcPr>
            <w:tcW w:type="dxa" w:w="1168"/>
          </w:tcPr>
          <w:p>
            <w:pPr>
              <w:spacing w:after="0"/>
            </w:pPr>
            <w:r/>
            <w:r>
              <w:rPr>
                <w:sz w:val="16"/>
              </w:rPr>
              <w:t>1985</w:t>
            </w:r>
          </w:p>
        </w:tc>
        <w:tc>
          <w:tcPr>
            <w:tcW w:type="dxa" w:w="1850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3.1</w:t>
            </w:r>
          </w:p>
        </w:tc>
      </w:tr>
      <w:tr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B173</w:t>
            </w:r>
          </w:p>
        </w:tc>
        <w:tc>
          <w:tcPr>
            <w:tcW w:type="dxa" w:w="40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Chile Autonomous Fiscal Council</w:t>
            </w:r>
          </w:p>
        </w:tc>
        <w:tc>
          <w:tcPr>
            <w:tcW w:type="dxa" w:w="11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2019</w:t>
            </w:r>
          </w:p>
        </w:tc>
        <w:tc>
          <w:tcPr>
            <w:tcW w:type="dxa" w:w="18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3.1</w:t>
            </w:r>
          </w:p>
        </w:tc>
      </w:tr>
      <w:tr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B174</w:t>
            </w:r>
          </w:p>
        </w:tc>
        <w:tc>
          <w:tcPr>
            <w:tcW w:type="dxa" w:w="4089"/>
          </w:tcPr>
          <w:p>
            <w:pPr>
              <w:spacing w:after="0"/>
            </w:pPr>
            <w:r/>
            <w:r>
              <w:rPr>
                <w:sz w:val="16"/>
              </w:rPr>
              <w:t>Chile royalty reform</w:t>
            </w:r>
          </w:p>
        </w:tc>
        <w:tc>
          <w:tcPr>
            <w:tcW w:type="dxa" w:w="1168"/>
          </w:tcPr>
          <w:p>
            <w:pPr>
              <w:spacing w:after="0"/>
            </w:pPr>
            <w:r/>
            <w:r>
              <w:rPr>
                <w:sz w:val="16"/>
              </w:rPr>
              <w:t>2023</w:t>
            </w:r>
          </w:p>
        </w:tc>
        <w:tc>
          <w:tcPr>
            <w:tcW w:type="dxa" w:w="1850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3.1</w:t>
            </w:r>
          </w:p>
        </w:tc>
      </w:tr>
      <w:tr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B175</w:t>
            </w:r>
          </w:p>
        </w:tc>
        <w:tc>
          <w:tcPr>
            <w:tcW w:type="dxa" w:w="40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Mexico oil-hedge payouts (2009, 2015)</w:t>
            </w:r>
          </w:p>
        </w:tc>
        <w:tc>
          <w:tcPr>
            <w:tcW w:type="dxa" w:w="11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5–6</w:t>
            </w:r>
          </w:p>
        </w:tc>
        <w:tc>
          <w:tcPr>
            <w:tcW w:type="dxa" w:w="18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2009, 2015</w:t>
            </w:r>
          </w:p>
        </w:tc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3.2</w:t>
            </w:r>
          </w:p>
        </w:tc>
      </w:tr>
      <w:tr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B176</w:t>
            </w:r>
          </w:p>
        </w:tc>
        <w:tc>
          <w:tcPr>
            <w:tcW w:type="dxa" w:w="4089"/>
          </w:tcPr>
          <w:p>
            <w:pPr>
              <w:spacing w:after="0"/>
            </w:pPr>
            <w:r/>
            <w:r>
              <w:rPr>
                <w:sz w:val="16"/>
              </w:rPr>
              <w:t>Mexico FEIP drawdown period</w:t>
            </w:r>
          </w:p>
        </w:tc>
        <w:tc>
          <w:tcPr>
            <w:tcW w:type="dxa" w:w="1168"/>
          </w:tcPr>
          <w:p>
            <w:pPr>
              <w:spacing w:after="0"/>
            </w:pPr>
            <w:r/>
            <w:r>
              <w:rPr>
                <w:sz w:val="16"/>
              </w:rPr>
              <w:t>2019–2021</w:t>
            </w:r>
          </w:p>
        </w:tc>
        <w:tc>
          <w:tcPr>
            <w:tcW w:type="dxa" w:w="1850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3.2</w:t>
            </w:r>
          </w:p>
        </w:tc>
      </w:tr>
      <w:tr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B177</w:t>
            </w:r>
          </w:p>
        </w:tc>
        <w:tc>
          <w:tcPr>
            <w:tcW w:type="dxa" w:w="40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Brazil spending cap / new framework</w:t>
            </w:r>
          </w:p>
        </w:tc>
        <w:tc>
          <w:tcPr>
            <w:tcW w:type="dxa" w:w="11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2016 / 2023</w:t>
            </w:r>
          </w:p>
        </w:tc>
        <w:tc>
          <w:tcPr>
            <w:tcW w:type="dxa" w:w="18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3.3</w:t>
            </w:r>
          </w:p>
        </w:tc>
      </w:tr>
      <w:tr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B178</w:t>
            </w:r>
          </w:p>
        </w:tc>
        <w:tc>
          <w:tcPr>
            <w:tcW w:type="dxa" w:w="4089"/>
          </w:tcPr>
          <w:p>
            <w:pPr>
              <w:spacing w:after="0"/>
            </w:pPr>
            <w:r/>
            <w:r>
              <w:rPr>
                <w:sz w:val="16"/>
              </w:rPr>
              <w:t>Brazil CFEM royalty restructured</w:t>
            </w:r>
          </w:p>
        </w:tc>
        <w:tc>
          <w:tcPr>
            <w:tcW w:type="dxa" w:w="1168"/>
          </w:tcPr>
          <w:p>
            <w:pPr>
              <w:spacing w:after="0"/>
            </w:pPr>
            <w:r/>
            <w:r>
              <w:rPr>
                <w:sz w:val="16"/>
              </w:rPr>
              <w:t>2017</w:t>
            </w:r>
          </w:p>
        </w:tc>
        <w:tc>
          <w:tcPr>
            <w:tcW w:type="dxa" w:w="1850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3.3</w:t>
            </w:r>
          </w:p>
        </w:tc>
      </w:tr>
      <w:tr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B179</w:t>
            </w:r>
          </w:p>
        </w:tc>
        <w:tc>
          <w:tcPr>
            <w:tcW w:type="dxa" w:w="40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Brazil Sovereign Fund created / wound down</w:t>
            </w:r>
          </w:p>
        </w:tc>
        <w:tc>
          <w:tcPr>
            <w:tcW w:type="dxa" w:w="11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2008 / 2018</w:t>
            </w:r>
          </w:p>
        </w:tc>
        <w:tc>
          <w:tcPr>
            <w:tcW w:type="dxa" w:w="18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3.3</w:t>
            </w:r>
          </w:p>
        </w:tc>
      </w:tr>
      <w:tr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B180</w:t>
            </w:r>
          </w:p>
        </w:tc>
        <w:tc>
          <w:tcPr>
            <w:tcW w:type="dxa" w:w="4089"/>
          </w:tcPr>
          <w:p>
            <w:pPr>
              <w:spacing w:after="0"/>
            </w:pPr>
            <w:r/>
            <w:r>
              <w:rPr>
                <w:sz w:val="16"/>
              </w:rPr>
              <w:t>Brazil Pre-salt Social Fund</w:t>
            </w:r>
          </w:p>
        </w:tc>
        <w:tc>
          <w:tcPr>
            <w:tcW w:type="dxa" w:w="1168"/>
          </w:tcPr>
          <w:p>
            <w:pPr>
              <w:spacing w:after="0"/>
            </w:pPr>
            <w:r/>
            <w:r>
              <w:rPr>
                <w:sz w:val="16"/>
              </w:rPr>
              <w:t>2010</w:t>
            </w:r>
          </w:p>
        </w:tc>
        <w:tc>
          <w:tcPr>
            <w:tcW w:type="dxa" w:w="1850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3.3</w:t>
            </w:r>
          </w:p>
        </w:tc>
      </w:tr>
      <w:tr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B181</w:t>
            </w:r>
          </w:p>
        </w:tc>
        <w:tc>
          <w:tcPr>
            <w:tcW w:type="dxa" w:w="40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Illustrative reference price (coal)</w:t>
            </w:r>
          </w:p>
        </w:tc>
        <w:tc>
          <w:tcPr>
            <w:tcW w:type="dxa" w:w="11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8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US$/t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3.4</w:t>
            </w:r>
          </w:p>
        </w:tc>
      </w:tr>
      <w:tr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B182</w:t>
            </w:r>
          </w:p>
        </w:tc>
        <w:tc>
          <w:tcPr>
            <w:tcW w:type="dxa" w:w="4089"/>
          </w:tcPr>
          <w:p>
            <w:pPr>
              <w:spacing w:after="0"/>
            </w:pPr>
            <w:r/>
            <w:r>
              <w:rPr>
                <w:sz w:val="16"/>
              </w:rPr>
              <w:t>Share of windfall saved (simulation)</w:t>
            </w:r>
          </w:p>
        </w:tc>
        <w:tc>
          <w:tcPr>
            <w:tcW w:type="dxa" w:w="1168"/>
          </w:tcPr>
          <w:p>
            <w:pPr>
              <w:spacing w:after="0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1850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3.4</w:t>
            </w:r>
          </w:p>
        </w:tc>
      </w:tr>
      <w:tr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B183</w:t>
            </w:r>
          </w:p>
        </w:tc>
        <w:tc>
          <w:tcPr>
            <w:tcW w:type="dxa" w:w="40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Withdrawal cap (simulation)</w:t>
            </w:r>
          </w:p>
        </w:tc>
        <w:tc>
          <w:tcPr>
            <w:tcW w:type="dxa" w:w="11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8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balance a year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3.4</w:t>
            </w:r>
          </w:p>
        </w:tc>
      </w:tr>
      <w:tr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B184</w:t>
            </w:r>
          </w:p>
        </w:tc>
        <w:tc>
          <w:tcPr>
            <w:tcW w:type="dxa" w:w="4089"/>
          </w:tcPr>
          <w:p>
            <w:pPr>
              <w:spacing w:after="0"/>
            </w:pPr>
            <w:r/>
            <w:r>
              <w:rPr>
                <w:sz w:val="16"/>
              </w:rPr>
              <w:t>Simulated market price range</w:t>
            </w:r>
          </w:p>
        </w:tc>
        <w:tc>
          <w:tcPr>
            <w:tcW w:type="dxa" w:w="1168"/>
          </w:tcPr>
          <w:p>
            <w:pPr>
              <w:spacing w:after="0"/>
            </w:pPr>
            <w:r/>
            <w:r>
              <w:rPr>
                <w:sz w:val="16"/>
              </w:rPr>
              <w:t>70–165</w:t>
            </w:r>
          </w:p>
        </w:tc>
        <w:tc>
          <w:tcPr>
            <w:tcW w:type="dxa" w:w="1850"/>
          </w:tcPr>
          <w:p>
            <w:pPr>
              <w:spacing w:after="0"/>
            </w:pPr>
            <w:r/>
            <w:r>
              <w:rPr>
                <w:sz w:val="16"/>
              </w:rPr>
              <w:t>US$/t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  <w:t>12 years</w:t>
            </w:r>
          </w:p>
        </w:tc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3.4</w:t>
            </w:r>
          </w:p>
        </w:tc>
      </w:tr>
      <w:tr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B185</w:t>
            </w:r>
          </w:p>
        </w:tc>
        <w:tc>
          <w:tcPr>
            <w:tcW w:type="dxa" w:w="40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Simulated budget spending range</w:t>
            </w:r>
          </w:p>
        </w:tc>
        <w:tc>
          <w:tcPr>
            <w:tcW w:type="dxa" w:w="11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100–113</w:t>
            </w:r>
          </w:p>
        </w:tc>
        <w:tc>
          <w:tcPr>
            <w:tcW w:type="dxa" w:w="18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index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 years</w:t>
            </w:r>
          </w:p>
        </w:tc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3.4</w:t>
            </w:r>
          </w:p>
        </w:tc>
      </w:tr>
      <w:tr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B186</w:t>
            </w:r>
          </w:p>
        </w:tc>
        <w:tc>
          <w:tcPr>
            <w:tcW w:type="dxa" w:w="4089"/>
          </w:tcPr>
          <w:p>
            <w:pPr>
              <w:spacing w:after="0"/>
            </w:pPr>
            <w:r/>
            <w:r>
              <w:rPr>
                <w:sz w:val="16"/>
              </w:rPr>
              <w:t>Actual coal exports</w:t>
            </w:r>
          </w:p>
        </w:tc>
        <w:tc>
          <w:tcPr>
            <w:tcW w:type="dxa" w:w="1168"/>
          </w:tcPr>
          <w:p>
            <w:pPr>
              <w:spacing w:after="0"/>
            </w:pPr>
            <w:r/>
            <w:r>
              <w:rPr>
                <w:sz w:val="16"/>
              </w:rPr>
              <w:t>15 → 47 → 24</w:t>
            </w:r>
          </w:p>
        </w:tc>
        <w:tc>
          <w:tcPr>
            <w:tcW w:type="dxa" w:w="1850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  <w:t>2020 → 2022 → 2025</w:t>
            </w:r>
          </w:p>
        </w:tc>
        <w:tc>
          <w:tcPr>
            <w:tcW w:type="dxa" w:w="389"/>
          </w:tcPr>
          <w:p>
            <w:pPr>
              <w:spacing w:after="0"/>
            </w:pPr>
            <w:r/>
            <w:r>
              <w:rPr>
                <w:sz w:val="16"/>
              </w:rPr>
              <w:t>3.4</w:t>
            </w:r>
          </w:p>
        </w:tc>
      </w:tr>
      <w:tr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B187</w:t>
            </w:r>
          </w:p>
        </w:tc>
        <w:tc>
          <w:tcPr>
            <w:tcW w:type="dxa" w:w="40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Zimbabwe bond notes / Venezuela Petro</w:t>
            </w:r>
          </w:p>
        </w:tc>
        <w:tc>
          <w:tcPr>
            <w:tcW w:type="dxa" w:w="11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2016 / 2018</w:t>
            </w:r>
          </w:p>
        </w:tc>
        <w:tc>
          <w:tcPr>
            <w:tcW w:type="dxa" w:w="18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8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3.5</w:t>
            </w:r>
          </w:p>
        </w:tc>
      </w:tr>
    </w:tbl>
    <w:p>
      <w:pPr>
        <w:spacing w:after="40"/>
      </w:pPr>
    </w:p>
    <w:p>
      <w:pPr>
        <w:pStyle w:val="Heading2"/>
      </w:pPr>
      <w:r>
        <w:t>Chapter 4 · Stabilising Indonesia's resource revenue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03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49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37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45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B188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6"/>
              </w:rPr>
              <w:t>Deficit cap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4.1</w:t>
            </w:r>
          </w:p>
        </w:tc>
      </w:tr>
      <w:tr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B189</w:t>
            </w:r>
          </w:p>
        </w:tc>
        <w:tc>
          <w:tcPr>
            <w:tcW w:type="dxa" w:w="48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Public debt cap</w:t>
            </w:r>
          </w:p>
        </w:tc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37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4.1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B190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6"/>
              </w:rPr>
              <w:t>INA established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6"/>
              </w:rPr>
              <w:t>2021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4.1</w:t>
            </w:r>
          </w:p>
        </w:tc>
      </w:tr>
      <w:tr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B191</w:t>
            </w:r>
          </w:p>
        </w:tc>
        <w:tc>
          <w:tcPr>
            <w:tcW w:type="dxa" w:w="48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Danantara downstream projects launched</w:t>
            </w:r>
          </w:p>
        </w:tc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37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Feb 2026</w:t>
            </w:r>
          </w:p>
        </w:tc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4.1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B192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6"/>
              </w:rPr>
              <w:t>BI reserves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6"/>
              </w:rPr>
              <w:t>146.5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6"/>
              </w:rPr>
              <w:t>end Aug 2026</w:t>
            </w:r>
          </w:p>
        </w:tc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4.2</w:t>
            </w:r>
          </w:p>
        </w:tc>
      </w:tr>
      <w:tr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B193</w:t>
            </w:r>
          </w:p>
        </w:tc>
        <w:tc>
          <w:tcPr>
            <w:tcW w:type="dxa" w:w="48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Import cover</w:t>
            </w:r>
          </w:p>
        </w:tc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5.4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months</w:t>
            </w:r>
          </w:p>
        </w:tc>
        <w:tc>
          <w:tcPr>
            <w:tcW w:type="dxa" w:w="137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end Aug 2026</w:t>
            </w:r>
          </w:p>
        </w:tc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4.2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B194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6"/>
              </w:rPr>
              <w:t>DHE retention period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sz w:val="16"/>
              </w:rPr>
              <w:t>months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6"/>
              </w:rPr>
              <w:t>PP 8/2025</w:t>
            </w:r>
          </w:p>
        </w:tc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4.2</w:t>
            </w:r>
          </w:p>
        </w:tc>
      </w:tr>
      <w:tr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B195</w:t>
            </w:r>
          </w:p>
        </w:tc>
        <w:tc>
          <w:tcPr>
            <w:tcW w:type="dxa" w:w="48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CDME LPG import saving at 20% substitution</w:t>
            </w:r>
          </w:p>
        </w:tc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0.9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 a year</w:t>
            </w:r>
          </w:p>
        </w:tc>
        <w:tc>
          <w:tcPr>
            <w:tcW w:type="dxa" w:w="137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4.7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B196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6"/>
              </w:rPr>
              <w:t>CDME saving at full substitution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6"/>
              </w:rPr>
              <w:t>4.5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sz w:val="16"/>
              </w:rPr>
              <w:t>US$ bn a year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4.7</w:t>
            </w:r>
          </w:p>
        </w:tc>
      </w:tr>
      <w:tr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B197</w:t>
            </w:r>
          </w:p>
        </w:tc>
        <w:tc>
          <w:tcPr>
            <w:tcW w:type="dxa" w:w="48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CDME capex</w:t>
            </w:r>
          </w:p>
        </w:tc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2.88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37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4.7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B198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6"/>
              </w:rPr>
              <w:t>CDME capacity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sz w:val="16"/>
              </w:rPr>
              <w:t>MTPA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4.7</w:t>
            </w:r>
          </w:p>
        </w:tc>
      </w:tr>
      <w:tr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B199</w:t>
            </w:r>
          </w:p>
        </w:tc>
        <w:tc>
          <w:tcPr>
            <w:tcW w:type="dxa" w:w="48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Total PNBP</w:t>
            </w:r>
          </w:p>
        </w:tc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435.1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37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Jan–Aug 2026</w:t>
            </w:r>
          </w:p>
        </w:tc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4.8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B200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6"/>
              </w:rPr>
              <w:t>PNBP growth y/y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6"/>
              </w:rPr>
              <w:t>41.7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6"/>
              </w:rPr>
              <w:t>Jan–Aug 2026</w:t>
            </w:r>
          </w:p>
        </w:tc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4.8</w:t>
            </w:r>
          </w:p>
        </w:tc>
      </w:tr>
      <w:tr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B201</w:t>
            </w:r>
          </w:p>
        </w:tc>
        <w:tc>
          <w:tcPr>
            <w:tcW w:type="dxa" w:w="48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PNBP vs full-year target</w:t>
            </w:r>
          </w:p>
        </w:tc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94.8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37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Jan–Aug 2026</w:t>
            </w:r>
          </w:p>
        </w:tc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4.8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B202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6"/>
              </w:rPr>
              <w:t>Natural-resource PNBP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6"/>
              </w:rPr>
              <w:t>194.6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6"/>
              </w:rPr>
              <w:t>Jan–Aug 2026</w:t>
            </w:r>
          </w:p>
        </w:tc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4.8</w:t>
            </w:r>
          </w:p>
        </w:tc>
      </w:tr>
      <w:tr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B203</w:t>
            </w:r>
          </w:p>
        </w:tc>
        <w:tc>
          <w:tcPr>
            <w:tcW w:type="dxa" w:w="48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 oil and gas</w:t>
            </w:r>
          </w:p>
        </w:tc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80.1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37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Jan–Aug 2026</w:t>
            </w:r>
          </w:p>
        </w:tc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4.8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B204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6"/>
              </w:rPr>
              <w:t>— non-oil-and-gas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6"/>
              </w:rPr>
              <w:t>114.4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6"/>
              </w:rPr>
              <w:t>Jan–Aug 2026</w:t>
            </w:r>
          </w:p>
        </w:tc>
        <w:tc>
          <w:tcPr>
            <w:tcW w:type="dxa" w:w="459"/>
          </w:tcPr>
          <w:p>
            <w:pPr>
              <w:spacing w:after="0"/>
            </w:pPr>
            <w:r/>
            <w:r>
              <w:rPr>
                <w:sz w:val="16"/>
              </w:rPr>
              <w:t>4.8</w:t>
            </w:r>
          </w:p>
        </w:tc>
      </w:tr>
      <w:tr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B205</w:t>
            </w:r>
          </w:p>
        </w:tc>
        <w:tc>
          <w:tcPr>
            <w:tcW w:type="dxa" w:w="48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Natural-resource PNBP, full year</w:t>
            </w:r>
          </w:p>
        </w:tc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229.2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37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4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4.8</w:t>
            </w:r>
          </w:p>
        </w:tc>
      </w:tr>
    </w:tbl>
    <w:p>
      <w:pPr>
        <w:spacing w:after="40"/>
      </w:pPr>
    </w:p>
    <w:p>
      <w:pPr>
        <w:pStyle w:val="Heading2"/>
      </w:pPr>
      <w:r>
        <w:t>Chapter 5 · Saving abroad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9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8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1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56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7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52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B206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Norway Petroleum Fund established / first transfer / renamed GPFG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1990 / 1996 / 2006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B207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Norway withdrawal rule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 → 3 (2017)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real return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since 2001</w:t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B208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Norway proposed spending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NOK 579.4 bn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NOK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B209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 share of fund value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2.8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B210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— share of central government expenditure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26.8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B211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GPFG value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21,300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NOK bn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end 2025</w:t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B212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Cumulative returns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13,457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NOK bn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end 2025</w:t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B213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Net petroleum inflows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5,420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NOK bn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end 2025</w:t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B214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Returns / inflows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about 2.5×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times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end 2025</w:t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B215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Alaska Permanent Fund created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1976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B216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Alaska minimum royalty deposit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B217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Alaska draw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avg market value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since 2018</w:t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B218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Dividend vetoed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about half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share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2016</w:t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B219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Alaska dividend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1,000 + 200 energy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B220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Kuwait first sovereign fund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1953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B221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FGF law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1976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B222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Transfer to FGF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10 (conditional since 2020)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% of state revenue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B223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Kuwait projected deficit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near 20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B224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FGF loan cap (Decree-Law 81/2026)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% of FGF net assets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B225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Timor-Leste Petroleum Fund Law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2005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5.4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B226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Timor-Leste ESI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% of petroleum wealth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5.4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B227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Timor-Leste actual withdrawals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5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a year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since 2009</w:t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5.4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B228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Fund share of budget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more than 80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5.4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B229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Timor-Leste fund balance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18.74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Jun 2025</w:t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5.4</w:t>
            </w:r>
          </w:p>
        </w:tc>
      </w:tr>
      <w:tr>
        <w:tc>
          <w:tcPr>
            <w:tcW w:type="dxa" w:w="299"/>
          </w:tcPr>
          <w:p>
            <w:pPr>
              <w:spacing w:after="0"/>
            </w:pPr>
            <w:r/>
            <w:r>
              <w:rPr>
                <w:sz w:val="16"/>
              </w:rPr>
              <w:t>B230</w:t>
            </w:r>
          </w:p>
        </w:tc>
        <w:tc>
          <w:tcPr>
            <w:tcW w:type="dxa" w:w="4483"/>
          </w:tcPr>
          <w:p>
            <w:pPr>
              <w:spacing w:after="0"/>
            </w:pPr>
            <w:r/>
            <w:r>
              <w:rPr>
                <w:sz w:val="16"/>
              </w:rPr>
              <w:t>Projected depletion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sz w:val="16"/>
              </w:rPr>
              <w:t>within about a decade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</w:tcPr>
          <w:p>
            <w:pPr>
              <w:spacing w:after="0"/>
            </w:pPr>
            <w:r/>
            <w:r>
              <w:rPr>
                <w:sz w:val="16"/>
              </w:rPr>
              <w:t>5.4</w:t>
            </w:r>
          </w:p>
        </w:tc>
      </w:tr>
      <w:tr>
        <w:tc>
          <w:tcPr>
            <w:tcW w:type="dxa" w:w="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B231</w:t>
            </w:r>
          </w:p>
        </w:tc>
        <w:tc>
          <w:tcPr>
            <w:tcW w:type="dxa" w:w="4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Timor-Leste joined ASEAN</w:t>
            </w:r>
          </w:p>
        </w:tc>
        <w:tc>
          <w:tcPr>
            <w:tcW w:type="dxa" w:w="20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5.4 box</w:t>
            </w:r>
          </w:p>
        </w:tc>
      </w:tr>
    </w:tbl>
    <w:p>
      <w:pPr>
        <w:spacing w:after="40"/>
      </w:pPr>
    </w:p>
    <w:p>
      <w:pPr>
        <w:pStyle w:val="Heading2"/>
      </w:pPr>
      <w:r>
        <w:t>Chapter 6 · Saving for future generations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97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25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5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0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4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419"/>
          </w:tcPr>
          <w:p>
            <w:pPr>
              <w:spacing w:after="0"/>
            </w:pPr>
            <w:r/>
            <w:r>
              <w:rPr>
                <w:sz w:val="16"/>
              </w:rPr>
              <w:t>B232</w:t>
            </w:r>
          </w:p>
        </w:tc>
        <w:tc>
          <w:tcPr>
            <w:tcW w:type="dxa" w:w="5971"/>
          </w:tcPr>
          <w:p>
            <w:pPr>
              <w:spacing w:after="0"/>
            </w:pPr>
            <w:r/>
            <w:r>
              <w:rPr>
                <w:sz w:val="16"/>
              </w:rPr>
              <w:t>Potential gains of public investment lost to inefficiency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about 30</w:t>
            </w:r>
          </w:p>
        </w:tc>
        <w:tc>
          <w:tcPr>
            <w:tcW w:type="dxa" w:w="524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48"/>
          </w:tcPr>
          <w:p>
            <w:pPr>
              <w:spacing w:after="0"/>
            </w:pPr>
            <w:r/>
            <w:r>
              <w:rPr>
                <w:sz w:val="16"/>
              </w:rPr>
              <w:t>IMF (2015)</w:t>
            </w:r>
          </w:p>
        </w:tc>
        <w:tc>
          <w:tcPr>
            <w:tcW w:type="dxa" w:w="419"/>
          </w:tcPr>
          <w:p>
            <w:pPr>
              <w:spacing w:after="0"/>
            </w:pPr>
            <w:r/>
            <w:r>
              <w:rPr>
                <w:sz w:val="16"/>
              </w:rPr>
              <w:t>6.2</w:t>
            </w:r>
          </w:p>
        </w:tc>
      </w:tr>
      <w:tr>
        <w:tc>
          <w:tcPr>
            <w:tcW w:type="dxa" w:w="4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B233</w:t>
            </w:r>
          </w:p>
        </w:tc>
        <w:tc>
          <w:tcPr>
            <w:tcW w:type="dxa" w:w="59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DHE regime amendments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 in 3 years</w:t>
            </w:r>
          </w:p>
        </w:tc>
        <w:tc>
          <w:tcPr>
            <w:tcW w:type="dxa" w:w="5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count</w:t>
            </w:r>
          </w:p>
        </w:tc>
        <w:tc>
          <w:tcPr>
            <w:tcW w:type="dxa" w:w="10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2023–2026</w:t>
            </w:r>
          </w:p>
        </w:tc>
        <w:tc>
          <w:tcPr>
            <w:tcW w:type="dxa" w:w="4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</w:tr>
    </w:tbl>
    <w:p>
      <w:pPr>
        <w:spacing w:after="40"/>
      </w:pPr>
    </w:p>
    <w:p>
      <w:pPr>
        <w:pStyle w:val="Heading2"/>
      </w:pPr>
      <w:r>
        <w:t>Chapter 7 · Development window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48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91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86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72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3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B234</w:t>
            </w:r>
          </w:p>
        </w:tc>
        <w:tc>
          <w:tcPr>
            <w:tcW w:type="dxa" w:w="3483"/>
          </w:tcPr>
          <w:p>
            <w:pPr>
              <w:spacing w:after="0"/>
            </w:pPr>
            <w:r/>
            <w:r>
              <w:rPr>
                <w:sz w:val="16"/>
              </w:rPr>
              <w:t>Nigeria Sovereign Investment Authority</w:t>
            </w:r>
          </w:p>
        </w:tc>
        <w:tc>
          <w:tcPr>
            <w:tcW w:type="dxa" w:w="2916"/>
          </w:tcPr>
          <w:p>
            <w:pPr>
              <w:spacing w:after="0"/>
            </w:pPr>
            <w:r/>
            <w:r>
              <w:rPr>
                <w:sz w:val="16"/>
              </w:rPr>
              <w:t>2011</w:t>
            </w:r>
          </w:p>
        </w:tc>
        <w:tc>
          <w:tcPr>
            <w:tcW w:type="dxa" w:w="1863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72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7.1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B235</w:t>
            </w:r>
          </w:p>
        </w:tc>
        <w:tc>
          <w:tcPr>
            <w:tcW w:type="dxa" w:w="3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Ireland Strategic Investment Fund</w:t>
            </w:r>
          </w:p>
        </w:tc>
        <w:tc>
          <w:tcPr>
            <w:tcW w:type="dxa" w:w="29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2014</w:t>
            </w:r>
          </w:p>
        </w:tc>
        <w:tc>
          <w:tcPr>
            <w:tcW w:type="dxa" w:w="186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72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7.1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B236</w:t>
            </w:r>
          </w:p>
        </w:tc>
        <w:tc>
          <w:tcPr>
            <w:tcW w:type="dxa" w:w="3483"/>
          </w:tcPr>
          <w:p>
            <w:pPr>
              <w:spacing w:after="0"/>
            </w:pPr>
            <w:r/>
            <w:r>
              <w:rPr>
                <w:sz w:val="16"/>
              </w:rPr>
              <w:t>Timor-Leste Greater Sunrise purchase</w:t>
            </w:r>
          </w:p>
        </w:tc>
        <w:tc>
          <w:tcPr>
            <w:tcW w:type="dxa" w:w="2916"/>
          </w:tcPr>
          <w:p>
            <w:pPr>
              <w:spacing w:after="0"/>
            </w:pPr>
            <w:r/>
            <w:r>
              <w:rPr>
                <w:sz w:val="16"/>
              </w:rPr>
              <w:t>650</w:t>
            </w:r>
          </w:p>
        </w:tc>
        <w:tc>
          <w:tcPr>
            <w:tcW w:type="dxa" w:w="1863"/>
          </w:tcPr>
          <w:p>
            <w:pPr>
              <w:spacing w:after="0"/>
            </w:pPr>
            <w:r/>
            <w:r>
              <w:rPr>
                <w:sz w:val="16"/>
              </w:rPr>
              <w:t>US$ m</w:t>
            </w:r>
          </w:p>
        </w:tc>
        <w:tc>
          <w:tcPr>
            <w:tcW w:type="dxa" w:w="729"/>
          </w:tcPr>
          <w:p>
            <w:pPr>
              <w:spacing w:after="0"/>
            </w:pPr>
            <w:r/>
            <w:r>
              <w:rPr>
                <w:sz w:val="16"/>
              </w:rPr>
              <w:t>2019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7.1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B237</w:t>
            </w:r>
          </w:p>
        </w:tc>
        <w:tc>
          <w:tcPr>
            <w:tcW w:type="dxa" w:w="3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Alutsista financed by foreign loans</w:t>
            </w:r>
          </w:p>
        </w:tc>
        <w:tc>
          <w:tcPr>
            <w:tcW w:type="dxa" w:w="29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46.5 (55%)</w:t>
            </w:r>
          </w:p>
        </w:tc>
        <w:tc>
          <w:tcPr>
            <w:tcW w:type="dxa" w:w="186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72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B238</w:t>
            </w:r>
          </w:p>
        </w:tc>
        <w:tc>
          <w:tcPr>
            <w:tcW w:type="dxa" w:w="3483"/>
          </w:tcPr>
          <w:p>
            <w:pPr>
              <w:spacing w:after="0"/>
            </w:pPr>
            <w:r/>
            <w:r>
              <w:rPr>
                <w:sz w:val="16"/>
              </w:rPr>
              <w:t>Priority list after revision</w:t>
            </w:r>
          </w:p>
        </w:tc>
        <w:tc>
          <w:tcPr>
            <w:tcW w:type="dxa" w:w="2916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863"/>
          </w:tcPr>
          <w:p>
            <w:pPr>
              <w:spacing w:after="0"/>
            </w:pPr>
            <w:r/>
            <w:r>
              <w:rPr>
                <w:sz w:val="16"/>
              </w:rPr>
              <w:t>projects</w:t>
            </w:r>
          </w:p>
        </w:tc>
        <w:tc>
          <w:tcPr>
            <w:tcW w:type="dxa" w:w="72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B239</w:t>
            </w:r>
          </w:p>
        </w:tc>
        <w:tc>
          <w:tcPr>
            <w:tcW w:type="dxa" w:w="3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Maritime &amp; defence DDMF equity</w:t>
            </w:r>
          </w:p>
        </w:tc>
        <w:tc>
          <w:tcPr>
            <w:tcW w:type="dxa" w:w="29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20.2</w:t>
            </w:r>
          </w:p>
        </w:tc>
        <w:tc>
          <w:tcPr>
            <w:tcW w:type="dxa" w:w="186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72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B240</w:t>
            </w:r>
          </w:p>
        </w:tc>
        <w:tc>
          <w:tcPr>
            <w:tcW w:type="dxa" w:w="3483"/>
          </w:tcPr>
          <w:p>
            <w:pPr>
              <w:spacing w:after="0"/>
            </w:pPr>
            <w:r/>
            <w:r>
              <w:rPr>
                <w:sz w:val="16"/>
              </w:rPr>
              <w:t>Maritime &amp; defence investment</w:t>
            </w:r>
          </w:p>
        </w:tc>
        <w:tc>
          <w:tcPr>
            <w:tcW w:type="dxa" w:w="2916"/>
          </w:tcPr>
          <w:p>
            <w:pPr>
              <w:spacing w:after="0"/>
            </w:pPr>
            <w:r/>
            <w:r>
              <w:rPr>
                <w:sz w:val="16"/>
              </w:rPr>
              <w:t>191.6</w:t>
            </w:r>
          </w:p>
        </w:tc>
        <w:tc>
          <w:tcPr>
            <w:tcW w:type="dxa" w:w="1863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72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B241</w:t>
            </w:r>
          </w:p>
        </w:tc>
        <w:tc>
          <w:tcPr>
            <w:tcW w:type="dxa" w:w="3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Leverage</w:t>
            </w:r>
          </w:p>
        </w:tc>
        <w:tc>
          <w:tcPr>
            <w:tcW w:type="dxa" w:w="29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9.5×</w:t>
            </w:r>
          </w:p>
        </w:tc>
        <w:tc>
          <w:tcPr>
            <w:tcW w:type="dxa" w:w="186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times</w:t>
            </w:r>
          </w:p>
        </w:tc>
        <w:tc>
          <w:tcPr>
            <w:tcW w:type="dxa" w:w="72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B242</w:t>
            </w:r>
          </w:p>
        </w:tc>
        <w:tc>
          <w:tcPr>
            <w:tcW w:type="dxa" w:w="3483"/>
          </w:tcPr>
          <w:p>
            <w:pPr>
              <w:spacing w:after="0"/>
            </w:pPr>
            <w:r/>
            <w:r>
              <w:rPr>
                <w:sz w:val="16"/>
              </w:rPr>
              <w:t>Athens debt share</w:t>
            </w:r>
          </w:p>
        </w:tc>
        <w:tc>
          <w:tcPr>
            <w:tcW w:type="dxa" w:w="2916"/>
          </w:tcPr>
          <w:p>
            <w:pPr>
              <w:spacing w:after="0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1863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72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B243</w:t>
            </w:r>
          </w:p>
        </w:tc>
        <w:tc>
          <w:tcPr>
            <w:tcW w:type="dxa" w:w="3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Sovereignty tier</w:t>
            </w:r>
          </w:p>
        </w:tc>
        <w:tc>
          <w:tcPr>
            <w:tcW w:type="dxa" w:w="29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19.5 (about 7%)</w:t>
            </w:r>
          </w:p>
        </w:tc>
        <w:tc>
          <w:tcPr>
            <w:tcW w:type="dxa" w:w="186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72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B244</w:t>
            </w:r>
          </w:p>
        </w:tc>
        <w:tc>
          <w:tcPr>
            <w:tcW w:type="dxa" w:w="3483"/>
          </w:tcPr>
          <w:p>
            <w:pPr>
              <w:spacing w:after="0"/>
            </w:pPr>
            <w:r/>
            <w:r>
              <w:rPr>
                <w:sz w:val="16"/>
              </w:rPr>
              <w:t>Development window size</w:t>
            </w:r>
          </w:p>
        </w:tc>
        <w:tc>
          <w:tcPr>
            <w:tcW w:type="dxa" w:w="2916"/>
          </w:tcPr>
          <w:p>
            <w:pPr>
              <w:spacing w:after="0"/>
            </w:pPr>
            <w:r/>
            <w:r>
              <w:rPr>
                <w:sz w:val="16"/>
              </w:rPr>
              <w:t>270</w:t>
            </w:r>
          </w:p>
        </w:tc>
        <w:tc>
          <w:tcPr>
            <w:tcW w:type="dxa" w:w="1863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729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B245</w:t>
            </w:r>
          </w:p>
        </w:tc>
        <w:tc>
          <w:tcPr>
            <w:tcW w:type="dxa" w:w="3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Athens availability payments</w:t>
            </w:r>
          </w:p>
        </w:tc>
        <w:tc>
          <w:tcPr>
            <w:tcW w:type="dxa" w:w="29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15.8 (about 8% of Kemhan 2026)</w:t>
            </w:r>
          </w:p>
        </w:tc>
        <w:tc>
          <w:tcPr>
            <w:tcW w:type="dxa" w:w="186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72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 years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B246</w:t>
            </w:r>
          </w:p>
        </w:tc>
        <w:tc>
          <w:tcPr>
            <w:tcW w:type="dxa" w:w="3483"/>
          </w:tcPr>
          <w:p>
            <w:pPr>
              <w:spacing w:after="0"/>
            </w:pPr>
            <w:r/>
            <w:r>
              <w:rPr>
                <w:sz w:val="16"/>
              </w:rPr>
              <w:t>Annuity basis</w:t>
            </w:r>
          </w:p>
        </w:tc>
        <w:tc>
          <w:tcPr>
            <w:tcW w:type="dxa" w:w="2916"/>
          </w:tcPr>
          <w:p>
            <w:pPr>
              <w:spacing w:after="0"/>
            </w:pPr>
            <w:r/>
            <w:r>
              <w:rPr>
                <w:sz w:val="16"/>
              </w:rPr>
              <w:t>Rp 167 T at 7% over 20 years</w:t>
            </w:r>
          </w:p>
        </w:tc>
        <w:tc>
          <w:tcPr>
            <w:tcW w:type="dxa" w:w="1863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72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B247</w:t>
            </w:r>
          </w:p>
        </w:tc>
        <w:tc>
          <w:tcPr>
            <w:tcW w:type="dxa" w:w="34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modernisation vs Athens + alutsista</w:t>
            </w:r>
          </w:p>
        </w:tc>
        <w:tc>
          <w:tcPr>
            <w:tcW w:type="dxa" w:w="29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11×</w:t>
            </w:r>
          </w:p>
        </w:tc>
        <w:tc>
          <w:tcPr>
            <w:tcW w:type="dxa" w:w="186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times</w:t>
            </w:r>
          </w:p>
        </w:tc>
        <w:tc>
          <w:tcPr>
            <w:tcW w:type="dxa" w:w="72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B248</w:t>
            </w:r>
          </w:p>
        </w:tc>
        <w:tc>
          <w:tcPr>
            <w:tcW w:type="dxa" w:w="3483"/>
          </w:tcPr>
          <w:p>
            <w:pPr>
              <w:spacing w:after="0"/>
            </w:pPr>
            <w:r/>
            <w:r>
              <w:rPr>
                <w:sz w:val="16"/>
              </w:rPr>
              <w:t>Sovereignty tier cap</w:t>
            </w:r>
          </w:p>
        </w:tc>
        <w:tc>
          <w:tcPr>
            <w:tcW w:type="dxa" w:w="2916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863"/>
          </w:tcPr>
          <w:p>
            <w:pPr>
              <w:spacing w:after="0"/>
            </w:pPr>
            <w:r/>
            <w:r>
              <w:rPr>
                <w:sz w:val="16"/>
              </w:rPr>
              <w:t>% of development window</w:t>
            </w:r>
          </w:p>
        </w:tc>
        <w:tc>
          <w:tcPr>
            <w:tcW w:type="dxa" w:w="72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</w:tr>
    </w:tbl>
    <w:p>
      <w:pPr>
        <w:spacing w:after="40"/>
      </w:pPr>
    </w:p>
    <w:p>
      <w:pPr>
        <w:pStyle w:val="Heading2"/>
      </w:pPr>
      <w:r>
        <w:t>Chapter 8 · Economic effects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6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67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1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11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18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26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B249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IMF multiplier: first year / after five years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0.5 / 1.2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multiplier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8.1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B250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Reference domestic content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8.1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B251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ICOR (permanent effect)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6.5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8.1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B252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Peak GDP level effect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2.20 (2.86 enhanced)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2031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8.2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B253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RKAP pipeline peak effect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1.5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8.2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B254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Added growth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0.81 / 0.78 / 0.46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 / 2028 / 2029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8.2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B255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Added growth average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0.61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8.2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B256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Permanent gain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464 (0.89% of GDP)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2041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8.2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B257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Industry share of peak effect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88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8.2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B258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Pipeline size vs RKAP / peak effect vs RKAP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2.6× / about 1.5×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times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8.2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B259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Investment drop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748 → 438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2031 → 2032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8.3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B260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Growth lower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0.82 / further 0.17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2032 / 2033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8.3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B261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Jobs ending with defence programme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0.6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2035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8.3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B262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platforms: permanent GDP per Rp 1 T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0.03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8.4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B263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Defence platforms: imports per Rp 1 T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US$ m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8.4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B264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domestic content 40→60%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+0.3 pp peak; −24 US$ bn imports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8.5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B265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Faster sea wall: growth gain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0.05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pp a year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8.5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B266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Enhanced efficiency raises peak effect by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30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8.5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B267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Capex leaking abroad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124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B268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 defence platforms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72 (58%)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B269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Import peak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19 (about 1.2% of GDP)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B270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Imports incl. extra downstream plants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1.6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B271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Extra tax during build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327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build phase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B272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GDP per Rp 1 of productive capital (ICOR 6.5 / enhanced)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0.15 / 0.20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a year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B273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Job-years per Rp 1 bn: roads &amp; bridges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5.7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job-years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2016–2022 prices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B274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 industrial zones and electricity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5.5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job-years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2016–2022 prices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B275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— technology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job-years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2016–2022 prices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B276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 smelters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3.7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job-years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2016–2022 prices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B277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Rebasing factor to 2025 prices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×1.30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factor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B278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Induced jobs uplift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B279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IMIP Morowali permanent workers per Rp 1 T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129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workers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B280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Danantara 26 downstream projects: workers per Rp 1 T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168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workers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B281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Job-years: on site / suppliers / household spending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9.5 / 9.4 / 6.6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build phase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B282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Total job-years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25.5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build phase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B283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Lasting jobs (of which direct)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1.4 (0.58)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after completion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B284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GDP-based job-years estimate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17.1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B285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GSW job-years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7.1 (about 508 k jobs a year for 14 years)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B286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job-years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7.0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B287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Each +10 pts defence domestic content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+1.7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million job-years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B288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Underemployed workers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10.7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B289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Labour-force entrants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1.9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million a year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B290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Share of extra jobs reducing open unemployment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40 (range 25–55)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B291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Open unemployment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4.7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Feb 2026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B292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Open unemployment with pipeline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3.7 (range 3.3–4.1)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2028–2030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B293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Open unemployment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4.0 / about 4.2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2032 / 2035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B294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Unemployment held below 2026 level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0.4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to 2040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B295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Labour force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154.9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Feb 2026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B296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Household consumption share of GDP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53.9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8.8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B297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Consumption contribution to growth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2.62 of 5.11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8.8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B298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Jobs lost when RKAP projects end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1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2032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8.8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B299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Household consumption growth assumed for 8%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7.3 (vs 4.98 in 2025)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8.8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B300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Employment elasticity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0.26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per pp growth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past year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8.8</w:t>
            </w:r>
          </w:p>
        </w:tc>
      </w:tr>
      <w:tr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B301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sz w:val="16"/>
              </w:rPr>
              <w:t>Unemployment, resource-led path</w:t>
            </w:r>
          </w:p>
        </w:tc>
        <w:tc>
          <w:tcPr>
            <w:tcW w:type="dxa" w:w="3147"/>
          </w:tcPr>
          <w:p>
            <w:pPr>
              <w:spacing w:after="0"/>
            </w:pPr>
            <w:r/>
            <w:r>
              <w:rPr>
                <w:sz w:val="16"/>
              </w:rPr>
              <w:t>about 4.2 / 4.1</w:t>
            </w:r>
          </w:p>
        </w:tc>
        <w:tc>
          <w:tcPr>
            <w:tcW w:type="dxa" w:w="1115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</w:tcPr>
          <w:p>
            <w:pPr>
              <w:spacing w:after="0"/>
            </w:pPr>
            <w:r/>
            <w:r>
              <w:rPr>
                <w:sz w:val="16"/>
              </w:rPr>
              <w:t>2029 / 2030</w:t>
            </w:r>
          </w:p>
        </w:tc>
        <w:tc>
          <w:tcPr>
            <w:tcW w:type="dxa" w:w="262"/>
          </w:tcPr>
          <w:p>
            <w:pPr>
              <w:spacing w:after="0"/>
            </w:pPr>
            <w:r/>
            <w:r>
              <w:rPr>
                <w:sz w:val="16"/>
              </w:rPr>
              <w:t>8.8</w:t>
            </w:r>
          </w:p>
        </w:tc>
      </w:tr>
      <w:tr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B302</w:t>
            </w:r>
          </w:p>
        </w:tc>
        <w:tc>
          <w:tcPr>
            <w:tcW w:type="dxa" w:w="36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Unemployment, recommended 8% path</w:t>
            </w:r>
          </w:p>
        </w:tc>
        <w:tc>
          <w:tcPr>
            <w:tcW w:type="dxa" w:w="31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3.85</w:t>
            </w:r>
          </w:p>
        </w:tc>
        <w:tc>
          <w:tcPr>
            <w:tcW w:type="dxa" w:w="11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1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2030</w:t>
            </w:r>
          </w:p>
        </w:tc>
        <w:tc>
          <w:tcPr>
            <w:tcW w:type="dxa" w:w="2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8.8</w:t>
            </w:r>
          </w:p>
        </w:tc>
      </w:tr>
    </w:tbl>
    <w:p>
      <w:pPr>
        <w:spacing w:after="40"/>
      </w:pPr>
    </w:p>
    <w:p>
      <w:pPr>
        <w:pStyle w:val="Heading2"/>
      </w:pPr>
      <w:r>
        <w:t>Chapter 9 · Four high-risk projects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29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43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05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21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3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B303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Cotton imports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1.85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million bales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2024/25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B304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Indonesia rank among cotton importers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rank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2024/25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B305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Domestic cotton share of need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about 4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B306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Asia Pacific Rayon capacity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300,000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 a year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B307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Indo-Bharat Rayon addition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65,000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t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B308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Sritex obligations at bankruptcy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1.6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Dec 2024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B309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Sritex workers laid off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more than 10,600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workers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Mar 2025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B310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Textile firms closed or cutting jobs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at least 60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firms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two years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B311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Polyester mill utilisation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30–35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B312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Textile employment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3.96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B313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Textile exports (Kemenperin)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12.1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B314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Imported chemical APIs (GPFI)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more than 90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B315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Imported APIs (Minister of Health)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70–80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Jun 2026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B316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APIs made locally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APIs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B317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Kalbio plant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Rp bn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since 2018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B318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Daewoong Infion EPO market share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more than 40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B319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R&amp;D spending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0.28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B320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BGSi genomes sequenced / target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6,000 / 100,000 in 5 yrs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genomes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B321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Clinical trials (WHO)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trials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B322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Trial start-up time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2 years → 6–9 months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time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B323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Local manufacturing deadline for import registrations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B324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Pharma market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100–140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B325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Semiconductor imports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about 4.9 (2.3 in 2020)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Jan–Nov 2025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9.3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B326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Domestic semiconductor market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 → 7.1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 → 2030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9.3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B327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Global semiconductor market (WSTS)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796 bn → 1.51 tn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US$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2025 → 2026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9.3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B328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Growth of discretes and analog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8–10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9.3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B329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Advanced logic fab cost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35–43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ten years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9.3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B330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15 T in dollars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0.8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9.3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B331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Infineon Batam staff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more than 2,000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staff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9.3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B332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Batam semiconductor consortium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26.7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9.3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B333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E-commerce market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58–71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9.4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B334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Shopee share / TikTok Shop + Tokopedia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54 / 38 (about 92 combined)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GMV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9.4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B335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TikTok stake in Tokopedia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75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9.4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B336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Bukalapak exit (physical goods) / Blanja.com closed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Feb 2025 / 2020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dates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9.4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B337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Cross-border direct sale floor (Permendag 31/2023)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US$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9.4</w:t>
            </w:r>
          </w:p>
        </w:tc>
      </w:tr>
      <w:tr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B338</w:t>
            </w:r>
          </w:p>
        </w:tc>
        <w:tc>
          <w:tcPr>
            <w:tcW w:type="dxa" w:w="42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PaDi UMKM transactions</w:t>
            </w:r>
          </w:p>
        </w:tc>
        <w:tc>
          <w:tcPr>
            <w:tcW w:type="dxa" w:w="24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172 bn → 7.5 T</w:t>
            </w:r>
          </w:p>
        </w:tc>
        <w:tc>
          <w:tcPr>
            <w:tcW w:type="dxa" w:w="10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</w:t>
            </w:r>
          </w:p>
        </w:tc>
        <w:tc>
          <w:tcPr>
            <w:tcW w:type="dxa" w:w="12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2020 → mid-2023</w:t>
            </w:r>
          </w:p>
        </w:tc>
        <w:tc>
          <w:tcPr>
            <w:tcW w:type="dxa" w:w="3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9.4</w:t>
            </w:r>
          </w:p>
        </w:tc>
      </w:tr>
      <w:tr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B339</w:t>
            </w:r>
          </w:p>
        </w:tc>
        <w:tc>
          <w:tcPr>
            <w:tcW w:type="dxa" w:w="4292"/>
          </w:tcPr>
          <w:p>
            <w:pPr>
              <w:spacing w:after="0"/>
            </w:pPr>
            <w:r/>
            <w:r>
              <w:rPr>
                <w:sz w:val="16"/>
              </w:rPr>
              <w:t>e-Katalog transactions (MSME share)</w:t>
            </w:r>
          </w:p>
        </w:tc>
        <w:tc>
          <w:tcPr>
            <w:tcW w:type="dxa" w:w="2430"/>
          </w:tcPr>
          <w:p>
            <w:pPr>
              <w:spacing w:after="0"/>
            </w:pPr>
            <w:r/>
            <w:r>
              <w:rPr>
                <w:sz w:val="16"/>
              </w:rPr>
              <w:t>83 (44%)</w:t>
            </w:r>
          </w:p>
        </w:tc>
        <w:tc>
          <w:tcPr>
            <w:tcW w:type="dxa" w:w="1053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215"/>
          </w:tcPr>
          <w:p>
            <w:pPr>
              <w:spacing w:after="0"/>
            </w:pPr>
            <w:r/>
            <w:r>
              <w:rPr>
                <w:sz w:val="16"/>
              </w:rPr>
              <w:t>2023</w:t>
            </w:r>
          </w:p>
        </w:tc>
        <w:tc>
          <w:tcPr>
            <w:tcW w:type="dxa" w:w="324"/>
          </w:tcPr>
          <w:p>
            <w:pPr>
              <w:spacing w:after="0"/>
            </w:pPr>
            <w:r/>
            <w:r>
              <w:rPr>
                <w:sz w:val="16"/>
              </w:rPr>
              <w:t>9.4</w:t>
            </w:r>
          </w:p>
        </w:tc>
      </w:tr>
    </w:tbl>
    <w:p>
      <w:pPr>
        <w:spacing w:after="40"/>
      </w:pPr>
    </w:p>
    <w:p>
      <w:pPr>
        <w:pStyle w:val="Heading2"/>
      </w:pPr>
      <w:r>
        <w:t>Chapter 10 · Sizing, funding and screening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3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10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25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67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33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B340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Natural-resource PNBP assumed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250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constant 2026 prices</w:t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10.1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B341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25% saving rule yields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62.5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10.1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B342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Priority list equity need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29.5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10.1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B343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Development window inflow (aggressive)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10.1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B344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Eligible equity need (resource + sovereignty)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about 22.9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10.1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B345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All 40 projects equity need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69.9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10.1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B346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Resource PNBP decline after 2030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% a year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10.2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B347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Future window real return / budget draw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 / 3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10.2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B348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Development equity yield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4.5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% real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from year 5</w:t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10.2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B349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Exit period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years 10–15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10.2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B350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DDMF leverage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Rp 1 : Rp 4.8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10.2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B351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Less released to budget (aggressive)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36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2027–2035</w:t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10.2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B352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Equity → investment mobilised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428 → 2,039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10.2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B353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Investment mobilised, share of 2025 GDP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around 0.9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a year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10.2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B354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IMF: output effect of 1% of GDP public investment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about 1.5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% after 4 years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10.2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B355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Pipeline need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4,881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B356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— commercial projects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1,260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B357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 public goods (infrastructure, sea wall)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1,496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B358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— defence (of which imported)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2,125 (about 1,275)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B359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PNBP (RAPBN 2027)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283.4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B360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Resource cash (maximised)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1,178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B361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Resource-backed debt (maximised)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1,459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B362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Remainder from budget, KPBU, export credit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1,249 (about a quarter)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B363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Use: commercial equity first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265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B364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Use: public goods (30% of cost)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449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B365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Use: defence domestic share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464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B366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— max from development window (20% tier cap)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about 142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B367</w:t>
            </w:r>
          </w:p>
        </w:tc>
        <w:tc>
          <w:tcPr>
            <w:tcW w:type="dxa" w:w="41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Budget gives up: maximised vs current rule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111 vs 83</w:t>
            </w:r>
          </w:p>
        </w:tc>
        <w:tc>
          <w:tcPr>
            <w:tcW w:type="dxa" w:w="12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B368</w:t>
            </w:r>
          </w:p>
        </w:tc>
        <w:tc>
          <w:tcPr>
            <w:tcW w:type="dxa" w:w="4107"/>
          </w:tcPr>
          <w:p>
            <w:pPr>
              <w:spacing w:after="0"/>
            </w:pPr>
            <w:r/>
            <w:r>
              <w:rPr>
                <w:sz w:val="16"/>
              </w:rPr>
              <w:t>Future window share of resource PNBP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6"/>
              </w:rPr>
              <w:t>8 vs 12</w:t>
            </w:r>
          </w:p>
        </w:tc>
        <w:tc>
          <w:tcPr>
            <w:tcW w:type="dxa" w:w="1257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  <w:tc>
          <w:tcPr>
            <w:tcW w:type="dxa" w:w="335"/>
          </w:tcPr>
          <w:p>
            <w:pPr>
              <w:spacing w:after="0"/>
            </w:pPr>
            <w:r/>
            <w:r>
              <w:rPr>
                <w:sz w:val="16"/>
              </w:rPr>
              <w:t>10.3</w:t>
            </w:r>
          </w:p>
        </w:tc>
      </w:tr>
    </w:tbl>
    <w:p>
      <w:pPr>
        <w:spacing w:after="40"/>
      </w:pPr>
    </w:p>
    <w:p>
      <w:pPr>
        <w:pStyle w:val="Heading2"/>
      </w:pPr>
      <w:r>
        <w:t>Chapter 11 · Arithmetic of 8%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5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19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49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24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98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35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B369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Growth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5.11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B370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Growth y/y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5.29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Q2 2026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B371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IMF projection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5.0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B372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PMTB share of GDP / growth / contribution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28.8 / 5.09 / 1.58 pp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B373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Manufacturing share / growth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19.1 / 5.30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B374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Mining share / growth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8.75 / −0.66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B375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Mining growth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−1.64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Q2 2026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B376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Metal-ore output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−9.24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Q2 2026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B377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RPJMN growth target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B378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RPJMN industry share target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21.9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B379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RPJMN manufacturing growth target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8.14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B380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RPJMN investment need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47.6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quadrillion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2025–2029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B381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Annual investment need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7.6 → 11.8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Rp quadrillion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2025 → 2029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B382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Government ICOR path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6.2 → 3.9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 → 2029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B383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Realised investment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1,931.2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B384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 downstreaming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584.1 (30.2%)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B385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Implied ICOR (28.8 ÷ 5.6 ≈ 5.1%)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5.6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11.2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B386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Investment for 8% at today's efficiency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45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11.2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B387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Mining growth assumed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% a year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by 2029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11.3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B388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Extra private/foreign downstream investment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1.1 (about Rp 336 T)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by 2030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11.3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B389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RKAP pipeline growth contribution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+0.34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11.3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B390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Agriculture share / growth uplift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13.1 / +0.75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/ pp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from 2028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11.3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B391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ICOR on existing investment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5.6 → 5.1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by 2029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11.3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B392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Points of the 2.9 needed closed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 to 1.8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B393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Downstreaming roadmap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28 commodities; US$618 bn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to 2040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B394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Claimed growth from roadmap (Energy Minister)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at least 2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B395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Paper's estimate for resource-processing levers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about 0.6 to 0.9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pp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B396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Growth after 2032 drop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5.5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2032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B397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Imports needed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about 27 (about 1.6% of GDP)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B398</w:t>
            </w:r>
          </w:p>
        </w:tc>
        <w:tc>
          <w:tcPr>
            <w:tcW w:type="dxa" w:w="4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ICOR needed for 8% without levers</w:t>
            </w:r>
          </w:p>
        </w:tc>
        <w:tc>
          <w:tcPr>
            <w:tcW w:type="dxa" w:w="24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3.6</w:t>
            </w:r>
          </w:p>
        </w:tc>
        <w:tc>
          <w:tcPr>
            <w:tcW w:type="dxa" w:w="1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3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B399</w:t>
            </w:r>
          </w:p>
        </w:tc>
        <w:tc>
          <w:tcPr>
            <w:tcW w:type="dxa" w:w="4194"/>
          </w:tcPr>
          <w:p>
            <w:pPr>
              <w:spacing w:after="0"/>
            </w:pPr>
            <w:r/>
            <w:r>
              <w:rPr>
                <w:sz w:val="16"/>
              </w:rPr>
              <w:t>Malaysia ICOR</w:t>
            </w:r>
          </w:p>
        </w:tc>
        <w:tc>
          <w:tcPr>
            <w:tcW w:type="dxa" w:w="2499"/>
          </w:tcPr>
          <w:p>
            <w:pPr>
              <w:spacing w:after="0"/>
            </w:pPr>
            <w:r/>
            <w:r>
              <w:rPr>
                <w:sz w:val="16"/>
              </w:rPr>
              <w:t>4.5</w:t>
            </w:r>
          </w:p>
        </w:tc>
        <w:tc>
          <w:tcPr>
            <w:tcW w:type="dxa" w:w="1249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98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357"/>
          </w:tcPr>
          <w:p>
            <w:pPr>
              <w:spacing w:after="0"/>
            </w:pPr>
            <w:r/>
            <w:r>
              <w:rPr>
                <w:sz w:val="16"/>
              </w:rPr>
              <w:t>11.4</w:t>
            </w:r>
          </w:p>
        </w:tc>
      </w:tr>
    </w:tbl>
    <w:p>
      <w:pPr>
        <w:spacing w:after="40"/>
      </w:pPr>
    </w:p>
    <w:p>
      <w:pPr>
        <w:pStyle w:val="Heading2"/>
      </w:pPr>
      <w:r>
        <w:t>Chapter 12 · Three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1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6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23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92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41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B400</w:t>
            </w:r>
          </w:p>
        </w:tc>
        <w:tc>
          <w:tcPr>
            <w:tcW w:type="dxa" w:w="4614"/>
          </w:tcPr>
          <w:p>
            <w:pPr>
              <w:spacing w:after="0"/>
            </w:pPr>
            <w:r/>
            <w:r>
              <w:rPr>
                <w:sz w:val="16"/>
              </w:rPr>
              <w:t>S1 logistics cost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sz w:val="16"/>
              </w:rPr>
              <w:t>14.3 → 8–9</w:t>
            </w:r>
          </w:p>
        </w:tc>
        <w:tc>
          <w:tcPr>
            <w:tcW w:type="dxa" w:w="1230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923"/>
          </w:tcPr>
          <w:p>
            <w:pPr>
              <w:spacing w:after="0"/>
            </w:pPr>
            <w:r/>
            <w:r>
              <w:rPr>
                <w:sz w:val="16"/>
              </w:rPr>
              <w:t>by 2030</w:t>
            </w:r>
          </w:p>
        </w:tc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12.2</w:t>
            </w:r>
          </w:p>
        </w:tc>
      </w:tr>
      <w:tr>
        <w:tc>
          <w:tcPr>
            <w:tcW w:type="dxa" w:w="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B401</w:t>
            </w:r>
          </w:p>
        </w:tc>
        <w:tc>
          <w:tcPr>
            <w:tcW w:type="dxa" w:w="46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S1 if reforms stall</w:t>
            </w:r>
          </w:p>
        </w:tc>
        <w:tc>
          <w:tcPr>
            <w:tcW w:type="dxa" w:w="2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near 6</w:t>
            </w:r>
          </w:p>
        </w:tc>
        <w:tc>
          <w:tcPr>
            <w:tcW w:type="dxa" w:w="12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growth</w:t>
            </w:r>
          </w:p>
        </w:tc>
        <w:tc>
          <w:tcPr>
            <w:tcW w:type="dxa" w:w="9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12.2</w:t>
            </w:r>
          </w:p>
        </w:tc>
      </w:tr>
      <w:tr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B402</w:t>
            </w:r>
          </w:p>
        </w:tc>
        <w:tc>
          <w:tcPr>
            <w:tcW w:type="dxa" w:w="4614"/>
          </w:tcPr>
          <w:p>
            <w:pPr>
              <w:spacing w:after="0"/>
            </w:pPr>
            <w:r/>
            <w:r>
              <w:rPr>
                <w:sz w:val="16"/>
              </w:rPr>
              <w:t>S2 fund split / loan cap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sz w:val="16"/>
              </w:rPr>
              <w:t>80/20; up to 10%</w:t>
            </w:r>
          </w:p>
        </w:tc>
        <w:tc>
          <w:tcPr>
            <w:tcW w:type="dxa" w:w="1230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23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12.3</w:t>
            </w:r>
          </w:p>
        </w:tc>
      </w:tr>
      <w:tr>
        <w:tc>
          <w:tcPr>
            <w:tcW w:type="dxa" w:w="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B403</w:t>
            </w:r>
          </w:p>
        </w:tc>
        <w:tc>
          <w:tcPr>
            <w:tcW w:type="dxa" w:w="46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S2 FDI increase</w:t>
            </w:r>
          </w:p>
        </w:tc>
        <w:tc>
          <w:tcPr>
            <w:tcW w:type="dxa" w:w="2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2</w:t>
            </w:r>
          </w:p>
        </w:tc>
        <w:tc>
          <w:tcPr>
            <w:tcW w:type="dxa" w:w="12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pp of GDP</w:t>
            </w:r>
          </w:p>
        </w:tc>
        <w:tc>
          <w:tcPr>
            <w:tcW w:type="dxa" w:w="9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12.3</w:t>
            </w:r>
          </w:p>
        </w:tc>
      </w:tr>
      <w:tr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B404</w:t>
            </w:r>
          </w:p>
        </w:tc>
        <w:tc>
          <w:tcPr>
            <w:tcW w:type="dxa" w:w="4614"/>
          </w:tcPr>
          <w:p>
            <w:pPr>
              <w:spacing w:after="0"/>
            </w:pPr>
            <w:r/>
            <w:r>
              <w:rPr>
                <w:sz w:val="16"/>
              </w:rPr>
              <w:t>S2 construction growth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230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23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12.3</w:t>
            </w:r>
          </w:p>
        </w:tc>
      </w:tr>
      <w:tr>
        <w:tc>
          <w:tcPr>
            <w:tcW w:type="dxa" w:w="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B405</w:t>
            </w:r>
          </w:p>
        </w:tc>
        <w:tc>
          <w:tcPr>
            <w:tcW w:type="dxa" w:w="46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Current-account level of 2013 rupiah pressure</w:t>
            </w:r>
          </w:p>
        </w:tc>
        <w:tc>
          <w:tcPr>
            <w:tcW w:type="dxa" w:w="2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3</w:t>
            </w:r>
          </w:p>
        </w:tc>
        <w:tc>
          <w:tcPr>
            <w:tcW w:type="dxa" w:w="12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9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2013</w:t>
            </w:r>
          </w:p>
        </w:tc>
        <w:tc>
          <w:tcPr>
            <w:tcW w:type="dxa" w:w="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12.3</w:t>
            </w:r>
          </w:p>
        </w:tc>
      </w:tr>
      <w:tr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B406</w:t>
            </w:r>
          </w:p>
        </w:tc>
        <w:tc>
          <w:tcPr>
            <w:tcW w:type="dxa" w:w="4614"/>
          </w:tcPr>
          <w:p>
            <w:pPr>
              <w:spacing w:after="0"/>
            </w:pPr>
            <w:r/>
            <w:r>
              <w:rPr>
                <w:sz w:val="16"/>
              </w:rPr>
              <w:t>S3 manufacturing share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sz w:val="16"/>
              </w:rPr>
              <w:t>towards 22</w:t>
            </w:r>
          </w:p>
        </w:tc>
        <w:tc>
          <w:tcPr>
            <w:tcW w:type="dxa" w:w="1230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923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12.4</w:t>
            </w:r>
          </w:p>
        </w:tc>
      </w:tr>
      <w:tr>
        <w:tc>
          <w:tcPr>
            <w:tcW w:type="dxa" w:w="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B407</w:t>
            </w:r>
          </w:p>
        </w:tc>
        <w:tc>
          <w:tcPr>
            <w:tcW w:type="dxa" w:w="46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Indonesia–EU agreement in force</w:t>
            </w:r>
          </w:p>
        </w:tc>
        <w:tc>
          <w:tcPr>
            <w:tcW w:type="dxa" w:w="2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12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9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12.4</w:t>
            </w:r>
          </w:p>
        </w:tc>
      </w:tr>
      <w:tr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B408</w:t>
            </w:r>
          </w:p>
        </w:tc>
        <w:tc>
          <w:tcPr>
            <w:tcW w:type="dxa" w:w="4614"/>
          </w:tcPr>
          <w:p>
            <w:pPr>
              <w:spacing w:after="0"/>
            </w:pPr>
            <w:r/>
            <w:r>
              <w:rPr>
                <w:sz w:val="16"/>
              </w:rPr>
              <w:t>Recommended: investment ÷ ICOR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sz w:val="16"/>
              </w:rPr>
              <w:t>33.5 ÷ 4.2 ≈ 8.0</w:t>
            </w:r>
          </w:p>
        </w:tc>
        <w:tc>
          <w:tcPr>
            <w:tcW w:type="dxa" w:w="1230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923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12.6</w:t>
            </w:r>
          </w:p>
        </w:tc>
      </w:tr>
      <w:tr>
        <w:tc>
          <w:tcPr>
            <w:tcW w:type="dxa" w:w="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B409</w:t>
            </w:r>
          </w:p>
        </w:tc>
        <w:tc>
          <w:tcPr>
            <w:tcW w:type="dxa" w:w="46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Mid-1990s growth / investment</w:t>
            </w:r>
          </w:p>
        </w:tc>
        <w:tc>
          <w:tcPr>
            <w:tcW w:type="dxa" w:w="20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7–8 / about 30</w:t>
            </w:r>
          </w:p>
        </w:tc>
        <w:tc>
          <w:tcPr>
            <w:tcW w:type="dxa" w:w="12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/ % of GDP</w:t>
            </w:r>
          </w:p>
        </w:tc>
        <w:tc>
          <w:tcPr>
            <w:tcW w:type="dxa" w:w="9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mid-1990s</w:t>
            </w:r>
          </w:p>
        </w:tc>
        <w:tc>
          <w:tcPr>
            <w:tcW w:type="dxa" w:w="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12.6</w:t>
            </w:r>
          </w:p>
        </w:tc>
      </w:tr>
      <w:tr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B410</w:t>
            </w:r>
          </w:p>
        </w:tc>
        <w:tc>
          <w:tcPr>
            <w:tcW w:type="dxa" w:w="4614"/>
          </w:tcPr>
          <w:p>
            <w:pPr>
              <w:spacing w:after="0"/>
            </w:pPr>
            <w:r/>
            <w:r>
              <w:rPr>
                <w:sz w:val="16"/>
              </w:rPr>
              <w:t>Downstream investment target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sz w:val="16"/>
              </w:rPr>
              <w:t>towards 1,000</w:t>
            </w:r>
          </w:p>
        </w:tc>
        <w:tc>
          <w:tcPr>
            <w:tcW w:type="dxa" w:w="1230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923"/>
          </w:tcPr>
          <w:p>
            <w:pPr>
              <w:spacing w:after="0"/>
            </w:pPr>
            <w:r/>
            <w:r>
              <w:rPr>
                <w:sz w:val="16"/>
              </w:rPr>
              <w:t>2027–2029</w:t>
            </w:r>
          </w:p>
        </w:tc>
        <w:tc>
          <w:tcPr>
            <w:tcW w:type="dxa" w:w="410"/>
          </w:tcPr>
          <w:p>
            <w:pPr>
              <w:spacing w:after="0"/>
            </w:pPr>
            <w:r/>
            <w:r>
              <w:rPr>
                <w:sz w:val="16"/>
              </w:rPr>
              <w:t>12.6</w:t>
            </w:r>
          </w:p>
        </w:tc>
      </w:tr>
    </w:tbl>
    <w:p>
      <w:pPr>
        <w:spacing w:after="40"/>
      </w:pPr>
    </w:p>
    <w:p>
      <w:pPr>
        <w:pStyle w:val="Heading2"/>
      </w:pPr>
      <w:r>
        <w:t>Chapters 13–15 · Execution, monitoring, recommendations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3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03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75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87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09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43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B411</w:t>
            </w:r>
          </w:p>
        </w:tc>
        <w:tc>
          <w:tcPr>
            <w:tcW w:type="dxa" w:w="5038"/>
          </w:tcPr>
          <w:p>
            <w:pPr>
              <w:spacing w:after="0"/>
            </w:pPr>
            <w:r/>
            <w:r>
              <w:rPr>
                <w:sz w:val="16"/>
              </w:rPr>
              <w:t>Development window closes unless renewed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  <w:t>2038</w:t>
            </w:r>
          </w:p>
        </w:tc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13.1</w:t>
            </w:r>
          </w:p>
        </w:tc>
      </w:tr>
      <w:tr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B412</w:t>
            </w:r>
          </w:p>
        </w:tc>
        <w:tc>
          <w:tcPr>
            <w:tcW w:type="dxa" w:w="50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Draft Law to DPR / enacted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 / 2028</w:t>
            </w:r>
          </w:p>
        </w:tc>
        <w:tc>
          <w:tcPr>
            <w:tcW w:type="dxa" w:w="8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13.4</w:t>
            </w:r>
          </w:p>
        </w:tc>
      </w:tr>
      <w:tr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B413</w:t>
            </w:r>
          </w:p>
        </w:tc>
        <w:tc>
          <w:tcPr>
            <w:tcW w:type="dxa" w:w="5038"/>
          </w:tcPr>
          <w:p>
            <w:pPr>
              <w:spacing w:after="0"/>
            </w:pPr>
            <w:r/>
            <w:r>
              <w:rPr>
                <w:sz w:val="16"/>
              </w:rPr>
              <w:t>First reference prices / first deposits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  <w:t>2029 / 2029</w:t>
            </w:r>
          </w:p>
        </w:tc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13.4</w:t>
            </w:r>
          </w:p>
        </w:tc>
      </w:tr>
      <w:tr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B414</w:t>
            </w:r>
          </w:p>
        </w:tc>
        <w:tc>
          <w:tcPr>
            <w:tcW w:type="dxa" w:w="50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Palm oil inclusion / nickel inclusion + review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2030–2031 / 2032</w:t>
            </w:r>
          </w:p>
        </w:tc>
        <w:tc>
          <w:tcPr>
            <w:tcW w:type="dxa" w:w="8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years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13.4</w:t>
            </w:r>
          </w:p>
        </w:tc>
      </w:tr>
      <w:tr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B415</w:t>
            </w:r>
          </w:p>
        </w:tc>
        <w:tc>
          <w:tcPr>
            <w:tcW w:type="dxa" w:w="5038"/>
          </w:tcPr>
          <w:p>
            <w:pPr>
              <w:spacing w:after="0"/>
            </w:pPr>
            <w:r/>
            <w:r>
              <w:rPr>
                <w:sz w:val="16"/>
              </w:rPr>
              <w:t>Annual review threshold for DDMF projects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  <w:t>above 5</w:t>
            </w:r>
          </w:p>
        </w:tc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14.2</w:t>
            </w:r>
          </w:p>
        </w:tc>
      </w:tr>
      <w:tr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B416</w:t>
            </w:r>
          </w:p>
        </w:tc>
        <w:tc>
          <w:tcPr>
            <w:tcW w:type="dxa" w:w="50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Mid-term review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</w:t>
            </w:r>
          </w:p>
        </w:tc>
        <w:tc>
          <w:tcPr>
            <w:tcW w:type="dxa" w:w="8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14.2</w:t>
            </w:r>
          </w:p>
        </w:tc>
      </w:tr>
      <w:tr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B417</w:t>
            </w:r>
          </w:p>
        </w:tc>
        <w:tc>
          <w:tcPr>
            <w:tcW w:type="dxa" w:w="5038"/>
          </w:tcPr>
          <w:p>
            <w:pPr>
              <w:spacing w:after="0"/>
            </w:pPr>
            <w:r/>
            <w:r>
              <w:rPr>
                <w:sz w:val="16"/>
              </w:rPr>
              <w:t>Trigger: current-account deficit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  <w:t>2.5</w:t>
            </w:r>
          </w:p>
        </w:tc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14.2</w:t>
            </w:r>
          </w:p>
        </w:tc>
      </w:tr>
      <w:tr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B418</w:t>
            </w:r>
          </w:p>
        </w:tc>
        <w:tc>
          <w:tcPr>
            <w:tcW w:type="dxa" w:w="50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Trigger: ICOR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above 5.0</w:t>
            </w:r>
          </w:p>
        </w:tc>
        <w:tc>
          <w:tcPr>
            <w:tcW w:type="dxa" w:w="8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</w:t>
            </w:r>
          </w:p>
        </w:tc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14.2</w:t>
            </w:r>
          </w:p>
        </w:tc>
      </w:tr>
      <w:tr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B419</w:t>
            </w:r>
          </w:p>
        </w:tc>
        <w:tc>
          <w:tcPr>
            <w:tcW w:type="dxa" w:w="5038"/>
          </w:tcPr>
          <w:p>
            <w:pPr>
              <w:spacing w:after="0"/>
            </w:pPr>
            <w:r/>
            <w:r>
              <w:rPr>
                <w:sz w:val="16"/>
              </w:rPr>
              <w:t>Trigger: inflation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  <w:t>above 3.5</w:t>
            </w:r>
          </w:p>
        </w:tc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14.2</w:t>
            </w:r>
          </w:p>
        </w:tc>
      </w:tr>
      <w:tr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B420</w:t>
            </w:r>
          </w:p>
        </w:tc>
        <w:tc>
          <w:tcPr>
            <w:tcW w:type="dxa" w:w="50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Trigger: growth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below 6</w:t>
            </w:r>
          </w:p>
        </w:tc>
        <w:tc>
          <w:tcPr>
            <w:tcW w:type="dxa" w:w="8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after 2027</w:t>
            </w:r>
          </w:p>
        </w:tc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14.2</w:t>
            </w:r>
          </w:p>
        </w:tc>
      </w:tr>
      <w:tr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B421</w:t>
            </w:r>
          </w:p>
        </w:tc>
        <w:tc>
          <w:tcPr>
            <w:tcW w:type="dxa" w:w="5038"/>
          </w:tcPr>
          <w:p>
            <w:pPr>
              <w:spacing w:after="0"/>
            </w:pPr>
            <w:r/>
            <w:r>
              <w:rPr>
                <w:sz w:val="16"/>
              </w:rPr>
              <w:t>Sunset review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  <w:t>2038</w:t>
            </w:r>
          </w:p>
        </w:tc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year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14.2</w:t>
            </w:r>
          </w:p>
        </w:tc>
      </w:tr>
      <w:tr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B422</w:t>
            </w:r>
          </w:p>
        </w:tc>
        <w:tc>
          <w:tcPr>
            <w:tcW w:type="dxa" w:w="50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Recalibration: contribution rate / split</w:t>
            </w:r>
          </w:p>
        </w:tc>
        <w:tc>
          <w:tcPr>
            <w:tcW w:type="dxa" w:w="1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30% / 60/30/0</w:t>
            </w:r>
          </w:p>
        </w:tc>
        <w:tc>
          <w:tcPr>
            <w:tcW w:type="dxa" w:w="8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4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15.2</w:t>
            </w:r>
          </w:p>
        </w:tc>
      </w:tr>
      <w:tr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B423</w:t>
            </w:r>
          </w:p>
        </w:tc>
        <w:tc>
          <w:tcPr>
            <w:tcW w:type="dxa" w:w="5038"/>
          </w:tcPr>
          <w:p>
            <w:pPr>
              <w:spacing w:after="0"/>
            </w:pPr>
            <w:r/>
            <w:r>
              <w:rPr>
                <w:sz w:val="16"/>
              </w:rPr>
              <w:t>Investment ratio to keep</w:t>
            </w:r>
          </w:p>
        </w:tc>
        <w:tc>
          <w:tcPr>
            <w:tcW w:type="dxa" w:w="1752"/>
          </w:tcPr>
          <w:p>
            <w:pPr>
              <w:spacing w:after="0"/>
            </w:pPr>
            <w:r/>
            <w:r>
              <w:rPr>
                <w:sz w:val="16"/>
              </w:rPr>
              <w:t>33–34</w:t>
            </w:r>
          </w:p>
        </w:tc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  <w:t>after 2032</w:t>
            </w:r>
          </w:p>
        </w:tc>
        <w:tc>
          <w:tcPr>
            <w:tcW w:type="dxa" w:w="438"/>
          </w:tcPr>
          <w:p>
            <w:pPr>
              <w:spacing w:after="0"/>
            </w:pPr>
            <w:r/>
            <w:r>
              <w:rPr>
                <w:sz w:val="16"/>
              </w:rPr>
              <w:t>15.2</w:t>
            </w:r>
          </w:p>
        </w:tc>
      </w:tr>
    </w:tbl>
    <w:p>
      <w:pPr>
        <w:spacing w:after="40"/>
      </w:pPr>
    </w:p>
    <w:p>
      <w:pPr>
        <w:pStyle w:val="Heading2"/>
      </w:pPr>
      <w:r>
        <w:t>Appendices B, E, F · Model parameters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9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6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90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42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25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29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B424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Nominal GDP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23,821.1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App. B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B425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Employment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146.54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Aug 2025</w:t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B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B426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Output per worker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about 163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Rp m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App. B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B427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Broad tax ratio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9.31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 effect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B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B428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Equity share for Oct 2026 figures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% of investment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App. B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B429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Calibration: 28.77% ÷ 5.63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5.11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growth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E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B430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Mining growth path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−1.0 / 1.0 / 2.5 / 3.0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2026 / 2027 / 2028 / 2029+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App. E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B431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Downstream extra investment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0.3 / 0.6 / 0.9 / 1.1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 / 2028 / 2029 / 2030</w:t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E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B432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ICOR path (efficiency lever)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5.5 / 5.3 / 5.1 / 5.0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2027 / 2028 / 2029 / 2030+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App. E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B433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Scenario path exponent k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1.7 (S1) / 0.6 (S2) / 1.3 (S3)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exponent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E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B434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ERIA job-years per Rp 1 bn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5.70 / 5.54 / 5.54 / 4.30 / 3.71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roads / ind. zones / electricity / tech / smelters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2016–2022 prices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App. F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B435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Output per worker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162.6 / 125.2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m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 / 2019</w:t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F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B436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Job-years per Rp 1 T by type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civil 4,389; buildings 5,047; industry 4,266; power &amp; waste 4,266; solar 3,413; smelters 2,857; tech 3,311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job-years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App. F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B437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On-site share of direct+supplier jobs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civil 55; buildings 58; industry &amp; power 45; smelters &amp; tech 40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F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B438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IMIP Morowali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89,849 workers on Rp 697 T (≈129/Rp T)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App. F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B439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Danantara 26 downstream projects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37,833 jobs on Rp 225 T (≈168/Rp T)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F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B440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Indirect operating jobs per direct job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0.8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ratio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App. F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B441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Unemployed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7.24 (4.68%)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Feb 2026</w:t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F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B442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Employed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147.67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Feb 2026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Refs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B443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Labour-force growth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1.22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a year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F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B444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RKAP text total vs table sum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1,994.5 vs 2,091.5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App. C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B445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RKAP text equity vs table sum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398.8 vs 419.1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App. C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B446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RAPBN 2027 resource PNBP: oil &amp; gas / non-oil-and-gas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129.9 / 153.5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Refs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B447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SOE dividends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142.3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Refs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B448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DHE SDA retained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22.9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Mar–Apr 2025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Refs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B449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Coal export duty simulation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11.7–19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Refs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B450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Current-account deficit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1.5 (about 0.1% of GDP)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Refs</w:t>
            </w:r>
          </w:p>
        </w:tc>
      </w:tr>
      <w:tr>
        <w:tc>
          <w:tcPr>
            <w:tcW w:type="dxa" w:w="19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B451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Q4 current-account deficit</w:t>
            </w:r>
          </w:p>
        </w:tc>
        <w:tc>
          <w:tcPr>
            <w:tcW w:type="dxa" w:w="29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0.7</w:t>
            </w:r>
          </w:p>
        </w:tc>
        <w:tc>
          <w:tcPr>
            <w:tcW w:type="dxa" w:w="24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</w:t>
            </w:r>
          </w:p>
        </w:tc>
        <w:tc>
          <w:tcPr>
            <w:tcW w:type="dxa" w:w="12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Q4 2025</w:t>
            </w:r>
          </w:p>
        </w:tc>
        <w:tc>
          <w:tcPr>
            <w:tcW w:type="dxa" w:w="29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Refs</w:t>
            </w:r>
          </w:p>
        </w:tc>
      </w:tr>
      <w:tr>
        <w:tc>
          <w:tcPr>
            <w:tcW w:type="dxa" w:w="194"/>
          </w:tcPr>
          <w:p>
            <w:pPr>
              <w:spacing w:after="0"/>
            </w:pPr>
            <w:r/>
            <w:r>
              <w:rPr>
                <w:sz w:val="16"/>
              </w:rPr>
              <w:t>B452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BPS average wage</w:t>
            </w:r>
          </w:p>
        </w:tc>
        <w:tc>
          <w:tcPr>
            <w:tcW w:type="dxa" w:w="2906"/>
          </w:tcPr>
          <w:p>
            <w:pPr>
              <w:spacing w:after="0"/>
            </w:pPr>
            <w:r/>
            <w:r>
              <w:rPr>
                <w:sz w:val="16"/>
              </w:rPr>
              <w:t>3.33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16"/>
              </w:rPr>
              <w:t>Rp m a month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sz w:val="16"/>
              </w:rPr>
              <w:t>Aug 2025</w:t>
            </w:r>
          </w:p>
        </w:tc>
        <w:tc>
          <w:tcPr>
            <w:tcW w:type="dxa" w:w="291"/>
          </w:tcPr>
          <w:p>
            <w:pPr>
              <w:spacing w:after="0"/>
            </w:pPr>
            <w:r/>
            <w:r>
              <w:rPr>
                <w:sz w:val="16"/>
              </w:rPr>
              <w:t>Refs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 C · Chart data</w:t>
      </w:r>
    </w:p>
    <w:p>
      <w:pPr>
        <w:spacing w:after="60"/>
      </w:pPr>
      <w:r>
        <w:rPr>
          <w:i/>
          <w:color w:val="555555"/>
          <w:sz w:val="16"/>
        </w:rPr>
        <w:t>Values behind each figure. Where the chart prints data labels these are copied exactly; otherwise values are recalculated from the paper's own inputs (C) or read from the chart (≈). Figures 1.6, 4.1 and 7.1 are architecture diagrams without numerical data and are not tabulated.</w:t>
      </w:r>
    </w:p>
    <w:p>
      <w:pPr>
        <w:pStyle w:val="Heading2"/>
      </w:pPr>
      <w:r>
        <w:t>Figure 1.1. Natural-resource exports by industry, 2000–2025 (US$ bn)</w:t>
      </w:r>
    </w:p>
    <w:p>
      <w:pPr>
        <w:spacing w:after="60"/>
      </w:pPr>
      <w:r>
        <w:rPr>
          <w:i/>
          <w:color w:val="555555"/>
          <w:sz w:val="16"/>
        </w:rPr>
        <w:t>2025 split by industry is labelled on the chart: Energy 37, Metals &amp; minerals 44, Plantation 39, Forestry 1.7. Annual totals marked T are stated in the text (Table 1.2); other years are read from the chart (≈). * = estimated year in the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7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681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Total resource exports (US$ bn)</w:t>
            </w:r>
          </w:p>
        </w:tc>
        <w:tc>
          <w:tcPr>
            <w:tcW w:type="dxa" w:w="125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Basis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2000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T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2001*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21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2002*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T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2003*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25.5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2004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≈ 31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2005*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40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2006*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≈ 49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2007*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59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2008*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T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2009*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2010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≈ 85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2011*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111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2012*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≈ 98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2013*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91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2014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≈ 84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2015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66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2016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T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2017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76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2018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≈ 81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2019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71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2020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T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2021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112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2022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T/L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2023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126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6812"/>
          </w:tcPr>
          <w:p>
            <w:pPr>
              <w:spacing w:after="0"/>
            </w:pPr>
            <w:r/>
            <w:r>
              <w:rPr>
                <w:sz w:val="16"/>
              </w:rPr>
              <w:t>≈ 120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15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6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122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</w:t>
            </w:r>
          </w:p>
        </w:tc>
      </w:tr>
    </w:tbl>
    <w:p>
      <w:pPr>
        <w:spacing w:after="40"/>
      </w:pPr>
    </w:p>
    <w:p>
      <w:pPr>
        <w:pStyle w:val="Heading2"/>
      </w:pPr>
      <w:r>
        <w:t>Figure 1.1 (cont.). Composition by industry (share of resource exports, %)</w:t>
      </w:r>
    </w:p>
    <w:p>
      <w:pPr>
        <w:spacing w:after="60"/>
      </w:pPr>
      <w:r>
        <w:rPr>
          <w:i/>
          <w:color w:val="555555"/>
          <w:sz w:val="16"/>
        </w:rPr>
        <w:t>Shares from Section 1.2; 2025 values in US$ bn from chart labels.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439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Industry</w:t>
            </w:r>
          </w:p>
        </w:tc>
        <w:tc>
          <w:tcPr>
            <w:tcW w:type="dxa" w:w="14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2000 (%)</w:t>
            </w:r>
          </w:p>
        </w:tc>
        <w:tc>
          <w:tcPr>
            <w:tcW w:type="dxa" w:w="14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2025 (%)</w:t>
            </w:r>
          </w:p>
        </w:tc>
        <w:tc>
          <w:tcPr>
            <w:tcW w:type="dxa" w:w="23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2025 (US$ bn)</w:t>
            </w:r>
          </w:p>
        </w:tc>
      </w:tr>
      <w:tr>
        <w:tc>
          <w:tcPr>
            <w:tcW w:type="dxa" w:w="4393"/>
          </w:tcPr>
          <w:p>
            <w:pPr>
              <w:spacing w:after="0"/>
            </w:pPr>
            <w:r/>
            <w:r>
              <w:rPr>
                <w:sz w:val="16"/>
              </w:rPr>
              <w:t>Energy</w:t>
            </w:r>
          </w:p>
        </w:tc>
        <w:tc>
          <w:tcPr>
            <w:tcW w:type="dxa" w:w="1447"/>
          </w:tcPr>
          <w:p>
            <w:pPr>
              <w:spacing w:after="0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1447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6"/>
              </w:rPr>
              <w:t>37</w:t>
            </w:r>
          </w:p>
        </w:tc>
      </w:tr>
      <w:tr>
        <w:tc>
          <w:tcPr>
            <w:tcW w:type="dxa" w:w="43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Metals &amp; minerals</w:t>
            </w:r>
          </w:p>
        </w:tc>
        <w:tc>
          <w:tcPr>
            <w:tcW w:type="dxa" w:w="14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4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23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44</w:t>
            </w:r>
          </w:p>
        </w:tc>
      </w:tr>
      <w:tr>
        <w:tc>
          <w:tcPr>
            <w:tcW w:type="dxa" w:w="4393"/>
          </w:tcPr>
          <w:p>
            <w:pPr>
              <w:spacing w:after="0"/>
            </w:pPr>
            <w:r/>
            <w:r>
              <w:rPr>
                <w:sz w:val="16"/>
              </w:rPr>
              <w:t>Plantation</w:t>
            </w:r>
          </w:p>
        </w:tc>
        <w:tc>
          <w:tcPr>
            <w:tcW w:type="dxa" w:w="1447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447"/>
          </w:tcPr>
          <w:p>
            <w:pPr>
              <w:spacing w:after="0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6"/>
              </w:rPr>
              <w:t>39</w:t>
            </w:r>
          </w:p>
        </w:tc>
      </w:tr>
      <w:tr>
        <w:tc>
          <w:tcPr>
            <w:tcW w:type="dxa" w:w="43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Forestry</w:t>
            </w:r>
          </w:p>
        </w:tc>
        <w:tc>
          <w:tcPr>
            <w:tcW w:type="dxa" w:w="14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4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1.7</w:t>
            </w:r>
          </w:p>
        </w:tc>
      </w:tr>
      <w:tr>
        <w:tc>
          <w:tcPr>
            <w:tcW w:type="dxa" w:w="439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100</w:t>
            </w:r>
          </w:p>
        </w:tc>
        <w:tc>
          <w:tcPr>
            <w:tcW w:type="dxa" w:w="144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100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122</w:t>
            </w:r>
          </w:p>
        </w:tc>
      </w:tr>
    </w:tbl>
    <w:p>
      <w:pPr>
        <w:spacing w:after="40"/>
      </w:pPr>
    </w:p>
    <w:p>
      <w:pPr>
        <w:pStyle w:val="Heading2"/>
      </w:pPr>
      <w:r>
        <w:t>Figure 1.2. Commodity groups ranked by size (average annual exports 2021–2025, US$ bn)</w:t>
      </w:r>
    </w:p>
    <w:p>
      <w:pPr>
        <w:spacing w:after="60"/>
      </w:pPr>
      <w:r>
        <w:rPr>
          <w:i/>
          <w:color w:val="555555"/>
          <w:sz w:val="16"/>
        </w:rPr>
        <w:t>All values labelled on the chart; size thresholds US$3 bn and US$10 bn.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9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Commodity group</w:t>
            </w:r>
          </w:p>
        </w:tc>
        <w:tc>
          <w:tcPr>
            <w:tcW w:type="dxa" w:w="222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Industry</w:t>
            </w:r>
          </w:p>
        </w:tc>
        <w:tc>
          <w:tcPr>
            <w:tcW w:type="dxa" w:w="256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Avg exports 2021–25 (US$ bn)</w:t>
            </w:r>
          </w:p>
        </w:tc>
        <w:tc>
          <w:tcPr>
            <w:tcW w:type="dxa" w:w="91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Size class</w:t>
            </w:r>
          </w:p>
        </w:tc>
      </w:tr>
      <w:tr>
        <w:tc>
          <w:tcPr>
            <w:tcW w:type="dxa" w:w="3928"/>
          </w:tcPr>
          <w:p>
            <w:pPr>
              <w:spacing w:after="0"/>
            </w:pPr>
            <w:r/>
            <w:r>
              <w:rPr>
                <w:sz w:val="16"/>
              </w:rPr>
              <w:t>Coal</w:t>
            </w:r>
          </w:p>
        </w:tc>
        <w:tc>
          <w:tcPr>
            <w:tcW w:type="dxa" w:w="2226"/>
          </w:tcPr>
          <w:p>
            <w:pPr>
              <w:spacing w:after="0"/>
            </w:pPr>
            <w:r/>
            <w:r>
              <w:rPr>
                <w:sz w:val="16"/>
              </w:rPr>
              <w:t>Energy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32.6</w:t>
            </w:r>
          </w:p>
        </w:tc>
        <w:tc>
          <w:tcPr>
            <w:tcW w:type="dxa" w:w="917"/>
          </w:tcPr>
          <w:p>
            <w:pPr>
              <w:spacing w:after="0"/>
            </w:pPr>
            <w:r/>
            <w:r>
              <w:rPr>
                <w:sz w:val="16"/>
              </w:rPr>
              <w:t>Large</w:t>
            </w:r>
          </w:p>
        </w:tc>
      </w:tr>
      <w:tr>
        <w:tc>
          <w:tcPr>
            <w:tcW w:type="dxa" w:w="3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Palm &amp; palm-kernel oil</w:t>
            </w:r>
          </w:p>
        </w:tc>
        <w:tc>
          <w:tcPr>
            <w:tcW w:type="dxa" w:w="22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Plantation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27.2</w:t>
            </w:r>
          </w:p>
        </w:tc>
        <w:tc>
          <w:tcPr>
            <w:tcW w:type="dxa" w:w="9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Large</w:t>
            </w:r>
          </w:p>
        </w:tc>
      </w:tr>
      <w:tr>
        <w:tc>
          <w:tcPr>
            <w:tcW w:type="dxa" w:w="3928"/>
          </w:tcPr>
          <w:p>
            <w:pPr>
              <w:spacing w:after="0"/>
            </w:pPr>
            <w:r/>
            <w:r>
              <w:rPr>
                <w:sz w:val="16"/>
              </w:rPr>
              <w:t>Ferronickel/NPI &amp; nickel matte</w:t>
            </w:r>
          </w:p>
        </w:tc>
        <w:tc>
          <w:tcPr>
            <w:tcW w:type="dxa" w:w="2226"/>
          </w:tcPr>
          <w:p>
            <w:pPr>
              <w:spacing w:after="0"/>
            </w:pPr>
            <w:r/>
            <w:r>
              <w:rPr>
                <w:sz w:val="16"/>
              </w:rPr>
              <w:t>Metals &amp; minerals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19.2</w:t>
            </w:r>
          </w:p>
        </w:tc>
        <w:tc>
          <w:tcPr>
            <w:tcW w:type="dxa" w:w="917"/>
          </w:tcPr>
          <w:p>
            <w:pPr>
              <w:spacing w:after="0"/>
            </w:pPr>
            <w:r/>
            <w:r>
              <w:rPr>
                <w:sz w:val="16"/>
              </w:rPr>
              <w:t>Large</w:t>
            </w:r>
          </w:p>
        </w:tc>
      </w:tr>
      <w:tr>
        <w:tc>
          <w:tcPr>
            <w:tcW w:type="dxa" w:w="3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Stainless steel</w:t>
            </w:r>
          </w:p>
        </w:tc>
        <w:tc>
          <w:tcPr>
            <w:tcW w:type="dxa" w:w="22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Metals &amp; minerals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  <w:tc>
          <w:tcPr>
            <w:tcW w:type="dxa" w:w="9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928"/>
          </w:tcPr>
          <w:p>
            <w:pPr>
              <w:spacing w:after="0"/>
            </w:pPr>
            <w:r/>
            <w:r>
              <w:rPr>
                <w:sz w:val="16"/>
              </w:rPr>
              <w:t>Natural gas (LNG &amp; pipeline)</w:t>
            </w:r>
          </w:p>
        </w:tc>
        <w:tc>
          <w:tcPr>
            <w:tcW w:type="dxa" w:w="2226"/>
          </w:tcPr>
          <w:p>
            <w:pPr>
              <w:spacing w:after="0"/>
            </w:pPr>
            <w:r/>
            <w:r>
              <w:rPr>
                <w:sz w:val="16"/>
              </w:rPr>
              <w:t>Energy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8.5</w:t>
            </w:r>
          </w:p>
        </w:tc>
        <w:tc>
          <w:tcPr>
            <w:tcW w:type="dxa" w:w="917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Copper ore &amp; concentrate</w:t>
            </w:r>
          </w:p>
        </w:tc>
        <w:tc>
          <w:tcPr>
            <w:tcW w:type="dxa" w:w="22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Metals &amp; minerals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7.2</w:t>
            </w:r>
          </w:p>
        </w:tc>
        <w:tc>
          <w:tcPr>
            <w:tcW w:type="dxa" w:w="9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928"/>
          </w:tcPr>
          <w:p>
            <w:pPr>
              <w:spacing w:after="0"/>
            </w:pPr>
            <w:r/>
            <w:r>
              <w:rPr>
                <w:sz w:val="16"/>
              </w:rPr>
              <w:t>Oleochemicals &amp; biodiesel</w:t>
            </w:r>
          </w:p>
        </w:tc>
        <w:tc>
          <w:tcPr>
            <w:tcW w:type="dxa" w:w="2226"/>
          </w:tcPr>
          <w:p>
            <w:pPr>
              <w:spacing w:after="0"/>
            </w:pPr>
            <w:r/>
            <w:r>
              <w:rPr>
                <w:sz w:val="16"/>
              </w:rPr>
              <w:t>Plantation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917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Refined petroleum products</w:t>
            </w:r>
          </w:p>
        </w:tc>
        <w:tc>
          <w:tcPr>
            <w:tcW w:type="dxa" w:w="22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Energy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9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928"/>
          </w:tcPr>
          <w:p>
            <w:pPr>
              <w:spacing w:after="0"/>
            </w:pPr>
            <w:r/>
            <w:r>
              <w:rPr>
                <w:sz w:val="16"/>
              </w:rPr>
              <w:t>Natural rubber</w:t>
            </w:r>
          </w:p>
        </w:tc>
        <w:tc>
          <w:tcPr>
            <w:tcW w:type="dxa" w:w="2226"/>
          </w:tcPr>
          <w:p>
            <w:pPr>
              <w:spacing w:after="0"/>
            </w:pPr>
            <w:r/>
            <w:r>
              <w:rPr>
                <w:sz w:val="16"/>
              </w:rPr>
              <w:t>Plantation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917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Plywood</w:t>
            </w:r>
          </w:p>
        </w:tc>
        <w:tc>
          <w:tcPr>
            <w:tcW w:type="dxa" w:w="22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Forestry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2.0</w:t>
            </w:r>
          </w:p>
        </w:tc>
        <w:tc>
          <w:tcPr>
            <w:tcW w:type="dxa" w:w="9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Small</w:t>
            </w:r>
          </w:p>
        </w:tc>
      </w:tr>
      <w:tr>
        <w:tc>
          <w:tcPr>
            <w:tcW w:type="dxa" w:w="3928"/>
          </w:tcPr>
          <w:p>
            <w:pPr>
              <w:spacing w:after="0"/>
            </w:pPr>
            <w:r/>
            <w:r>
              <w:rPr>
                <w:sz w:val="16"/>
              </w:rPr>
              <w:t>Crude oil</w:t>
            </w:r>
          </w:p>
        </w:tc>
        <w:tc>
          <w:tcPr>
            <w:tcW w:type="dxa" w:w="2226"/>
          </w:tcPr>
          <w:p>
            <w:pPr>
              <w:spacing w:after="0"/>
            </w:pPr>
            <w:r/>
            <w:r>
              <w:rPr>
                <w:sz w:val="16"/>
              </w:rPr>
              <w:t>Energy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2.0</w:t>
            </w:r>
          </w:p>
        </w:tc>
        <w:tc>
          <w:tcPr>
            <w:tcW w:type="dxa" w:w="917"/>
          </w:tcPr>
          <w:p>
            <w:pPr>
              <w:spacing w:after="0"/>
            </w:pPr>
            <w:r/>
            <w:r>
              <w:rPr>
                <w:sz w:val="16"/>
              </w:rPr>
              <w:t>Small</w:t>
            </w:r>
          </w:p>
        </w:tc>
      </w:tr>
      <w:tr>
        <w:tc>
          <w:tcPr>
            <w:tcW w:type="dxa" w:w="3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Tin</w:t>
            </w:r>
          </w:p>
        </w:tc>
        <w:tc>
          <w:tcPr>
            <w:tcW w:type="dxa" w:w="22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Metals &amp; minerals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1.9</w:t>
            </w:r>
          </w:p>
        </w:tc>
        <w:tc>
          <w:tcPr>
            <w:tcW w:type="dxa" w:w="9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Small</w:t>
            </w:r>
          </w:p>
        </w:tc>
      </w:tr>
      <w:tr>
        <w:tc>
          <w:tcPr>
            <w:tcW w:type="dxa" w:w="3928"/>
          </w:tcPr>
          <w:p>
            <w:pPr>
              <w:spacing w:after="0"/>
            </w:pPr>
            <w:r/>
            <w:r>
              <w:rPr>
                <w:sz w:val="16"/>
              </w:rPr>
              <w:t>Refined copper</w:t>
            </w:r>
          </w:p>
        </w:tc>
        <w:tc>
          <w:tcPr>
            <w:tcW w:type="dxa" w:w="2226"/>
          </w:tcPr>
          <w:p>
            <w:pPr>
              <w:spacing w:after="0"/>
            </w:pPr>
            <w:r/>
            <w:r>
              <w:rPr>
                <w:sz w:val="16"/>
              </w:rPr>
              <w:t>Metals &amp; minerals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1.9</w:t>
            </w:r>
          </w:p>
        </w:tc>
        <w:tc>
          <w:tcPr>
            <w:tcW w:type="dxa" w:w="917"/>
          </w:tcPr>
          <w:p>
            <w:pPr>
              <w:spacing w:after="0"/>
            </w:pPr>
            <w:r/>
            <w:r>
              <w:rPr>
                <w:sz w:val="16"/>
              </w:rPr>
              <w:t>Small</w:t>
            </w:r>
          </w:p>
        </w:tc>
      </w:tr>
      <w:tr>
        <w:tc>
          <w:tcPr>
            <w:tcW w:type="dxa" w:w="3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Gold</w:t>
            </w:r>
          </w:p>
        </w:tc>
        <w:tc>
          <w:tcPr>
            <w:tcW w:type="dxa" w:w="22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Metals &amp; minerals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9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Small</w:t>
            </w:r>
          </w:p>
        </w:tc>
      </w:tr>
      <w:tr>
        <w:tc>
          <w:tcPr>
            <w:tcW w:type="dxa" w:w="3928"/>
          </w:tcPr>
          <w:p>
            <w:pPr>
              <w:spacing w:after="0"/>
            </w:pPr>
            <w:r/>
            <w:r>
              <w:rPr>
                <w:sz w:val="16"/>
              </w:rPr>
              <w:t>Bauxite</w:t>
            </w:r>
          </w:p>
        </w:tc>
        <w:tc>
          <w:tcPr>
            <w:tcW w:type="dxa" w:w="2226"/>
          </w:tcPr>
          <w:p>
            <w:pPr>
              <w:spacing w:after="0"/>
            </w:pPr>
            <w:r/>
            <w:r>
              <w:rPr>
                <w:sz w:val="16"/>
              </w:rPr>
              <w:t>Metals &amp; minerals</w:t>
            </w:r>
          </w:p>
        </w:tc>
        <w:tc>
          <w:tcPr>
            <w:tcW w:type="dxa" w:w="2567"/>
          </w:tcPr>
          <w:p>
            <w:pPr>
              <w:spacing w:after="0"/>
            </w:pPr>
            <w:r/>
            <w:r>
              <w:rPr>
                <w:sz w:val="16"/>
              </w:rPr>
              <w:t>0.3</w:t>
            </w:r>
          </w:p>
        </w:tc>
        <w:tc>
          <w:tcPr>
            <w:tcW w:type="dxa" w:w="917"/>
          </w:tcPr>
          <w:p>
            <w:pPr>
              <w:spacing w:after="0"/>
            </w:pPr>
            <w:r/>
            <w:r>
              <w:rPr>
                <w:sz w:val="16"/>
              </w:rPr>
              <w:t>Small</w:t>
            </w:r>
          </w:p>
        </w:tc>
      </w:tr>
      <w:tr>
        <w:tc>
          <w:tcPr>
            <w:tcW w:type="dxa" w:w="39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Nickel ore</w:t>
            </w:r>
          </w:p>
        </w:tc>
        <w:tc>
          <w:tcPr>
            <w:tcW w:type="dxa" w:w="22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Metals &amp; minerals</w:t>
            </w:r>
          </w:p>
        </w:tc>
        <w:tc>
          <w:tcPr>
            <w:tcW w:type="dxa" w:w="256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9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Small</w:t>
            </w:r>
          </w:p>
        </w:tc>
      </w:tr>
    </w:tbl>
    <w:p>
      <w:pPr>
        <w:spacing w:after="40"/>
      </w:pPr>
    </w:p>
    <w:p>
      <w:pPr>
        <w:pStyle w:val="Heading2"/>
      </w:pPr>
      <w:r>
        <w:t>Figure 1.3. Resource exports by processing stage, selected years (% of total)</w:t>
      </w:r>
    </w:p>
    <w:p>
      <w:pPr>
        <w:spacing w:after="60"/>
      </w:pPr>
      <w:r>
        <w:rPr>
          <w:i/>
          <w:color w:val="555555"/>
          <w:sz w:val="16"/>
        </w:rPr>
        <w:t>Labelled values exact; unlabelled thin segments read from the chart (≈). * = estimated year.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0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20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Raw</w:t>
            </w:r>
          </w:p>
        </w:tc>
        <w:tc>
          <w:tcPr>
            <w:tcW w:type="dxa" w:w="294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Semi-processed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Processed</w:t>
            </w:r>
          </w:p>
        </w:tc>
        <w:tc>
          <w:tcPr>
            <w:tcW w:type="dxa" w:w="210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Downstream</w:t>
            </w:r>
          </w:p>
        </w:tc>
      </w:tr>
      <w:tr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2000</w:t>
            </w:r>
          </w:p>
        </w:tc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2942"/>
          </w:tcPr>
          <w:p>
            <w:pPr>
              <w:spacing w:after="0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1892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≈ 1</w:t>
            </w:r>
          </w:p>
        </w:tc>
      </w:tr>
      <w:tr>
        <w:tc>
          <w:tcPr>
            <w:tcW w:type="dxa" w:w="15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2005*</w:t>
            </w:r>
          </w:p>
        </w:tc>
        <w:tc>
          <w:tcPr>
            <w:tcW w:type="dxa" w:w="12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294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18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1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</w:t>
            </w:r>
          </w:p>
        </w:tc>
      </w:tr>
      <w:tr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2011*</w:t>
            </w:r>
          </w:p>
        </w:tc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2942"/>
          </w:tcPr>
          <w:p>
            <w:pPr>
              <w:spacing w:after="0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892"/>
          </w:tcPr>
          <w:p>
            <w:pPr>
              <w:spacing w:after="0"/>
            </w:pPr>
            <w:r/>
            <w:r>
              <w:rPr>
                <w:sz w:val="16"/>
              </w:rPr>
              <w:t>≈ 4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≈ 2</w:t>
            </w:r>
          </w:p>
        </w:tc>
      </w:tr>
      <w:tr>
        <w:tc>
          <w:tcPr>
            <w:tcW w:type="dxa" w:w="15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2016</w:t>
            </w:r>
          </w:p>
        </w:tc>
        <w:tc>
          <w:tcPr>
            <w:tcW w:type="dxa" w:w="12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294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18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4</w:t>
            </w:r>
          </w:p>
        </w:tc>
        <w:tc>
          <w:tcPr>
            <w:tcW w:type="dxa" w:w="21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5</w:t>
            </w:r>
          </w:p>
        </w:tc>
      </w:tr>
      <w:tr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2020</w:t>
            </w:r>
          </w:p>
        </w:tc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2942"/>
          </w:tcPr>
          <w:p>
            <w:pPr>
              <w:spacing w:after="0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1892"/>
          </w:tcPr>
          <w:p>
            <w:pPr>
              <w:spacing w:after="0"/>
            </w:pPr>
            <w:r/>
            <w:r>
              <w:rPr>
                <w:sz w:val="16"/>
              </w:rPr>
              <w:t>≈ 4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</w:tr>
      <w:tr>
        <w:tc>
          <w:tcPr>
            <w:tcW w:type="dxa" w:w="15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2022</w:t>
            </w:r>
          </w:p>
        </w:tc>
        <w:tc>
          <w:tcPr>
            <w:tcW w:type="dxa" w:w="12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294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18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4</w:t>
            </w:r>
          </w:p>
        </w:tc>
        <w:tc>
          <w:tcPr>
            <w:tcW w:type="dxa" w:w="21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</w:tr>
      <w:tr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2942"/>
          </w:tcPr>
          <w:p>
            <w:pPr>
              <w:spacing w:after="0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1892"/>
          </w:tcPr>
          <w:p>
            <w:pPr>
              <w:spacing w:after="0"/>
            </w:pPr>
            <w:r/>
            <w:r>
              <w:rPr>
                <w:sz w:val="16"/>
              </w:rPr>
              <w:t>≈ 4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</w:tr>
    </w:tbl>
    <w:p>
      <w:pPr>
        <w:spacing w:after="40"/>
      </w:pPr>
    </w:p>
    <w:p>
      <w:pPr>
        <w:pStyle w:val="Heading2"/>
      </w:pPr>
      <w:r>
        <w:t>Figure 1.4. Annual change in resource exports vs GDP, 2001–2025</w:t>
      </w:r>
    </w:p>
    <w:p>
      <w:pPr>
        <w:spacing w:after="60"/>
      </w:pPr>
      <w:r>
        <w:rPr>
          <w:i/>
          <w:color w:val="555555"/>
          <w:sz w:val="16"/>
        </w:rPr>
        <w:t>Summary statistics from the chart titles and Section 1.5 (individual scatter points not tabulated).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85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86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Correlation (r)</w:t>
            </w:r>
          </w:p>
        </w:tc>
        <w:tc>
          <w:tcPr>
            <w:tcW w:type="dxa" w:w="492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Slope / note</w:t>
            </w:r>
          </w:p>
        </w:tc>
      </w:tr>
      <w:tr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6"/>
              </w:rPr>
              <w:t>Change in resource exports vs change in US$ GDP</w:t>
            </w:r>
          </w:p>
        </w:tc>
        <w:tc>
          <w:tcPr>
            <w:tcW w:type="dxa" w:w="861"/>
          </w:tcPr>
          <w:p>
            <w:pPr>
              <w:spacing w:after="0"/>
            </w:pPr>
            <w:r/>
            <w:r>
              <w:rPr>
                <w:sz w:val="16"/>
              </w:rPr>
              <w:t>0.63</w:t>
            </w:r>
          </w:p>
        </w:tc>
        <w:tc>
          <w:tcPr>
            <w:tcW w:type="dxa" w:w="4921"/>
          </w:tcPr>
          <w:p>
            <w:pPr>
              <w:spacing w:after="0"/>
            </w:pPr>
            <w:r/>
            <w:r>
              <w:rPr>
                <w:sz w:val="16"/>
              </w:rPr>
              <w:t>+10% exports ≈ +3.1 pp US$ GDP growth</w:t>
            </w:r>
          </w:p>
        </w:tc>
      </w:tr>
      <w:tr>
        <w:tc>
          <w:tcPr>
            <w:tcW w:type="dxa" w:w="38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Change in resource exports vs real GDP growth</w:t>
            </w:r>
          </w:p>
        </w:tc>
        <w:tc>
          <w:tcPr>
            <w:tcW w:type="dxa" w:w="8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0.17</w:t>
            </w:r>
          </w:p>
        </w:tc>
        <w:tc>
          <w:tcPr>
            <w:tcW w:type="dxa" w:w="49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0.20 excluding 2020; real growth ≈ 5%</w:t>
            </w:r>
          </w:p>
        </w:tc>
      </w:tr>
      <w:tr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6"/>
              </w:rPr>
              <w:t>Levels (exports vs GDP)</w:t>
            </w:r>
          </w:p>
        </w:tc>
        <w:tc>
          <w:tcPr>
            <w:tcW w:type="dxa" w:w="861"/>
          </w:tcPr>
          <w:p>
            <w:pPr>
              <w:spacing w:after="0"/>
            </w:pPr>
            <w:r/>
            <w:r>
              <w:rPr>
                <w:sz w:val="16"/>
              </w:rPr>
              <w:t>0.89</w:t>
            </w:r>
          </w:p>
        </w:tc>
        <w:tc>
          <w:tcPr>
            <w:tcW w:type="dxa" w:w="4921"/>
          </w:tcPr>
          <w:p>
            <w:pPr>
              <w:spacing w:after="0"/>
            </w:pPr>
            <w:r/>
            <w:r>
              <w:rPr>
                <w:sz w:val="16"/>
              </w:rPr>
              <w:t>Shared trend; not causal</w:t>
            </w:r>
          </w:p>
        </w:tc>
      </w:tr>
      <w:tr>
        <w:tc>
          <w:tcPr>
            <w:tcW w:type="dxa" w:w="38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Labelled outliers</w:t>
            </w:r>
          </w:p>
        </w:tc>
        <w:tc>
          <w:tcPr>
            <w:tcW w:type="dxa" w:w="8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9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2009, 2010, 2015, 2020, 2021, 2022; real growth 2020 ≈ −2.1%</w:t>
            </w:r>
          </w:p>
        </w:tc>
      </w:tr>
    </w:tbl>
    <w:p>
      <w:pPr>
        <w:spacing w:after="40"/>
      </w:pPr>
    </w:p>
    <w:p>
      <w:pPr>
        <w:pStyle w:val="Heading2"/>
      </w:pPr>
      <w:r>
        <w:t>Figure 1.5. Natural-resource exports as a share of GDP, 2000–2025 (%)</w:t>
      </w:r>
    </w:p>
    <w:p>
      <w:pPr>
        <w:spacing w:after="60"/>
      </w:pPr>
      <w:r>
        <w:rPr>
          <w:i/>
          <w:color w:val="555555"/>
          <w:sz w:val="16"/>
        </w:rPr>
        <w:t>Labelled points exact (L); other years read from the chart (≈).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75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413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% of GDP</w:t>
            </w:r>
          </w:p>
        </w:tc>
        <w:tc>
          <w:tcPr>
            <w:tcW w:type="dxa" w:w="275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Basis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2000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14.2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L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13.0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2002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≈ 11.1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10.8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2004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≈ 12.0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13.8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2006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≈ 13.5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13.6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2008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15.6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L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11.7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2010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≈ 11.3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12.4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2012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≈ 10.7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9.9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2014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≈ 9.4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7.6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2016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L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2017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7.4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2018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≈ 7.8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2019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2020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≈ 6.6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2021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9.3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2022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11.4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L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2023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9.2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4130"/>
          </w:tcPr>
          <w:p>
            <w:pPr>
              <w:spacing w:after="0"/>
            </w:pPr>
            <w:r/>
            <w:r>
              <w:rPr>
                <w:sz w:val="16"/>
              </w:rPr>
              <w:t>≈ 8.6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sz w:val="16"/>
              </w:rPr>
              <w:t>R</w:t>
            </w:r>
          </w:p>
        </w:tc>
      </w:tr>
      <w:tr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41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8.4</w:t>
            </w:r>
          </w:p>
        </w:tc>
        <w:tc>
          <w:tcPr>
            <w:tcW w:type="dxa" w:w="27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</w:t>
            </w:r>
          </w:p>
        </w:tc>
      </w:tr>
    </w:tbl>
    <w:p>
      <w:pPr>
        <w:spacing w:after="40"/>
      </w:pPr>
    </w:p>
    <w:p>
      <w:pPr>
        <w:pStyle w:val="Heading2"/>
      </w:pPr>
      <w:r>
        <w:t>Figure 2.1. DDMF's 40 projects grouped by link to natural-resource wealth (2027–2032)</w:t>
      </w:r>
    </w:p>
    <w:p>
      <w:pPr>
        <w:spacing w:after="60"/>
      </w:pPr>
      <w:r>
        <w:rPr>
          <w:i/>
          <w:color w:val="555555"/>
          <w:sz w:val="16"/>
        </w:rPr>
        <w:t>All values labelled on the chart; RKAP 2026 basis (before the October 2026 update).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485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Group</w:t>
            </w:r>
          </w:p>
        </w:tc>
        <w:tc>
          <w:tcPr>
            <w:tcW w:type="dxa" w:w="214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 (Rp T)</w:t>
            </w:r>
          </w:p>
        </w:tc>
        <w:tc>
          <w:tcPr>
            <w:tcW w:type="dxa" w:w="163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Equity (Rp T)</w:t>
            </w:r>
          </w:p>
        </w:tc>
        <w:tc>
          <w:tcPr>
            <w:tcW w:type="dxa" w:w="100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Projects</w:t>
            </w:r>
          </w:p>
        </w:tc>
      </w:tr>
      <w:tr>
        <w:tc>
          <w:tcPr>
            <w:tcW w:type="dxa" w:w="4855"/>
          </w:tcPr>
          <w:p>
            <w:pPr>
              <w:spacing w:after="0"/>
            </w:pPr>
            <w:r/>
            <w:r>
              <w:rPr>
                <w:sz w:val="16"/>
              </w:rPr>
              <w:t>Resource conversion</w:t>
            </w:r>
          </w:p>
        </w:tc>
        <w:tc>
          <w:tcPr>
            <w:tcW w:type="dxa" w:w="2140"/>
          </w:tcPr>
          <w:p>
            <w:pPr>
              <w:spacing w:after="0"/>
            </w:pPr>
            <w:r/>
            <w:r>
              <w:rPr>
                <w:sz w:val="16"/>
              </w:rPr>
              <w:t>321</w:t>
            </w:r>
          </w:p>
        </w:tc>
        <w:tc>
          <w:tcPr>
            <w:tcW w:type="dxa" w:w="1636"/>
          </w:tcPr>
          <w:p>
            <w:pPr>
              <w:spacing w:after="0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1007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48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Energy transition &amp; FX</w:t>
            </w:r>
          </w:p>
        </w:tc>
        <w:tc>
          <w:tcPr>
            <w:tcW w:type="dxa" w:w="214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240</w:t>
            </w:r>
          </w:p>
        </w:tc>
        <w:tc>
          <w:tcPr>
            <w:tcW w:type="dxa" w:w="163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0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4855"/>
          </w:tcPr>
          <w:p>
            <w:pPr>
              <w:spacing w:after="0"/>
            </w:pPr>
            <w:r/>
            <w:r>
              <w:rPr>
                <w:sz w:val="16"/>
              </w:rPr>
              <w:t>Non-resource industry</w:t>
            </w:r>
          </w:p>
        </w:tc>
        <w:tc>
          <w:tcPr>
            <w:tcW w:type="dxa" w:w="2140"/>
          </w:tcPr>
          <w:p>
            <w:pPr>
              <w:spacing w:after="0"/>
            </w:pPr>
            <w:r/>
            <w:r>
              <w:rPr>
                <w:sz w:val="16"/>
              </w:rPr>
              <w:t>322</w:t>
            </w:r>
          </w:p>
        </w:tc>
        <w:tc>
          <w:tcPr>
            <w:tcW w:type="dxa" w:w="1636"/>
          </w:tcPr>
          <w:p>
            <w:pPr>
              <w:spacing w:after="0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1007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48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Digital &amp; frontier tech</w:t>
            </w:r>
          </w:p>
        </w:tc>
        <w:tc>
          <w:tcPr>
            <w:tcW w:type="dxa" w:w="214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163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0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4855"/>
          </w:tcPr>
          <w:p>
            <w:pPr>
              <w:spacing w:after="0"/>
            </w:pPr>
            <w:r/>
            <w:r>
              <w:rPr>
                <w:sz w:val="16"/>
              </w:rPr>
              <w:t>Public goods &amp; social infra</w:t>
            </w:r>
          </w:p>
        </w:tc>
        <w:tc>
          <w:tcPr>
            <w:tcW w:type="dxa" w:w="2140"/>
          </w:tcPr>
          <w:p>
            <w:pPr>
              <w:spacing w:after="0"/>
            </w:pPr>
            <w:r/>
            <w:r>
              <w:rPr>
                <w:sz w:val="16"/>
              </w:rPr>
              <w:t>997</w:t>
            </w:r>
          </w:p>
        </w:tc>
        <w:tc>
          <w:tcPr>
            <w:tcW w:type="dxa" w:w="1636"/>
          </w:tcPr>
          <w:p>
            <w:pPr>
              <w:spacing w:after="0"/>
            </w:pPr>
            <w:r/>
            <w:r>
              <w:rPr>
                <w:sz w:val="16"/>
              </w:rPr>
              <w:t>209</w:t>
            </w:r>
          </w:p>
        </w:tc>
        <w:tc>
          <w:tcPr>
            <w:tcW w:type="dxa" w:w="1007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48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PPP</w:t>
            </w:r>
          </w:p>
        </w:tc>
        <w:tc>
          <w:tcPr>
            <w:tcW w:type="dxa" w:w="214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183</w:t>
            </w:r>
          </w:p>
        </w:tc>
        <w:tc>
          <w:tcPr>
            <w:tcW w:type="dxa" w:w="163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00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</w:tr>
    </w:tbl>
    <w:p>
      <w:pPr>
        <w:spacing w:after="40"/>
      </w:pPr>
    </w:p>
    <w:p>
      <w:pPr>
        <w:pStyle w:val="Heading2"/>
      </w:pPr>
      <w:r>
        <w:t>Figure 2.2. Investment by segment and cluster (Rp T)</w:t>
      </w:r>
    </w:p>
    <w:p>
      <w:pPr>
        <w:spacing w:after="60"/>
      </w:pPr>
      <w:r>
        <w:rPr>
          <w:i/>
          <w:color w:val="555555"/>
          <w:sz w:val="16"/>
        </w:rPr>
        <w:t>All values labelled on the chart.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66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135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16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 (Rp T)</w:t>
            </w:r>
          </w:p>
        </w:tc>
      </w:tr>
      <w:tr>
        <w:tc>
          <w:tcPr>
            <w:tcW w:type="dxa" w:w="6661"/>
          </w:tcPr>
          <w:p>
            <w:pPr>
              <w:spacing w:after="0"/>
            </w:pPr>
            <w:r/>
            <w:r>
              <w:rPr>
                <w:sz w:val="16"/>
              </w:rPr>
              <w:t>Defence platforms &amp; MRO</w:t>
            </w:r>
          </w:p>
        </w:tc>
        <w:tc>
          <w:tcPr>
            <w:tcW w:type="dxa" w:w="1359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618"/>
          </w:tcPr>
          <w:p>
            <w:pPr>
              <w:spacing w:after="0"/>
            </w:pPr>
            <w:r/>
            <w:r>
              <w:rPr>
                <w:sz w:val="16"/>
              </w:rPr>
              <w:t>2,125</w:t>
            </w:r>
          </w:p>
        </w:tc>
      </w:tr>
      <w:tr>
        <w:tc>
          <w:tcPr>
            <w:tcW w:type="dxa" w:w="66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Giant Sea Wall</w:t>
            </w:r>
          </w:p>
        </w:tc>
        <w:tc>
          <w:tcPr>
            <w:tcW w:type="dxa" w:w="13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6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1,200</w:t>
            </w:r>
          </w:p>
        </w:tc>
      </w:tr>
      <w:tr>
        <w:tc>
          <w:tcPr>
            <w:tcW w:type="dxa" w:w="6661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1359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618"/>
          </w:tcPr>
          <w:p>
            <w:pPr>
              <w:spacing w:after="0"/>
            </w:pPr>
            <w:r/>
            <w:r>
              <w:rPr>
                <w:sz w:val="16"/>
              </w:rPr>
              <w:t>810</w:t>
            </w:r>
          </w:p>
        </w:tc>
      </w:tr>
      <w:tr>
        <w:tc>
          <w:tcPr>
            <w:tcW w:type="dxa" w:w="66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13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6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648</w:t>
            </w:r>
          </w:p>
        </w:tc>
      </w:tr>
      <w:tr>
        <w:tc>
          <w:tcPr>
            <w:tcW w:type="dxa" w:w="6661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1359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618"/>
          </w:tcPr>
          <w:p>
            <w:pPr>
              <w:spacing w:after="0"/>
            </w:pPr>
            <w:r/>
            <w:r>
              <w:rPr>
                <w:sz w:val="16"/>
              </w:rPr>
              <w:t>123</w:t>
            </w:r>
          </w:p>
        </w:tc>
      </w:tr>
      <w:tr>
        <w:tc>
          <w:tcPr>
            <w:tcW w:type="dxa" w:w="66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&amp; maritime industry</w:t>
            </w:r>
          </w:p>
        </w:tc>
        <w:tc>
          <w:tcPr>
            <w:tcW w:type="dxa" w:w="13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6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6661"/>
          </w:tcPr>
          <w:p>
            <w:pPr>
              <w:spacing w:after="0"/>
            </w:pPr>
            <w:r/>
            <w:r>
              <w:rPr>
                <w:sz w:val="16"/>
              </w:rPr>
              <w:t>Digital infrastructure (data centre, AI &amp; IT)</w:t>
            </w:r>
          </w:p>
        </w:tc>
        <w:tc>
          <w:tcPr>
            <w:tcW w:type="dxa" w:w="1359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1618"/>
          </w:tcPr>
          <w:p>
            <w:pPr>
              <w:spacing w:after="0"/>
            </w:pPr>
            <w:r/>
            <w:r>
              <w:rPr>
                <w:sz w:val="16"/>
              </w:rPr>
              <w:t>250</w:t>
            </w:r>
          </w:p>
        </w:tc>
      </w:tr>
      <w:tr>
        <w:tc>
          <w:tcPr>
            <w:tcW w:type="dxa" w:w="66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 park (Tech Corridor)</w:t>
            </w:r>
          </w:p>
        </w:tc>
        <w:tc>
          <w:tcPr>
            <w:tcW w:type="dxa" w:w="13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16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187</w:t>
            </w:r>
          </w:p>
        </w:tc>
      </w:tr>
      <w:tr>
        <w:tc>
          <w:tcPr>
            <w:tcW w:type="dxa" w:w="6661"/>
          </w:tcPr>
          <w:p>
            <w:pPr>
              <w:spacing w:after="0"/>
            </w:pPr>
            <w:r/>
            <w:r>
              <w:rPr>
                <w:sz w:val="16"/>
              </w:rPr>
              <w:t>Deep tech (quantum, semiconductors, space, drone)</w:t>
            </w:r>
          </w:p>
        </w:tc>
        <w:tc>
          <w:tcPr>
            <w:tcW w:type="dxa" w:w="1359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1618"/>
          </w:tcPr>
          <w:p>
            <w:pPr>
              <w:spacing w:after="0"/>
            </w:pPr>
            <w:r/>
            <w:r>
              <w:rPr>
                <w:sz w:val="16"/>
              </w:rPr>
              <w:t>43</w:t>
            </w:r>
          </w:p>
        </w:tc>
      </w:tr>
      <w:tr>
        <w:tc>
          <w:tcPr>
            <w:tcW w:type="dxa" w:w="66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Financial &amp; commercial platforms</w:t>
            </w:r>
          </w:p>
        </w:tc>
        <w:tc>
          <w:tcPr>
            <w:tcW w:type="dxa" w:w="13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Finance</w:t>
            </w:r>
          </w:p>
        </w:tc>
        <w:tc>
          <w:tcPr>
            <w:tcW w:type="dxa" w:w="16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6661"/>
          </w:tcPr>
          <w:p>
            <w:pPr>
              <w:spacing w:after="0"/>
            </w:pPr>
            <w:r/>
            <w:r>
              <w:rPr>
                <w:sz w:val="16"/>
              </w:rPr>
              <w:t>Industry total</w:t>
            </w:r>
          </w:p>
        </w:tc>
        <w:tc>
          <w:tcPr>
            <w:tcW w:type="dxa" w:w="135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18"/>
          </w:tcPr>
          <w:p>
            <w:pPr>
              <w:spacing w:after="0"/>
            </w:pPr>
            <w:r/>
            <w:r>
              <w:rPr>
                <w:sz w:val="16"/>
              </w:rPr>
              <w:t>4,914</w:t>
            </w:r>
          </w:p>
        </w:tc>
      </w:tr>
      <w:tr>
        <w:tc>
          <w:tcPr>
            <w:tcW w:type="dxa" w:w="66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 total</w:t>
            </w:r>
          </w:p>
        </w:tc>
        <w:tc>
          <w:tcPr>
            <w:tcW w:type="dxa" w:w="13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480</w:t>
            </w:r>
          </w:p>
        </w:tc>
      </w:tr>
      <w:tr>
        <w:tc>
          <w:tcPr>
            <w:tcW w:type="dxa" w:w="6661"/>
          </w:tcPr>
          <w:p>
            <w:pPr>
              <w:spacing w:after="0"/>
            </w:pPr>
            <w:r/>
            <w:r>
              <w:rPr>
                <w:sz w:val="16"/>
              </w:rPr>
              <w:t>Finance total</w:t>
            </w:r>
          </w:p>
        </w:tc>
        <w:tc>
          <w:tcPr>
            <w:tcW w:type="dxa" w:w="1359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18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Figure 2.3. Investment by cluster and year, 2027–2040 (Rp T; % of GDP)</w:t>
      </w:r>
    </w:p>
    <w:p>
      <w:pPr>
        <w:spacing w:after="60"/>
      </w:pPr>
      <w:r>
        <w:rPr>
          <w:i/>
          <w:color w:val="555555"/>
          <w:sz w:val="16"/>
        </w:rPr>
        <w:t>Recomputed by spreading each project in Table A.1 evenly over its timeline (C); totals match the chart and Table 8.3. GDP from Rp 23,821 T (2025) at 5% a year.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0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6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Industry</w:t>
            </w:r>
          </w:p>
        </w:tc>
        <w:tc>
          <w:tcPr>
            <w:tcW w:type="dxa" w:w="210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147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Finance</w:t>
            </w:r>
          </w:p>
        </w:tc>
        <w:tc>
          <w:tcPr>
            <w:tcW w:type="dxa" w:w="150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16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% of GDP</w:t>
            </w:r>
          </w:p>
        </w:tc>
      </w:tr>
      <w:tr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486.7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52.2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538.9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2.05</w:t>
            </w:r>
          </w:p>
        </w:tc>
      </w:tr>
      <w:tr>
        <w:tc>
          <w:tcPr>
            <w:tcW w:type="dxa" w:w="12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704.2</w:t>
            </w:r>
          </w:p>
        </w:tc>
        <w:tc>
          <w:tcPr>
            <w:tcW w:type="dxa" w:w="21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99.6</w:t>
            </w:r>
          </w:p>
        </w:tc>
        <w:tc>
          <w:tcPr>
            <w:tcW w:type="dxa" w:w="14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15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804.0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2.92</w:t>
            </w:r>
          </w:p>
        </w:tc>
      </w:tr>
      <w:tr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729.2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99.6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829.0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2.86</w:t>
            </w:r>
          </w:p>
        </w:tc>
      </w:tr>
      <w:tr>
        <w:tc>
          <w:tcPr>
            <w:tcW w:type="dxa" w:w="12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2030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720.9</w:t>
            </w:r>
          </w:p>
        </w:tc>
        <w:tc>
          <w:tcPr>
            <w:tcW w:type="dxa" w:w="21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99.6</w:t>
            </w:r>
          </w:p>
        </w:tc>
        <w:tc>
          <w:tcPr>
            <w:tcW w:type="dxa" w:w="14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15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820.7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2.70</w:t>
            </w:r>
          </w:p>
        </w:tc>
      </w:tr>
      <w:tr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2031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651.5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95.9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747.6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2.34</w:t>
            </w:r>
          </w:p>
        </w:tc>
      </w:tr>
      <w:tr>
        <w:tc>
          <w:tcPr>
            <w:tcW w:type="dxa" w:w="12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2032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404.8</w:t>
            </w:r>
          </w:p>
        </w:tc>
        <w:tc>
          <w:tcPr>
            <w:tcW w:type="dxa" w:w="21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33.3</w:t>
            </w:r>
          </w:p>
        </w:tc>
        <w:tc>
          <w:tcPr>
            <w:tcW w:type="dxa" w:w="14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5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438.1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2033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351.3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351.3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1.00</w:t>
            </w:r>
          </w:p>
        </w:tc>
      </w:tr>
      <w:tr>
        <w:tc>
          <w:tcPr>
            <w:tcW w:type="dxa" w:w="12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2034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351.3</w:t>
            </w:r>
          </w:p>
        </w:tc>
        <w:tc>
          <w:tcPr>
            <w:tcW w:type="dxa" w:w="21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5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351.3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0.95</w:t>
            </w:r>
          </w:p>
        </w:tc>
      </w:tr>
      <w:tr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2035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0.22</w:t>
            </w:r>
          </w:p>
        </w:tc>
      </w:tr>
      <w:tr>
        <w:tc>
          <w:tcPr>
            <w:tcW w:type="dxa" w:w="12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2036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21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5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0.21</w:t>
            </w:r>
          </w:p>
        </w:tc>
      </w:tr>
      <w:tr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2037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0.20</w:t>
            </w:r>
          </w:p>
        </w:tc>
      </w:tr>
      <w:tr>
        <w:tc>
          <w:tcPr>
            <w:tcW w:type="dxa" w:w="12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2038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21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5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0.19</w:t>
            </w:r>
          </w:p>
        </w:tc>
      </w:tr>
      <w:tr>
        <w:tc>
          <w:tcPr>
            <w:tcW w:type="dxa" w:w="1201"/>
          </w:tcPr>
          <w:p>
            <w:pPr>
              <w:spacing w:after="0"/>
            </w:pPr>
            <w:r/>
            <w:r>
              <w:rPr>
                <w:sz w:val="16"/>
              </w:rPr>
              <w:t>2039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501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1681"/>
          </w:tcPr>
          <w:p>
            <w:pPr>
              <w:spacing w:after="0"/>
            </w:pPr>
            <w:r/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2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2040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21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5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16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0.17</w:t>
            </w:r>
          </w:p>
        </w:tc>
      </w:tr>
    </w:tbl>
    <w:p>
      <w:pPr>
        <w:spacing w:after="40"/>
      </w:pPr>
    </w:p>
    <w:p>
      <w:pPr>
        <w:pStyle w:val="Heading2"/>
      </w:pPr>
      <w:r>
        <w:t>Figure 3.1. Illustrative reference-price rule for coal revenue (hypothetical data)</w:t>
      </w:r>
    </w:p>
    <w:p>
      <w:pPr>
        <w:spacing w:after="60"/>
      </w:pPr>
      <w:r>
        <w:rPr>
          <w:i/>
          <w:color w:val="555555"/>
          <w:sz w:val="16"/>
        </w:rPr>
        <w:t>Read from the chart and verified by re-running the stated rule (opening balance 20; 80% of windfall saved; withdrawals capped at 25% of balance). Reference price = 100. Not a forecast.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48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462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Coal price (US$/t) = revenue spent without fund (index)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Budget with fund (index)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Reserve window balance (index)</w:t>
            </w:r>
          </w:p>
        </w:tc>
      </w:tr>
      <w:tr>
        <w:tc>
          <w:tcPr>
            <w:tcW w:type="dxa" w:w="480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4621"/>
          </w:tcPr>
          <w:p>
            <w:pPr>
              <w:spacing w:after="0"/>
            </w:pPr>
            <w:r/>
            <w:r>
              <w:rPr>
                <w:sz w:val="16"/>
              </w:rPr>
              <w:t>95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</w:tr>
      <w:tr>
        <w:tc>
          <w:tcPr>
            <w:tcW w:type="dxa" w:w="4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</w:t>
            </w:r>
          </w:p>
        </w:tc>
        <w:tc>
          <w:tcPr>
            <w:tcW w:type="dxa" w:w="4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20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104</w:t>
            </w:r>
          </w:p>
        </w:tc>
        <w:tc>
          <w:tcPr>
            <w:tcW w:type="dxa" w:w="25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31</w:t>
            </w:r>
          </w:p>
        </w:tc>
      </w:tr>
      <w:tr>
        <w:tc>
          <w:tcPr>
            <w:tcW w:type="dxa" w:w="480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4621"/>
          </w:tcPr>
          <w:p>
            <w:pPr>
              <w:spacing w:after="0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6"/>
              </w:rPr>
              <w:t>110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sz w:val="16"/>
              </w:rPr>
              <w:t>71</w:t>
            </w:r>
          </w:p>
        </w:tc>
      </w:tr>
      <w:tr>
        <w:tc>
          <w:tcPr>
            <w:tcW w:type="dxa" w:w="4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2030</w:t>
            </w:r>
          </w:p>
        </w:tc>
        <w:tc>
          <w:tcPr>
            <w:tcW w:type="dxa" w:w="4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165</w:t>
            </w:r>
          </w:p>
        </w:tc>
        <w:tc>
          <w:tcPr>
            <w:tcW w:type="dxa" w:w="20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113</w:t>
            </w:r>
          </w:p>
        </w:tc>
        <w:tc>
          <w:tcPr>
            <w:tcW w:type="dxa" w:w="25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123</w:t>
            </w:r>
          </w:p>
        </w:tc>
      </w:tr>
      <w:tr>
        <w:tc>
          <w:tcPr>
            <w:tcW w:type="dxa" w:w="480"/>
          </w:tcPr>
          <w:p>
            <w:pPr>
              <w:spacing w:after="0"/>
            </w:pPr>
            <w:r/>
            <w:r>
              <w:rPr>
                <w:sz w:val="16"/>
              </w:rPr>
              <w:t>2031</w:t>
            </w:r>
          </w:p>
        </w:tc>
        <w:tc>
          <w:tcPr>
            <w:tcW w:type="dxa" w:w="4621"/>
          </w:tcPr>
          <w:p>
            <w:pPr>
              <w:spacing w:after="0"/>
            </w:pPr>
            <w:r/>
            <w:r>
              <w:rPr>
                <w:sz w:val="16"/>
              </w:rPr>
              <w:t>130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6"/>
              </w:rPr>
              <w:t>106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sz w:val="16"/>
              </w:rPr>
              <w:t>147</w:t>
            </w:r>
          </w:p>
        </w:tc>
      </w:tr>
      <w:tr>
        <w:tc>
          <w:tcPr>
            <w:tcW w:type="dxa" w:w="4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2032</w:t>
            </w:r>
          </w:p>
        </w:tc>
        <w:tc>
          <w:tcPr>
            <w:tcW w:type="dxa" w:w="4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20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5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137</w:t>
            </w:r>
          </w:p>
        </w:tc>
      </w:tr>
      <w:tr>
        <w:tc>
          <w:tcPr>
            <w:tcW w:type="dxa" w:w="480"/>
          </w:tcPr>
          <w:p>
            <w:pPr>
              <w:spacing w:after="0"/>
            </w:pPr>
            <w:r/>
            <w:r>
              <w:rPr>
                <w:sz w:val="16"/>
              </w:rPr>
              <w:t>2033</w:t>
            </w:r>
          </w:p>
        </w:tc>
        <w:tc>
          <w:tcPr>
            <w:tcW w:type="dxa" w:w="4621"/>
          </w:tcPr>
          <w:p>
            <w:pPr>
              <w:spacing w:after="0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sz w:val="16"/>
              </w:rPr>
              <w:t>107</w:t>
            </w:r>
          </w:p>
        </w:tc>
      </w:tr>
      <w:tr>
        <w:tc>
          <w:tcPr>
            <w:tcW w:type="dxa" w:w="4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2034</w:t>
            </w:r>
          </w:p>
        </w:tc>
        <w:tc>
          <w:tcPr>
            <w:tcW w:type="dxa" w:w="4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75</w:t>
            </w:r>
          </w:p>
        </w:tc>
        <w:tc>
          <w:tcPr>
            <w:tcW w:type="dxa" w:w="20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5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82</w:t>
            </w:r>
          </w:p>
        </w:tc>
      </w:tr>
      <w:tr>
        <w:tc>
          <w:tcPr>
            <w:tcW w:type="dxa" w:w="480"/>
          </w:tcPr>
          <w:p>
            <w:pPr>
              <w:spacing w:after="0"/>
            </w:pPr>
            <w:r/>
            <w:r>
              <w:rPr>
                <w:sz w:val="16"/>
              </w:rPr>
              <w:t>2035</w:t>
            </w:r>
          </w:p>
        </w:tc>
        <w:tc>
          <w:tcPr>
            <w:tcW w:type="dxa" w:w="4621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sz w:val="16"/>
              </w:rPr>
              <w:t>82</w:t>
            </w:r>
          </w:p>
        </w:tc>
      </w:tr>
      <w:tr>
        <w:tc>
          <w:tcPr>
            <w:tcW w:type="dxa" w:w="4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2036</w:t>
            </w:r>
          </w:p>
        </w:tc>
        <w:tc>
          <w:tcPr>
            <w:tcW w:type="dxa" w:w="4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135</w:t>
            </w:r>
          </w:p>
        </w:tc>
        <w:tc>
          <w:tcPr>
            <w:tcW w:type="dxa" w:w="20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107</w:t>
            </w:r>
          </w:p>
        </w:tc>
        <w:tc>
          <w:tcPr>
            <w:tcW w:type="dxa" w:w="25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110</w:t>
            </w:r>
          </w:p>
        </w:tc>
      </w:tr>
      <w:tr>
        <w:tc>
          <w:tcPr>
            <w:tcW w:type="dxa" w:w="480"/>
          </w:tcPr>
          <w:p>
            <w:pPr>
              <w:spacing w:after="0"/>
            </w:pPr>
            <w:r/>
            <w:r>
              <w:rPr>
                <w:sz w:val="16"/>
              </w:rPr>
              <w:t>2037</w:t>
            </w:r>
          </w:p>
        </w:tc>
        <w:tc>
          <w:tcPr>
            <w:tcW w:type="dxa" w:w="4621"/>
          </w:tcPr>
          <w:p>
            <w:pPr>
              <w:spacing w:after="0"/>
            </w:pPr>
            <w:r/>
            <w:r>
              <w:rPr>
                <w:sz w:val="16"/>
              </w:rPr>
              <w:t>110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6"/>
              </w:rPr>
              <w:t>102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sz w:val="16"/>
              </w:rPr>
              <w:t>118</w:t>
            </w:r>
          </w:p>
        </w:tc>
      </w:tr>
      <w:tr>
        <w:tc>
          <w:tcPr>
            <w:tcW w:type="dxa" w:w="4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2038</w:t>
            </w:r>
          </w:p>
        </w:tc>
        <w:tc>
          <w:tcPr>
            <w:tcW w:type="dxa" w:w="4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20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5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103</w:t>
            </w:r>
          </w:p>
        </w:tc>
      </w:tr>
    </w:tbl>
    <w:p>
      <w:pPr>
        <w:spacing w:after="40"/>
      </w:pPr>
    </w:p>
    <w:p>
      <w:pPr>
        <w:pStyle w:val="Heading2"/>
      </w:pPr>
      <w:r>
        <w:t>Figure 5.1. Withdrawal ceiling set by rule vs recent practice (% of fund value per year)</w:t>
      </w:r>
    </w:p>
    <w:p>
      <w:pPr>
        <w:spacing w:after="60"/>
      </w:pPr>
      <w:r>
        <w:rPr>
          <w:i/>
          <w:color w:val="555555"/>
          <w:sz w:val="16"/>
        </w:rPr>
        <w:t>All values labelled on the chart.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81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Fund</w:t>
            </w:r>
          </w:p>
        </w:tc>
        <w:tc>
          <w:tcPr>
            <w:tcW w:type="dxa" w:w="292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Ceiling set by rule (%)</w:t>
            </w:r>
          </w:p>
        </w:tc>
        <w:tc>
          <w:tcPr>
            <w:tcW w:type="dxa" w:w="290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Recent practice (%)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/>
            <w:r>
              <w:rPr>
                <w:sz w:val="16"/>
              </w:rPr>
              <w:t>Norway (2026 budget)</w:t>
            </w:r>
          </w:p>
        </w:tc>
        <w:tc>
          <w:tcPr>
            <w:tcW w:type="dxa" w:w="2922"/>
          </w:tcPr>
          <w:p>
            <w:pPr>
              <w:spacing w:after="0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2904"/>
          </w:tcPr>
          <w:p>
            <w:pPr>
              <w:spacing w:after="0"/>
            </w:pPr>
            <w:r/>
            <w:r>
              <w:rPr>
                <w:sz w:val="16"/>
              </w:rPr>
              <w:t>2.8</w:t>
            </w:r>
          </w:p>
        </w:tc>
      </w:tr>
      <w:tr>
        <w:tc>
          <w:tcPr>
            <w:tcW w:type="dxa" w:w="381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Alaska (POMV draw)</w:t>
            </w:r>
          </w:p>
        </w:tc>
        <w:tc>
          <w:tcPr>
            <w:tcW w:type="dxa" w:w="29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5.0</w:t>
            </w:r>
          </w:p>
        </w:tc>
        <w:tc>
          <w:tcPr>
            <w:tcW w:type="dxa" w:w="29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5.0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/>
            <w:r>
              <w:rPr>
                <w:sz w:val="16"/>
              </w:rPr>
              <w:t>Timor-Leste (average)</w:t>
            </w:r>
          </w:p>
        </w:tc>
        <w:tc>
          <w:tcPr>
            <w:tcW w:type="dxa" w:w="2922"/>
          </w:tcPr>
          <w:p>
            <w:pPr>
              <w:spacing w:after="0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2904"/>
          </w:tcPr>
          <w:p>
            <w:pPr>
              <w:spacing w:after="0"/>
            </w:pPr>
            <w:r/>
            <w:r>
              <w:rPr>
                <w:sz w:val="16"/>
              </w:rPr>
              <w:t>5.0 (above rule)</w:t>
            </w:r>
          </w:p>
        </w:tc>
      </w:tr>
    </w:tbl>
    <w:p>
      <w:pPr>
        <w:spacing w:after="40"/>
      </w:pPr>
    </w:p>
    <w:p>
      <w:pPr>
        <w:pStyle w:val="Heading2"/>
      </w:pPr>
      <w:r>
        <w:t>Figure 5.2. Timeline of stabilisation and savings institutions, 1953–2026</w:t>
      </w:r>
    </w:p>
    <w:p>
      <w:pPr>
        <w:spacing w:after="60"/>
      </w:pPr>
      <w:r>
        <w:rPr>
          <w:i/>
          <w:color w:val="555555"/>
          <w:sz w:val="16"/>
        </w:rPr>
        <w:t>Key dated events as given in Chapters 3–5.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9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814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Event</w:t>
            </w:r>
          </w:p>
        </w:tc>
      </w:tr>
      <w:tr>
        <w:tc>
          <w:tcPr>
            <w:tcW w:type="dxa" w:w="1493"/>
          </w:tcPr>
          <w:p>
            <w:pPr>
              <w:spacing w:after="0"/>
            </w:pPr>
            <w:r/>
            <w:r>
              <w:rPr>
                <w:sz w:val="16"/>
              </w:rPr>
              <w:t>1953</w:t>
            </w:r>
          </w:p>
        </w:tc>
        <w:tc>
          <w:tcPr>
            <w:tcW w:type="dxa" w:w="8145"/>
          </w:tcPr>
          <w:p>
            <w:pPr>
              <w:spacing w:after="0"/>
            </w:pPr>
            <w:r/>
            <w:r>
              <w:rPr>
                <w:sz w:val="16"/>
              </w:rPr>
              <w:t>Kuwait: first sovereign fund</w:t>
            </w:r>
          </w:p>
        </w:tc>
      </w:tr>
      <w:tr>
        <w:tc>
          <w:tcPr>
            <w:tcW w:type="dxa" w:w="1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1976</w:t>
            </w:r>
          </w:p>
        </w:tc>
        <w:tc>
          <w:tcPr>
            <w:tcW w:type="dxa" w:w="81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Alaska Permanent Fund (constitutional); Kuwait FGF law</w:t>
            </w:r>
          </w:p>
        </w:tc>
      </w:tr>
      <w:tr>
        <w:tc>
          <w:tcPr>
            <w:tcW w:type="dxa" w:w="1493"/>
          </w:tcPr>
          <w:p>
            <w:pPr>
              <w:spacing w:after="0"/>
            </w:pPr>
            <w:r/>
            <w:r>
              <w:rPr>
                <w:sz w:val="16"/>
              </w:rPr>
              <w:t>1985</w:t>
            </w:r>
          </w:p>
        </w:tc>
        <w:tc>
          <w:tcPr>
            <w:tcW w:type="dxa" w:w="8145"/>
          </w:tcPr>
          <w:p>
            <w:pPr>
              <w:spacing w:after="0"/>
            </w:pPr>
            <w:r/>
            <w:r>
              <w:rPr>
                <w:sz w:val="16"/>
              </w:rPr>
              <w:t>Chile Copper Stabilization Fund</w:t>
            </w:r>
          </w:p>
        </w:tc>
      </w:tr>
      <w:tr>
        <w:tc>
          <w:tcPr>
            <w:tcW w:type="dxa" w:w="1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1990 / 1996</w:t>
            </w:r>
          </w:p>
        </w:tc>
        <w:tc>
          <w:tcPr>
            <w:tcW w:type="dxa" w:w="81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Norway Petroleum Fund established / first transfer</w:t>
            </w:r>
          </w:p>
        </w:tc>
      </w:tr>
      <w:tr>
        <w:tc>
          <w:tcPr>
            <w:tcW w:type="dxa" w:w="1493"/>
          </w:tcPr>
          <w:p>
            <w:pPr>
              <w:spacing w:after="0"/>
            </w:pPr>
            <w:r/>
            <w:r>
              <w:rPr>
                <w:sz w:val="16"/>
              </w:rPr>
              <w:t>2001</w:t>
            </w:r>
          </w:p>
        </w:tc>
        <w:tc>
          <w:tcPr>
            <w:tcW w:type="dxa" w:w="8145"/>
          </w:tcPr>
          <w:p>
            <w:pPr>
              <w:spacing w:after="0"/>
            </w:pPr>
            <w:r/>
            <w:r>
              <w:rPr>
                <w:sz w:val="16"/>
              </w:rPr>
              <w:t>Chile structural balance rule; Norway fiscal rule (4%)</w:t>
            </w:r>
          </w:p>
        </w:tc>
      </w:tr>
      <w:tr>
        <w:tc>
          <w:tcPr>
            <w:tcW w:type="dxa" w:w="1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2005</w:t>
            </w:r>
          </w:p>
        </w:tc>
        <w:tc>
          <w:tcPr>
            <w:tcW w:type="dxa" w:w="81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Timor-Leste Petroleum Fund Law</w:t>
            </w:r>
          </w:p>
        </w:tc>
      </w:tr>
      <w:tr>
        <w:tc>
          <w:tcPr>
            <w:tcW w:type="dxa" w:w="1493"/>
          </w:tcPr>
          <w:p>
            <w:pPr>
              <w:spacing w:after="0"/>
            </w:pPr>
            <w:r/>
            <w:r>
              <w:rPr>
                <w:sz w:val="16"/>
              </w:rPr>
              <w:t>2006</w:t>
            </w:r>
          </w:p>
        </w:tc>
        <w:tc>
          <w:tcPr>
            <w:tcW w:type="dxa" w:w="8145"/>
          </w:tcPr>
          <w:p>
            <w:pPr>
              <w:spacing w:after="0"/>
            </w:pPr>
            <w:r/>
            <w:r>
              <w:rPr>
                <w:sz w:val="16"/>
              </w:rPr>
              <w:t>Chile Fiscal Responsibility Law (ESSF); Norway fund renamed GPFG</w:t>
            </w:r>
          </w:p>
        </w:tc>
      </w:tr>
      <w:tr>
        <w:tc>
          <w:tcPr>
            <w:tcW w:type="dxa" w:w="1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2008</w:t>
            </w:r>
          </w:p>
        </w:tc>
        <w:tc>
          <w:tcPr>
            <w:tcW w:type="dxa" w:w="81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Brazil Sovereign Fund</w:t>
            </w:r>
          </w:p>
        </w:tc>
      </w:tr>
      <w:tr>
        <w:tc>
          <w:tcPr>
            <w:tcW w:type="dxa" w:w="1493"/>
          </w:tcPr>
          <w:p>
            <w:pPr>
              <w:spacing w:after="0"/>
            </w:pPr>
            <w:r/>
            <w:r>
              <w:rPr>
                <w:sz w:val="16"/>
              </w:rPr>
              <w:t>2009</w:t>
            </w:r>
          </w:p>
        </w:tc>
        <w:tc>
          <w:tcPr>
            <w:tcW w:type="dxa" w:w="8145"/>
          </w:tcPr>
          <w:p>
            <w:pPr>
              <w:spacing w:after="0"/>
            </w:pPr>
            <w:r/>
            <w:r>
              <w:rPr>
                <w:sz w:val="16"/>
              </w:rPr>
              <w:t>Timor-Leste withdrawals exceed ESI (almost every year since)</w:t>
            </w:r>
          </w:p>
        </w:tc>
      </w:tr>
      <w:tr>
        <w:tc>
          <w:tcPr>
            <w:tcW w:type="dxa" w:w="1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2013–2014</w:t>
            </w:r>
          </w:p>
        </w:tc>
        <w:tc>
          <w:tcPr>
            <w:tcW w:type="dxa" w:w="81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Mexico energy reform: FMP</w:t>
            </w:r>
          </w:p>
        </w:tc>
      </w:tr>
      <w:tr>
        <w:tc>
          <w:tcPr>
            <w:tcW w:type="dxa" w:w="1493"/>
          </w:tcPr>
          <w:p>
            <w:pPr>
              <w:spacing w:after="0"/>
            </w:pPr>
            <w:r/>
            <w:r>
              <w:rPr>
                <w:sz w:val="16"/>
              </w:rPr>
              <w:t>2016</w:t>
            </w:r>
          </w:p>
        </w:tc>
        <w:tc>
          <w:tcPr>
            <w:tcW w:type="dxa" w:w="8145"/>
          </w:tcPr>
          <w:p>
            <w:pPr>
              <w:spacing w:after="0"/>
            </w:pPr>
            <w:r/>
            <w:r>
              <w:rPr>
                <w:sz w:val="16"/>
              </w:rPr>
              <w:t>Brazil spending cap; Alaska dividend veto</w:t>
            </w:r>
          </w:p>
        </w:tc>
      </w:tr>
      <w:tr>
        <w:tc>
          <w:tcPr>
            <w:tcW w:type="dxa" w:w="1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2017</w:t>
            </w:r>
          </w:p>
        </w:tc>
        <w:tc>
          <w:tcPr>
            <w:tcW w:type="dxa" w:w="81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Norway rule lowered to 3%</w:t>
            </w:r>
          </w:p>
        </w:tc>
      </w:tr>
      <w:tr>
        <w:tc>
          <w:tcPr>
            <w:tcW w:type="dxa" w:w="1493"/>
          </w:tcPr>
          <w:p>
            <w:pPr>
              <w:spacing w:after="0"/>
            </w:pPr>
            <w:r/>
            <w:r>
              <w:rPr>
                <w:sz w:val="16"/>
              </w:rPr>
              <w:t>2018</w:t>
            </w:r>
          </w:p>
        </w:tc>
        <w:tc>
          <w:tcPr>
            <w:tcW w:type="dxa" w:w="8145"/>
          </w:tcPr>
          <w:p>
            <w:pPr>
              <w:spacing w:after="0"/>
            </w:pPr>
            <w:r/>
            <w:r>
              <w:rPr>
                <w:sz w:val="16"/>
              </w:rPr>
              <w:t>Brazil fund wound down; Alaska 5% POMV draw</w:t>
            </w:r>
          </w:p>
        </w:tc>
      </w:tr>
      <w:tr>
        <w:tc>
          <w:tcPr>
            <w:tcW w:type="dxa" w:w="1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2019</w:t>
            </w:r>
          </w:p>
        </w:tc>
        <w:tc>
          <w:tcPr>
            <w:tcW w:type="dxa" w:w="81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Chile Autonomous Fiscal Council</w:t>
            </w:r>
          </w:p>
        </w:tc>
      </w:tr>
      <w:tr>
        <w:tc>
          <w:tcPr>
            <w:tcW w:type="dxa" w:w="1493"/>
          </w:tcPr>
          <w:p>
            <w:pPr>
              <w:spacing w:after="0"/>
            </w:pPr>
            <w:r/>
            <w:r>
              <w:rPr>
                <w:sz w:val="16"/>
              </w:rPr>
              <w:t>2019–2021</w:t>
            </w:r>
          </w:p>
        </w:tc>
        <w:tc>
          <w:tcPr>
            <w:tcW w:type="dxa" w:w="8145"/>
          </w:tcPr>
          <w:p>
            <w:pPr>
              <w:spacing w:after="0"/>
            </w:pPr>
            <w:r/>
            <w:r>
              <w:rPr>
                <w:sz w:val="16"/>
              </w:rPr>
              <w:t>Mexico FEIP drawdowns</w:t>
            </w:r>
          </w:p>
        </w:tc>
      </w:tr>
      <w:tr>
        <w:tc>
          <w:tcPr>
            <w:tcW w:type="dxa" w:w="1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2020</w:t>
            </w:r>
          </w:p>
        </w:tc>
        <w:tc>
          <w:tcPr>
            <w:tcW w:type="dxa" w:w="81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Kuwait FGF transfer made conditional</w:t>
            </w:r>
          </w:p>
        </w:tc>
      </w:tr>
      <w:tr>
        <w:tc>
          <w:tcPr>
            <w:tcW w:type="dxa" w:w="1493"/>
          </w:tcPr>
          <w:p>
            <w:pPr>
              <w:spacing w:after="0"/>
            </w:pPr>
            <w:r/>
            <w:r>
              <w:rPr>
                <w:sz w:val="16"/>
              </w:rPr>
              <w:t>2023</w:t>
            </w:r>
          </w:p>
        </w:tc>
        <w:tc>
          <w:tcPr>
            <w:tcW w:type="dxa" w:w="8145"/>
          </w:tcPr>
          <w:p>
            <w:pPr>
              <w:spacing w:after="0"/>
            </w:pPr>
            <w:r/>
            <w:r>
              <w:rPr>
                <w:sz w:val="16"/>
              </w:rPr>
              <w:t>Brazil new fiscal framework; Indonesia PP 36/2023</w:t>
            </w:r>
          </w:p>
        </w:tc>
      </w:tr>
      <w:tr>
        <w:tc>
          <w:tcPr>
            <w:tcW w:type="dxa" w:w="1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81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Indonesia PP 8/2025</w:t>
            </w:r>
          </w:p>
        </w:tc>
      </w:tr>
      <w:tr>
        <w:tc>
          <w:tcPr>
            <w:tcW w:type="dxa" w:w="1493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8145"/>
          </w:tcPr>
          <w:p>
            <w:pPr>
              <w:spacing w:after="0"/>
            </w:pPr>
            <w:r/>
            <w:r>
              <w:rPr>
                <w:sz w:val="16"/>
              </w:rPr>
              <w:t>Kuwait Decree-Law 81/2026; Indonesia PP 21/2026</w:t>
            </w:r>
          </w:p>
        </w:tc>
      </w:tr>
    </w:tbl>
    <w:p>
      <w:pPr>
        <w:spacing w:after="40"/>
      </w:pPr>
    </w:p>
    <w:p>
      <w:pPr>
        <w:pStyle w:val="Heading2"/>
      </w:pPr>
      <w:r>
        <w:t>Figure 7.2. Funding sources of alutsista modernisation, 2026 Kemhan budget (Rp T)</w:t>
      </w:r>
    </w:p>
    <w:p>
      <w:pPr>
        <w:spacing w:after="60"/>
      </w:pPr>
      <w:r>
        <w:rPr>
          <w:i/>
          <w:color w:val="555555"/>
          <w:sz w:val="16"/>
        </w:rPr>
        <w:t>All values labelled on the chart; total Rp 84.5 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0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00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Rp T</w:t>
            </w:r>
          </w:p>
        </w:tc>
        <w:tc>
          <w:tcPr>
            <w:tcW w:type="dxa" w:w="160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Share</w:t>
            </w:r>
          </w:p>
        </w:tc>
      </w:tr>
      <w:tr>
        <w:tc>
          <w:tcPr>
            <w:tcW w:type="dxa" w:w="6024"/>
          </w:tcPr>
          <w:p>
            <w:pPr>
              <w:spacing w:after="0"/>
            </w:pPr>
            <w:r/>
            <w:r>
              <w:rPr>
                <w:sz w:val="16"/>
              </w:rPr>
              <w:t>Foreign loans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46.5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6"/>
              </w:rPr>
              <w:t>55%</w:t>
            </w:r>
          </w:p>
        </w:tc>
      </w:tr>
      <w:tr>
        <w:tc>
          <w:tcPr>
            <w:tcW w:type="dxa" w:w="60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Domestic rupiah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33.44</w:t>
            </w:r>
          </w:p>
        </w:tc>
        <w:tc>
          <w:tcPr>
            <w:tcW w:type="dxa" w:w="16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40%</w:t>
            </w:r>
          </w:p>
        </w:tc>
      </w:tr>
      <w:tr>
        <w:tc>
          <w:tcPr>
            <w:tcW w:type="dxa" w:w="6024"/>
          </w:tcPr>
          <w:p>
            <w:pPr>
              <w:spacing w:after="0"/>
            </w:pPr>
            <w:r/>
            <w:r>
              <w:rPr>
                <w:sz w:val="16"/>
              </w:rPr>
              <w:t>Domestic loans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3.69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6"/>
              </w:rPr>
              <w:t>4%</w:t>
            </w:r>
          </w:p>
        </w:tc>
      </w:tr>
      <w:tr>
        <w:tc>
          <w:tcPr>
            <w:tcW w:type="dxa" w:w="60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Sukuk (SBSN)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0.8</w:t>
            </w:r>
          </w:p>
        </w:tc>
        <w:tc>
          <w:tcPr>
            <w:tcW w:type="dxa" w:w="16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1%</w:t>
            </w:r>
          </w:p>
        </w:tc>
      </w:tr>
      <w:tr>
        <w:tc>
          <w:tcPr>
            <w:tcW w:type="dxa" w:w="6024"/>
          </w:tcPr>
          <w:p>
            <w:pPr>
              <w:spacing w:after="0"/>
            </w:pPr>
            <w:r/>
            <w:r>
              <w:rPr>
                <w:sz w:val="16"/>
              </w:rPr>
              <w:t>PNBP</w:t>
            </w:r>
          </w:p>
        </w:tc>
        <w:tc>
          <w:tcPr>
            <w:tcW w:type="dxa" w:w="2008"/>
          </w:tcPr>
          <w:p>
            <w:pPr>
              <w:spacing w:after="0"/>
            </w:pPr>
            <w:r/>
            <w:r>
              <w:rPr>
                <w:sz w:val="16"/>
              </w:rPr>
              <w:t>0.06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6"/>
              </w:rPr>
              <w:t>0%</w:t>
            </w:r>
          </w:p>
        </w:tc>
      </w:tr>
      <w:tr>
        <w:tc>
          <w:tcPr>
            <w:tcW w:type="dxa" w:w="6024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2008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84.5</w:t>
            </w:r>
          </w:p>
        </w:tc>
        <w:tc>
          <w:tcPr>
            <w:tcW w:type="dxa" w:w="1606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</w:pPr>
      <w:r>
        <w:t>Figure 8.1. GDP level effect by cluster, 2027–2045 (% of GDP)</w:t>
      </w:r>
    </w:p>
    <w:p>
      <w:pPr>
        <w:spacing w:after="60"/>
      </w:pPr>
      <w:r>
        <w:rPr>
          <w:i/>
          <w:color w:val="555555"/>
          <w:sz w:val="16"/>
        </w:rPr>
        <w:t>Totals and enhanced-efficiency values without ≈ are from Table 8.3; others and the Industry split are read from the chart (≈). Technology ≈ total − Industry; Finance ≈ 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7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56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Industry (≈)</w:t>
            </w:r>
          </w:p>
        </w:tc>
        <w:tc>
          <w:tcPr>
            <w:tcW w:type="dxa" w:w="183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Technology (≈)</w:t>
            </w:r>
          </w:p>
        </w:tc>
        <w:tc>
          <w:tcPr>
            <w:tcW w:type="dxa" w:w="209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Total, base case</w:t>
            </w:r>
          </w:p>
        </w:tc>
        <w:tc>
          <w:tcPr>
            <w:tcW w:type="dxa" w:w="339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Total, enhanced efficiency</w:t>
            </w:r>
          </w:p>
        </w:tc>
      </w:tr>
      <w:tr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≈ 0.72</w:t>
            </w:r>
          </w:p>
        </w:tc>
        <w:tc>
          <w:tcPr>
            <w:tcW w:type="dxa" w:w="1830"/>
          </w:tcPr>
          <w:p>
            <w:pPr>
              <w:spacing w:after="0"/>
            </w:pPr>
            <w:r/>
            <w:r>
              <w:rPr>
                <w:sz w:val="16"/>
              </w:rPr>
              <w:t>≈ 0.05</w:t>
            </w:r>
          </w:p>
        </w:tc>
        <w:tc>
          <w:tcPr>
            <w:tcW w:type="dxa" w:w="2092"/>
          </w:tcPr>
          <w:p>
            <w:pPr>
              <w:spacing w:after="0"/>
            </w:pPr>
            <w:r/>
            <w:r>
              <w:rPr>
                <w:sz w:val="16"/>
              </w:rPr>
              <w:t>0.77</w:t>
            </w:r>
          </w:p>
        </w:tc>
        <w:tc>
          <w:tcPr>
            <w:tcW w:type="dxa" w:w="3399"/>
          </w:tcPr>
          <w:p>
            <w:pPr>
              <w:spacing w:after="0"/>
            </w:pPr>
            <w:r/>
            <w:r>
              <w:rPr>
                <w:sz w:val="16"/>
              </w:rPr>
              <w:t>1.01</w:t>
            </w:r>
          </w:p>
        </w:tc>
      </w:tr>
      <w:tr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1.32</w:t>
            </w:r>
          </w:p>
        </w:tc>
        <w:tc>
          <w:tcPr>
            <w:tcW w:type="dxa" w:w="18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0.16</w:t>
            </w:r>
          </w:p>
        </w:tc>
        <w:tc>
          <w:tcPr>
            <w:tcW w:type="dxa" w:w="20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1.48</w:t>
            </w:r>
          </w:p>
        </w:tc>
        <w:tc>
          <w:tcPr>
            <w:tcW w:type="dxa" w:w="33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≈ 1.65</w:t>
            </w:r>
          </w:p>
        </w:tc>
        <w:tc>
          <w:tcPr>
            <w:tcW w:type="dxa" w:w="1830"/>
          </w:tcPr>
          <w:p>
            <w:pPr>
              <w:spacing w:after="0"/>
            </w:pPr>
            <w:r/>
            <w:r>
              <w:rPr>
                <w:sz w:val="16"/>
              </w:rPr>
              <w:t>≈ 0.20</w:t>
            </w:r>
          </w:p>
        </w:tc>
        <w:tc>
          <w:tcPr>
            <w:tcW w:type="dxa" w:w="2092"/>
          </w:tcPr>
          <w:p>
            <w:pPr>
              <w:spacing w:after="0"/>
            </w:pPr>
            <w:r/>
            <w:r>
              <w:rPr>
                <w:sz w:val="16"/>
              </w:rPr>
              <w:t>1.85</w:t>
            </w:r>
          </w:p>
        </w:tc>
        <w:tc>
          <w:tcPr>
            <w:tcW w:type="dxa" w:w="3399"/>
          </w:tcPr>
          <w:p>
            <w:pPr>
              <w:spacing w:after="0"/>
            </w:pPr>
            <w:r/>
            <w:r>
              <w:rPr>
                <w:sz w:val="16"/>
              </w:rPr>
              <w:t>2.40</w:t>
            </w:r>
          </w:p>
        </w:tc>
      </w:tr>
      <w:tr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2030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1.90</w:t>
            </w:r>
          </w:p>
        </w:tc>
        <w:tc>
          <w:tcPr>
            <w:tcW w:type="dxa" w:w="18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0.24</w:t>
            </w:r>
          </w:p>
        </w:tc>
        <w:tc>
          <w:tcPr>
            <w:tcW w:type="dxa" w:w="20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2.14</w:t>
            </w:r>
          </w:p>
        </w:tc>
        <w:tc>
          <w:tcPr>
            <w:tcW w:type="dxa" w:w="33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2.78</w:t>
            </w:r>
          </w:p>
        </w:tc>
      </w:tr>
      <w:tr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2031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≈ 1.94</w:t>
            </w:r>
          </w:p>
        </w:tc>
        <w:tc>
          <w:tcPr>
            <w:tcW w:type="dxa" w:w="1830"/>
          </w:tcPr>
          <w:p>
            <w:pPr>
              <w:spacing w:after="0"/>
            </w:pPr>
            <w:r/>
            <w:r>
              <w:rPr>
                <w:sz w:val="16"/>
              </w:rPr>
              <w:t>≈ 0.26</w:t>
            </w:r>
          </w:p>
        </w:tc>
        <w:tc>
          <w:tcPr>
            <w:tcW w:type="dxa" w:w="2092"/>
          </w:tcPr>
          <w:p>
            <w:pPr>
              <w:spacing w:after="0"/>
            </w:pPr>
            <w:r/>
            <w:r>
              <w:rPr>
                <w:sz w:val="16"/>
              </w:rPr>
              <w:t>2.20</w:t>
            </w:r>
          </w:p>
        </w:tc>
        <w:tc>
          <w:tcPr>
            <w:tcW w:type="dxa" w:w="3399"/>
          </w:tcPr>
          <w:p>
            <w:pPr>
              <w:spacing w:after="0"/>
            </w:pPr>
            <w:r/>
            <w:r>
              <w:rPr>
                <w:sz w:val="16"/>
              </w:rPr>
              <w:t>2.86</w:t>
            </w:r>
          </w:p>
        </w:tc>
      </w:tr>
      <w:tr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2032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1.12</w:t>
            </w:r>
          </w:p>
        </w:tc>
        <w:tc>
          <w:tcPr>
            <w:tcW w:type="dxa" w:w="18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0.19</w:t>
            </w:r>
          </w:p>
        </w:tc>
        <w:tc>
          <w:tcPr>
            <w:tcW w:type="dxa" w:w="20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1.31</w:t>
            </w:r>
          </w:p>
        </w:tc>
        <w:tc>
          <w:tcPr>
            <w:tcW w:type="dxa" w:w="33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1.71</w:t>
            </w:r>
          </w:p>
        </w:tc>
      </w:tr>
      <w:tr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2033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≈ 0.90</w:t>
            </w:r>
          </w:p>
        </w:tc>
        <w:tc>
          <w:tcPr>
            <w:tcW w:type="dxa" w:w="1830"/>
          </w:tcPr>
          <w:p>
            <w:pPr>
              <w:spacing w:after="0"/>
            </w:pPr>
            <w:r/>
            <w:r>
              <w:rPr>
                <w:sz w:val="16"/>
              </w:rPr>
              <w:t>≈ 0.19</w:t>
            </w:r>
          </w:p>
        </w:tc>
        <w:tc>
          <w:tcPr>
            <w:tcW w:type="dxa" w:w="2092"/>
          </w:tcPr>
          <w:p>
            <w:pPr>
              <w:spacing w:after="0"/>
            </w:pPr>
            <w:r/>
            <w:r>
              <w:rPr>
                <w:sz w:val="16"/>
              </w:rPr>
              <w:t>1.09</w:t>
            </w:r>
          </w:p>
        </w:tc>
        <w:tc>
          <w:tcPr>
            <w:tcW w:type="dxa" w:w="3399"/>
          </w:tcPr>
          <w:p>
            <w:pPr>
              <w:spacing w:after="0"/>
            </w:pPr>
            <w:r/>
            <w:r>
              <w:rPr>
                <w:sz w:val="16"/>
              </w:rPr>
              <w:t>1.42</w:t>
            </w:r>
          </w:p>
        </w:tc>
      </w:tr>
      <w:tr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2034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0.90</w:t>
            </w:r>
          </w:p>
        </w:tc>
        <w:tc>
          <w:tcPr>
            <w:tcW w:type="dxa" w:w="18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0.18</w:t>
            </w:r>
          </w:p>
        </w:tc>
        <w:tc>
          <w:tcPr>
            <w:tcW w:type="dxa" w:w="20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1.08</w:t>
            </w:r>
          </w:p>
        </w:tc>
        <w:tc>
          <w:tcPr>
            <w:tcW w:type="dxa" w:w="33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2035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≈ 0.90</w:t>
            </w:r>
          </w:p>
        </w:tc>
        <w:tc>
          <w:tcPr>
            <w:tcW w:type="dxa" w:w="1830"/>
          </w:tcPr>
          <w:p>
            <w:pPr>
              <w:spacing w:after="0"/>
            </w:pPr>
            <w:r/>
            <w:r>
              <w:rPr>
                <w:sz w:val="16"/>
              </w:rPr>
              <w:t>≈ 0.17</w:t>
            </w:r>
          </w:p>
        </w:tc>
        <w:tc>
          <w:tcPr>
            <w:tcW w:type="dxa" w:w="2092"/>
          </w:tcPr>
          <w:p>
            <w:pPr>
              <w:spacing w:after="0"/>
            </w:pPr>
            <w:r/>
            <w:r>
              <w:rPr>
                <w:sz w:val="16"/>
              </w:rPr>
              <w:t>1.07</w:t>
            </w:r>
          </w:p>
        </w:tc>
        <w:tc>
          <w:tcPr>
            <w:tcW w:type="dxa" w:w="3399"/>
          </w:tcPr>
          <w:p>
            <w:pPr>
              <w:spacing w:after="0"/>
            </w:pPr>
            <w:r/>
            <w:r>
              <w:rPr>
                <w:sz w:val="16"/>
              </w:rPr>
              <w:t>1.40</w:t>
            </w:r>
          </w:p>
        </w:tc>
      </w:tr>
      <w:tr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2036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0.87</w:t>
            </w:r>
          </w:p>
        </w:tc>
        <w:tc>
          <w:tcPr>
            <w:tcW w:type="dxa" w:w="18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0.17</w:t>
            </w:r>
          </w:p>
        </w:tc>
        <w:tc>
          <w:tcPr>
            <w:tcW w:type="dxa" w:w="20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1.04</w:t>
            </w:r>
          </w:p>
        </w:tc>
        <w:tc>
          <w:tcPr>
            <w:tcW w:type="dxa" w:w="33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1.35</w:t>
            </w:r>
          </w:p>
        </w:tc>
      </w:tr>
      <w:tr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2037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≈ 0.85</w:t>
            </w:r>
          </w:p>
        </w:tc>
        <w:tc>
          <w:tcPr>
            <w:tcW w:type="dxa" w:w="1830"/>
          </w:tcPr>
          <w:p>
            <w:pPr>
              <w:spacing w:after="0"/>
            </w:pPr>
            <w:r/>
            <w:r>
              <w:rPr>
                <w:sz w:val="16"/>
              </w:rPr>
              <w:t>≈ 0.16</w:t>
            </w:r>
          </w:p>
        </w:tc>
        <w:tc>
          <w:tcPr>
            <w:tcW w:type="dxa" w:w="2092"/>
          </w:tcPr>
          <w:p>
            <w:pPr>
              <w:spacing w:after="0"/>
            </w:pPr>
            <w:r/>
            <w:r>
              <w:rPr>
                <w:sz w:val="16"/>
              </w:rPr>
              <w:t>≈ 1.01</w:t>
            </w:r>
          </w:p>
        </w:tc>
        <w:tc>
          <w:tcPr>
            <w:tcW w:type="dxa" w:w="3399"/>
          </w:tcPr>
          <w:p>
            <w:pPr>
              <w:spacing w:after="0"/>
            </w:pPr>
            <w:r/>
            <w:r>
              <w:rPr>
                <w:sz w:val="16"/>
              </w:rPr>
              <w:t>≈ 1.31</w:t>
            </w:r>
          </w:p>
        </w:tc>
      </w:tr>
      <w:tr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2038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0.83</w:t>
            </w:r>
          </w:p>
        </w:tc>
        <w:tc>
          <w:tcPr>
            <w:tcW w:type="dxa" w:w="18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0.15</w:t>
            </w:r>
          </w:p>
        </w:tc>
        <w:tc>
          <w:tcPr>
            <w:tcW w:type="dxa" w:w="20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0.98</w:t>
            </w:r>
          </w:p>
        </w:tc>
        <w:tc>
          <w:tcPr>
            <w:tcW w:type="dxa" w:w="33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1.27</w:t>
            </w:r>
          </w:p>
        </w:tc>
      </w:tr>
      <w:tr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2039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≈ 0.81</w:t>
            </w:r>
          </w:p>
        </w:tc>
        <w:tc>
          <w:tcPr>
            <w:tcW w:type="dxa" w:w="1830"/>
          </w:tcPr>
          <w:p>
            <w:pPr>
              <w:spacing w:after="0"/>
            </w:pPr>
            <w:r/>
            <w:r>
              <w:rPr>
                <w:sz w:val="16"/>
              </w:rPr>
              <w:t>≈ 0.14</w:t>
            </w:r>
          </w:p>
        </w:tc>
        <w:tc>
          <w:tcPr>
            <w:tcW w:type="dxa" w:w="2092"/>
          </w:tcPr>
          <w:p>
            <w:pPr>
              <w:spacing w:after="0"/>
            </w:pPr>
            <w:r/>
            <w:r>
              <w:rPr>
                <w:sz w:val="16"/>
              </w:rPr>
              <w:t>≈ 0.95</w:t>
            </w:r>
          </w:p>
        </w:tc>
        <w:tc>
          <w:tcPr>
            <w:tcW w:type="dxa" w:w="3399"/>
          </w:tcPr>
          <w:p>
            <w:pPr>
              <w:spacing w:after="0"/>
            </w:pPr>
            <w:r/>
            <w:r>
              <w:rPr>
                <w:sz w:val="16"/>
              </w:rPr>
              <w:t>≈ 1.24</w:t>
            </w:r>
          </w:p>
        </w:tc>
      </w:tr>
      <w:tr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2040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0.78</w:t>
            </w:r>
          </w:p>
        </w:tc>
        <w:tc>
          <w:tcPr>
            <w:tcW w:type="dxa" w:w="18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0.14</w:t>
            </w:r>
          </w:p>
        </w:tc>
        <w:tc>
          <w:tcPr>
            <w:tcW w:type="dxa" w:w="20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0.92</w:t>
            </w:r>
          </w:p>
        </w:tc>
        <w:tc>
          <w:tcPr>
            <w:tcW w:type="dxa" w:w="33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1.20</w:t>
            </w:r>
          </w:p>
        </w:tc>
      </w:tr>
      <w:tr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2041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≈ 0.76</w:t>
            </w:r>
          </w:p>
        </w:tc>
        <w:tc>
          <w:tcPr>
            <w:tcW w:type="dxa" w:w="1830"/>
          </w:tcPr>
          <w:p>
            <w:pPr>
              <w:spacing w:after="0"/>
            </w:pPr>
            <w:r/>
            <w:r>
              <w:rPr>
                <w:sz w:val="16"/>
              </w:rPr>
              <w:t>≈ 0.13</w:t>
            </w:r>
          </w:p>
        </w:tc>
        <w:tc>
          <w:tcPr>
            <w:tcW w:type="dxa" w:w="2092"/>
          </w:tcPr>
          <w:p>
            <w:pPr>
              <w:spacing w:after="0"/>
            </w:pPr>
            <w:r/>
            <w:r>
              <w:rPr>
                <w:sz w:val="16"/>
              </w:rPr>
              <w:t>≈ 0.89</w:t>
            </w:r>
          </w:p>
        </w:tc>
        <w:tc>
          <w:tcPr>
            <w:tcW w:type="dxa" w:w="3399"/>
          </w:tcPr>
          <w:p>
            <w:pPr>
              <w:spacing w:after="0"/>
            </w:pPr>
            <w:r/>
            <w:r>
              <w:rPr>
                <w:sz w:val="16"/>
              </w:rPr>
              <w:t>≈ 1.16</w:t>
            </w:r>
          </w:p>
        </w:tc>
      </w:tr>
      <w:tr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2042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0.72</w:t>
            </w:r>
          </w:p>
        </w:tc>
        <w:tc>
          <w:tcPr>
            <w:tcW w:type="dxa" w:w="18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0.13</w:t>
            </w:r>
          </w:p>
        </w:tc>
        <w:tc>
          <w:tcPr>
            <w:tcW w:type="dxa" w:w="20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0.85</w:t>
            </w:r>
          </w:p>
        </w:tc>
        <w:tc>
          <w:tcPr>
            <w:tcW w:type="dxa" w:w="33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1.10</w:t>
            </w:r>
          </w:p>
        </w:tc>
      </w:tr>
      <w:tr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2043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≈ 0.69</w:t>
            </w:r>
          </w:p>
        </w:tc>
        <w:tc>
          <w:tcPr>
            <w:tcW w:type="dxa" w:w="1830"/>
          </w:tcPr>
          <w:p>
            <w:pPr>
              <w:spacing w:after="0"/>
            </w:pPr>
            <w:r/>
            <w:r>
              <w:rPr>
                <w:sz w:val="16"/>
              </w:rPr>
              <w:t>≈ 0.12</w:t>
            </w:r>
          </w:p>
        </w:tc>
        <w:tc>
          <w:tcPr>
            <w:tcW w:type="dxa" w:w="2092"/>
          </w:tcPr>
          <w:p>
            <w:pPr>
              <w:spacing w:after="0"/>
            </w:pPr>
            <w:r/>
            <w:r>
              <w:rPr>
                <w:sz w:val="16"/>
              </w:rPr>
              <w:t>≈ 0.81</w:t>
            </w:r>
          </w:p>
        </w:tc>
        <w:tc>
          <w:tcPr>
            <w:tcW w:type="dxa" w:w="3399"/>
          </w:tcPr>
          <w:p>
            <w:pPr>
              <w:spacing w:after="0"/>
            </w:pPr>
            <w:r/>
            <w:r>
              <w:rPr>
                <w:sz w:val="16"/>
              </w:rPr>
              <w:t>≈ 1.05</w:t>
            </w:r>
          </w:p>
        </w:tc>
      </w:tr>
      <w:tr>
        <w:tc>
          <w:tcPr>
            <w:tcW w:type="dxa" w:w="7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2044</w:t>
            </w:r>
          </w:p>
        </w:tc>
        <w:tc>
          <w:tcPr>
            <w:tcW w:type="dxa" w:w="15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0.66</w:t>
            </w:r>
          </w:p>
        </w:tc>
        <w:tc>
          <w:tcPr>
            <w:tcW w:type="dxa" w:w="18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0.11</w:t>
            </w:r>
          </w:p>
        </w:tc>
        <w:tc>
          <w:tcPr>
            <w:tcW w:type="dxa" w:w="20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0.77</w:t>
            </w:r>
          </w:p>
        </w:tc>
        <w:tc>
          <w:tcPr>
            <w:tcW w:type="dxa" w:w="33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1.00</w:t>
            </w:r>
          </w:p>
        </w:tc>
      </w:tr>
      <w:tr>
        <w:tc>
          <w:tcPr>
            <w:tcW w:type="dxa" w:w="747"/>
          </w:tcPr>
          <w:p>
            <w:pPr>
              <w:spacing w:after="0"/>
            </w:pPr>
            <w:r/>
            <w:r>
              <w:rPr>
                <w:sz w:val="16"/>
              </w:rPr>
              <w:t>2045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sz w:val="16"/>
              </w:rPr>
              <w:t>≈ 0.63</w:t>
            </w:r>
          </w:p>
        </w:tc>
        <w:tc>
          <w:tcPr>
            <w:tcW w:type="dxa" w:w="1830"/>
          </w:tcPr>
          <w:p>
            <w:pPr>
              <w:spacing w:after="0"/>
            </w:pPr>
            <w:r/>
            <w:r>
              <w:rPr>
                <w:sz w:val="16"/>
              </w:rPr>
              <w:t>≈ 0.10</w:t>
            </w:r>
          </w:p>
        </w:tc>
        <w:tc>
          <w:tcPr>
            <w:tcW w:type="dxa" w:w="2092"/>
          </w:tcPr>
          <w:p>
            <w:pPr>
              <w:spacing w:after="0"/>
            </w:pPr>
            <w:r/>
            <w:r>
              <w:rPr>
                <w:sz w:val="16"/>
              </w:rPr>
              <w:t>≈ 0.73</w:t>
            </w:r>
          </w:p>
        </w:tc>
        <w:tc>
          <w:tcPr>
            <w:tcW w:type="dxa" w:w="3399"/>
          </w:tcPr>
          <w:p>
            <w:pPr>
              <w:spacing w:after="0"/>
            </w:pPr>
            <w:r/>
            <w:r>
              <w:rPr>
                <w:sz w:val="16"/>
              </w:rPr>
              <w:t>≈ 0.95</w:t>
            </w:r>
          </w:p>
        </w:tc>
      </w:tr>
    </w:tbl>
    <w:p>
      <w:pPr>
        <w:spacing w:after="40"/>
      </w:pPr>
    </w:p>
    <w:p>
      <w:pPr>
        <w:pStyle w:val="Heading2"/>
      </w:pPr>
      <w:r>
        <w:t>Figure 8.2. Construction job-years and labour intensity, top 15 projects</w:t>
      </w:r>
    </w:p>
    <w:p>
      <w:pPr>
        <w:spacing w:after="60"/>
      </w:pPr>
      <w:r>
        <w:rPr>
          <w:i/>
          <w:color w:val="555555"/>
          <w:sz w:val="16"/>
        </w:rPr>
        <w:t>All values labelled on the chart (matches Table 8.7).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421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145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193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Job-years (million)</w:t>
            </w:r>
          </w:p>
        </w:tc>
        <w:tc>
          <w:tcPr>
            <w:tcW w:type="dxa" w:w="203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Job-years per Rp 1 T</w:t>
            </w:r>
          </w:p>
        </w:tc>
      </w:tr>
      <w:tr>
        <w:tc>
          <w:tcPr>
            <w:tcW w:type="dxa" w:w="4216"/>
          </w:tcPr>
          <w:p>
            <w:pPr>
              <w:spacing w:after="0"/>
            </w:pPr>
            <w:r/>
            <w:r>
              <w:rPr>
                <w:sz w:val="16"/>
              </w:rPr>
              <w:t>Giant Sea Wall</w:t>
            </w:r>
          </w:p>
        </w:tc>
        <w:tc>
          <w:tcPr>
            <w:tcW w:type="dxa" w:w="1454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</w:tcPr>
          <w:p>
            <w:pPr>
              <w:spacing w:after="0"/>
            </w:pPr>
            <w:r/>
            <w:r>
              <w:rPr>
                <w:sz w:val="16"/>
              </w:rPr>
              <w:t>7.11</w:t>
            </w:r>
          </w:p>
        </w:tc>
        <w:tc>
          <w:tcPr>
            <w:tcW w:type="dxa" w:w="2035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</w:tr>
      <w:tr>
        <w:tc>
          <w:tcPr>
            <w:tcW w:type="dxa" w:w="42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modernisation</w:t>
            </w:r>
          </w:p>
        </w:tc>
        <w:tc>
          <w:tcPr>
            <w:tcW w:type="dxa" w:w="14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6.99</w:t>
            </w:r>
          </w:p>
        </w:tc>
        <w:tc>
          <w:tcPr>
            <w:tcW w:type="dxa" w:w="20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3,291</w:t>
            </w:r>
          </w:p>
        </w:tc>
      </w:tr>
      <w:tr>
        <w:tc>
          <w:tcPr>
            <w:tcW w:type="dxa" w:w="4216"/>
          </w:tcPr>
          <w:p>
            <w:pPr>
              <w:spacing w:after="0"/>
            </w:pPr>
            <w:r/>
            <w:r>
              <w:rPr>
                <w:sz w:val="16"/>
              </w:rPr>
              <w:t>Affordable housing</w:t>
            </w:r>
          </w:p>
        </w:tc>
        <w:tc>
          <w:tcPr>
            <w:tcW w:type="dxa" w:w="1454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</w:tcPr>
          <w:p>
            <w:pPr>
              <w:spacing w:after="0"/>
            </w:pPr>
            <w:r/>
            <w:r>
              <w:rPr>
                <w:sz w:val="16"/>
              </w:rPr>
              <w:t>1.49</w:t>
            </w:r>
          </w:p>
        </w:tc>
        <w:tc>
          <w:tcPr>
            <w:tcW w:type="dxa" w:w="2035"/>
          </w:tcPr>
          <w:p>
            <w:pPr>
              <w:spacing w:after="0"/>
            </w:pPr>
            <w:r/>
            <w:r>
              <w:rPr>
                <w:sz w:val="16"/>
              </w:rPr>
              <w:t>6,814</w:t>
            </w:r>
          </w:p>
        </w:tc>
      </w:tr>
      <w:tr>
        <w:tc>
          <w:tcPr>
            <w:tcW w:type="dxa" w:w="42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 smart cities</w:t>
            </w:r>
          </w:p>
        </w:tc>
        <w:tc>
          <w:tcPr>
            <w:tcW w:type="dxa" w:w="14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1.33</w:t>
            </w:r>
          </w:p>
        </w:tc>
        <w:tc>
          <w:tcPr>
            <w:tcW w:type="dxa" w:w="20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</w:tr>
      <w:tr>
        <w:tc>
          <w:tcPr>
            <w:tcW w:type="dxa" w:w="4216"/>
          </w:tcPr>
          <w:p>
            <w:pPr>
              <w:spacing w:after="0"/>
            </w:pPr>
            <w:r/>
            <w:r>
              <w:rPr>
                <w:sz w:val="16"/>
              </w:rPr>
              <w:t>500 schools</w:t>
            </w:r>
          </w:p>
        </w:tc>
        <w:tc>
          <w:tcPr>
            <w:tcW w:type="dxa" w:w="1454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</w:tcPr>
          <w:p>
            <w:pPr>
              <w:spacing w:after="0"/>
            </w:pPr>
            <w:r/>
            <w:r>
              <w:rPr>
                <w:sz w:val="16"/>
              </w:rPr>
              <w:t>1.21</w:t>
            </w:r>
          </w:p>
        </w:tc>
        <w:tc>
          <w:tcPr>
            <w:tcW w:type="dxa" w:w="2035"/>
          </w:tcPr>
          <w:p>
            <w:pPr>
              <w:spacing w:after="0"/>
            </w:pPr>
            <w:r/>
            <w:r>
              <w:rPr>
                <w:sz w:val="16"/>
              </w:rPr>
              <w:t>6,814</w:t>
            </w:r>
          </w:p>
        </w:tc>
      </w:tr>
      <w:tr>
        <w:tc>
          <w:tcPr>
            <w:tcW w:type="dxa" w:w="42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 Corridor</w:t>
            </w:r>
          </w:p>
        </w:tc>
        <w:tc>
          <w:tcPr>
            <w:tcW w:type="dxa" w:w="14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1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1.11</w:t>
            </w:r>
          </w:p>
        </w:tc>
        <w:tc>
          <w:tcPr>
            <w:tcW w:type="dxa" w:w="20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</w:tr>
      <w:tr>
        <w:tc>
          <w:tcPr>
            <w:tcW w:type="dxa" w:w="4216"/>
          </w:tcPr>
          <w:p>
            <w:pPr>
              <w:spacing w:after="0"/>
            </w:pPr>
            <w:r/>
            <w:r>
              <w:rPr>
                <w:sz w:val="16"/>
              </w:rPr>
              <w:t>PLTS 100 GW (solar)</w:t>
            </w:r>
          </w:p>
        </w:tc>
        <w:tc>
          <w:tcPr>
            <w:tcW w:type="dxa" w:w="1454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</w:tcPr>
          <w:p>
            <w:pPr>
              <w:spacing w:after="0"/>
            </w:pPr>
            <w:r/>
            <w:r>
              <w:rPr>
                <w:sz w:val="16"/>
              </w:rPr>
              <w:t>1.07</w:t>
            </w:r>
          </w:p>
        </w:tc>
        <w:tc>
          <w:tcPr>
            <w:tcW w:type="dxa" w:w="2035"/>
          </w:tcPr>
          <w:p>
            <w:pPr>
              <w:spacing w:after="0"/>
            </w:pPr>
            <w:r/>
            <w:r>
              <w:rPr>
                <w:sz w:val="16"/>
              </w:rPr>
              <w:t>4,607</w:t>
            </w:r>
          </w:p>
        </w:tc>
      </w:tr>
      <w:tr>
        <w:tc>
          <w:tcPr>
            <w:tcW w:type="dxa" w:w="42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AI and IT programme</w:t>
            </w:r>
          </w:p>
        </w:tc>
        <w:tc>
          <w:tcPr>
            <w:tcW w:type="dxa" w:w="14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1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0.89</w:t>
            </w:r>
          </w:p>
        </w:tc>
        <w:tc>
          <w:tcPr>
            <w:tcW w:type="dxa" w:w="20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4,470</w:t>
            </w:r>
          </w:p>
        </w:tc>
      </w:tr>
      <w:tr>
        <w:tc>
          <w:tcPr>
            <w:tcW w:type="dxa" w:w="4216"/>
          </w:tcPr>
          <w:p>
            <w:pPr>
              <w:spacing w:after="0"/>
            </w:pPr>
            <w:r/>
            <w:r>
              <w:rPr>
                <w:sz w:val="16"/>
              </w:rPr>
              <w:t>Centralised water</w:t>
            </w:r>
          </w:p>
        </w:tc>
        <w:tc>
          <w:tcPr>
            <w:tcW w:type="dxa" w:w="1454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</w:tcPr>
          <w:p>
            <w:pPr>
              <w:spacing w:after="0"/>
            </w:pPr>
            <w:r/>
            <w:r>
              <w:rPr>
                <w:sz w:val="16"/>
              </w:rPr>
              <w:t>0.67</w:t>
            </w:r>
          </w:p>
        </w:tc>
        <w:tc>
          <w:tcPr>
            <w:tcW w:type="dxa" w:w="2035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</w:tr>
      <w:tr>
        <w:tc>
          <w:tcPr>
            <w:tcW w:type="dxa" w:w="42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Textile ecosystem</w:t>
            </w:r>
          </w:p>
        </w:tc>
        <w:tc>
          <w:tcPr>
            <w:tcW w:type="dxa" w:w="14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0.51</w:t>
            </w:r>
          </w:p>
        </w:tc>
        <w:tc>
          <w:tcPr>
            <w:tcW w:type="dxa" w:w="20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5,759</w:t>
            </w:r>
          </w:p>
        </w:tc>
      </w:tr>
      <w:tr>
        <w:tc>
          <w:tcPr>
            <w:tcW w:type="dxa" w:w="4216"/>
          </w:tcPr>
          <w:p>
            <w:pPr>
              <w:spacing w:after="0"/>
            </w:pPr>
            <w:r/>
            <w:r>
              <w:rPr>
                <w:sz w:val="16"/>
              </w:rPr>
              <w:t>Fishing-village food security</w:t>
            </w:r>
          </w:p>
        </w:tc>
        <w:tc>
          <w:tcPr>
            <w:tcW w:type="dxa" w:w="1454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</w:tcPr>
          <w:p>
            <w:pPr>
              <w:spacing w:after="0"/>
            </w:pPr>
            <w:r/>
            <w:r>
              <w:rPr>
                <w:sz w:val="16"/>
              </w:rPr>
              <w:t>0.50</w:t>
            </w:r>
          </w:p>
        </w:tc>
        <w:tc>
          <w:tcPr>
            <w:tcW w:type="dxa" w:w="2035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</w:tr>
      <w:tr>
        <w:tc>
          <w:tcPr>
            <w:tcW w:type="dxa" w:w="42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STEM university</w:t>
            </w:r>
          </w:p>
        </w:tc>
        <w:tc>
          <w:tcPr>
            <w:tcW w:type="dxa" w:w="14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0.48</w:t>
            </w:r>
          </w:p>
        </w:tc>
        <w:tc>
          <w:tcPr>
            <w:tcW w:type="dxa" w:w="20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6,814</w:t>
            </w:r>
          </w:p>
        </w:tc>
      </w:tr>
      <w:tr>
        <w:tc>
          <w:tcPr>
            <w:tcW w:type="dxa" w:w="4216"/>
          </w:tcPr>
          <w:p>
            <w:pPr>
              <w:spacing w:after="0"/>
            </w:pPr>
            <w:r/>
            <w:r>
              <w:rPr>
                <w:sz w:val="16"/>
              </w:rPr>
              <w:t>Biodiesel</w:t>
            </w:r>
          </w:p>
        </w:tc>
        <w:tc>
          <w:tcPr>
            <w:tcW w:type="dxa" w:w="1454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</w:tcPr>
          <w:p>
            <w:pPr>
              <w:spacing w:after="0"/>
            </w:pPr>
            <w:r/>
            <w:r>
              <w:rPr>
                <w:sz w:val="16"/>
              </w:rPr>
              <w:t>0.43</w:t>
            </w:r>
          </w:p>
        </w:tc>
        <w:tc>
          <w:tcPr>
            <w:tcW w:type="dxa" w:w="2035"/>
          </w:tcPr>
          <w:p>
            <w:pPr>
              <w:spacing w:after="0"/>
            </w:pPr>
            <w:r/>
            <w:r>
              <w:rPr>
                <w:sz w:val="16"/>
              </w:rPr>
              <w:t>5,759</w:t>
            </w:r>
          </w:p>
        </w:tc>
      </w:tr>
      <w:tr>
        <w:tc>
          <w:tcPr>
            <w:tcW w:type="dxa" w:w="42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Al, Fe, Ni, Mn metals</w:t>
            </w:r>
          </w:p>
        </w:tc>
        <w:tc>
          <w:tcPr>
            <w:tcW w:type="dxa" w:w="14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0.28</w:t>
            </w:r>
          </w:p>
        </w:tc>
        <w:tc>
          <w:tcPr>
            <w:tcW w:type="dxa" w:w="20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3,856</w:t>
            </w:r>
          </w:p>
        </w:tc>
      </w:tr>
      <w:tr>
        <w:tc>
          <w:tcPr>
            <w:tcW w:type="dxa" w:w="4216"/>
          </w:tcPr>
          <w:p>
            <w:pPr>
              <w:spacing w:after="0"/>
            </w:pPr>
            <w:r/>
            <w:r>
              <w:rPr>
                <w:sz w:val="16"/>
              </w:rPr>
              <w:t>CPE (assumed petrochemical)</w:t>
            </w:r>
          </w:p>
        </w:tc>
        <w:tc>
          <w:tcPr>
            <w:tcW w:type="dxa" w:w="1454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1933"/>
          </w:tcPr>
          <w:p>
            <w:pPr>
              <w:spacing w:after="0"/>
            </w:pPr>
            <w:r/>
            <w:r>
              <w:rPr>
                <w:sz w:val="16"/>
              </w:rPr>
              <w:t>0.27</w:t>
            </w:r>
          </w:p>
        </w:tc>
        <w:tc>
          <w:tcPr>
            <w:tcW w:type="dxa" w:w="2035"/>
          </w:tcPr>
          <w:p>
            <w:pPr>
              <w:spacing w:after="0"/>
            </w:pPr>
            <w:r/>
            <w:r>
              <w:rPr>
                <w:sz w:val="16"/>
              </w:rPr>
              <w:t>3,856</w:t>
            </w:r>
          </w:p>
        </w:tc>
      </w:tr>
    </w:tbl>
    <w:p>
      <w:pPr>
        <w:spacing w:after="40"/>
      </w:pPr>
    </w:p>
    <w:p>
      <w:pPr>
        <w:pStyle w:val="Heading2"/>
      </w:pPr>
      <w:r>
        <w:t>Figure 8.3. Jobs supported and open unemployment rate, 2027–2037</w:t>
      </w:r>
    </w:p>
    <w:p>
      <w:pPr>
        <w:spacing w:after="60"/>
      </w:pPr>
      <w:r>
        <w:rPr>
          <w:i/>
          <w:color w:val="555555"/>
          <w:sz w:val="16"/>
        </w:rPr>
        <w:t>Totals and rates labelled on the chart; component split from Table 8.8 (2036–2037 as 2035). Reference line: 4.67% (Feb 2026 baseline).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7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25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Direct (m)</w:t>
            </w:r>
          </w:p>
        </w:tc>
        <w:tc>
          <w:tcPr>
            <w:tcW w:type="dxa" w:w="150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Indirect (m)</w:t>
            </w:r>
          </w:p>
        </w:tc>
        <w:tc>
          <w:tcPr>
            <w:tcW w:type="dxa" w:w="138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Induced (m)</w:t>
            </w:r>
          </w:p>
        </w:tc>
        <w:tc>
          <w:tcPr>
            <w:tcW w:type="dxa" w:w="163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Permanent (m)</w:t>
            </w:r>
          </w:p>
        </w:tc>
        <w:tc>
          <w:tcPr>
            <w:tcW w:type="dxa" w:w="113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Total (m)</w:t>
            </w:r>
          </w:p>
        </w:tc>
        <w:tc>
          <w:tcPr>
            <w:tcW w:type="dxa" w:w="201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Unemployment (%)</w:t>
            </w:r>
          </w:p>
        </w:tc>
      </w:tr>
      <w:tr>
        <w:tc>
          <w:tcPr>
            <w:tcW w:type="dxa" w:w="718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0.84</w:t>
            </w:r>
          </w:p>
        </w:tc>
        <w:tc>
          <w:tcPr>
            <w:tcW w:type="dxa" w:w="1508"/>
          </w:tcPr>
          <w:p>
            <w:pPr>
              <w:spacing w:after="0"/>
            </w:pPr>
            <w:r/>
            <w:r>
              <w:rPr>
                <w:sz w:val="16"/>
              </w:rPr>
              <w:t>0.90</w:t>
            </w:r>
          </w:p>
        </w:tc>
        <w:tc>
          <w:tcPr>
            <w:tcW w:type="dxa" w:w="1382"/>
          </w:tcPr>
          <w:p>
            <w:pPr>
              <w:spacing w:after="0"/>
            </w:pPr>
            <w:r/>
            <w:r>
              <w:rPr>
                <w:sz w:val="16"/>
              </w:rPr>
              <w:t>0.61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31"/>
          </w:tcPr>
          <w:p>
            <w:pPr>
              <w:spacing w:after="0"/>
            </w:pPr>
            <w:r/>
            <w:r>
              <w:rPr>
                <w:sz w:val="16"/>
              </w:rPr>
              <w:t>2.35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sz w:val="16"/>
              </w:rPr>
              <w:t>4.1</w:t>
            </w:r>
          </w:p>
        </w:tc>
      </w:tr>
      <w:tr>
        <w:tc>
          <w:tcPr>
            <w:tcW w:type="dxa" w:w="7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1.46</w:t>
            </w:r>
          </w:p>
        </w:tc>
        <w:tc>
          <w:tcPr>
            <w:tcW w:type="dxa" w:w="15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1.44</w:t>
            </w:r>
          </w:p>
        </w:tc>
        <w:tc>
          <w:tcPr>
            <w:tcW w:type="dxa" w:w="13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1.01</w:t>
            </w:r>
          </w:p>
        </w:tc>
        <w:tc>
          <w:tcPr>
            <w:tcW w:type="dxa" w:w="16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3.91</w:t>
            </w:r>
          </w:p>
        </w:tc>
        <w:tc>
          <w:tcPr>
            <w:tcW w:type="dxa" w:w="20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3.7</w:t>
            </w:r>
          </w:p>
        </w:tc>
      </w:tr>
      <w:tr>
        <w:tc>
          <w:tcPr>
            <w:tcW w:type="dxa" w:w="71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1.49</w:t>
            </w:r>
          </w:p>
        </w:tc>
        <w:tc>
          <w:tcPr>
            <w:tcW w:type="dxa" w:w="1508"/>
          </w:tcPr>
          <w:p>
            <w:pPr>
              <w:spacing w:after="0"/>
            </w:pPr>
            <w:r/>
            <w:r>
              <w:rPr>
                <w:sz w:val="16"/>
              </w:rPr>
              <w:t>1.48</w:t>
            </w:r>
          </w:p>
        </w:tc>
        <w:tc>
          <w:tcPr>
            <w:tcW w:type="dxa" w:w="1382"/>
          </w:tcPr>
          <w:p>
            <w:pPr>
              <w:spacing w:after="0"/>
            </w:pPr>
            <w:r/>
            <w:r>
              <w:rPr>
                <w:sz w:val="16"/>
              </w:rPr>
              <w:t>1.04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31"/>
          </w:tcPr>
          <w:p>
            <w:pPr>
              <w:spacing w:after="0"/>
            </w:pPr>
            <w:r/>
            <w:r>
              <w:rPr>
                <w:sz w:val="16"/>
              </w:rPr>
              <w:t>4.01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sz w:val="16"/>
              </w:rPr>
              <w:t>3.7</w:t>
            </w:r>
          </w:p>
        </w:tc>
      </w:tr>
      <w:tr>
        <w:tc>
          <w:tcPr>
            <w:tcW w:type="dxa" w:w="7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2030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1.47</w:t>
            </w:r>
          </w:p>
        </w:tc>
        <w:tc>
          <w:tcPr>
            <w:tcW w:type="dxa" w:w="15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1.46</w:t>
            </w:r>
          </w:p>
        </w:tc>
        <w:tc>
          <w:tcPr>
            <w:tcW w:type="dxa" w:w="13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1.03</w:t>
            </w:r>
          </w:p>
        </w:tc>
        <w:tc>
          <w:tcPr>
            <w:tcW w:type="dxa" w:w="16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0.02</w:t>
            </w:r>
          </w:p>
        </w:tc>
        <w:tc>
          <w:tcPr>
            <w:tcW w:type="dxa" w:w="11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3.99</w:t>
            </w:r>
          </w:p>
        </w:tc>
        <w:tc>
          <w:tcPr>
            <w:tcW w:type="dxa" w:w="20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3.7</w:t>
            </w:r>
          </w:p>
        </w:tc>
      </w:tr>
      <w:tr>
        <w:tc>
          <w:tcPr>
            <w:tcW w:type="dxa" w:w="718"/>
          </w:tcPr>
          <w:p>
            <w:pPr>
              <w:spacing w:after="0"/>
            </w:pPr>
            <w:r/>
            <w:r>
              <w:rPr>
                <w:sz w:val="16"/>
              </w:rPr>
              <w:t>2031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1.36</w:t>
            </w:r>
          </w:p>
        </w:tc>
        <w:tc>
          <w:tcPr>
            <w:tcW w:type="dxa" w:w="1508"/>
          </w:tcPr>
          <w:p>
            <w:pPr>
              <w:spacing w:after="0"/>
            </w:pPr>
            <w:r/>
            <w:r>
              <w:rPr>
                <w:sz w:val="16"/>
              </w:rPr>
              <w:t>1.33</w:t>
            </w:r>
          </w:p>
        </w:tc>
        <w:tc>
          <w:tcPr>
            <w:tcW w:type="dxa" w:w="1382"/>
          </w:tcPr>
          <w:p>
            <w:pPr>
              <w:spacing w:after="0"/>
            </w:pPr>
            <w:r/>
            <w:r>
              <w:rPr>
                <w:sz w:val="16"/>
              </w:rPr>
              <w:t>0.94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131"/>
          </w:tcPr>
          <w:p>
            <w:pPr>
              <w:spacing w:after="0"/>
            </w:pPr>
            <w:r/>
            <w:r>
              <w:rPr>
                <w:sz w:val="16"/>
              </w:rPr>
              <w:t>3.73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sz w:val="16"/>
              </w:rPr>
              <w:t>3.8</w:t>
            </w:r>
          </w:p>
        </w:tc>
      </w:tr>
      <w:tr>
        <w:tc>
          <w:tcPr>
            <w:tcW w:type="dxa" w:w="7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2032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0.66</w:t>
            </w:r>
          </w:p>
        </w:tc>
        <w:tc>
          <w:tcPr>
            <w:tcW w:type="dxa" w:w="15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0.70</w:t>
            </w:r>
          </w:p>
        </w:tc>
        <w:tc>
          <w:tcPr>
            <w:tcW w:type="dxa" w:w="13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0.47</w:t>
            </w:r>
          </w:p>
        </w:tc>
        <w:tc>
          <w:tcPr>
            <w:tcW w:type="dxa" w:w="16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0.89</w:t>
            </w:r>
          </w:p>
        </w:tc>
        <w:tc>
          <w:tcPr>
            <w:tcW w:type="dxa" w:w="11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2.72</w:t>
            </w:r>
          </w:p>
        </w:tc>
        <w:tc>
          <w:tcPr>
            <w:tcW w:type="dxa" w:w="20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4.0</w:t>
            </w:r>
          </w:p>
        </w:tc>
      </w:tr>
      <w:tr>
        <w:tc>
          <w:tcPr>
            <w:tcW w:type="dxa" w:w="718"/>
          </w:tcPr>
          <w:p>
            <w:pPr>
              <w:spacing w:after="0"/>
            </w:pPr>
            <w:r/>
            <w:r>
              <w:rPr>
                <w:sz w:val="16"/>
              </w:rPr>
              <w:t>2033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0.50</w:t>
            </w:r>
          </w:p>
        </w:tc>
        <w:tc>
          <w:tcPr>
            <w:tcW w:type="dxa" w:w="1508"/>
          </w:tcPr>
          <w:p>
            <w:pPr>
              <w:spacing w:after="0"/>
            </w:pPr>
            <w:r/>
            <w:r>
              <w:rPr>
                <w:sz w:val="16"/>
              </w:rPr>
              <w:t>0.53</w:t>
            </w:r>
          </w:p>
        </w:tc>
        <w:tc>
          <w:tcPr>
            <w:tcW w:type="dxa" w:w="1382"/>
          </w:tcPr>
          <w:p>
            <w:pPr>
              <w:spacing w:after="0"/>
            </w:pPr>
            <w:r/>
            <w:r>
              <w:rPr>
                <w:sz w:val="16"/>
              </w:rPr>
              <w:t>0.36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sz w:val="16"/>
              </w:rPr>
              <w:t>1.03</w:t>
            </w:r>
          </w:p>
        </w:tc>
        <w:tc>
          <w:tcPr>
            <w:tcW w:type="dxa" w:w="1131"/>
          </w:tcPr>
          <w:p>
            <w:pPr>
              <w:spacing w:after="0"/>
            </w:pPr>
            <w:r/>
            <w:r>
              <w:rPr>
                <w:sz w:val="16"/>
              </w:rPr>
              <w:t>2.42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sz w:val="16"/>
              </w:rPr>
              <w:t>4.1</w:t>
            </w:r>
          </w:p>
        </w:tc>
      </w:tr>
      <w:tr>
        <w:tc>
          <w:tcPr>
            <w:tcW w:type="dxa" w:w="7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2034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0.50</w:t>
            </w:r>
          </w:p>
        </w:tc>
        <w:tc>
          <w:tcPr>
            <w:tcW w:type="dxa" w:w="15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0.53</w:t>
            </w:r>
          </w:p>
        </w:tc>
        <w:tc>
          <w:tcPr>
            <w:tcW w:type="dxa" w:w="13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0.36</w:t>
            </w:r>
          </w:p>
        </w:tc>
        <w:tc>
          <w:tcPr>
            <w:tcW w:type="dxa" w:w="16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1.03</w:t>
            </w:r>
          </w:p>
        </w:tc>
        <w:tc>
          <w:tcPr>
            <w:tcW w:type="dxa" w:w="11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2.42</w:t>
            </w:r>
          </w:p>
        </w:tc>
        <w:tc>
          <w:tcPr>
            <w:tcW w:type="dxa" w:w="20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4.1</w:t>
            </w:r>
          </w:p>
        </w:tc>
      </w:tr>
      <w:tr>
        <w:tc>
          <w:tcPr>
            <w:tcW w:type="dxa" w:w="718"/>
          </w:tcPr>
          <w:p>
            <w:pPr>
              <w:spacing w:after="0"/>
            </w:pPr>
            <w:r/>
            <w:r>
              <w:rPr>
                <w:sz w:val="16"/>
              </w:rPr>
              <w:t>2035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0.21</w:t>
            </w:r>
          </w:p>
        </w:tc>
        <w:tc>
          <w:tcPr>
            <w:tcW w:type="dxa" w:w="1508"/>
          </w:tcPr>
          <w:p>
            <w:pPr>
              <w:spacing w:after="0"/>
            </w:pPr>
            <w:r/>
            <w:r>
              <w:rPr>
                <w:sz w:val="16"/>
              </w:rPr>
              <w:t>0.17</w:t>
            </w:r>
          </w:p>
        </w:tc>
        <w:tc>
          <w:tcPr>
            <w:tcW w:type="dxa" w:w="1382"/>
          </w:tcPr>
          <w:p>
            <w:pPr>
              <w:spacing w:after="0"/>
            </w:pPr>
            <w:r/>
            <w:r>
              <w:rPr>
                <w:sz w:val="16"/>
              </w:rPr>
              <w:t>0.13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sz w:val="16"/>
              </w:rPr>
              <w:t>1.34</w:t>
            </w:r>
          </w:p>
        </w:tc>
        <w:tc>
          <w:tcPr>
            <w:tcW w:type="dxa" w:w="1131"/>
          </w:tcPr>
          <w:p>
            <w:pPr>
              <w:spacing w:after="0"/>
            </w:pPr>
            <w:r/>
            <w:r>
              <w:rPr>
                <w:sz w:val="16"/>
              </w:rPr>
              <w:t>1.85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sz w:val="16"/>
              </w:rPr>
              <w:t>4.2</w:t>
            </w:r>
          </w:p>
        </w:tc>
      </w:tr>
      <w:tr>
        <w:tc>
          <w:tcPr>
            <w:tcW w:type="dxa" w:w="7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2036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0.21</w:t>
            </w:r>
          </w:p>
        </w:tc>
        <w:tc>
          <w:tcPr>
            <w:tcW w:type="dxa" w:w="150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0.17</w:t>
            </w:r>
          </w:p>
        </w:tc>
        <w:tc>
          <w:tcPr>
            <w:tcW w:type="dxa" w:w="13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0.13</w:t>
            </w:r>
          </w:p>
        </w:tc>
        <w:tc>
          <w:tcPr>
            <w:tcW w:type="dxa" w:w="16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1.34</w:t>
            </w:r>
          </w:p>
        </w:tc>
        <w:tc>
          <w:tcPr>
            <w:tcW w:type="dxa" w:w="11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1.85</w:t>
            </w:r>
          </w:p>
        </w:tc>
        <w:tc>
          <w:tcPr>
            <w:tcW w:type="dxa" w:w="20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4.2</w:t>
            </w:r>
          </w:p>
        </w:tc>
      </w:tr>
      <w:tr>
        <w:tc>
          <w:tcPr>
            <w:tcW w:type="dxa" w:w="718"/>
          </w:tcPr>
          <w:p>
            <w:pPr>
              <w:spacing w:after="0"/>
            </w:pPr>
            <w:r/>
            <w:r>
              <w:rPr>
                <w:sz w:val="16"/>
              </w:rPr>
              <w:t>2037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0.21</w:t>
            </w:r>
          </w:p>
        </w:tc>
        <w:tc>
          <w:tcPr>
            <w:tcW w:type="dxa" w:w="1508"/>
          </w:tcPr>
          <w:p>
            <w:pPr>
              <w:spacing w:after="0"/>
            </w:pPr>
            <w:r/>
            <w:r>
              <w:rPr>
                <w:sz w:val="16"/>
              </w:rPr>
              <w:t>0.17</w:t>
            </w:r>
          </w:p>
        </w:tc>
        <w:tc>
          <w:tcPr>
            <w:tcW w:type="dxa" w:w="1382"/>
          </w:tcPr>
          <w:p>
            <w:pPr>
              <w:spacing w:after="0"/>
            </w:pPr>
            <w:r/>
            <w:r>
              <w:rPr>
                <w:sz w:val="16"/>
              </w:rPr>
              <w:t>0.13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sz w:val="16"/>
              </w:rPr>
              <w:t>1.34</w:t>
            </w:r>
          </w:p>
        </w:tc>
        <w:tc>
          <w:tcPr>
            <w:tcW w:type="dxa" w:w="1131"/>
          </w:tcPr>
          <w:p>
            <w:pPr>
              <w:spacing w:after="0"/>
            </w:pPr>
            <w:r/>
            <w:r>
              <w:rPr>
                <w:sz w:val="16"/>
              </w:rPr>
              <w:t>1.85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sz w:val="16"/>
              </w:rPr>
              <w:t>4.3</w:t>
            </w:r>
          </w:p>
        </w:tc>
      </w:tr>
    </w:tbl>
    <w:p>
      <w:pPr>
        <w:spacing w:after="40"/>
      </w:pPr>
    </w:p>
    <w:p>
      <w:pPr>
        <w:pStyle w:val="Heading2"/>
      </w:pPr>
      <w:r>
        <w:t>Figure 10.1. Annual fund flows vs DDMF equity needs (Rp T a year)</w:t>
      </w:r>
    </w:p>
    <w:p>
      <w:pPr>
        <w:spacing w:after="60"/>
      </w:pPr>
      <w:r>
        <w:rPr>
          <w:i/>
          <w:color w:val="555555"/>
          <w:sz w:val="16"/>
        </w:rPr>
        <w:t>All values labelled on the chart; sources at Rp 250 T resource PNBP.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71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Rp T a year</w:t>
            </w:r>
          </w:p>
        </w:tc>
      </w:tr>
      <w:tr>
        <w:tc>
          <w:tcPr>
            <w:tcW w:type="dxa" w:w="7716"/>
          </w:tcPr>
          <w:p>
            <w:pPr>
              <w:spacing w:after="0"/>
            </w:pPr>
            <w:r/>
            <w:r>
              <w:rPr>
                <w:sz w:val="16"/>
              </w:rPr>
              <w:t>Future window (10% of PNBP SDA)</w:t>
            </w:r>
          </w:p>
        </w:tc>
        <w:tc>
          <w:tcPr>
            <w:tcW w:type="dxa" w:w="842"/>
          </w:tcPr>
          <w:p>
            <w:pPr>
              <w:spacing w:after="0"/>
            </w:pPr>
            <w:r/>
            <w:r>
              <w:rPr>
                <w:sz w:val="16"/>
              </w:rPr>
              <w:t>Source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sz w:val="16"/>
              </w:rPr>
              <w:t>25.0</w:t>
            </w:r>
          </w:p>
        </w:tc>
      </w:tr>
      <w:tr>
        <w:tc>
          <w:tcPr>
            <w:tcW w:type="dxa" w:w="77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Future window (25%)</w:t>
            </w:r>
          </w:p>
        </w:tc>
        <w:tc>
          <w:tcPr>
            <w:tcW w:type="dxa" w:w="84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Source</w:t>
            </w:r>
          </w:p>
        </w:tc>
        <w:tc>
          <w:tcPr>
            <w:tcW w:type="dxa" w:w="10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62.5</w:t>
            </w:r>
          </w:p>
        </w:tc>
      </w:tr>
      <w:tr>
        <w:tc>
          <w:tcPr>
            <w:tcW w:type="dxa" w:w="7716"/>
          </w:tcPr>
          <w:p>
            <w:pPr>
              <w:spacing w:after="0"/>
            </w:pPr>
            <w:r/>
            <w:r>
              <w:rPr>
                <w:sz w:val="16"/>
              </w:rPr>
              <w:t>Aggressive: 30%, 60% to development</w:t>
            </w:r>
          </w:p>
        </w:tc>
        <w:tc>
          <w:tcPr>
            <w:tcW w:type="dxa" w:w="842"/>
          </w:tcPr>
          <w:p>
            <w:pPr>
              <w:spacing w:after="0"/>
            </w:pPr>
            <w:r/>
            <w:r>
              <w:rPr>
                <w:sz w:val="16"/>
              </w:rPr>
              <w:t>Source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sz w:val="16"/>
              </w:rPr>
              <w:t>45.0</w:t>
            </w:r>
          </w:p>
        </w:tc>
      </w:tr>
      <w:tr>
        <w:tc>
          <w:tcPr>
            <w:tcW w:type="dxa" w:w="77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DDMF equity: 15 priority projects</w:t>
            </w:r>
          </w:p>
        </w:tc>
        <w:tc>
          <w:tcPr>
            <w:tcW w:type="dxa" w:w="84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Use</w:t>
            </w:r>
          </w:p>
        </w:tc>
        <w:tc>
          <w:tcPr>
            <w:tcW w:type="dxa" w:w="10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29.5</w:t>
            </w:r>
          </w:p>
        </w:tc>
      </w:tr>
      <w:tr>
        <w:tc>
          <w:tcPr>
            <w:tcW w:type="dxa" w:w="7716"/>
          </w:tcPr>
          <w:p>
            <w:pPr>
              <w:spacing w:after="0"/>
            </w:pPr>
            <w:r/>
            <w:r>
              <w:rPr>
                <w:sz w:val="16"/>
              </w:rPr>
              <w:t>DDMF equity: eligible (resource + energy + sovereignty)</w:t>
            </w:r>
          </w:p>
        </w:tc>
        <w:tc>
          <w:tcPr>
            <w:tcW w:type="dxa" w:w="842"/>
          </w:tcPr>
          <w:p>
            <w:pPr>
              <w:spacing w:after="0"/>
            </w:pPr>
            <w:r/>
            <w:r>
              <w:rPr>
                <w:sz w:val="16"/>
              </w:rPr>
              <w:t>Use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sz w:val="16"/>
              </w:rPr>
              <w:t>22.9</w:t>
            </w:r>
          </w:p>
        </w:tc>
      </w:tr>
      <w:tr>
        <w:tc>
          <w:tcPr>
            <w:tcW w:type="dxa" w:w="77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DDMF equity: all 40 projects</w:t>
            </w:r>
          </w:p>
        </w:tc>
        <w:tc>
          <w:tcPr>
            <w:tcW w:type="dxa" w:w="84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Use</w:t>
            </w:r>
          </w:p>
        </w:tc>
        <w:tc>
          <w:tcPr>
            <w:tcW w:type="dxa" w:w="10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69.9</w:t>
            </w:r>
          </w:p>
        </w:tc>
      </w:tr>
    </w:tbl>
    <w:p>
      <w:pPr>
        <w:spacing w:after="40"/>
      </w:pPr>
    </w:p>
    <w:p>
      <w:pPr>
        <w:pStyle w:val="Heading2"/>
      </w:pPr>
      <w:r>
        <w:t>Figure 10.2. Illustrative fund simulation, 2027–2050 (Rp T, constant 2026 prices)</w:t>
      </w:r>
    </w:p>
    <w:p>
      <w:pPr>
        <w:spacing w:after="60"/>
      </w:pPr>
      <w:r>
        <w:rPr>
          <w:i/>
          <w:color w:val="555555"/>
          <w:sz w:val="16"/>
        </w:rPr>
        <w:t>Endpoint values from Table 10.1 and text; intermediate points read from the chart (≈).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13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Series</w:t>
            </w:r>
          </w:p>
        </w:tc>
        <w:tc>
          <w:tcPr>
            <w:tcW w:type="dxa" w:w="4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2027</w:t>
            </w:r>
          </w:p>
        </w:tc>
        <w:tc>
          <w:tcPr>
            <w:tcW w:type="dxa" w:w="63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2032</w:t>
            </w:r>
          </w:p>
        </w:tc>
        <w:tc>
          <w:tcPr>
            <w:tcW w:type="dxa" w:w="126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2035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2042</w:t>
            </w:r>
          </w:p>
        </w:tc>
        <w:tc>
          <w:tcPr>
            <w:tcW w:type="dxa" w:w="63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2050</w:t>
            </w:r>
          </w:p>
        </w:tc>
      </w:tr>
      <w:tr>
        <w:tc>
          <w:tcPr>
            <w:tcW w:type="dxa" w:w="5134"/>
          </w:tcPr>
          <w:p>
            <w:pPr>
              <w:spacing w:after="0"/>
            </w:pPr>
            <w:r/>
            <w:r>
              <w:rPr>
                <w:sz w:val="16"/>
              </w:rPr>
              <w:t>Saving only: future window (25%)</w:t>
            </w:r>
          </w:p>
        </w:tc>
        <w:tc>
          <w:tcPr>
            <w:tcW w:type="dxa" w:w="450"/>
          </w:tcPr>
          <w:p>
            <w:pPr>
              <w:spacing w:after="0"/>
            </w:pPr>
            <w:r/>
            <w:r>
              <w:rPr>
                <w:sz w:val="16"/>
              </w:rPr>
              <w:t>≈ 60</w:t>
            </w:r>
          </w:p>
        </w:tc>
        <w:tc>
          <w:tcPr>
            <w:tcW w:type="dxa" w:w="631"/>
          </w:tcPr>
          <w:p>
            <w:pPr>
              <w:spacing w:after="0"/>
            </w:pPr>
            <w:r/>
            <w:r>
              <w:rPr>
                <w:sz w:val="16"/>
              </w:rPr>
              <w:t>≈ 390</w:t>
            </w:r>
          </w:p>
        </w:tc>
        <w:tc>
          <w:tcPr>
            <w:tcW w:type="dxa" w:w="1261"/>
          </w:tcPr>
          <w:p>
            <w:pPr>
              <w:spacing w:after="0"/>
            </w:pPr>
            <w:r/>
            <w:r>
              <w:rPr>
                <w:sz w:val="16"/>
              </w:rPr>
              <w:t>567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6"/>
              </w:rPr>
              <w:t>≈ 980</w:t>
            </w:r>
          </w:p>
        </w:tc>
        <w:tc>
          <w:tcPr>
            <w:tcW w:type="dxa" w:w="631"/>
          </w:tcPr>
          <w:p>
            <w:pPr>
              <w:spacing w:after="0"/>
            </w:pPr>
            <w:r/>
            <w:r>
              <w:rPr>
                <w:sz w:val="16"/>
              </w:rPr>
              <w:t>1,438</w:t>
            </w:r>
          </w:p>
        </w:tc>
      </w:tr>
      <w:tr>
        <w:tc>
          <w:tcPr>
            <w:tcW w:type="dxa" w:w="513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Aggressive: future window only</w:t>
            </w:r>
          </w:p>
        </w:tc>
        <w:tc>
          <w:tcPr>
            <w:tcW w:type="dxa" w:w="4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30</w:t>
            </w:r>
          </w:p>
        </w:tc>
        <w:tc>
          <w:tcPr>
            <w:tcW w:type="dxa" w:w="6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165</w:t>
            </w:r>
          </w:p>
        </w:tc>
        <w:tc>
          <w:tcPr>
            <w:tcW w:type="dxa" w:w="12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5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980</w:t>
            </w:r>
          </w:p>
        </w:tc>
        <w:tc>
          <w:tcPr>
            <w:tcW w:type="dxa" w:w="6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1,830</w:t>
            </w:r>
          </w:p>
        </w:tc>
      </w:tr>
      <w:tr>
        <w:tc>
          <w:tcPr>
            <w:tcW w:type="dxa" w:w="5134"/>
          </w:tcPr>
          <w:p>
            <w:pPr>
              <w:spacing w:after="0"/>
            </w:pPr>
            <w:r/>
            <w:r>
              <w:rPr>
                <w:sz w:val="16"/>
              </w:rPr>
              <w:t>Aggressive: future window + development portfolio at cost</w:t>
            </w:r>
          </w:p>
        </w:tc>
        <w:tc>
          <w:tcPr>
            <w:tcW w:type="dxa" w:w="450"/>
          </w:tcPr>
          <w:p>
            <w:pPr>
              <w:spacing w:after="0"/>
            </w:pPr>
            <w:r/>
            <w:r>
              <w:rPr>
                <w:sz w:val="16"/>
              </w:rPr>
              <w:t>≈ 75</w:t>
            </w:r>
          </w:p>
        </w:tc>
        <w:tc>
          <w:tcPr>
            <w:tcW w:type="dxa" w:w="631"/>
          </w:tcPr>
          <w:p>
            <w:pPr>
              <w:spacing w:after="0"/>
            </w:pPr>
            <w:r/>
            <w:r>
              <w:rPr>
                <w:sz w:val="16"/>
              </w:rPr>
              <w:t>≈ 450</w:t>
            </w:r>
          </w:p>
        </w:tc>
        <w:tc>
          <w:tcPr>
            <w:tcW w:type="dxa" w:w="1261"/>
          </w:tcPr>
          <w:p>
            <w:pPr>
              <w:spacing w:after="0"/>
            </w:pPr>
            <w:r/>
            <w:r>
              <w:rPr>
                <w:sz w:val="16"/>
              </w:rPr>
              <w:t>685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6"/>
              </w:rPr>
              <w:t>≈ 1,260</w:t>
            </w:r>
          </w:p>
        </w:tc>
        <w:tc>
          <w:tcPr>
            <w:tcW w:type="dxa" w:w="631"/>
          </w:tcPr>
          <w:p>
            <w:pPr>
              <w:spacing w:after="0"/>
            </w:pPr>
            <w:r/>
            <w:r>
              <w:rPr>
                <w:sz w:val="16"/>
              </w:rPr>
              <w:t>1,845</w:t>
            </w:r>
          </w:p>
        </w:tc>
      </w:tr>
      <w:tr>
        <w:tc>
          <w:tcPr>
            <w:tcW w:type="dxa" w:w="513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Aggressive: cumulative development equity</w:t>
            </w:r>
          </w:p>
        </w:tc>
        <w:tc>
          <w:tcPr>
            <w:tcW w:type="dxa" w:w="4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45</w:t>
            </w:r>
          </w:p>
        </w:tc>
        <w:tc>
          <w:tcPr>
            <w:tcW w:type="dxa" w:w="6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290</w:t>
            </w:r>
          </w:p>
        </w:tc>
        <w:tc>
          <w:tcPr>
            <w:tcW w:type="dxa" w:w="12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350 (2034)</w:t>
            </w:r>
          </w:p>
        </w:tc>
        <w:tc>
          <w:tcPr>
            <w:tcW w:type="dxa" w:w="15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428 (from 2038)</w:t>
            </w:r>
          </w:p>
        </w:tc>
        <w:tc>
          <w:tcPr>
            <w:tcW w:type="dxa" w:w="6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428</w:t>
            </w:r>
          </w:p>
        </w:tc>
      </w:tr>
      <w:tr>
        <w:tc>
          <w:tcPr>
            <w:tcW w:type="dxa" w:w="5134"/>
          </w:tcPr>
          <w:p>
            <w:pPr>
              <w:spacing w:after="0"/>
            </w:pPr>
            <w:r/>
            <w:r>
              <w:rPr>
                <w:sz w:val="16"/>
              </w:rPr>
              <w:t>Investment mobilised (× 4.8)</w:t>
            </w:r>
          </w:p>
        </w:tc>
        <w:tc>
          <w:tcPr>
            <w:tcW w:type="dxa" w:w="450"/>
          </w:tcPr>
          <w:p>
            <w:pPr>
              <w:spacing w:after="0"/>
            </w:pPr>
            <w:r/>
            <w:r>
              <w:rPr>
                <w:sz w:val="16"/>
              </w:rPr>
              <w:t>≈ 215</w:t>
            </w:r>
          </w:p>
        </w:tc>
        <w:tc>
          <w:tcPr>
            <w:tcW w:type="dxa" w:w="631"/>
          </w:tcPr>
          <w:p>
            <w:pPr>
              <w:spacing w:after="0"/>
            </w:pPr>
            <w:r/>
            <w:r>
              <w:rPr>
                <w:sz w:val="16"/>
              </w:rPr>
              <w:t>≈ 1,375</w:t>
            </w:r>
          </w:p>
        </w:tc>
        <w:tc>
          <w:tcPr>
            <w:tcW w:type="dxa" w:w="1261"/>
          </w:tcPr>
          <w:p>
            <w:pPr>
              <w:spacing w:after="0"/>
            </w:pPr>
            <w:r/>
            <w:r>
              <w:rPr>
                <w:sz w:val="16"/>
              </w:rPr>
              <w:t>≈ 1,670 (2034)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6"/>
              </w:rPr>
              <w:t>2,039 (from 2038)</w:t>
            </w:r>
          </w:p>
        </w:tc>
        <w:tc>
          <w:tcPr>
            <w:tcW w:type="dxa" w:w="631"/>
          </w:tcPr>
          <w:p>
            <w:pPr>
              <w:spacing w:after="0"/>
            </w:pPr>
            <w:r/>
            <w:r>
              <w:rPr>
                <w:sz w:val="16"/>
              </w:rPr>
              <w:t>2,039</w:t>
            </w:r>
          </w:p>
        </w:tc>
      </w:tr>
    </w:tbl>
    <w:p>
      <w:pPr>
        <w:spacing w:after="40"/>
      </w:pPr>
    </w:p>
    <w:p>
      <w:pPr>
        <w:pStyle w:val="Heading2"/>
      </w:pPr>
      <w:r>
        <w:t>Figure 10.3. Resource-first funding stack, 2027–2034 (Rp T, cumulative)</w:t>
      </w:r>
    </w:p>
    <w:p>
      <w:pPr>
        <w:spacing w:after="60"/>
      </w:pPr>
      <w:r>
        <w:rPr>
          <w:i/>
          <w:color w:val="555555"/>
          <w:sz w:val="16"/>
        </w:rPr>
        <w:t>All values labelled on the chart; need = Rp 4,881 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549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07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5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Rp T</w:t>
            </w:r>
          </w:p>
        </w:tc>
        <w:tc>
          <w:tcPr>
            <w:tcW w:type="dxa" w:w="155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Cumulative (Rp T)</w:t>
            </w:r>
          </w:p>
        </w:tc>
      </w:tr>
      <w:tr>
        <w:tc>
          <w:tcPr>
            <w:tcW w:type="dxa" w:w="5493"/>
          </w:tcPr>
          <w:p>
            <w:pPr>
              <w:spacing w:after="0"/>
            </w:pPr>
            <w:r/>
            <w:r>
              <w:rPr>
                <w:sz w:val="16"/>
              </w:rPr>
              <w:t>Development window (40% saved, 80% to development)</w:t>
            </w:r>
          </w:p>
        </w:tc>
        <w:tc>
          <w:tcPr>
            <w:tcW w:type="dxa" w:w="2073"/>
          </w:tcPr>
          <w:p>
            <w:pPr>
              <w:spacing w:after="0"/>
            </w:pPr>
            <w:r/>
            <w:r>
              <w:rPr>
                <w:sz w:val="16"/>
              </w:rPr>
              <w:t>Resource cash</w:t>
            </w:r>
          </w:p>
        </w:tc>
        <w:tc>
          <w:tcPr>
            <w:tcW w:type="dxa" w:w="518"/>
          </w:tcPr>
          <w:p>
            <w:pPr>
              <w:spacing w:after="0"/>
            </w:pPr>
            <w:r/>
            <w:r>
              <w:rPr>
                <w:sz w:val="16"/>
              </w:rPr>
              <w:t>708</w:t>
            </w:r>
          </w:p>
        </w:tc>
        <w:tc>
          <w:tcPr>
            <w:tcW w:type="dxa" w:w="1554"/>
          </w:tcPr>
          <w:p>
            <w:pPr>
              <w:spacing w:after="0"/>
            </w:pPr>
            <w:r/>
            <w:r>
              <w:rPr>
                <w:sz w:val="16"/>
              </w:rPr>
              <w:t>708</w:t>
            </w:r>
          </w:p>
        </w:tc>
      </w:tr>
      <w:tr>
        <w:tc>
          <w:tcPr>
            <w:tcW w:type="dxa" w:w="5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Windfall share above reference price</w:t>
            </w:r>
          </w:p>
        </w:tc>
        <w:tc>
          <w:tcPr>
            <w:tcW w:type="dxa" w:w="207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cash</w:t>
            </w:r>
          </w:p>
        </w:tc>
        <w:tc>
          <w:tcPr>
            <w:tcW w:type="dxa" w:w="5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15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828</w:t>
            </w:r>
          </w:p>
        </w:tc>
      </w:tr>
      <w:tr>
        <w:tc>
          <w:tcPr>
            <w:tcW w:type="dxa" w:w="5493"/>
          </w:tcPr>
          <w:p>
            <w:pPr>
              <w:spacing w:after="0"/>
            </w:pPr>
            <w:r/>
            <w:r>
              <w:rPr>
                <w:sz w:val="16"/>
              </w:rPr>
              <w:t>Coal export duty, earmarked</w:t>
            </w:r>
          </w:p>
        </w:tc>
        <w:tc>
          <w:tcPr>
            <w:tcW w:type="dxa" w:w="2073"/>
          </w:tcPr>
          <w:p>
            <w:pPr>
              <w:spacing w:after="0"/>
            </w:pPr>
            <w:r/>
            <w:r>
              <w:rPr>
                <w:sz w:val="16"/>
              </w:rPr>
              <w:t>Resource cash</w:t>
            </w:r>
          </w:p>
        </w:tc>
        <w:tc>
          <w:tcPr>
            <w:tcW w:type="dxa" w:w="518"/>
          </w:tcPr>
          <w:p>
            <w:pPr>
              <w:spacing w:after="0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1554"/>
          </w:tcPr>
          <w:p>
            <w:pPr>
              <w:spacing w:after="0"/>
            </w:pPr>
            <w:r/>
            <w:r>
              <w:rPr>
                <w:sz w:val="16"/>
              </w:rPr>
              <w:t>948</w:t>
            </w:r>
          </w:p>
        </w:tc>
      </w:tr>
      <w:tr>
        <w:tc>
          <w:tcPr>
            <w:tcW w:type="dxa" w:w="5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Mineral royalty revision</w:t>
            </w:r>
          </w:p>
        </w:tc>
        <w:tc>
          <w:tcPr>
            <w:tcW w:type="dxa" w:w="207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cash</w:t>
            </w:r>
          </w:p>
        </w:tc>
        <w:tc>
          <w:tcPr>
            <w:tcW w:type="dxa" w:w="5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15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1,018</w:t>
            </w:r>
          </w:p>
        </w:tc>
      </w:tr>
      <w:tr>
        <w:tc>
          <w:tcPr>
            <w:tcW w:type="dxa" w:w="5493"/>
          </w:tcPr>
          <w:p>
            <w:pPr>
              <w:spacing w:after="0"/>
            </w:pPr>
            <w:r/>
            <w:r>
              <w:rPr>
                <w:sz w:val="16"/>
              </w:rPr>
              <w:t>Resource-SOE dividends reinvested</w:t>
            </w:r>
          </w:p>
        </w:tc>
        <w:tc>
          <w:tcPr>
            <w:tcW w:type="dxa" w:w="2073"/>
          </w:tcPr>
          <w:p>
            <w:pPr>
              <w:spacing w:after="0"/>
            </w:pPr>
            <w:r/>
            <w:r>
              <w:rPr>
                <w:sz w:val="16"/>
              </w:rPr>
              <w:t>Resource cash</w:t>
            </w:r>
          </w:p>
        </w:tc>
        <w:tc>
          <w:tcPr>
            <w:tcW w:type="dxa" w:w="518"/>
          </w:tcPr>
          <w:p>
            <w:pPr>
              <w:spacing w:after="0"/>
            </w:pPr>
            <w:r/>
            <w:r>
              <w:rPr>
                <w:sz w:val="16"/>
              </w:rPr>
              <w:t>160</w:t>
            </w:r>
          </w:p>
        </w:tc>
        <w:tc>
          <w:tcPr>
            <w:tcW w:type="dxa" w:w="1554"/>
          </w:tcPr>
          <w:p>
            <w:pPr>
              <w:spacing w:after="0"/>
            </w:pPr>
            <w:r/>
            <w:r>
              <w:rPr>
                <w:sz w:val="16"/>
              </w:rPr>
              <w:t>1,178</w:t>
            </w:r>
          </w:p>
        </w:tc>
      </w:tr>
      <w:tr>
        <w:tc>
          <w:tcPr>
            <w:tcW w:type="dxa" w:w="5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FX loans backed by retained export proceeds (DHE SDA)</w:t>
            </w:r>
          </w:p>
        </w:tc>
        <w:tc>
          <w:tcPr>
            <w:tcW w:type="dxa" w:w="207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Resource-backed debt</w:t>
            </w:r>
          </w:p>
        </w:tc>
        <w:tc>
          <w:tcPr>
            <w:tcW w:type="dxa" w:w="5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1,139</w:t>
            </w:r>
          </w:p>
        </w:tc>
        <w:tc>
          <w:tcPr>
            <w:tcW w:type="dxa" w:w="15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2,317</w:t>
            </w:r>
          </w:p>
        </w:tc>
      </w:tr>
      <w:tr>
        <w:tc>
          <w:tcPr>
            <w:tcW w:type="dxa" w:w="5493"/>
          </w:tcPr>
          <w:p>
            <w:pPr>
              <w:spacing w:after="0"/>
            </w:pPr>
            <w:r/>
            <w:r>
              <w:rPr>
                <w:sz w:val="16"/>
              </w:rPr>
              <w:t>Resource-revenue bonds / sukuk</w:t>
            </w:r>
          </w:p>
        </w:tc>
        <w:tc>
          <w:tcPr>
            <w:tcW w:type="dxa" w:w="2073"/>
          </w:tcPr>
          <w:p>
            <w:pPr>
              <w:spacing w:after="0"/>
            </w:pPr>
            <w:r/>
            <w:r>
              <w:rPr>
                <w:sz w:val="16"/>
              </w:rPr>
              <w:t>Resource-backed debt</w:t>
            </w:r>
          </w:p>
        </w:tc>
        <w:tc>
          <w:tcPr>
            <w:tcW w:type="dxa" w:w="518"/>
          </w:tcPr>
          <w:p>
            <w:pPr>
              <w:spacing w:after="0"/>
            </w:pPr>
            <w:r/>
            <w:r>
              <w:rPr>
                <w:sz w:val="16"/>
              </w:rPr>
              <w:t>320</w:t>
            </w:r>
          </w:p>
        </w:tc>
        <w:tc>
          <w:tcPr>
            <w:tcW w:type="dxa" w:w="1554"/>
          </w:tcPr>
          <w:p>
            <w:pPr>
              <w:spacing w:after="0"/>
            </w:pPr>
            <w:r/>
            <w:r>
              <w:rPr>
                <w:sz w:val="16"/>
              </w:rPr>
              <w:t>2,637</w:t>
            </w:r>
          </w:p>
        </w:tc>
      </w:tr>
      <w:tr>
        <w:tc>
          <w:tcPr>
            <w:tcW w:type="dxa" w:w="54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Partners and project debt in commercial projects</w:t>
            </w:r>
          </w:p>
        </w:tc>
        <w:tc>
          <w:tcPr>
            <w:tcW w:type="dxa" w:w="207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Leveraged partners</w:t>
            </w:r>
          </w:p>
        </w:tc>
        <w:tc>
          <w:tcPr>
            <w:tcW w:type="dxa" w:w="5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996</w:t>
            </w:r>
          </w:p>
        </w:tc>
        <w:tc>
          <w:tcPr>
            <w:tcW w:type="dxa" w:w="155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3,633</w:t>
            </w:r>
          </w:p>
        </w:tc>
      </w:tr>
      <w:tr>
        <w:tc>
          <w:tcPr>
            <w:tcW w:type="dxa" w:w="5493"/>
          </w:tcPr>
          <w:p>
            <w:pPr>
              <w:spacing w:after="0"/>
            </w:pPr>
            <w:r/>
            <w:r>
              <w:rPr>
                <w:sz w:val="16"/>
              </w:rPr>
              <w:t>Remainder: budget, KPBU, export credit</w:t>
            </w:r>
          </w:p>
        </w:tc>
        <w:tc>
          <w:tcPr>
            <w:tcW w:type="dxa" w:w="2073"/>
          </w:tcPr>
          <w:p>
            <w:pPr>
              <w:spacing w:after="0"/>
            </w:pPr>
            <w:r/>
            <w:r>
              <w:rPr>
                <w:sz w:val="16"/>
              </w:rPr>
              <w:t>Other sources</w:t>
            </w:r>
          </w:p>
        </w:tc>
        <w:tc>
          <w:tcPr>
            <w:tcW w:type="dxa" w:w="518"/>
          </w:tcPr>
          <w:p>
            <w:pPr>
              <w:spacing w:after="0"/>
            </w:pPr>
            <w:r/>
            <w:r>
              <w:rPr>
                <w:sz w:val="16"/>
              </w:rPr>
              <w:t>1,249</w:t>
            </w:r>
          </w:p>
        </w:tc>
        <w:tc>
          <w:tcPr>
            <w:tcW w:type="dxa" w:w="1554"/>
          </w:tcPr>
          <w:p>
            <w:pPr>
              <w:spacing w:after="0"/>
            </w:pPr>
            <w:r/>
            <w:r>
              <w:rPr>
                <w:sz w:val="16"/>
              </w:rPr>
              <w:t>4,882 (≈ 4,881)</w:t>
            </w:r>
          </w:p>
        </w:tc>
      </w:tr>
    </w:tbl>
    <w:p>
      <w:pPr>
        <w:spacing w:after="40"/>
      </w:pPr>
    </w:p>
    <w:p>
      <w:pPr>
        <w:pStyle w:val="Heading2"/>
      </w:pPr>
      <w:r>
        <w:t>Figure 11.1. Growth bridge for 2029 (real GDP growth, %)</w:t>
      </w:r>
    </w:p>
    <w:p>
      <w:pPr>
        <w:spacing w:after="60"/>
      </w:pPr>
      <w:r>
        <w:rPr>
          <w:i/>
          <w:color w:val="555555"/>
          <w:sz w:val="16"/>
        </w:rPr>
        <w:t>All values labelled on the chart.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43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96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pp / %</w:t>
            </w:r>
          </w:p>
        </w:tc>
        <w:tc>
          <w:tcPr>
            <w:tcW w:type="dxa" w:w="424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4433"/>
          </w:tcPr>
          <w:p>
            <w:pPr>
              <w:spacing w:after="0"/>
            </w:pPr>
            <w:r/>
            <w:r>
              <w:rPr>
                <w:sz w:val="16"/>
              </w:rPr>
              <w:t>Baseline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5.10</w:t>
            </w:r>
          </w:p>
        </w:tc>
        <w:tc>
          <w:tcPr>
            <w:tcW w:type="dxa" w:w="4241"/>
          </w:tcPr>
          <w:p>
            <w:pPr>
              <w:spacing w:after="0"/>
            </w:pPr>
            <w:r/>
            <w:r>
              <w:rPr>
                <w:sz w:val="16"/>
              </w:rPr>
              <w:t>Level</w:t>
            </w:r>
          </w:p>
        </w:tc>
      </w:tr>
      <w:tr>
        <w:tc>
          <w:tcPr>
            <w:tcW w:type="dxa" w:w="44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Upstream recovery</w:t>
            </w:r>
          </w:p>
        </w:tc>
        <w:tc>
          <w:tcPr>
            <w:tcW w:type="dxa" w:w="9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+0.32</w:t>
            </w:r>
          </w:p>
        </w:tc>
        <w:tc>
          <w:tcPr>
            <w:tcW w:type="dxa" w:w="424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Natural-resource lever</w:t>
            </w:r>
          </w:p>
        </w:tc>
      </w:tr>
      <w:tr>
        <w:tc>
          <w:tcPr>
            <w:tcW w:type="dxa" w:w="4433"/>
          </w:tcPr>
          <w:p>
            <w:pPr>
              <w:spacing w:after="0"/>
            </w:pPr>
            <w:r/>
            <w:r>
              <w:rPr>
                <w:sz w:val="16"/>
              </w:rPr>
              <w:t>Updated pipeline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+0.46</w:t>
            </w:r>
          </w:p>
        </w:tc>
        <w:tc>
          <w:tcPr>
            <w:tcW w:type="dxa" w:w="4241"/>
          </w:tcPr>
          <w:p>
            <w:pPr>
              <w:spacing w:after="0"/>
            </w:pPr>
            <w:r/>
            <w:r>
              <w:rPr>
                <w:sz w:val="16"/>
              </w:rPr>
              <w:t>Natural-resource lever</w:t>
            </w:r>
          </w:p>
        </w:tc>
      </w:tr>
      <w:tr>
        <w:tc>
          <w:tcPr>
            <w:tcW w:type="dxa" w:w="44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Downstream acceleration</w:t>
            </w:r>
          </w:p>
        </w:tc>
        <w:tc>
          <w:tcPr>
            <w:tcW w:type="dxa" w:w="9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+0.28</w:t>
            </w:r>
          </w:p>
        </w:tc>
        <w:tc>
          <w:tcPr>
            <w:tcW w:type="dxa" w:w="424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Natural-resource lever</w:t>
            </w:r>
          </w:p>
        </w:tc>
      </w:tr>
      <w:tr>
        <w:tc>
          <w:tcPr>
            <w:tcW w:type="dxa" w:w="4433"/>
          </w:tcPr>
          <w:p>
            <w:pPr>
              <w:spacing w:after="0"/>
            </w:pPr>
            <w:r/>
            <w:r>
              <w:rPr>
                <w:sz w:val="16"/>
              </w:rPr>
              <w:t>Plantation &amp; marine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+0.10</w:t>
            </w:r>
          </w:p>
        </w:tc>
        <w:tc>
          <w:tcPr>
            <w:tcW w:type="dxa" w:w="4241"/>
          </w:tcPr>
          <w:p>
            <w:pPr>
              <w:spacing w:after="0"/>
            </w:pPr>
            <w:r/>
            <w:r>
              <w:rPr>
                <w:sz w:val="16"/>
              </w:rPr>
              <w:t>Natural-resource lever</w:t>
            </w:r>
          </w:p>
        </w:tc>
      </w:tr>
      <w:tr>
        <w:tc>
          <w:tcPr>
            <w:tcW w:type="dxa" w:w="44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Stabilisation dividend</w:t>
            </w:r>
          </w:p>
        </w:tc>
        <w:tc>
          <w:tcPr>
            <w:tcW w:type="dxa" w:w="9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+0.10</w:t>
            </w:r>
          </w:p>
        </w:tc>
        <w:tc>
          <w:tcPr>
            <w:tcW w:type="dxa" w:w="424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Natural-resource lever</w:t>
            </w:r>
          </w:p>
        </w:tc>
      </w:tr>
      <w:tr>
        <w:tc>
          <w:tcPr>
            <w:tcW w:type="dxa" w:w="4433"/>
          </w:tcPr>
          <w:p>
            <w:pPr>
              <w:spacing w:after="0"/>
            </w:pPr>
            <w:r/>
            <w:r>
              <w:rPr>
                <w:sz w:val="16"/>
              </w:rPr>
              <w:t>Investment efficiency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+0.53</w:t>
            </w:r>
          </w:p>
        </w:tc>
        <w:tc>
          <w:tcPr>
            <w:tcW w:type="dxa" w:w="4241"/>
          </w:tcPr>
          <w:p>
            <w:pPr>
              <w:spacing w:after="0"/>
            </w:pPr>
            <w:r/>
            <w:r>
              <w:rPr>
                <w:sz w:val="16"/>
              </w:rPr>
              <w:t>Enabler (lower ICOR)</w:t>
            </w:r>
          </w:p>
        </w:tc>
      </w:tr>
      <w:tr>
        <w:tc>
          <w:tcPr>
            <w:tcW w:type="dxa" w:w="44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Achievable 2029</w:t>
            </w:r>
          </w:p>
        </w:tc>
        <w:tc>
          <w:tcPr>
            <w:tcW w:type="dxa" w:w="9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6.90</w:t>
            </w:r>
          </w:p>
        </w:tc>
        <w:tc>
          <w:tcPr>
            <w:tcW w:type="dxa" w:w="424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Level</w:t>
            </w:r>
          </w:p>
        </w:tc>
      </w:tr>
      <w:tr>
        <w:tc>
          <w:tcPr>
            <w:tcW w:type="dxa" w:w="4433"/>
          </w:tcPr>
          <w:p>
            <w:pPr>
              <w:spacing w:after="0"/>
            </w:pPr>
            <w:r/>
            <w:r>
              <w:rPr>
                <w:sz w:val="16"/>
              </w:rPr>
              <w:t>Gap to 8%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+1.10</w:t>
            </w:r>
          </w:p>
        </w:tc>
        <w:tc>
          <w:tcPr>
            <w:tcW w:type="dxa" w:w="4241"/>
          </w:tcPr>
          <w:p>
            <w:pPr>
              <w:spacing w:after="0"/>
            </w:pPr>
            <w:r/>
            <w:r>
              <w:rPr>
                <w:sz w:val="16"/>
              </w:rPr>
              <w:t>Non-resource reforms</w:t>
            </w:r>
          </w:p>
        </w:tc>
      </w:tr>
      <w:tr>
        <w:tc>
          <w:tcPr>
            <w:tcW w:type="dxa" w:w="44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Target</w:t>
            </w:r>
          </w:p>
        </w:tc>
        <w:tc>
          <w:tcPr>
            <w:tcW w:type="dxa" w:w="9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8.00</w:t>
            </w:r>
          </w:p>
        </w:tc>
        <w:tc>
          <w:tcPr>
            <w:tcW w:type="dxa" w:w="424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Level</w:t>
            </w:r>
          </w:p>
        </w:tc>
      </w:tr>
    </w:tbl>
    <w:p>
      <w:pPr>
        <w:spacing w:after="40"/>
      </w:pPr>
    </w:p>
    <w:p>
      <w:pPr>
        <w:pStyle w:val="Heading2"/>
      </w:pPr>
      <w:r>
        <w:t>Figure 11.2. Growth path with natural-resource levers, 2026–2032 (%)</w:t>
      </w:r>
    </w:p>
    <w:p>
      <w:pPr>
        <w:spacing w:after="60"/>
      </w:pPr>
      <w:r>
        <w:rPr>
          <w:i/>
          <w:color w:val="555555"/>
          <w:sz w:val="16"/>
        </w:rPr>
        <w:t>Achievable growth labelled on the chart. Components recomputed from Appendix E and Table 8.3 (C); downstream acceleration read from the chart (≈) except 2029 (Table 11.2).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type="dxa" w:w="66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3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93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Upstream</w:t>
            </w:r>
          </w:p>
        </w:tc>
        <w:tc>
          <w:tcPr>
            <w:tcW w:type="dxa" w:w="93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Pipeline</w:t>
            </w:r>
          </w:p>
        </w:tc>
        <w:tc>
          <w:tcPr>
            <w:tcW w:type="dxa" w:w="116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Downstream</w:t>
            </w:r>
          </w:p>
        </w:tc>
        <w:tc>
          <w:tcPr>
            <w:tcW w:type="dxa" w:w="116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Plantation</w:t>
            </w:r>
          </w:p>
        </w:tc>
        <w:tc>
          <w:tcPr>
            <w:tcW w:type="dxa" w:w="151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Stabilisation</w:t>
            </w:r>
          </w:p>
        </w:tc>
        <w:tc>
          <w:tcPr>
            <w:tcW w:type="dxa" w:w="116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Efficiency</w:t>
            </w:r>
          </w:p>
        </w:tc>
        <w:tc>
          <w:tcPr>
            <w:tcW w:type="dxa" w:w="116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Achievable</w:t>
            </w:r>
          </w:p>
        </w:tc>
      </w:tr>
      <w:tr>
        <w:tc>
          <w:tcPr>
            <w:tcW w:type="dxa" w:w="666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5.10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−0.03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66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5.10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0.15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0.81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0.10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0.12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</w:tr>
      <w:tr>
        <w:tc>
          <w:tcPr>
            <w:tcW w:type="dxa" w:w="666"/>
          </w:tcPr>
          <w:p>
            <w:pPr>
              <w:spacing w:after="0"/>
            </w:pPr>
            <w:r/>
            <w:r>
              <w:rPr>
                <w:sz w:val="16"/>
              </w:rPr>
              <w:t>2028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5.10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0.28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0.78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≈ 0.19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0.32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</w:tr>
      <w:tr>
        <w:tc>
          <w:tcPr>
            <w:tcW w:type="dxa" w:w="66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5.10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0.32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0.46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0.28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0.53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</w:tr>
      <w:tr>
        <w:tc>
          <w:tcPr>
            <w:tcW w:type="dxa" w:w="666"/>
          </w:tcPr>
          <w:p>
            <w:pPr>
              <w:spacing w:after="0"/>
            </w:pPr>
            <w:r/>
            <w:r>
              <w:rPr>
                <w:sz w:val="16"/>
              </w:rPr>
              <w:t>2030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5.10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0.32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0.40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≈ 0.30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0.64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7.0</w:t>
            </w:r>
          </w:p>
        </w:tc>
      </w:tr>
      <w:tr>
        <w:tc>
          <w:tcPr>
            <w:tcW w:type="dxa" w:w="66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2031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5.10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0.32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0.17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0.19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51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0.64</w:t>
            </w:r>
          </w:p>
        </w:tc>
        <w:tc>
          <w:tcPr>
            <w:tcW w:type="dxa" w:w="116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6.6</w:t>
            </w:r>
          </w:p>
        </w:tc>
      </w:tr>
      <w:tr>
        <w:tc>
          <w:tcPr>
            <w:tcW w:type="dxa" w:w="666"/>
          </w:tcPr>
          <w:p>
            <w:pPr>
              <w:spacing w:after="0"/>
            </w:pPr>
            <w:r/>
            <w:r>
              <w:rPr>
                <w:sz w:val="16"/>
              </w:rPr>
              <w:t>2032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5.10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0.32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−0.82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≈ 0.05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515"/>
          </w:tcPr>
          <w:p>
            <w:pPr>
              <w:spacing w:after="0"/>
            </w:pPr>
            <w:r/>
            <w:r>
              <w:rPr>
                <w:sz w:val="16"/>
              </w:rPr>
              <w:t>0.10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0.64</w:t>
            </w:r>
          </w:p>
        </w:tc>
        <w:tc>
          <w:tcPr>
            <w:tcW w:type="dxa" w:w="1165"/>
          </w:tcPr>
          <w:p>
            <w:pPr>
              <w:spacing w:after="0"/>
            </w:pPr>
            <w:r/>
            <w:r>
              <w:rPr>
                <w:sz w:val="16"/>
              </w:rPr>
              <w:t>5.5</w:t>
            </w:r>
          </w:p>
        </w:tc>
      </w:tr>
    </w:tbl>
    <w:p>
      <w:pPr>
        <w:spacing w:after="40"/>
      </w:pPr>
    </w:p>
    <w:p>
      <w:pPr>
        <w:pStyle w:val="Heading2"/>
      </w:pPr>
      <w:r>
        <w:t>Figure 12.1. Three routes to 8%: investment ratio vs ICOR</w:t>
      </w:r>
    </w:p>
    <w:p>
      <w:pPr>
        <w:spacing w:after="60"/>
      </w:pPr>
      <w:r>
        <w:rPr>
          <w:i/>
          <w:color w:val="555555"/>
          <w:sz w:val="16"/>
        </w:rPr>
        <w:t>Points from Table 12.1, Section 11.2 and chart labels. Iso-growth lines: growth = investment ÷ ICOR (5%, 6%, 7%, 8%).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484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Point</w:t>
            </w:r>
          </w:p>
        </w:tc>
        <w:tc>
          <w:tcPr>
            <w:tcW w:type="dxa" w:w="263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 (% of GDP)</w:t>
            </w:r>
          </w:p>
        </w:tc>
        <w:tc>
          <w:tcPr>
            <w:tcW w:type="dxa" w:w="89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ICOR</w:t>
            </w:r>
          </w:p>
        </w:tc>
        <w:tc>
          <w:tcPr>
            <w:tcW w:type="dxa" w:w="125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Growth (%)</w:t>
            </w:r>
          </w:p>
        </w:tc>
      </w:tr>
      <w:tr>
        <w:tc>
          <w:tcPr>
            <w:tcW w:type="dxa" w:w="4846"/>
          </w:tcPr>
          <w:p>
            <w:pPr>
              <w:spacing w:after="0"/>
            </w:pPr>
            <w:r/>
            <w:r>
              <w:rPr>
                <w:sz w:val="16"/>
              </w:rPr>
              <w:t>Indonesia 2025</w:t>
            </w:r>
          </w:p>
        </w:tc>
        <w:tc>
          <w:tcPr>
            <w:tcW w:type="dxa" w:w="2638"/>
          </w:tcPr>
          <w:p>
            <w:pPr>
              <w:spacing w:after="0"/>
            </w:pPr>
            <w:r/>
            <w:r>
              <w:rPr>
                <w:sz w:val="16"/>
              </w:rPr>
              <w:t>28.8</w:t>
            </w:r>
          </w:p>
        </w:tc>
        <w:tc>
          <w:tcPr>
            <w:tcW w:type="dxa" w:w="897"/>
          </w:tcPr>
          <w:p>
            <w:pPr>
              <w:spacing w:after="0"/>
            </w:pPr>
            <w:r/>
            <w:r>
              <w:rPr>
                <w:sz w:val="16"/>
              </w:rPr>
              <w:t>5.6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484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Resource-led 2029</w:t>
            </w:r>
          </w:p>
        </w:tc>
        <w:tc>
          <w:tcPr>
            <w:tcW w:type="dxa" w:w="26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32.5</w:t>
            </w:r>
          </w:p>
        </w:tc>
        <w:tc>
          <w:tcPr>
            <w:tcW w:type="dxa" w:w="89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4.7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</w:tr>
      <w:tr>
        <w:tc>
          <w:tcPr>
            <w:tcW w:type="dxa" w:w="4846"/>
          </w:tcPr>
          <w:p>
            <w:pPr>
              <w:spacing w:after="0"/>
            </w:pPr>
            <w:r/>
            <w:r>
              <w:rPr>
                <w:sz w:val="16"/>
              </w:rPr>
              <w:t>Government plan</w:t>
            </w:r>
          </w:p>
        </w:tc>
        <w:tc>
          <w:tcPr>
            <w:tcW w:type="dxa" w:w="2638"/>
          </w:tcPr>
          <w:p>
            <w:pPr>
              <w:spacing w:after="0"/>
            </w:pPr>
            <w:r/>
            <w:r>
              <w:rPr>
                <w:sz w:val="16"/>
              </w:rPr>
              <w:t>≈ 31.2</w:t>
            </w:r>
          </w:p>
        </w:tc>
        <w:tc>
          <w:tcPr>
            <w:tcW w:type="dxa" w:w="897"/>
          </w:tcPr>
          <w:p>
            <w:pPr>
              <w:spacing w:after="0"/>
            </w:pPr>
            <w:r/>
            <w:r>
              <w:rPr>
                <w:sz w:val="16"/>
              </w:rPr>
              <w:t>3.9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</w:tr>
      <w:tr>
        <w:tc>
          <w:tcPr>
            <w:tcW w:type="dxa" w:w="484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S1 Efficiency first</w:t>
            </w:r>
          </w:p>
        </w:tc>
        <w:tc>
          <w:tcPr>
            <w:tcW w:type="dxa" w:w="26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31.5</w:t>
            </w:r>
          </w:p>
        </w:tc>
        <w:tc>
          <w:tcPr>
            <w:tcW w:type="dxa" w:w="89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3.95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</w:tr>
      <w:tr>
        <w:tc>
          <w:tcPr>
            <w:tcW w:type="dxa" w:w="4846"/>
          </w:tcPr>
          <w:p>
            <w:pPr>
              <w:spacing w:after="0"/>
            </w:pPr>
            <w:r/>
            <w:r>
              <w:rPr>
                <w:sz w:val="16"/>
              </w:rPr>
              <w:t>S2 Big push</w:t>
            </w:r>
          </w:p>
        </w:tc>
        <w:tc>
          <w:tcPr>
            <w:tcW w:type="dxa" w:w="2638"/>
          </w:tcPr>
          <w:p>
            <w:pPr>
              <w:spacing w:after="0"/>
            </w:pPr>
            <w:r/>
            <w:r>
              <w:rPr>
                <w:sz w:val="16"/>
              </w:rPr>
              <w:t>38.5</w:t>
            </w:r>
          </w:p>
        </w:tc>
        <w:tc>
          <w:tcPr>
            <w:tcW w:type="dxa" w:w="897"/>
          </w:tcPr>
          <w:p>
            <w:pPr>
              <w:spacing w:after="0"/>
            </w:pPr>
            <w:r/>
            <w:r>
              <w:rPr>
                <w:sz w:val="16"/>
              </w:rPr>
              <w:t>4.8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</w:tr>
      <w:tr>
        <w:tc>
          <w:tcPr>
            <w:tcW w:type="dxa" w:w="484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S3 Industrial &amp; export leap</w:t>
            </w:r>
          </w:p>
        </w:tc>
        <w:tc>
          <w:tcPr>
            <w:tcW w:type="dxa" w:w="26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34.5</w:t>
            </w:r>
          </w:p>
        </w:tc>
        <w:tc>
          <w:tcPr>
            <w:tcW w:type="dxa" w:w="89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12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</w:tr>
      <w:tr>
        <w:tc>
          <w:tcPr>
            <w:tcW w:type="dxa" w:w="4846"/>
          </w:tcPr>
          <w:p>
            <w:pPr>
              <w:spacing w:after="0"/>
            </w:pPr>
            <w:r/>
            <w:r>
              <w:rPr>
                <w:sz w:val="16"/>
              </w:rPr>
              <w:t>Recommended path</w:t>
            </w:r>
          </w:p>
        </w:tc>
        <w:tc>
          <w:tcPr>
            <w:tcW w:type="dxa" w:w="2638"/>
          </w:tcPr>
          <w:p>
            <w:pPr>
              <w:spacing w:after="0"/>
            </w:pPr>
            <w:r/>
            <w:r>
              <w:rPr>
                <w:sz w:val="16"/>
              </w:rPr>
              <w:t>33.5</w:t>
            </w:r>
          </w:p>
        </w:tc>
        <w:tc>
          <w:tcPr>
            <w:tcW w:type="dxa" w:w="897"/>
          </w:tcPr>
          <w:p>
            <w:pPr>
              <w:spacing w:after="0"/>
            </w:pPr>
            <w:r/>
            <w:r>
              <w:rPr>
                <w:sz w:val="16"/>
              </w:rPr>
              <w:t>4.2</w:t>
            </w:r>
          </w:p>
        </w:tc>
        <w:tc>
          <w:tcPr>
            <w:tcW w:type="dxa" w:w="1256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</w:tr>
    </w:tbl>
    <w:p>
      <w:pPr>
        <w:spacing w:after="40"/>
      </w:pPr>
    </w:p>
    <w:p>
      <w:pPr>
        <w:pStyle w:val="Heading2"/>
      </w:pPr>
      <w:r>
        <w:t>Figure 12.2. Growth paths of the three scenarios, 2025–2030 (%)</w:t>
      </w:r>
    </w:p>
    <w:p>
      <w:pPr>
        <w:spacing w:after="60"/>
      </w:pPr>
      <w:r>
        <w:rPr>
          <w:i/>
          <w:color w:val="555555"/>
          <w:sz w:val="16"/>
        </w:rPr>
        <w:t>Scenario values from Table 12.1/Chapter 12; resource-led path from Figure 11.2; 2030 holds 2029 values.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6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3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139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Resource-led</w:t>
            </w:r>
          </w:p>
        </w:tc>
        <w:tc>
          <w:tcPr>
            <w:tcW w:type="dxa" w:w="22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S1 Efficiency first</w:t>
            </w:r>
          </w:p>
        </w:tc>
        <w:tc>
          <w:tcPr>
            <w:tcW w:type="dxa" w:w="128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S2 Big push</w:t>
            </w:r>
          </w:p>
        </w:tc>
        <w:tc>
          <w:tcPr>
            <w:tcW w:type="dxa" w:w="314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S3 Industrial &amp; export leap</w:t>
            </w:r>
          </w:p>
        </w:tc>
      </w:tr>
      <w:tr>
        <w:tc>
          <w:tcPr>
            <w:tcW w:type="dxa" w:w="666"/>
          </w:tcPr>
          <w:p>
            <w:pPr>
              <w:spacing w:after="0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1398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2214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3146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66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2026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139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22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  <w:tc>
          <w:tcPr>
            <w:tcW w:type="dxa" w:w="12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314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5.5</w:t>
            </w:r>
          </w:p>
        </w:tc>
      </w:tr>
      <w:tr>
        <w:tc>
          <w:tcPr>
            <w:tcW w:type="dxa" w:w="666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1398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2214"/>
          </w:tcPr>
          <w:p>
            <w:pPr>
              <w:spacing w:after="0"/>
            </w:pPr>
            <w:r/>
            <w:r>
              <w:rPr>
                <w:sz w:val="16"/>
              </w:rPr>
              <w:t>5.8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  <w:tc>
          <w:tcPr>
            <w:tcW w:type="dxa" w:w="3146"/>
          </w:tcPr>
          <w:p>
            <w:pPr>
              <w:spacing w:after="0"/>
            </w:pPr>
            <w:r/>
            <w:r>
              <w:rPr>
                <w:sz w:val="16"/>
              </w:rPr>
              <w:t>6.1</w:t>
            </w:r>
          </w:p>
        </w:tc>
      </w:tr>
      <w:tr>
        <w:tc>
          <w:tcPr>
            <w:tcW w:type="dxa" w:w="66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139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  <w:tc>
          <w:tcPr>
            <w:tcW w:type="dxa" w:w="22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6.6</w:t>
            </w:r>
          </w:p>
        </w:tc>
        <w:tc>
          <w:tcPr>
            <w:tcW w:type="dxa" w:w="12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7.5</w:t>
            </w:r>
          </w:p>
        </w:tc>
        <w:tc>
          <w:tcPr>
            <w:tcW w:type="dxa" w:w="314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</w:tr>
      <w:tr>
        <w:tc>
          <w:tcPr>
            <w:tcW w:type="dxa" w:w="666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932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1398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  <w:tc>
          <w:tcPr>
            <w:tcW w:type="dxa" w:w="2214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  <w:tc>
          <w:tcPr>
            <w:tcW w:type="dxa" w:w="3146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</w:tr>
      <w:tr>
        <w:tc>
          <w:tcPr>
            <w:tcW w:type="dxa" w:w="66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2030</w:t>
            </w:r>
          </w:p>
        </w:tc>
        <w:tc>
          <w:tcPr>
            <w:tcW w:type="dxa" w:w="93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139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7.0</w:t>
            </w:r>
          </w:p>
        </w:tc>
        <w:tc>
          <w:tcPr>
            <w:tcW w:type="dxa" w:w="22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  <w:tc>
          <w:tcPr>
            <w:tcW w:type="dxa" w:w="12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  <w:tc>
          <w:tcPr>
            <w:tcW w:type="dxa" w:w="314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</w:tr>
    </w:tbl>
    <w:p>
      <w:pPr>
        <w:spacing w:after="40"/>
      </w:pPr>
    </w:p>
    <w:p>
      <w:pPr>
        <w:pStyle w:val="Heading2"/>
      </w:pPr>
      <w:r>
        <w:t>Figure 13.1. Indicative implementation timeline, 2026–2032</w:t>
      </w:r>
    </w:p>
    <w:p>
      <w:pPr>
        <w:spacing w:after="60"/>
      </w:pPr>
      <w:r>
        <w:rPr>
          <w:i/>
          <w:color w:val="555555"/>
          <w:sz w:val="16"/>
        </w:rPr>
        <w:t>Phases and milestones as stated in Section 13.4.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775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Phase / milestone</w:t>
            </w:r>
          </w:p>
        </w:tc>
        <w:tc>
          <w:tcPr>
            <w:tcW w:type="dxa" w:w="188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Timing</w:t>
            </w:r>
          </w:p>
        </w:tc>
      </w:tr>
      <w:tr>
        <w:tc>
          <w:tcPr>
            <w:tcW w:type="dxa" w:w="7752"/>
          </w:tcPr>
          <w:p>
            <w:pPr>
              <w:spacing w:after="0"/>
            </w:pPr>
            <w:r/>
            <w:r>
              <w:rPr>
                <w:sz w:val="16"/>
              </w:rPr>
              <w:t>Preparation</w:t>
            </w:r>
          </w:p>
        </w:tc>
        <w:tc>
          <w:tcPr>
            <w:tcW w:type="dxa" w:w="1886"/>
          </w:tcPr>
          <w:p>
            <w:pPr>
              <w:spacing w:after="0"/>
            </w:pPr>
            <w:r/>
            <w:r>
              <w:rPr>
                <w:sz w:val="16"/>
              </w:rPr>
              <w:t>late 2026</w:t>
            </w:r>
          </w:p>
        </w:tc>
      </w:tr>
      <w:tr>
        <w:tc>
          <w:tcPr>
            <w:tcW w:type="dxa" w:w="7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Legislation</w:t>
            </w:r>
          </w:p>
        </w:tc>
        <w:tc>
          <w:tcPr>
            <w:tcW w:type="dxa" w:w="188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2027–2029</w:t>
            </w:r>
          </w:p>
        </w:tc>
      </w:tr>
      <w:tr>
        <w:tc>
          <w:tcPr>
            <w:tcW w:type="dxa" w:w="7752"/>
          </w:tcPr>
          <w:p>
            <w:pPr>
              <w:spacing w:after="0"/>
            </w:pPr>
            <w:r/>
            <w:r>
              <w:rPr>
                <w:sz w:val="16"/>
              </w:rPr>
              <w:t>Operation (oil, gas and coal first)</w:t>
            </w:r>
          </w:p>
        </w:tc>
        <w:tc>
          <w:tcPr>
            <w:tcW w:type="dxa" w:w="1886"/>
          </w:tcPr>
          <w:p>
            <w:pPr>
              <w:spacing w:after="0"/>
            </w:pPr>
            <w:r/>
            <w:r>
              <w:rPr>
                <w:sz w:val="16"/>
              </w:rPr>
              <w:t>from 2029</w:t>
            </w:r>
          </w:p>
        </w:tc>
      </w:tr>
      <w:tr>
        <w:tc>
          <w:tcPr>
            <w:tcW w:type="dxa" w:w="7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Expansion and first full-cycle review</w:t>
            </w:r>
          </w:p>
        </w:tc>
        <w:tc>
          <w:tcPr>
            <w:tcW w:type="dxa" w:w="188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2031–2032</w:t>
            </w:r>
          </w:p>
        </w:tc>
      </w:tr>
      <w:tr>
        <w:tc>
          <w:tcPr>
            <w:tcW w:type="dxa" w:w="7752"/>
          </w:tcPr>
          <w:p>
            <w:pPr>
              <w:spacing w:after="0"/>
            </w:pPr>
            <w:r/>
            <w:r>
              <w:rPr>
                <w:sz w:val="16"/>
              </w:rPr>
              <w:t>Draft Law submitted to DPR</w:t>
            </w:r>
          </w:p>
        </w:tc>
        <w:tc>
          <w:tcPr>
            <w:tcW w:type="dxa" w:w="1886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</w:tr>
      <w:tr>
        <w:tc>
          <w:tcPr>
            <w:tcW w:type="dxa" w:w="7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Law enacted</w:t>
            </w:r>
          </w:p>
        </w:tc>
        <w:tc>
          <w:tcPr>
            <w:tcW w:type="dxa" w:w="188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</w:t>
            </w:r>
          </w:p>
        </w:tc>
      </w:tr>
      <w:tr>
        <w:tc>
          <w:tcPr>
            <w:tcW w:type="dxa" w:w="7752"/>
          </w:tcPr>
          <w:p>
            <w:pPr>
              <w:spacing w:after="0"/>
            </w:pPr>
            <w:r/>
            <w:r>
              <w:rPr>
                <w:sz w:val="16"/>
              </w:rPr>
              <w:t>First published reference prices</w:t>
            </w:r>
          </w:p>
        </w:tc>
        <w:tc>
          <w:tcPr>
            <w:tcW w:type="dxa" w:w="1886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</w:tr>
      <w:tr>
        <w:tc>
          <w:tcPr>
            <w:tcW w:type="dxa" w:w="7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First deposits in both windows</w:t>
            </w:r>
          </w:p>
        </w:tc>
        <w:tc>
          <w:tcPr>
            <w:tcW w:type="dxa" w:w="188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</w:tr>
      <w:tr>
        <w:tc>
          <w:tcPr>
            <w:tcW w:type="dxa" w:w="7752"/>
          </w:tcPr>
          <w:p>
            <w:pPr>
              <w:spacing w:after="0"/>
            </w:pPr>
            <w:r/>
            <w:r>
              <w:rPr>
                <w:sz w:val="16"/>
              </w:rPr>
              <w:t>Palm oil inclusion</w:t>
            </w:r>
          </w:p>
        </w:tc>
        <w:tc>
          <w:tcPr>
            <w:tcW w:type="dxa" w:w="1886"/>
          </w:tcPr>
          <w:p>
            <w:pPr>
              <w:spacing w:after="0"/>
            </w:pPr>
            <w:r/>
            <w:r>
              <w:rPr>
                <w:sz w:val="16"/>
              </w:rPr>
              <w:t>2030–2031</w:t>
            </w:r>
          </w:p>
        </w:tc>
      </w:tr>
      <w:tr>
        <w:tc>
          <w:tcPr>
            <w:tcW w:type="dxa" w:w="77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Nickel inclusion with full review</w:t>
            </w:r>
          </w:p>
        </w:tc>
        <w:tc>
          <w:tcPr>
            <w:tcW w:type="dxa" w:w="188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 D · The paper's tables, reproduced</w:t>
      </w:r>
    </w:p>
    <w:p>
      <w:pPr>
        <w:spacing w:after="60"/>
      </w:pPr>
      <w:r>
        <w:rPr>
          <w:i/>
          <w:color w:val="555555"/>
          <w:sz w:val="16"/>
        </w:rPr>
        <w:t>All 45 numbered tables, transcribed cell by cell from the source document. Symbols as in the source: * October 2026 update or estimated year; † Athens (classified programme); ‡ defence modernisation scope (submarines, USV, fast attack craft, carrier Sriwijaya refurbishment, fighter squadrons, MRO); TBC = to be confirmed.</w:t>
      </w:r>
    </w:p>
    <w:p>
      <w:pPr>
        <w:pStyle w:val="Heading2"/>
      </w:pPr>
      <w:r>
        <w:t>Table 1.1. Classification of Indonesia's natural-resource exports (US$ billion)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237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Commodity group</w:t>
            </w:r>
          </w:p>
        </w:tc>
        <w:tc>
          <w:tcPr>
            <w:tcW w:type="dxa" w:w="134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Industry</w:t>
            </w:r>
          </w:p>
        </w:tc>
        <w:tc>
          <w:tcPr>
            <w:tcW w:type="dxa" w:w="999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Size (avg 2021–25)</w:t>
            </w:r>
          </w:p>
        </w:tc>
        <w:tc>
          <w:tcPr>
            <w:tcW w:type="dxa" w:w="111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Processing stage</w:t>
            </w:r>
          </w:p>
        </w:tc>
        <w:tc>
          <w:tcPr>
            <w:tcW w:type="dxa" w:w="2219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Industry stage</w:t>
            </w:r>
          </w:p>
        </w:tc>
        <w:tc>
          <w:tcPr>
            <w:tcW w:type="dxa" w:w="31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2000</w:t>
            </w:r>
          </w:p>
        </w:tc>
        <w:tc>
          <w:tcPr>
            <w:tcW w:type="dxa" w:w="95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Peak (year)</w:t>
            </w:r>
          </w:p>
        </w:tc>
        <w:tc>
          <w:tcPr>
            <w:tcW w:type="dxa" w:w="31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2025</w:t>
            </w:r>
          </w:p>
        </w:tc>
      </w:tr>
      <w:tr>
        <w:tc>
          <w:tcPr>
            <w:tcW w:type="dxa" w:w="2378"/>
          </w:tcPr>
          <w:p>
            <w:pPr>
              <w:spacing w:after="0"/>
            </w:pPr>
            <w:r/>
            <w:r>
              <w:rPr>
                <w:sz w:val="15"/>
              </w:rPr>
              <w:t>Coal</w:t>
            </w:r>
          </w:p>
        </w:tc>
        <w:tc>
          <w:tcPr>
            <w:tcW w:type="dxa" w:w="1347"/>
          </w:tcPr>
          <w:p>
            <w:pPr>
              <w:spacing w:after="0"/>
            </w:pPr>
            <w:r/>
            <w:r>
              <w:rPr>
                <w:sz w:val="15"/>
              </w:rPr>
              <w:t>Energy</w:t>
            </w:r>
          </w:p>
        </w:tc>
        <w:tc>
          <w:tcPr>
            <w:tcW w:type="dxa" w:w="999"/>
          </w:tcPr>
          <w:p>
            <w:pPr>
              <w:spacing w:after="0"/>
            </w:pPr>
            <w:r/>
            <w:r>
              <w:rPr>
                <w:sz w:val="15"/>
              </w:rPr>
              <w:t>Large · 32.6</w:t>
            </w:r>
          </w:p>
        </w:tc>
        <w:tc>
          <w:tcPr>
            <w:tcW w:type="dxa" w:w="1110"/>
          </w:tcPr>
          <w:p>
            <w:pPr>
              <w:spacing w:after="0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2219"/>
          </w:tcPr>
          <w:p>
            <w:pPr>
              <w:spacing w:after="0"/>
            </w:pPr>
            <w:r/>
            <w:r>
              <w:rPr>
                <w:sz w:val="15"/>
              </w:rPr>
              <w:t>Mature, peaking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951"/>
          </w:tcPr>
          <w:p>
            <w:pPr>
              <w:spacing w:after="0"/>
            </w:pPr>
            <w:r/>
            <w:r>
              <w:rPr>
                <w:sz w:val="15"/>
              </w:rPr>
              <w:t>46.8 (2022)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24.5</w:t>
            </w:r>
          </w:p>
        </w:tc>
      </w:tr>
      <w:tr>
        <w:tc>
          <w:tcPr>
            <w:tcW w:type="dxa" w:w="237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Palm &amp; palm-kernel oil</w:t>
            </w:r>
          </w:p>
        </w:tc>
        <w:tc>
          <w:tcPr>
            <w:tcW w:type="dxa" w:w="134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Plantation</w:t>
            </w:r>
          </w:p>
        </w:tc>
        <w:tc>
          <w:tcPr>
            <w:tcW w:type="dxa" w:w="99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Large · 27.2</w:t>
            </w:r>
          </w:p>
        </w:tc>
        <w:tc>
          <w:tcPr>
            <w:tcW w:type="dxa" w:w="111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Semi-processed</w:t>
            </w:r>
          </w:p>
        </w:tc>
        <w:tc>
          <w:tcPr>
            <w:tcW w:type="dxa" w:w="221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Mature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951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30.9 (2022)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28.4</w:t>
            </w:r>
          </w:p>
        </w:tc>
      </w:tr>
      <w:tr>
        <w:tc>
          <w:tcPr>
            <w:tcW w:type="dxa" w:w="2378"/>
          </w:tcPr>
          <w:p>
            <w:pPr>
              <w:spacing w:after="0"/>
            </w:pPr>
            <w:r/>
            <w:r>
              <w:rPr>
                <w:sz w:val="15"/>
              </w:rPr>
              <w:t>Ferronickel/NPI &amp; nickel matte</w:t>
            </w:r>
          </w:p>
        </w:tc>
        <w:tc>
          <w:tcPr>
            <w:tcW w:type="dxa" w:w="1347"/>
          </w:tcPr>
          <w:p>
            <w:pPr>
              <w:spacing w:after="0"/>
            </w:pPr>
            <w:r/>
            <w:r>
              <w:rPr>
                <w:sz w:val="15"/>
              </w:rPr>
              <w:t>Metals &amp; minerals</w:t>
            </w:r>
          </w:p>
        </w:tc>
        <w:tc>
          <w:tcPr>
            <w:tcW w:type="dxa" w:w="999"/>
          </w:tcPr>
          <w:p>
            <w:pPr>
              <w:spacing w:after="0"/>
            </w:pPr>
            <w:r/>
            <w:r>
              <w:rPr>
                <w:sz w:val="15"/>
              </w:rPr>
              <w:t>Large · 19.2</w:t>
            </w:r>
          </w:p>
        </w:tc>
        <w:tc>
          <w:tcPr>
            <w:tcW w:type="dxa" w:w="1110"/>
          </w:tcPr>
          <w:p>
            <w:pPr>
              <w:spacing w:after="0"/>
            </w:pPr>
            <w:r/>
            <w:r>
              <w:rPr>
                <w:sz w:val="15"/>
              </w:rPr>
              <w:t>Semi-processed</w:t>
            </w:r>
          </w:p>
        </w:tc>
        <w:tc>
          <w:tcPr>
            <w:tcW w:type="dxa" w:w="2219"/>
          </w:tcPr>
          <w:p>
            <w:pPr>
              <w:spacing w:after="0"/>
            </w:pPr>
            <w:r/>
            <w:r>
              <w:rPr>
                <w:sz w:val="15"/>
              </w:rPr>
              <w:t>Emerging, fast growth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0.4</w:t>
            </w:r>
          </w:p>
        </w:tc>
        <w:tc>
          <w:tcPr>
            <w:tcW w:type="dxa" w:w="951"/>
          </w:tcPr>
          <w:p>
            <w:pPr>
              <w:spacing w:after="0"/>
            </w:pPr>
            <w:r/>
            <w:r>
              <w:rPr>
                <w:sz w:val="15"/>
              </w:rPr>
              <w:t>24.9 (2025)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24.9</w:t>
            </w:r>
          </w:p>
        </w:tc>
      </w:tr>
      <w:tr>
        <w:tc>
          <w:tcPr>
            <w:tcW w:type="dxa" w:w="237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Stainless steel</w:t>
            </w:r>
          </w:p>
        </w:tc>
        <w:tc>
          <w:tcPr>
            <w:tcW w:type="dxa" w:w="134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Metals &amp; minerals</w:t>
            </w:r>
          </w:p>
        </w:tc>
        <w:tc>
          <w:tcPr>
            <w:tcW w:type="dxa" w:w="99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Medium · 9.1</w:t>
            </w:r>
          </w:p>
        </w:tc>
        <w:tc>
          <w:tcPr>
            <w:tcW w:type="dxa" w:w="111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Downstream</w:t>
            </w:r>
          </w:p>
        </w:tc>
        <w:tc>
          <w:tcPr>
            <w:tcW w:type="dxa" w:w="221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Emerging, fast growth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951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10.9 (2022)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7.8</w:t>
            </w:r>
          </w:p>
        </w:tc>
      </w:tr>
      <w:tr>
        <w:tc>
          <w:tcPr>
            <w:tcW w:type="dxa" w:w="2378"/>
          </w:tcPr>
          <w:p>
            <w:pPr>
              <w:spacing w:after="0"/>
            </w:pPr>
            <w:r/>
            <w:r>
              <w:rPr>
                <w:sz w:val="15"/>
              </w:rPr>
              <w:t>Natural gas (LNG &amp; pipeline)</w:t>
            </w:r>
          </w:p>
        </w:tc>
        <w:tc>
          <w:tcPr>
            <w:tcW w:type="dxa" w:w="1347"/>
          </w:tcPr>
          <w:p>
            <w:pPr>
              <w:spacing w:after="0"/>
            </w:pPr>
            <w:r/>
            <w:r>
              <w:rPr>
                <w:sz w:val="15"/>
              </w:rPr>
              <w:t>Energy</w:t>
            </w:r>
          </w:p>
        </w:tc>
        <w:tc>
          <w:tcPr>
            <w:tcW w:type="dxa" w:w="999"/>
          </w:tcPr>
          <w:p>
            <w:pPr>
              <w:spacing w:after="0"/>
            </w:pPr>
            <w:r/>
            <w:r>
              <w:rPr>
                <w:sz w:val="15"/>
              </w:rPr>
              <w:t>Medium · 8.5</w:t>
            </w:r>
          </w:p>
        </w:tc>
        <w:tc>
          <w:tcPr>
            <w:tcW w:type="dxa" w:w="1110"/>
          </w:tcPr>
          <w:p>
            <w:pPr>
              <w:spacing w:after="0"/>
            </w:pPr>
            <w:r/>
            <w:r>
              <w:rPr>
                <w:sz w:val="15"/>
              </w:rPr>
              <w:t>Semi-processed</w:t>
            </w:r>
          </w:p>
        </w:tc>
        <w:tc>
          <w:tcPr>
            <w:tcW w:type="dxa" w:w="2219"/>
          </w:tcPr>
          <w:p>
            <w:pPr>
              <w:spacing w:after="0"/>
            </w:pPr>
            <w:r/>
            <w:r>
              <w:rPr>
                <w:sz w:val="15"/>
              </w:rPr>
              <w:t>Declining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6.6</w:t>
            </w:r>
          </w:p>
        </w:tc>
        <w:tc>
          <w:tcPr>
            <w:tcW w:type="dxa" w:w="951"/>
          </w:tcPr>
          <w:p>
            <w:pPr>
              <w:spacing w:after="0"/>
            </w:pPr>
            <w:r/>
            <w:r>
              <w:rPr>
                <w:sz w:val="15"/>
              </w:rPr>
              <w:t>19.4 (2011*)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7.4</w:t>
            </w:r>
          </w:p>
        </w:tc>
      </w:tr>
      <w:tr>
        <w:tc>
          <w:tcPr>
            <w:tcW w:type="dxa" w:w="237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Copper ore &amp; concentrate</w:t>
            </w:r>
          </w:p>
        </w:tc>
        <w:tc>
          <w:tcPr>
            <w:tcW w:type="dxa" w:w="134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Metals &amp; minerals</w:t>
            </w:r>
          </w:p>
        </w:tc>
        <w:tc>
          <w:tcPr>
            <w:tcW w:type="dxa" w:w="99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Medium · 7.2</w:t>
            </w:r>
          </w:p>
        </w:tc>
        <w:tc>
          <w:tcPr>
            <w:tcW w:type="dxa" w:w="111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221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Mature, shifting to smelting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951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9.2 (2022)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4.9</w:t>
            </w:r>
          </w:p>
        </w:tc>
      </w:tr>
      <w:tr>
        <w:tc>
          <w:tcPr>
            <w:tcW w:type="dxa" w:w="2378"/>
          </w:tcPr>
          <w:p>
            <w:pPr>
              <w:spacing w:after="0"/>
            </w:pPr>
            <w:r/>
            <w:r>
              <w:rPr>
                <w:sz w:val="15"/>
              </w:rPr>
              <w:t>Oleochemicals &amp; biodiesel</w:t>
            </w:r>
          </w:p>
        </w:tc>
        <w:tc>
          <w:tcPr>
            <w:tcW w:type="dxa" w:w="1347"/>
          </w:tcPr>
          <w:p>
            <w:pPr>
              <w:spacing w:after="0"/>
            </w:pPr>
            <w:r/>
            <w:r>
              <w:rPr>
                <w:sz w:val="15"/>
              </w:rPr>
              <w:t>Plantation</w:t>
            </w:r>
          </w:p>
        </w:tc>
        <w:tc>
          <w:tcPr>
            <w:tcW w:type="dxa" w:w="999"/>
          </w:tcPr>
          <w:p>
            <w:pPr>
              <w:spacing w:after="0"/>
            </w:pPr>
            <w:r/>
            <w:r>
              <w:rPr>
                <w:sz w:val="15"/>
              </w:rPr>
              <w:t>Medium · 6.0</w:t>
            </w:r>
          </w:p>
        </w:tc>
        <w:tc>
          <w:tcPr>
            <w:tcW w:type="dxa" w:w="1110"/>
          </w:tcPr>
          <w:p>
            <w:pPr>
              <w:spacing w:after="0"/>
            </w:pPr>
            <w:r/>
            <w:r>
              <w:rPr>
                <w:sz w:val="15"/>
              </w:rPr>
              <w:t>Downstream</w:t>
            </w:r>
          </w:p>
        </w:tc>
        <w:tc>
          <w:tcPr>
            <w:tcW w:type="dxa" w:w="2219"/>
          </w:tcPr>
          <w:p>
            <w:pPr>
              <w:spacing w:after="0"/>
            </w:pPr>
            <w:r/>
            <w:r>
              <w:rPr>
                <w:sz w:val="15"/>
              </w:rPr>
              <w:t>Growing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0.2</w:t>
            </w:r>
          </w:p>
        </w:tc>
        <w:tc>
          <w:tcPr>
            <w:tcW w:type="dxa" w:w="951"/>
          </w:tcPr>
          <w:p>
            <w:pPr>
              <w:spacing w:after="0"/>
            </w:pPr>
            <w:r/>
            <w:r>
              <w:rPr>
                <w:sz w:val="15"/>
              </w:rPr>
              <w:t>7.6 (2025)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7.6</w:t>
            </w:r>
          </w:p>
        </w:tc>
      </w:tr>
      <w:tr>
        <w:tc>
          <w:tcPr>
            <w:tcW w:type="dxa" w:w="237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Refined petroleum products</w:t>
            </w:r>
          </w:p>
        </w:tc>
        <w:tc>
          <w:tcPr>
            <w:tcW w:type="dxa" w:w="134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Energy</w:t>
            </w:r>
          </w:p>
        </w:tc>
        <w:tc>
          <w:tcPr>
            <w:tcW w:type="dxa" w:w="99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Medium · 3.2</w:t>
            </w:r>
          </w:p>
        </w:tc>
        <w:tc>
          <w:tcPr>
            <w:tcW w:type="dxa" w:w="111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Processed</w:t>
            </w:r>
          </w:p>
        </w:tc>
        <w:tc>
          <w:tcPr>
            <w:tcW w:type="dxa" w:w="221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Mature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951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4.4 (2023)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3.4</w:t>
            </w:r>
          </w:p>
        </w:tc>
      </w:tr>
      <w:tr>
        <w:tc>
          <w:tcPr>
            <w:tcW w:type="dxa" w:w="2378"/>
          </w:tcPr>
          <w:p>
            <w:pPr>
              <w:spacing w:after="0"/>
            </w:pPr>
            <w:r/>
            <w:r>
              <w:rPr>
                <w:sz w:val="15"/>
              </w:rPr>
              <w:t>Natural rubber</w:t>
            </w:r>
          </w:p>
        </w:tc>
        <w:tc>
          <w:tcPr>
            <w:tcW w:type="dxa" w:w="1347"/>
          </w:tcPr>
          <w:p>
            <w:pPr>
              <w:spacing w:after="0"/>
            </w:pPr>
            <w:r/>
            <w:r>
              <w:rPr>
                <w:sz w:val="15"/>
              </w:rPr>
              <w:t>Plantation</w:t>
            </w:r>
          </w:p>
        </w:tc>
        <w:tc>
          <w:tcPr>
            <w:tcW w:type="dxa" w:w="999"/>
          </w:tcPr>
          <w:p>
            <w:pPr>
              <w:spacing w:after="0"/>
            </w:pPr>
            <w:r/>
            <w:r>
              <w:rPr>
                <w:sz w:val="15"/>
              </w:rPr>
              <w:t>Medium · 3.2</w:t>
            </w:r>
          </w:p>
        </w:tc>
        <w:tc>
          <w:tcPr>
            <w:tcW w:type="dxa" w:w="1110"/>
          </w:tcPr>
          <w:p>
            <w:pPr>
              <w:spacing w:after="0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2219"/>
          </w:tcPr>
          <w:p>
            <w:pPr>
              <w:spacing w:after="0"/>
            </w:pPr>
            <w:r/>
            <w:r>
              <w:rPr>
                <w:sz w:val="15"/>
              </w:rPr>
              <w:t>Declining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951"/>
          </w:tcPr>
          <w:p>
            <w:pPr>
              <w:spacing w:after="0"/>
            </w:pPr>
            <w:r/>
            <w:r>
              <w:rPr>
                <w:sz w:val="15"/>
              </w:rPr>
              <w:t>11.8 (2011*)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3.0</w:t>
            </w:r>
          </w:p>
        </w:tc>
      </w:tr>
      <w:tr>
        <w:tc>
          <w:tcPr>
            <w:tcW w:type="dxa" w:w="237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Plywood</w:t>
            </w:r>
          </w:p>
        </w:tc>
        <w:tc>
          <w:tcPr>
            <w:tcW w:type="dxa" w:w="134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Forestry</w:t>
            </w:r>
          </w:p>
        </w:tc>
        <w:tc>
          <w:tcPr>
            <w:tcW w:type="dxa" w:w="99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Small · 2.0</w:t>
            </w:r>
          </w:p>
        </w:tc>
        <w:tc>
          <w:tcPr>
            <w:tcW w:type="dxa" w:w="111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Processed</w:t>
            </w:r>
          </w:p>
        </w:tc>
        <w:tc>
          <w:tcPr>
            <w:tcW w:type="dxa" w:w="221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Declining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951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2.5 (2021)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1.7</w:t>
            </w:r>
          </w:p>
        </w:tc>
      </w:tr>
      <w:tr>
        <w:tc>
          <w:tcPr>
            <w:tcW w:type="dxa" w:w="2378"/>
          </w:tcPr>
          <w:p>
            <w:pPr>
              <w:spacing w:after="0"/>
            </w:pPr>
            <w:r/>
            <w:r>
              <w:rPr>
                <w:sz w:val="15"/>
              </w:rPr>
              <w:t>Crude oil</w:t>
            </w:r>
          </w:p>
        </w:tc>
        <w:tc>
          <w:tcPr>
            <w:tcW w:type="dxa" w:w="1347"/>
          </w:tcPr>
          <w:p>
            <w:pPr>
              <w:spacing w:after="0"/>
            </w:pPr>
            <w:r/>
            <w:r>
              <w:rPr>
                <w:sz w:val="15"/>
              </w:rPr>
              <w:t>Energy</w:t>
            </w:r>
          </w:p>
        </w:tc>
        <w:tc>
          <w:tcPr>
            <w:tcW w:type="dxa" w:w="999"/>
          </w:tcPr>
          <w:p>
            <w:pPr>
              <w:spacing w:after="0"/>
            </w:pPr>
            <w:r/>
            <w:r>
              <w:rPr>
                <w:sz w:val="15"/>
              </w:rPr>
              <w:t>Small · 2.0</w:t>
            </w:r>
          </w:p>
        </w:tc>
        <w:tc>
          <w:tcPr>
            <w:tcW w:type="dxa" w:w="1110"/>
          </w:tcPr>
          <w:p>
            <w:pPr>
              <w:spacing w:after="0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2219"/>
          </w:tcPr>
          <w:p>
            <w:pPr>
              <w:spacing w:after="0"/>
            </w:pPr>
            <w:r/>
            <w:r>
              <w:rPr>
                <w:sz w:val="15"/>
              </w:rPr>
              <w:t>Declining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6.1</w:t>
            </w:r>
          </w:p>
        </w:tc>
        <w:tc>
          <w:tcPr>
            <w:tcW w:type="dxa" w:w="951"/>
          </w:tcPr>
          <w:p>
            <w:pPr>
              <w:spacing w:after="0"/>
            </w:pPr>
            <w:r/>
            <w:r>
              <w:rPr>
                <w:sz w:val="15"/>
              </w:rPr>
              <w:t>12.0 (2008*)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1.6</w:t>
            </w:r>
          </w:p>
        </w:tc>
      </w:tr>
      <w:tr>
        <w:tc>
          <w:tcPr>
            <w:tcW w:type="dxa" w:w="237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Tin</w:t>
            </w:r>
          </w:p>
        </w:tc>
        <w:tc>
          <w:tcPr>
            <w:tcW w:type="dxa" w:w="134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Metals &amp; minerals</w:t>
            </w:r>
          </w:p>
        </w:tc>
        <w:tc>
          <w:tcPr>
            <w:tcW w:type="dxa" w:w="99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Small · 1.9</w:t>
            </w:r>
          </w:p>
        </w:tc>
        <w:tc>
          <w:tcPr>
            <w:tcW w:type="dxa" w:w="111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Semi-processed</w:t>
            </w:r>
          </w:p>
        </w:tc>
        <w:tc>
          <w:tcPr>
            <w:tcW w:type="dxa" w:w="221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Mature, declining reserves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0.3</w:t>
            </w:r>
          </w:p>
        </w:tc>
        <w:tc>
          <w:tcPr>
            <w:tcW w:type="dxa" w:w="951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2.4 (2021)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1.8</w:t>
            </w:r>
          </w:p>
        </w:tc>
      </w:tr>
      <w:tr>
        <w:tc>
          <w:tcPr>
            <w:tcW w:type="dxa" w:w="2378"/>
          </w:tcPr>
          <w:p>
            <w:pPr>
              <w:spacing w:after="0"/>
            </w:pPr>
            <w:r/>
            <w:r>
              <w:rPr>
                <w:sz w:val="15"/>
              </w:rPr>
              <w:t>Refined copper</w:t>
            </w:r>
          </w:p>
        </w:tc>
        <w:tc>
          <w:tcPr>
            <w:tcW w:type="dxa" w:w="1347"/>
          </w:tcPr>
          <w:p>
            <w:pPr>
              <w:spacing w:after="0"/>
            </w:pPr>
            <w:r/>
            <w:r>
              <w:rPr>
                <w:sz w:val="15"/>
              </w:rPr>
              <w:t>Metals &amp; minerals</w:t>
            </w:r>
          </w:p>
        </w:tc>
        <w:tc>
          <w:tcPr>
            <w:tcW w:type="dxa" w:w="999"/>
          </w:tcPr>
          <w:p>
            <w:pPr>
              <w:spacing w:after="0"/>
            </w:pPr>
            <w:r/>
            <w:r>
              <w:rPr>
                <w:sz w:val="15"/>
              </w:rPr>
              <w:t>Small · 1.9</w:t>
            </w:r>
          </w:p>
        </w:tc>
        <w:tc>
          <w:tcPr>
            <w:tcW w:type="dxa" w:w="1110"/>
          </w:tcPr>
          <w:p>
            <w:pPr>
              <w:spacing w:after="0"/>
            </w:pPr>
            <w:r/>
            <w:r>
              <w:rPr>
                <w:sz w:val="15"/>
              </w:rPr>
              <w:t>Semi-processed</w:t>
            </w:r>
          </w:p>
        </w:tc>
        <w:tc>
          <w:tcPr>
            <w:tcW w:type="dxa" w:w="2219"/>
          </w:tcPr>
          <w:p>
            <w:pPr>
              <w:spacing w:after="0"/>
            </w:pPr>
            <w:r/>
            <w:r>
              <w:rPr>
                <w:sz w:val="15"/>
              </w:rPr>
              <w:t>Growing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0.3</w:t>
            </w:r>
          </w:p>
        </w:tc>
        <w:tc>
          <w:tcPr>
            <w:tcW w:type="dxa" w:w="951"/>
          </w:tcPr>
          <w:p>
            <w:pPr>
              <w:spacing w:after="0"/>
            </w:pPr>
            <w:r/>
            <w:r>
              <w:rPr>
                <w:sz w:val="15"/>
              </w:rPr>
              <w:t>2.9 (2011*)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2.6</w:t>
            </w:r>
          </w:p>
        </w:tc>
      </w:tr>
      <w:tr>
        <w:tc>
          <w:tcPr>
            <w:tcW w:type="dxa" w:w="237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Gold</w:t>
            </w:r>
          </w:p>
        </w:tc>
        <w:tc>
          <w:tcPr>
            <w:tcW w:type="dxa" w:w="134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Metals &amp; minerals</w:t>
            </w:r>
          </w:p>
        </w:tc>
        <w:tc>
          <w:tcPr>
            <w:tcW w:type="dxa" w:w="99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Small · 1.3</w:t>
            </w:r>
          </w:p>
        </w:tc>
        <w:tc>
          <w:tcPr>
            <w:tcW w:type="dxa" w:w="111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Semi-processed</w:t>
            </w:r>
          </w:p>
        </w:tc>
        <w:tc>
          <w:tcPr>
            <w:tcW w:type="dxa" w:w="221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Mature, volatile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0.4</w:t>
            </w:r>
          </w:p>
        </w:tc>
        <w:tc>
          <w:tcPr>
            <w:tcW w:type="dxa" w:w="951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5.5 (2020)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2.2</w:t>
            </w:r>
          </w:p>
        </w:tc>
      </w:tr>
      <w:tr>
        <w:tc>
          <w:tcPr>
            <w:tcW w:type="dxa" w:w="2378"/>
          </w:tcPr>
          <w:p>
            <w:pPr>
              <w:spacing w:after="0"/>
            </w:pPr>
            <w:r/>
            <w:r>
              <w:rPr>
                <w:sz w:val="15"/>
              </w:rPr>
              <w:t>Bauxite</w:t>
            </w:r>
          </w:p>
        </w:tc>
        <w:tc>
          <w:tcPr>
            <w:tcW w:type="dxa" w:w="1347"/>
          </w:tcPr>
          <w:p>
            <w:pPr>
              <w:spacing w:after="0"/>
            </w:pPr>
            <w:r/>
            <w:r>
              <w:rPr>
                <w:sz w:val="15"/>
              </w:rPr>
              <w:t>Metals &amp; minerals</w:t>
            </w:r>
          </w:p>
        </w:tc>
        <w:tc>
          <w:tcPr>
            <w:tcW w:type="dxa" w:w="999"/>
          </w:tcPr>
          <w:p>
            <w:pPr>
              <w:spacing w:after="0"/>
            </w:pPr>
            <w:r/>
            <w:r>
              <w:rPr>
                <w:sz w:val="15"/>
              </w:rPr>
              <w:t>Small · 0.3</w:t>
            </w:r>
          </w:p>
        </w:tc>
        <w:tc>
          <w:tcPr>
            <w:tcW w:type="dxa" w:w="1110"/>
          </w:tcPr>
          <w:p>
            <w:pPr>
              <w:spacing w:after="0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2219"/>
          </w:tcPr>
          <w:p>
            <w:pPr>
              <w:spacing w:after="0"/>
            </w:pPr>
            <w:r/>
            <w:r>
              <w:rPr>
                <w:sz w:val="15"/>
              </w:rPr>
              <w:t>Banned (2014, 2023)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951"/>
          </w:tcPr>
          <w:p>
            <w:pPr>
              <w:spacing w:after="0"/>
            </w:pPr>
            <w:r/>
            <w:r>
              <w:rPr>
                <w:sz w:val="15"/>
              </w:rPr>
              <w:t>1.2 (2013*)</w:t>
            </w:r>
          </w:p>
        </w:tc>
        <w:tc>
          <w:tcPr>
            <w:tcW w:type="dxa" w:w="317"/>
          </w:tcPr>
          <w:p>
            <w:pPr>
              <w:spacing w:after="0"/>
            </w:pPr>
            <w:r/>
            <w:r>
              <w:rPr>
                <w:sz w:val="15"/>
              </w:rPr>
              <w:t>0.0</w:t>
            </w:r>
          </w:p>
        </w:tc>
      </w:tr>
      <w:tr>
        <w:tc>
          <w:tcPr>
            <w:tcW w:type="dxa" w:w="237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Nickel ore</w:t>
            </w:r>
          </w:p>
        </w:tc>
        <w:tc>
          <w:tcPr>
            <w:tcW w:type="dxa" w:w="134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Metals &amp; minerals</w:t>
            </w:r>
          </w:p>
        </w:tc>
        <w:tc>
          <w:tcPr>
            <w:tcW w:type="dxa" w:w="99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Small · 0.0</w:t>
            </w:r>
          </w:p>
        </w:tc>
        <w:tc>
          <w:tcPr>
            <w:tcW w:type="dxa" w:w="111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221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Banned (2014, 2020)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951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1.1 (2019)</w:t>
            </w:r>
          </w:p>
        </w:tc>
        <w:tc>
          <w:tcPr>
            <w:tcW w:type="dxa" w:w="31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0.0</w:t>
            </w:r>
          </w:p>
        </w:tc>
      </w:tr>
    </w:tbl>
    <w:p>
      <w:pPr>
        <w:spacing w:after="40"/>
      </w:pPr>
    </w:p>
    <w:p>
      <w:pPr>
        <w:pStyle w:val="Heading2"/>
      </w:pPr>
      <w:r>
        <w:t>Table 1.2. Phases of Indonesia's resource exports, 2000–2025 (US$ billion)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76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262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76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Exports</w:t>
            </w:r>
          </w:p>
        </w:tc>
        <w:tc>
          <w:tcPr>
            <w:tcW w:type="dxa" w:w="42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507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Main drivers</w:t>
            </w:r>
          </w:p>
        </w:tc>
      </w:tr>
      <w:tr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6"/>
              </w:rPr>
              <w:t>2000–2002</w:t>
            </w:r>
          </w:p>
        </w:tc>
        <w:tc>
          <w:tcPr>
            <w:tcW w:type="dxa" w:w="2621"/>
          </w:tcPr>
          <w:p>
            <w:pPr>
              <w:spacing w:after="0"/>
            </w:pPr>
            <w:r/>
            <w:r>
              <w:rPr>
                <w:sz w:val="16"/>
              </w:rPr>
              <w:t>Low base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6"/>
              </w:rPr>
              <w:t>23 → 22</w:t>
            </w:r>
          </w:p>
        </w:tc>
        <w:tc>
          <w:tcPr>
            <w:tcW w:type="dxa" w:w="423"/>
          </w:tcPr>
          <w:p>
            <w:pPr>
              <w:spacing w:after="0"/>
            </w:pPr>
            <w:r/>
            <w:r>
              <w:rPr>
                <w:sz w:val="16"/>
              </w:rPr>
              <w:t>−7%</w:t>
            </w:r>
          </w:p>
        </w:tc>
        <w:tc>
          <w:tcPr>
            <w:tcW w:type="dxa" w:w="5073"/>
          </w:tcPr>
          <w:p>
            <w:pPr>
              <w:spacing w:after="0"/>
            </w:pPr>
            <w:r/>
            <w:r>
              <w:rPr>
                <w:sz w:val="16"/>
              </w:rPr>
              <w:t>Weak prices after the Asian crisis; oil and gas about 60% of resource exports</w:t>
            </w:r>
          </w:p>
        </w:tc>
      </w:tr>
      <w:tr>
        <w:tc>
          <w:tcPr>
            <w:tcW w:type="dxa" w:w="7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2003–2008</w:t>
            </w:r>
          </w:p>
        </w:tc>
        <w:tc>
          <w:tcPr>
            <w:tcW w:type="dxa" w:w="2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Commodity supercycle</w:t>
            </w:r>
          </w:p>
        </w:tc>
        <w:tc>
          <w:tcPr>
            <w:tcW w:type="dxa" w:w="7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22 → 80</w:t>
            </w:r>
          </w:p>
        </w:tc>
        <w:tc>
          <w:tcPr>
            <w:tcW w:type="dxa" w:w="4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+268%</w:t>
            </w:r>
          </w:p>
        </w:tc>
        <w:tc>
          <w:tcPr>
            <w:tcW w:type="dxa" w:w="507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Chinese demand lifts all commodities; coal 1.6 → 14.2, palm oil 2.4 → 14.7</w:t>
            </w:r>
          </w:p>
        </w:tc>
      </w:tr>
      <w:tr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6"/>
              </w:rPr>
              <w:t>2009</w:t>
            </w:r>
          </w:p>
        </w:tc>
        <w:tc>
          <w:tcPr>
            <w:tcW w:type="dxa" w:w="2621"/>
          </w:tcPr>
          <w:p>
            <w:pPr>
              <w:spacing w:after="0"/>
            </w:pPr>
            <w:r/>
            <w:r>
              <w:rPr>
                <w:sz w:val="16"/>
              </w:rPr>
              <w:t>Global financial crisis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6"/>
              </w:rPr>
              <w:t>80 → 63</w:t>
            </w:r>
          </w:p>
        </w:tc>
        <w:tc>
          <w:tcPr>
            <w:tcW w:type="dxa" w:w="423"/>
          </w:tcPr>
          <w:p>
            <w:pPr>
              <w:spacing w:after="0"/>
            </w:pPr>
            <w:r/>
            <w:r>
              <w:rPr>
                <w:sz w:val="16"/>
              </w:rPr>
              <w:t>−21%</w:t>
            </w:r>
          </w:p>
        </w:tc>
        <w:tc>
          <w:tcPr>
            <w:tcW w:type="dxa" w:w="5073"/>
          </w:tcPr>
          <w:p>
            <w:pPr>
              <w:spacing w:after="0"/>
            </w:pPr>
            <w:r/>
            <w:r>
              <w:rPr>
                <w:sz w:val="16"/>
              </w:rPr>
              <w:t>Oil, gas and rubber fall hardest; coal holds up</w:t>
            </w:r>
          </w:p>
        </w:tc>
      </w:tr>
      <w:tr>
        <w:tc>
          <w:tcPr>
            <w:tcW w:type="dxa" w:w="7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2010–2011</w:t>
            </w:r>
          </w:p>
        </w:tc>
        <w:tc>
          <w:tcPr>
            <w:tcW w:type="dxa" w:w="2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Rebound to a peak</w:t>
            </w:r>
          </w:p>
        </w:tc>
        <w:tc>
          <w:tcPr>
            <w:tcW w:type="dxa" w:w="7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63 → 111</w:t>
            </w:r>
          </w:p>
        </w:tc>
        <w:tc>
          <w:tcPr>
            <w:tcW w:type="dxa" w:w="4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+75%</w:t>
            </w:r>
          </w:p>
        </w:tc>
        <w:tc>
          <w:tcPr>
            <w:tcW w:type="dxa" w:w="507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Gas (19.4) and rubber (11.8) reach all-time highs</w:t>
            </w:r>
          </w:p>
        </w:tc>
      </w:tr>
      <w:tr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6"/>
              </w:rPr>
              <w:t>2012–2016</w:t>
            </w:r>
          </w:p>
        </w:tc>
        <w:tc>
          <w:tcPr>
            <w:tcW w:type="dxa" w:w="2621"/>
          </w:tcPr>
          <w:p>
            <w:pPr>
              <w:spacing w:after="0"/>
            </w:pPr>
            <w:r/>
            <w:r>
              <w:rPr>
                <w:sz w:val="16"/>
              </w:rPr>
              <w:t>Five-year bust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6"/>
              </w:rPr>
              <w:t>111 → 59</w:t>
            </w:r>
          </w:p>
        </w:tc>
        <w:tc>
          <w:tcPr>
            <w:tcW w:type="dxa" w:w="423"/>
          </w:tcPr>
          <w:p>
            <w:pPr>
              <w:spacing w:after="0"/>
            </w:pPr>
            <w:r/>
            <w:r>
              <w:rPr>
                <w:sz w:val="16"/>
              </w:rPr>
              <w:t>−47%</w:t>
            </w:r>
          </w:p>
        </w:tc>
        <w:tc>
          <w:tcPr>
            <w:tcW w:type="dxa" w:w="5073"/>
          </w:tcPr>
          <w:p>
            <w:pPr>
              <w:spacing w:after="0"/>
            </w:pPr>
            <w:r/>
            <w:r>
              <w:rPr>
                <w:sz w:val="16"/>
              </w:rPr>
              <w:t>Prices fall five years in a row; the 2014 raw-ore ban halts most nickel ore and bauxite exports</w:t>
            </w:r>
          </w:p>
        </w:tc>
      </w:tr>
      <w:tr>
        <w:tc>
          <w:tcPr>
            <w:tcW w:type="dxa" w:w="7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2017–2020</w:t>
            </w:r>
          </w:p>
        </w:tc>
        <w:tc>
          <w:tcPr>
            <w:tcW w:type="dxa" w:w="2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Recovery and nickel pivot</w:t>
            </w:r>
          </w:p>
        </w:tc>
        <w:tc>
          <w:tcPr>
            <w:tcW w:type="dxa" w:w="7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59 → 70</w:t>
            </w:r>
          </w:p>
        </w:tc>
        <w:tc>
          <w:tcPr>
            <w:tcW w:type="dxa" w:w="4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+19%</w:t>
            </w:r>
          </w:p>
        </w:tc>
        <w:tc>
          <w:tcPr>
            <w:tcW w:type="dxa" w:w="507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Partial recovery, then weak coal, the 2020 nickel ore ban and the pandemic; nickel products 1.3 → 10.1</w:t>
            </w:r>
          </w:p>
        </w:tc>
      </w:tr>
      <w:tr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6"/>
              </w:rPr>
              <w:t>2021–2022</w:t>
            </w:r>
          </w:p>
        </w:tc>
        <w:tc>
          <w:tcPr>
            <w:tcW w:type="dxa" w:w="2621"/>
          </w:tcPr>
          <w:p>
            <w:pPr>
              <w:spacing w:after="0"/>
            </w:pPr>
            <w:r/>
            <w:r>
              <w:rPr>
                <w:sz w:val="16"/>
              </w:rPr>
              <w:t>Windfall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6"/>
              </w:rPr>
              <w:t>70 → 150</w:t>
            </w:r>
          </w:p>
        </w:tc>
        <w:tc>
          <w:tcPr>
            <w:tcW w:type="dxa" w:w="423"/>
          </w:tcPr>
          <w:p>
            <w:pPr>
              <w:spacing w:after="0"/>
            </w:pPr>
            <w:r/>
            <w:r>
              <w:rPr>
                <w:sz w:val="16"/>
              </w:rPr>
              <w:t>+115%</w:t>
            </w:r>
          </w:p>
        </w:tc>
        <w:tc>
          <w:tcPr>
            <w:tcW w:type="dxa" w:w="5073"/>
          </w:tcPr>
          <w:p>
            <w:pPr>
              <w:spacing w:after="0"/>
            </w:pPr>
            <w:r/>
            <w:r>
              <w:rPr>
                <w:sz w:val="16"/>
              </w:rPr>
              <w:t>Energy shock after the invasion of Ukraine; coal reaches 46.8</w:t>
            </w:r>
          </w:p>
        </w:tc>
      </w:tr>
      <w:tr>
        <w:tc>
          <w:tcPr>
            <w:tcW w:type="dxa" w:w="7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2023–2025</w:t>
            </w:r>
          </w:p>
        </w:tc>
        <w:tc>
          <w:tcPr>
            <w:tcW w:type="dxa" w:w="2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Normalisation and downstreaming</w:t>
            </w:r>
          </w:p>
        </w:tc>
        <w:tc>
          <w:tcPr>
            <w:tcW w:type="dxa" w:w="76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150 → 122</w:t>
            </w:r>
          </w:p>
        </w:tc>
        <w:tc>
          <w:tcPr>
            <w:tcW w:type="dxa" w:w="4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−19%</w:t>
            </w:r>
          </w:p>
        </w:tc>
        <w:tc>
          <w:tcPr>
            <w:tcW w:type="dxa" w:w="507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Coal falls back to 24.5 while nickel products grow to 32.7</w:t>
            </w:r>
          </w:p>
        </w:tc>
      </w:tr>
    </w:tbl>
    <w:p>
      <w:pPr>
        <w:spacing w:after="40"/>
      </w:pPr>
    </w:p>
    <w:p>
      <w:pPr>
        <w:pStyle w:val="Heading2"/>
      </w:pPr>
      <w:r>
        <w:t>Table 2.1. DDMF plan at a glance (RKAP 2026)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67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96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sz w:val="16"/>
              </w:rPr>
              <w:t>Strategic pipeline, 2027–2032</w:t>
            </w:r>
          </w:p>
        </w:tc>
        <w:tc>
          <w:tcPr>
            <w:tcW w:type="dxa" w:w="5962"/>
          </w:tcPr>
          <w:p>
            <w:pPr>
              <w:spacing w:after="0"/>
            </w:pPr>
            <w:r/>
            <w:r>
              <w:rPr>
                <w:sz w:val="16"/>
              </w:rPr>
              <w:t>40 projects in 5 clusters; investment Rp 2,091 T; financing gap Rp 1,672 T</w:t>
            </w:r>
          </w:p>
        </w:tc>
      </w:tr>
      <w:tr>
        <w:tc>
          <w:tcPr>
            <w:tcW w:type="dxa" w:w="3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DDMF equity required, all 40 projects</w:t>
            </w:r>
          </w:p>
        </w:tc>
        <w:tc>
          <w:tcPr>
            <w:tcW w:type="dxa" w:w="59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419 T (about Rp 70 T a year)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sz w:val="16"/>
              </w:rPr>
              <w:t>Priority projects prepared in 2026</w:t>
            </w:r>
          </w:p>
        </w:tc>
        <w:tc>
          <w:tcPr>
            <w:tcW w:type="dxa" w:w="5962"/>
          </w:tcPr>
          <w:p>
            <w:pPr>
              <w:spacing w:after="0"/>
            </w:pPr>
            <w:r/>
            <w:r>
              <w:rPr>
                <w:sz w:val="16"/>
              </w:rPr>
              <w:t>15 projects (the RKAP's 13 plus shipyards &amp; ship components and alutsista, added for sovereignty); investment Rp 799.0 T; equity Rp 147.7 T over five years</w:t>
            </w:r>
          </w:p>
        </w:tc>
      </w:tr>
      <w:tr>
        <w:tc>
          <w:tcPr>
            <w:tcW w:type="dxa" w:w="3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Standard financing structure</w:t>
            </w:r>
          </w:p>
        </w:tc>
        <w:tc>
          <w:tcPr>
            <w:tcW w:type="dxa" w:w="59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Debt 70 : equity 30; DDMF holds 70% of the equity, so it funds 21% of capex. Athens: 90 : 10, with DDMF holding 90% of the equity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sz w:val="16"/>
              </w:rPr>
              <w:t>Leverage implied</w:t>
            </w:r>
          </w:p>
        </w:tc>
        <w:tc>
          <w:tcPr>
            <w:tcW w:type="dxa" w:w="5962"/>
          </w:tcPr>
          <w:p>
            <w:pPr>
              <w:spacing w:after="0"/>
            </w:pPr>
            <w:r/>
            <w:r>
              <w:rPr>
                <w:sz w:val="16"/>
              </w:rPr>
              <w:t>Rp 1 of DDMF equity accompanies about Rp 4.8 of total investment</w:t>
            </w:r>
          </w:p>
        </w:tc>
      </w:tr>
      <w:tr>
        <w:tc>
          <w:tcPr>
            <w:tcW w:type="dxa" w:w="3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Capital and 2026 budget</w:t>
            </w:r>
          </w:p>
        </w:tc>
        <w:tc>
          <w:tcPr>
            <w:tcW w:type="dxa" w:w="596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Initial capital Rp 0.1 T plus Rp 10 T additional paid-in capital; 2026 operating budget Rp 0.79 T (Rp 0.52 T project preparation)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sz w:val="16"/>
              </w:rPr>
              <w:t>Development-impact KPIs</w:t>
            </w:r>
          </w:p>
        </w:tc>
        <w:tc>
          <w:tcPr>
            <w:tcW w:type="dxa" w:w="5962"/>
          </w:tcPr>
          <w:p>
            <w:pPr>
              <w:spacing w:after="0"/>
            </w:pPr>
            <w:r/>
            <w:r>
              <w:rPr>
                <w:sz w:val="16"/>
              </w:rPr>
              <w:t>Jobs, domestic value added, TKDN, import substitution and emissions are defined, but every 2026 target is set at zero</w:t>
            </w:r>
          </w:p>
        </w:tc>
      </w:tr>
    </w:tbl>
    <w:p>
      <w:pPr>
        <w:spacing w:after="40"/>
      </w:pPr>
    </w:p>
    <w:p>
      <w:pPr>
        <w:pStyle w:val="Heading2"/>
      </w:pPr>
      <w:r>
        <w:t>Table 2.2. The 15 priority projects (revised 2 October 2026)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89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21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97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 (Rp T)</w:t>
            </w:r>
          </w:p>
        </w:tc>
        <w:tc>
          <w:tcPr>
            <w:tcW w:type="dxa" w:w="74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Equity (Rp T)</w:t>
            </w:r>
          </w:p>
        </w:tc>
        <w:tc>
          <w:tcPr>
            <w:tcW w:type="dxa" w:w="490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Status and remarks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/>
            <w:r>
              <w:rPr>
                <w:sz w:val="16"/>
              </w:rPr>
              <w:t>Energy</w:t>
            </w:r>
          </w:p>
        </w:tc>
        <w:tc>
          <w:tcPr>
            <w:tcW w:type="dxa" w:w="2124"/>
          </w:tcPr>
          <w:p>
            <w:pPr>
              <w:spacing w:after="0"/>
            </w:pPr>
            <w:r/>
            <w:r>
              <w:rPr>
                <w:sz w:val="16"/>
              </w:rPr>
              <w:t>CDME (coal to DME)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sz w:val="16"/>
              </w:rPr>
              <w:t>46.3</w:t>
            </w:r>
          </w:p>
        </w:tc>
        <w:tc>
          <w:tcPr>
            <w:tcW w:type="dxa" w:w="743"/>
          </w:tcPr>
          <w:p>
            <w:pPr>
              <w:spacing w:after="0"/>
            </w:pPr>
            <w:r/>
            <w:r>
              <w:rPr>
                <w:sz w:val="16"/>
              </w:rPr>
              <w:t>9.7</w:t>
            </w:r>
          </w:p>
        </w:tc>
        <w:tc>
          <w:tcPr>
            <w:tcW w:type="dxa" w:w="4901"/>
          </w:tcPr>
          <w:p>
            <w:pPr>
              <w:spacing w:after="0"/>
            </w:pPr>
            <w:r/>
            <w:r>
              <w:rPr>
                <w:sz w:val="16"/>
              </w:rPr>
              <w:t>Joint FS PTM–MIND ID; CAPEX data gaps</w:t>
            </w:r>
          </w:p>
        </w:tc>
      </w:tr>
      <w:tr>
        <w:tc>
          <w:tcPr>
            <w:tcW w:type="dxa" w:w="89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Energy</w:t>
            </w:r>
          </w:p>
        </w:tc>
        <w:tc>
          <w:tcPr>
            <w:tcW w:type="dxa" w:w="21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PLTS 100 GW</w:t>
            </w:r>
          </w:p>
        </w:tc>
        <w:tc>
          <w:tcPr>
            <w:tcW w:type="dxa" w:w="9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231.4</w:t>
            </w:r>
          </w:p>
        </w:tc>
        <w:tc>
          <w:tcPr>
            <w:tcW w:type="dxa" w:w="7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48.6</w:t>
            </w:r>
          </w:p>
        </w:tc>
        <w:tc>
          <w:tcPr>
            <w:tcW w:type="dxa" w:w="49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Hybrid-tariff regulation pending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/>
            <w:r>
              <w:rPr>
                <w:sz w:val="16"/>
              </w:rPr>
              <w:t>Energy</w:t>
            </w:r>
          </w:p>
        </w:tc>
        <w:tc>
          <w:tcPr>
            <w:tcW w:type="dxa" w:w="2124"/>
          </w:tcPr>
          <w:p>
            <w:pPr>
              <w:spacing w:after="0"/>
            </w:pPr>
            <w:r/>
            <w:r>
              <w:rPr>
                <w:sz w:val="16"/>
              </w:rPr>
              <w:t>Decentralised waste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sz w:val="16"/>
              </w:rPr>
              <w:t>4.6</w:t>
            </w:r>
          </w:p>
        </w:tc>
        <w:tc>
          <w:tcPr>
            <w:tcW w:type="dxa" w:w="743"/>
          </w:tcPr>
          <w:p>
            <w:pPr>
              <w:spacing w:after="0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4901"/>
          </w:tcPr>
          <w:p>
            <w:pPr>
              <w:spacing w:after="0"/>
            </w:pPr>
            <w:r/>
            <w:r>
              <w:rPr>
                <w:sz w:val="16"/>
              </w:rPr>
              <w:t>Funding channel unresolved (no grants)</w:t>
            </w:r>
          </w:p>
        </w:tc>
      </w:tr>
      <w:tr>
        <w:tc>
          <w:tcPr>
            <w:tcW w:type="dxa" w:w="89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Energy</w:t>
            </w:r>
          </w:p>
        </w:tc>
        <w:tc>
          <w:tcPr>
            <w:tcW w:type="dxa" w:w="21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Landfill mining</w:t>
            </w:r>
          </w:p>
        </w:tc>
        <w:tc>
          <w:tcPr>
            <w:tcW w:type="dxa" w:w="9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7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49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Private-led; land and study pending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/>
            <w:r>
              <w:rPr>
                <w:sz w:val="16"/>
              </w:rPr>
              <w:t>Energy</w:t>
            </w:r>
          </w:p>
        </w:tc>
        <w:tc>
          <w:tcPr>
            <w:tcW w:type="dxa" w:w="2124"/>
          </w:tcPr>
          <w:p>
            <w:pPr>
              <w:spacing w:after="0"/>
            </w:pPr>
            <w:r/>
            <w:r>
              <w:rPr>
                <w:sz w:val="16"/>
              </w:rPr>
              <w:t>Legacy waste – RDF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743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4901"/>
          </w:tcPr>
          <w:p>
            <w:pPr>
              <w:spacing w:after="0"/>
            </w:pPr>
            <w:r/>
            <w:r>
              <w:rPr>
                <w:sz w:val="16"/>
              </w:rPr>
              <w:t>Proposals received; offtake needed</w:t>
            </w:r>
          </w:p>
        </w:tc>
      </w:tr>
      <w:tr>
        <w:tc>
          <w:tcPr>
            <w:tcW w:type="dxa" w:w="89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21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EV Power Pack (maritime)</w:t>
            </w:r>
          </w:p>
        </w:tc>
        <w:tc>
          <w:tcPr>
            <w:tcW w:type="dxa" w:w="9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7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0.6</w:t>
            </w:r>
          </w:p>
        </w:tc>
        <w:tc>
          <w:tcPr>
            <w:tcW w:type="dxa" w:w="49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Moving to pre-FS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2124"/>
          </w:tcPr>
          <w:p>
            <w:pPr>
              <w:spacing w:after="0"/>
            </w:pPr>
            <w:r/>
            <w:r>
              <w:rPr>
                <w:sz w:val="16"/>
              </w:rPr>
              <w:t>Biosimilar &amp; pharma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sz w:val="16"/>
              </w:rPr>
              <w:t>8.9</w:t>
            </w:r>
          </w:p>
        </w:tc>
        <w:tc>
          <w:tcPr>
            <w:tcW w:type="dxa" w:w="743"/>
          </w:tcPr>
          <w:p>
            <w:pPr>
              <w:spacing w:after="0"/>
            </w:pPr>
            <w:r/>
            <w:r>
              <w:rPr>
                <w:sz w:val="16"/>
              </w:rPr>
              <w:t>1.9</w:t>
            </w:r>
          </w:p>
        </w:tc>
        <w:tc>
          <w:tcPr>
            <w:tcW w:type="dxa" w:w="4901"/>
          </w:tcPr>
          <w:p>
            <w:pPr>
              <w:spacing w:after="0"/>
            </w:pPr>
            <w:r/>
            <w:r>
              <w:rPr>
                <w:sz w:val="16"/>
              </w:rPr>
              <w:t>On hold (overlap with SOEs)</w:t>
            </w:r>
          </w:p>
        </w:tc>
      </w:tr>
      <w:tr>
        <w:tc>
          <w:tcPr>
            <w:tcW w:type="dxa" w:w="89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21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Textile ecosystem</w:t>
            </w:r>
          </w:p>
        </w:tc>
        <w:tc>
          <w:tcPr>
            <w:tcW w:type="dxa" w:w="9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89.0</w:t>
            </w:r>
          </w:p>
        </w:tc>
        <w:tc>
          <w:tcPr>
            <w:tcW w:type="dxa" w:w="7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18.7</w:t>
            </w:r>
          </w:p>
        </w:tc>
        <w:tc>
          <w:tcPr>
            <w:tcW w:type="dxa" w:w="49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Early talks; DEN roadmap review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2124"/>
          </w:tcPr>
          <w:p>
            <w:pPr>
              <w:spacing w:after="0"/>
            </w:pPr>
            <w:r/>
            <w:r>
              <w:rPr>
                <w:sz w:val="16"/>
              </w:rPr>
              <w:t>Tarsius Ph.1 (rare earths)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743"/>
          </w:tcPr>
          <w:p>
            <w:pPr>
              <w:spacing w:after="0"/>
            </w:pPr>
            <w:r/>
            <w:r>
              <w:rPr>
                <w:sz w:val="16"/>
              </w:rPr>
              <w:t>0.5</w:t>
            </w:r>
          </w:p>
        </w:tc>
        <w:tc>
          <w:tcPr>
            <w:tcW w:type="dxa" w:w="4901"/>
          </w:tcPr>
          <w:p>
            <w:pPr>
              <w:spacing w:after="0"/>
            </w:pPr>
            <w:r/>
            <w:r>
              <w:rPr>
                <w:sz w:val="16"/>
              </w:rPr>
              <w:t>Pilot built; pre-FS under way</w:t>
            </w:r>
          </w:p>
        </w:tc>
      </w:tr>
      <w:tr>
        <w:tc>
          <w:tcPr>
            <w:tcW w:type="dxa" w:w="89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21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MOBNAS &amp; MOLINAS</w:t>
            </w:r>
          </w:p>
        </w:tc>
        <w:tc>
          <w:tcPr>
            <w:tcW w:type="dxa" w:w="9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25.0</w:t>
            </w:r>
          </w:p>
        </w:tc>
        <w:tc>
          <w:tcPr>
            <w:tcW w:type="dxa" w:w="7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  <w:tc>
          <w:tcPr>
            <w:tcW w:type="dxa" w:w="49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one month behind plan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2124"/>
          </w:tcPr>
          <w:p>
            <w:pPr>
              <w:spacing w:after="0"/>
            </w:pPr>
            <w:r/>
            <w:r>
              <w:rPr>
                <w:sz w:val="16"/>
              </w:rPr>
              <w:t>Athens (naval PPP) †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sz w:val="16"/>
              </w:rPr>
              <w:t>167.2</w:t>
            </w:r>
          </w:p>
        </w:tc>
        <w:tc>
          <w:tcPr>
            <w:tcW w:type="dxa" w:w="743"/>
          </w:tcPr>
          <w:p>
            <w:pPr>
              <w:spacing w:after="0"/>
            </w:pPr>
            <w:r/>
            <w:r>
              <w:rPr>
                <w:sz w:val="16"/>
              </w:rPr>
              <w:t>15.1</w:t>
            </w:r>
          </w:p>
        </w:tc>
        <w:tc>
          <w:tcPr>
            <w:tcW w:type="dxa" w:w="4901"/>
          </w:tcPr>
          <w:p>
            <w:pPr>
              <w:spacing w:after="0"/>
            </w:pPr>
            <w:r/>
            <w:r>
              <w:rPr>
                <w:sz w:val="16"/>
              </w:rPr>
              <w:t>Remark: unknown / black programme (classified; scope and details not disclosed). NDA discussion with Naval Group ongoing (per RKAP p. 129); defence-PPP Perpres pending</w:t>
            </w:r>
          </w:p>
        </w:tc>
      </w:tr>
      <w:tr>
        <w:tc>
          <w:tcPr>
            <w:tcW w:type="dxa" w:w="89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</w:t>
            </w:r>
          </w:p>
        </w:tc>
        <w:tc>
          <w:tcPr>
            <w:tcW w:type="dxa" w:w="21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 Corridor</w:t>
            </w:r>
          </w:p>
        </w:tc>
        <w:tc>
          <w:tcPr>
            <w:tcW w:type="dxa" w:w="9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186.9</w:t>
            </w:r>
          </w:p>
        </w:tc>
        <w:tc>
          <w:tcPr>
            <w:tcW w:type="dxa" w:w="7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39.2</w:t>
            </w:r>
          </w:p>
        </w:tc>
        <w:tc>
          <w:tcPr>
            <w:tcW w:type="dxa" w:w="49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Scope still to be determined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/>
            <w:r>
              <w:rPr>
                <w:sz w:val="16"/>
              </w:rPr>
              <w:t>Infra</w:t>
            </w:r>
          </w:p>
        </w:tc>
        <w:tc>
          <w:tcPr>
            <w:tcW w:type="dxa" w:w="2124"/>
          </w:tcPr>
          <w:p>
            <w:pPr>
              <w:spacing w:after="0"/>
            </w:pPr>
            <w:r/>
            <w:r>
              <w:rPr>
                <w:sz w:val="16"/>
              </w:rPr>
              <w:t>E-commerce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743"/>
          </w:tcPr>
          <w:p>
            <w:pPr>
              <w:spacing w:after="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4901"/>
          </w:tcPr>
          <w:p>
            <w:pPr>
              <w:spacing w:after="0"/>
            </w:pPr>
            <w:r/>
            <w:r>
              <w:rPr>
                <w:sz w:val="16"/>
              </w:rPr>
              <w:t>RFI final; investment PoV under way</w:t>
            </w:r>
          </w:p>
        </w:tc>
      </w:tr>
      <w:tr>
        <w:tc>
          <w:tcPr>
            <w:tcW w:type="dxa" w:w="89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Sovereignty</w:t>
            </w:r>
          </w:p>
        </w:tc>
        <w:tc>
          <w:tcPr>
            <w:tcW w:type="dxa" w:w="21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Shipyard &amp; ship components</w:t>
            </w:r>
          </w:p>
        </w:tc>
        <w:tc>
          <w:tcPr>
            <w:tcW w:type="dxa" w:w="9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7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490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Added for sovereignty (RKAP p. 111)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/>
            <w:r>
              <w:rPr>
                <w:sz w:val="16"/>
              </w:rPr>
              <w:t>Sovereignty</w:t>
            </w:r>
          </w:p>
        </w:tc>
        <w:tc>
          <w:tcPr>
            <w:tcW w:type="dxa" w:w="2124"/>
          </w:tcPr>
          <w:p>
            <w:pPr>
              <w:spacing w:after="0"/>
            </w:pPr>
            <w:r/>
            <w:r>
              <w:rPr>
                <w:sz w:val="16"/>
              </w:rPr>
              <w:t>Alutsista production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sz w:val="16"/>
              </w:rPr>
              <w:t>16.1</w:t>
            </w:r>
          </w:p>
        </w:tc>
        <w:tc>
          <w:tcPr>
            <w:tcW w:type="dxa" w:w="743"/>
          </w:tcPr>
          <w:p>
            <w:pPr>
              <w:spacing w:after="0"/>
            </w:pPr>
            <w:r/>
            <w:r>
              <w:rPr>
                <w:sz w:val="16"/>
              </w:rPr>
              <w:t>3.4</w:t>
            </w:r>
          </w:p>
        </w:tc>
        <w:tc>
          <w:tcPr>
            <w:tcW w:type="dxa" w:w="4901"/>
          </w:tcPr>
          <w:p>
            <w:pPr>
              <w:spacing w:after="0"/>
            </w:pPr>
            <w:r/>
            <w:r>
              <w:rPr>
                <w:sz w:val="16"/>
              </w:rPr>
              <w:t>Added for sovereignty (RKAP p. 111)</w:t>
            </w:r>
          </w:p>
        </w:tc>
      </w:tr>
      <w:tr>
        <w:tc>
          <w:tcPr>
            <w:tcW w:type="dxa" w:w="898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2124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972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799.0</w:t>
            </w:r>
          </w:p>
        </w:tc>
        <w:tc>
          <w:tcPr>
            <w:tcW w:type="dxa" w:w="743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147.7</w:t>
            </w:r>
          </w:p>
        </w:tc>
        <w:tc>
          <w:tcPr>
            <w:tcW w:type="dxa" w:w="4901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Equity realised over five years</w:t>
            </w:r>
          </w:p>
        </w:tc>
      </w:tr>
    </w:tbl>
    <w:p>
      <w:pPr>
        <w:spacing w:after="40"/>
      </w:pPr>
    </w:p>
    <w:p>
      <w:pPr>
        <w:pStyle w:val="Heading2"/>
      </w:pPr>
      <w:r>
        <w:t>Table 2.3. Indonesia's resource-export pillars and the DDMF projects that build on them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Export pillar</w:t>
            </w:r>
          </w:p>
        </w:tc>
        <w:tc>
          <w:tcPr>
            <w:tcW w:type="dxa" w:w="125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Exports, US$ bn (avg 2021–25)</w:t>
            </w:r>
          </w:p>
        </w:tc>
        <w:tc>
          <w:tcPr>
            <w:tcW w:type="dxa" w:w="370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DDMF projects linked</w:t>
            </w:r>
          </w:p>
        </w:tc>
        <w:tc>
          <w:tcPr>
            <w:tcW w:type="dxa" w:w="370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Stabilise-and-save reading</w:t>
            </w:r>
          </w:p>
        </w:tc>
      </w:tr>
      <w:tr>
        <w:tc>
          <w:tcPr>
            <w:tcW w:type="dxa" w:w="987"/>
          </w:tcPr>
          <w:p>
            <w:pPr>
              <w:spacing w:after="0"/>
            </w:pPr>
            <w:r/>
            <w:r>
              <w:rPr>
                <w:sz w:val="16"/>
              </w:rPr>
              <w:t>Coal</w:t>
            </w:r>
          </w:p>
        </w:tc>
        <w:tc>
          <w:tcPr>
            <w:tcW w:type="dxa" w:w="1252"/>
          </w:tcPr>
          <w:p>
            <w:pPr>
              <w:spacing w:after="0"/>
            </w:pPr>
            <w:r/>
            <w:r>
              <w:rPr>
                <w:sz w:val="16"/>
              </w:rPr>
              <w:t>32.6</w:t>
            </w:r>
          </w:p>
        </w:tc>
        <w:tc>
          <w:tcPr>
            <w:tcW w:type="dxa" w:w="3700"/>
          </w:tcPr>
          <w:p>
            <w:pPr>
              <w:spacing w:after="0"/>
            </w:pPr>
            <w:r/>
            <w:r>
              <w:rPr>
                <w:sz w:val="16"/>
              </w:rPr>
              <w:t>CDME (coal to DME); PLTS 100 GW as the replacement asset; RDF (a coal substitute in cement)</w:t>
            </w:r>
          </w:p>
        </w:tc>
        <w:tc>
          <w:tcPr>
            <w:tcW w:type="dxa" w:w="3700"/>
          </w:tcPr>
          <w:p>
            <w:pPr>
              <w:spacing w:after="0"/>
            </w:pPr>
            <w:r/>
            <w:r>
              <w:rPr>
                <w:sz w:val="16"/>
              </w:rPr>
              <w:t>The largest and most mature pillar, exposed to transition risk. Converting coal rent into solar capacity is Hartwick in practice; CDME keeps value tied to coal</w:t>
            </w:r>
          </w:p>
        </w:tc>
      </w:tr>
      <w:tr>
        <w:tc>
          <w:tcPr>
            <w:tcW w:type="dxa" w:w="98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Oil and gas</w:t>
            </w:r>
          </w:p>
        </w:tc>
        <w:tc>
          <w:tcPr>
            <w:tcW w:type="dxa" w:w="12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13.7</w:t>
            </w:r>
          </w:p>
        </w:tc>
        <w:tc>
          <w:tcPr>
            <w:tcW w:type="dxa" w:w="370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Refinery; CPE</w:t>
            </w:r>
          </w:p>
        </w:tc>
        <w:tc>
          <w:tcPr>
            <w:tcW w:type="dxa" w:w="370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Depleting output. Refining cuts the fuel import bill and so reduces foreign-exchange pressure</w:t>
            </w:r>
          </w:p>
        </w:tc>
      </w:tr>
      <w:tr>
        <w:tc>
          <w:tcPr>
            <w:tcW w:type="dxa" w:w="987"/>
          </w:tcPr>
          <w:p>
            <w:pPr>
              <w:spacing w:after="0"/>
            </w:pPr>
            <w:r/>
            <w:r>
              <w:rPr>
                <w:sz w:val="16"/>
              </w:rPr>
              <w:t>Palm oil</w:t>
            </w:r>
          </w:p>
        </w:tc>
        <w:tc>
          <w:tcPr>
            <w:tcW w:type="dxa" w:w="1252"/>
          </w:tcPr>
          <w:p>
            <w:pPr>
              <w:spacing w:after="0"/>
            </w:pPr>
            <w:r/>
            <w:r>
              <w:rPr>
                <w:sz w:val="16"/>
              </w:rPr>
              <w:t>33.2</w:t>
            </w:r>
          </w:p>
        </w:tc>
        <w:tc>
          <w:tcPr>
            <w:tcW w:type="dxa" w:w="3700"/>
          </w:tcPr>
          <w:p>
            <w:pPr>
              <w:spacing w:after="0"/>
            </w:pPr>
            <w:r/>
            <w:r>
              <w:rPr>
                <w:sz w:val="16"/>
              </w:rPr>
              <w:t>Biodiesel</w:t>
            </w:r>
          </w:p>
        </w:tc>
        <w:tc>
          <w:tcPr>
            <w:tcW w:type="dxa" w:w="3700"/>
          </w:tcPr>
          <w:p>
            <w:pPr>
              <w:spacing w:after="0"/>
            </w:pPr>
            <w:r/>
            <w:r>
              <w:rPr>
                <w:sz w:val="16"/>
              </w:rPr>
              <w:t>Renewable. Biodiesel is already subsidised through the BPDP levy, so fund money must not become a second subsidy</w:t>
            </w:r>
          </w:p>
        </w:tc>
      </w:tr>
      <w:tr>
        <w:tc>
          <w:tcPr>
            <w:tcW w:type="dxa" w:w="98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Nickel chain</w:t>
            </w:r>
          </w:p>
        </w:tc>
        <w:tc>
          <w:tcPr>
            <w:tcW w:type="dxa" w:w="12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28.3</w:t>
            </w:r>
          </w:p>
        </w:tc>
        <w:tc>
          <w:tcPr>
            <w:tcW w:type="dxa" w:w="370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Al, Fe, Ni, Mn metals for auto, aerospace and defence; EV Power Pack; MOBNAS (indirectly)</w:t>
            </w:r>
          </w:p>
        </w:tc>
        <w:tc>
          <w:tcPr>
            <w:tcW w:type="dxa" w:w="370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The fastest-growing pillar. Deeper processing captures more value but concentrates price risk</w:t>
            </w:r>
          </w:p>
        </w:tc>
      </w:tr>
      <w:tr>
        <w:tc>
          <w:tcPr>
            <w:tcW w:type="dxa" w:w="987"/>
          </w:tcPr>
          <w:p>
            <w:pPr>
              <w:spacing w:after="0"/>
            </w:pPr>
            <w:r/>
            <w:r>
              <w:rPr>
                <w:sz w:val="16"/>
              </w:rPr>
              <w:t>Copper</w:t>
            </w:r>
          </w:p>
        </w:tc>
        <w:tc>
          <w:tcPr>
            <w:tcW w:type="dxa" w:w="1252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  <w:tc>
          <w:tcPr>
            <w:tcW w:type="dxa" w:w="3700"/>
          </w:tcPr>
          <w:p>
            <w:pPr>
              <w:spacing w:after="0"/>
            </w:pPr>
            <w:r/>
            <w:r>
              <w:rPr>
                <w:sz w:val="16"/>
              </w:rPr>
              <w:t>Copper project</w:t>
            </w:r>
          </w:p>
        </w:tc>
        <w:tc>
          <w:tcPr>
            <w:tcW w:type="dxa" w:w="3700"/>
          </w:tcPr>
          <w:p>
            <w:pPr>
              <w:spacing w:after="0"/>
            </w:pPr>
            <w:r/>
            <w:r>
              <w:rPr>
                <w:sz w:val="16"/>
              </w:rPr>
              <w:t>Shift from concentrate to smelting is under way</w:t>
            </w:r>
          </w:p>
        </w:tc>
      </w:tr>
      <w:tr>
        <w:tc>
          <w:tcPr>
            <w:tcW w:type="dxa" w:w="98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Tin and minerals</w:t>
            </w:r>
          </w:p>
        </w:tc>
        <w:tc>
          <w:tcPr>
            <w:tcW w:type="dxa" w:w="12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1.9</w:t>
            </w:r>
          </w:p>
        </w:tc>
        <w:tc>
          <w:tcPr>
            <w:tcW w:type="dxa" w:w="370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Tarsius and Anoa (rare earths from tin tailings); Silica</w:t>
            </w:r>
          </w:p>
        </w:tc>
        <w:tc>
          <w:tcPr>
            <w:tcW w:type="dxa" w:w="370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Small tickets (Rp 0.4–8.9 T) with high strategic value; a pilot plant is already built</w:t>
            </w:r>
          </w:p>
        </w:tc>
      </w:tr>
    </w:tbl>
    <w:p>
      <w:pPr>
        <w:spacing w:after="40"/>
      </w:pPr>
    </w:p>
    <w:p>
      <w:pPr>
        <w:pStyle w:val="Heading2"/>
      </w:pPr>
      <w:r>
        <w:t>Table 2.4. Programmes updated in October 2026 (Rp trillion)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37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Programme</w:t>
            </w:r>
          </w:p>
        </w:tc>
        <w:tc>
          <w:tcPr>
            <w:tcW w:type="dxa" w:w="73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RKAP 2026</w:t>
            </w:r>
          </w:p>
        </w:tc>
        <w:tc>
          <w:tcPr>
            <w:tcW w:type="dxa" w:w="58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Updated</w:t>
            </w:r>
          </w:p>
        </w:tc>
        <w:tc>
          <w:tcPr>
            <w:tcW w:type="dxa" w:w="64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Multiple</w:t>
            </w:r>
          </w:p>
        </w:tc>
        <w:tc>
          <w:tcPr>
            <w:tcW w:type="dxa" w:w="129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Timeline assumed</w:t>
            </w:r>
          </w:p>
        </w:tc>
      </w:tr>
      <w:tr>
        <w:tc>
          <w:tcPr>
            <w:tcW w:type="dxa" w:w="6379"/>
          </w:tcPr>
          <w:p>
            <w:pPr>
              <w:spacing w:after="0"/>
            </w:pPr>
            <w:r/>
            <w:r>
              <w:rPr>
                <w:sz w:val="16"/>
              </w:rPr>
              <w:t>Giant Sea Wall</w:t>
            </w:r>
          </w:p>
        </w:tc>
        <w:tc>
          <w:tcPr>
            <w:tcW w:type="dxa" w:w="731"/>
          </w:tcPr>
          <w:p>
            <w:pPr>
              <w:spacing w:after="0"/>
            </w:pPr>
            <w:r/>
            <w:r>
              <w:rPr>
                <w:sz w:val="16"/>
              </w:rPr>
              <w:t>97.0</w:t>
            </w:r>
          </w:p>
        </w:tc>
        <w:tc>
          <w:tcPr>
            <w:tcW w:type="dxa" w:w="580"/>
          </w:tcPr>
          <w:p>
            <w:pPr>
              <w:spacing w:after="0"/>
            </w:pPr>
            <w:r/>
            <w:r>
              <w:rPr>
                <w:sz w:val="16"/>
              </w:rPr>
              <w:t>1,200</w:t>
            </w:r>
          </w:p>
        </w:tc>
        <w:tc>
          <w:tcPr>
            <w:tcW w:type="dxa" w:w="649"/>
          </w:tcPr>
          <w:p>
            <w:pPr>
              <w:spacing w:after="0"/>
            </w:pPr>
            <w:r/>
            <w:r>
              <w:rPr>
                <w:sz w:val="16"/>
              </w:rPr>
              <w:t>12.4×</w:t>
            </w:r>
          </w:p>
        </w:tc>
        <w:tc>
          <w:tcPr>
            <w:tcW w:type="dxa" w:w="1299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</w:tr>
      <w:tr>
        <w:tc>
          <w:tcPr>
            <w:tcW w:type="dxa" w:w="63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modernisation ‡ (replaces Athens and alutsista)</w:t>
            </w:r>
          </w:p>
        </w:tc>
        <w:tc>
          <w:tcPr>
            <w:tcW w:type="dxa" w:w="7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183.4</w:t>
            </w:r>
          </w:p>
        </w:tc>
        <w:tc>
          <w:tcPr>
            <w:tcW w:type="dxa" w:w="5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2,125</w:t>
            </w:r>
          </w:p>
        </w:tc>
        <w:tc>
          <w:tcPr>
            <w:tcW w:type="dxa" w:w="6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11.6×</w:t>
            </w:r>
          </w:p>
        </w:tc>
        <w:tc>
          <w:tcPr>
            <w:tcW w:type="dxa" w:w="1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</w:tr>
      <w:tr>
        <w:tc>
          <w:tcPr>
            <w:tcW w:type="dxa" w:w="6379"/>
          </w:tcPr>
          <w:p>
            <w:pPr>
              <w:spacing w:after="0"/>
            </w:pPr>
            <w:r/>
            <w:r>
              <w:rPr>
                <w:sz w:val="16"/>
              </w:rPr>
              <w:t>National Data Centre</w:t>
            </w:r>
          </w:p>
        </w:tc>
        <w:tc>
          <w:tcPr>
            <w:tcW w:type="dxa" w:w="731"/>
          </w:tcPr>
          <w:p>
            <w:pPr>
              <w:spacing w:after="0"/>
            </w:pPr>
            <w:r/>
            <w:r>
              <w:rPr>
                <w:sz w:val="16"/>
              </w:rPr>
              <w:t>4.1</w:t>
            </w:r>
          </w:p>
        </w:tc>
        <w:tc>
          <w:tcPr>
            <w:tcW w:type="dxa" w:w="58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49"/>
          </w:tcPr>
          <w:p>
            <w:pPr>
              <w:spacing w:after="0"/>
            </w:pPr>
            <w:r/>
            <w:r>
              <w:rPr>
                <w:sz w:val="16"/>
              </w:rPr>
              <w:t>12.2×</w:t>
            </w:r>
          </w:p>
        </w:tc>
        <w:tc>
          <w:tcPr>
            <w:tcW w:type="dxa" w:w="1299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63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Quantum technology</w:t>
            </w:r>
          </w:p>
        </w:tc>
        <w:tc>
          <w:tcPr>
            <w:tcW w:type="dxa" w:w="7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0.5</w:t>
            </w:r>
          </w:p>
        </w:tc>
        <w:tc>
          <w:tcPr>
            <w:tcW w:type="dxa" w:w="5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38.7×</w:t>
            </w:r>
          </w:p>
        </w:tc>
        <w:tc>
          <w:tcPr>
            <w:tcW w:type="dxa" w:w="1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6379"/>
          </w:tcPr>
          <w:p>
            <w:pPr>
              <w:spacing w:after="0"/>
            </w:pPr>
            <w:r/>
            <w:r>
              <w:rPr>
                <w:sz w:val="16"/>
              </w:rPr>
              <w:t>Semiconductors</w:t>
            </w:r>
          </w:p>
        </w:tc>
        <w:tc>
          <w:tcPr>
            <w:tcW w:type="dxa" w:w="731"/>
          </w:tcPr>
          <w:p>
            <w:pPr>
              <w:spacing w:after="0"/>
            </w:pPr>
            <w:r/>
            <w:r>
              <w:rPr>
                <w:sz w:val="16"/>
              </w:rPr>
              <w:t>7.1</w:t>
            </w:r>
          </w:p>
        </w:tc>
        <w:tc>
          <w:tcPr>
            <w:tcW w:type="dxa" w:w="580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649"/>
          </w:tcPr>
          <w:p>
            <w:pPr>
              <w:spacing w:after="0"/>
            </w:pPr>
            <w:r/>
            <w:r>
              <w:rPr>
                <w:sz w:val="16"/>
              </w:rPr>
              <w:t>2.1×</w:t>
            </w:r>
          </w:p>
        </w:tc>
        <w:tc>
          <w:tcPr>
            <w:tcW w:type="dxa" w:w="1299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</w:tr>
      <w:tr>
        <w:tc>
          <w:tcPr>
            <w:tcW w:type="dxa" w:w="63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AI and IT programme (replaces sovereign AI)</w:t>
            </w:r>
          </w:p>
        </w:tc>
        <w:tc>
          <w:tcPr>
            <w:tcW w:type="dxa" w:w="7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13.8</w:t>
            </w:r>
          </w:p>
        </w:tc>
        <w:tc>
          <w:tcPr>
            <w:tcW w:type="dxa" w:w="5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6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14.5×</w:t>
            </w:r>
          </w:p>
        </w:tc>
        <w:tc>
          <w:tcPr>
            <w:tcW w:type="dxa" w:w="129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</w:tr>
      <w:tr>
        <w:tc>
          <w:tcPr>
            <w:tcW w:type="dxa" w:w="637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Total of the six</w:t>
            </w:r>
          </w:p>
        </w:tc>
        <w:tc>
          <w:tcPr>
            <w:tcW w:type="dxa" w:w="73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305.9</w:t>
            </w:r>
          </w:p>
        </w:tc>
        <w:tc>
          <w:tcPr>
            <w:tcW w:type="dxa" w:w="58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3,610</w:t>
            </w:r>
          </w:p>
        </w:tc>
        <w:tc>
          <w:tcPr>
            <w:tcW w:type="dxa" w:w="64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11.8×</w:t>
            </w:r>
          </w:p>
        </w:tc>
        <w:tc>
          <w:tcPr>
            <w:tcW w:type="dxa" w:w="1299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Table 2.5. Classification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4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44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Segments</w:t>
            </w:r>
          </w:p>
        </w:tc>
        <w:tc>
          <w:tcPr>
            <w:tcW w:type="dxa" w:w="44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Boundary choices made</w:t>
            </w:r>
          </w:p>
        </w:tc>
      </w:tr>
      <w:tr>
        <w:tc>
          <w:tcPr>
            <w:tcW w:type="dxa" w:w="741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444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energy; Infrastructure &amp; social; Giant Sea Wall; Defence platforms &amp; MRO; Defence &amp; maritime industry; Manufacturing</w:t>
            </w:r>
          </w:p>
        </w:tc>
        <w:tc>
          <w:tcPr>
            <w:tcW w:type="dxa" w:w="4448"/>
          </w:tcPr>
          <w:p>
            <w:pPr>
              <w:spacing w:after="0"/>
            </w:pPr>
            <w:r/>
            <w:r>
              <w:rPr>
                <w:sz w:val="16"/>
              </w:rPr>
              <w:t>Solar, RDF, landfill mining and fishing villages are resource processing &amp; energy; water and decentralised waste are infrastructure; the sea wall is its own segment because of its size; defence is split into platforms (imported-heavy, little productive capacity) and the domestic industrial base (shipyards, components, maritime EV power packs); MOBNAS/MOLINAS, textile and pharma are manufacturing</w:t>
            </w:r>
          </w:p>
        </w:tc>
      </w:tr>
      <w:tr>
        <w:tc>
          <w:tcPr>
            <w:tcW w:type="dxa" w:w="74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44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Digital infrastructure; Deep tech; Technology park</w:t>
            </w:r>
          </w:p>
        </w:tc>
        <w:tc>
          <w:tcPr>
            <w:tcW w:type="dxa" w:w="44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National Data Centre and AI and IT programme are digital infrastructure; quantum, semiconductors, the space programme and drones are deep tech; the Tech Corridor is the technology park; IMX is placed here, purpose to be confirmed</w:t>
            </w:r>
          </w:p>
        </w:tc>
      </w:tr>
      <w:tr>
        <w:tc>
          <w:tcPr>
            <w:tcW w:type="dxa" w:w="741"/>
          </w:tcPr>
          <w:p>
            <w:pPr>
              <w:spacing w:after="0"/>
            </w:pPr>
            <w:r/>
            <w:r>
              <w:rPr>
                <w:sz w:val="16"/>
              </w:rPr>
              <w:t>Finance</w:t>
            </w:r>
          </w:p>
        </w:tc>
        <w:tc>
          <w:tcPr>
            <w:tcW w:type="dxa" w:w="4448"/>
          </w:tcPr>
          <w:p>
            <w:pPr>
              <w:spacing w:after="0"/>
            </w:pPr>
            <w:r/>
            <w:r>
              <w:rPr>
                <w:sz w:val="16"/>
              </w:rPr>
              <w:t>Financial &amp; commercial platforms</w:t>
            </w:r>
          </w:p>
        </w:tc>
        <w:tc>
          <w:tcPr>
            <w:tcW w:type="dxa" w:w="4448"/>
          </w:tcPr>
          <w:p>
            <w:pPr>
              <w:spacing w:after="0"/>
            </w:pPr>
            <w:r/>
            <w:r>
              <w:rPr>
                <w:sz w:val="16"/>
              </w:rPr>
              <w:t>The B2G/B2B e-commerce platform for MSMEs and ERP Merah Putih (uncosted). The resource fund and its funding instruments (Section 10.3) belong to this cluster but are sources of money, not capital spending</w:t>
            </w:r>
          </w:p>
        </w:tc>
      </w:tr>
    </w:tbl>
    <w:p>
      <w:pPr>
        <w:spacing w:after="40"/>
      </w:pPr>
    </w:p>
    <w:p>
      <w:pPr>
        <w:pStyle w:val="Heading2"/>
      </w:pPr>
      <w:r>
        <w:t>Table 2.6. Clusters and segments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86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Cluster / segment</w:t>
            </w:r>
          </w:p>
        </w:tc>
        <w:tc>
          <w:tcPr>
            <w:tcW w:type="dxa" w:w="55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Projects</w:t>
            </w:r>
          </w:p>
        </w:tc>
        <w:tc>
          <w:tcPr>
            <w:tcW w:type="dxa" w:w="11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 (Rp T)</w:t>
            </w:r>
          </w:p>
        </w:tc>
        <w:tc>
          <w:tcPr>
            <w:tcW w:type="dxa" w:w="90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Equity (Rp T)</w:t>
            </w:r>
          </w:p>
        </w:tc>
        <w:tc>
          <w:tcPr>
            <w:tcW w:type="dxa" w:w="39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Share</w:t>
            </w:r>
          </w:p>
        </w:tc>
        <w:tc>
          <w:tcPr>
            <w:tcW w:type="dxa" w:w="1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Domestic content of capex</w:t>
            </w:r>
          </w:p>
        </w:tc>
      </w:tr>
      <w:tr>
        <w:tc>
          <w:tcPr>
            <w:tcW w:type="dxa" w:w="486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5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26</w:t>
            </w:r>
          </w:p>
        </w:tc>
        <w:tc>
          <w:tcPr>
            <w:tcW w:type="dxa" w:w="11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4,914.3</w:t>
            </w:r>
          </w:p>
        </w:tc>
        <w:tc>
          <w:tcPr>
            <w:tcW w:type="dxa" w:w="90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1,032.0</w:t>
            </w:r>
          </w:p>
        </w:tc>
        <w:tc>
          <w:tcPr>
            <w:tcW w:type="dxa" w:w="39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91%</w:t>
            </w:r>
          </w:p>
        </w:tc>
        <w:tc>
          <w:tcPr>
            <w:tcW w:type="dxa" w:w="173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5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1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647.8</w:t>
            </w:r>
          </w:p>
        </w:tc>
        <w:tc>
          <w:tcPr>
            <w:tcW w:type="dxa" w:w="90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136.0</w:t>
            </w:r>
          </w:p>
        </w:tc>
        <w:tc>
          <w:tcPr>
            <w:tcW w:type="dxa" w:w="39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12%</w:t>
            </w:r>
          </w:p>
        </w:tc>
        <w:tc>
          <w:tcPr>
            <w:tcW w:type="dxa" w:w="173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55%</w:t>
            </w:r>
          </w:p>
        </w:tc>
      </w:tr>
      <w:tr>
        <w:tc>
          <w:tcPr>
            <w:tcW w:type="dxa" w:w="4864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556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81"/>
          </w:tcPr>
          <w:p>
            <w:pPr>
              <w:spacing w:after="0"/>
            </w:pPr>
            <w:r/>
            <w:r>
              <w:rPr>
                <w:sz w:val="16"/>
              </w:rPr>
              <w:t>810.3</w:t>
            </w:r>
          </w:p>
        </w:tc>
        <w:tc>
          <w:tcPr>
            <w:tcW w:type="dxa" w:w="903"/>
          </w:tcPr>
          <w:p>
            <w:pPr>
              <w:spacing w:after="0"/>
            </w:pPr>
            <w:r/>
            <w:r>
              <w:rPr>
                <w:sz w:val="16"/>
              </w:rPr>
              <w:t>170.2</w:t>
            </w:r>
          </w:p>
        </w:tc>
        <w:tc>
          <w:tcPr>
            <w:tcW w:type="dxa" w:w="397"/>
          </w:tcPr>
          <w:p>
            <w:pPr>
              <w:spacing w:after="0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1737"/>
          </w:tcPr>
          <w:p>
            <w:pPr>
              <w:spacing w:after="0"/>
            </w:pPr>
            <w:r/>
            <w:r>
              <w:rPr>
                <w:sz w:val="16"/>
              </w:rPr>
              <w:t>80%</w:t>
            </w:r>
          </w:p>
        </w:tc>
      </w:tr>
      <w:tr>
        <w:tc>
          <w:tcPr>
            <w:tcW w:type="dxa" w:w="4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Giant Sea Wall</w:t>
            </w:r>
          </w:p>
        </w:tc>
        <w:tc>
          <w:tcPr>
            <w:tcW w:type="dxa" w:w="5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1,200.0</w:t>
            </w:r>
          </w:p>
        </w:tc>
        <w:tc>
          <w:tcPr>
            <w:tcW w:type="dxa" w:w="90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252.0</w:t>
            </w:r>
          </w:p>
        </w:tc>
        <w:tc>
          <w:tcPr>
            <w:tcW w:type="dxa" w:w="39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22%</w:t>
            </w:r>
          </w:p>
        </w:tc>
        <w:tc>
          <w:tcPr>
            <w:tcW w:type="dxa" w:w="173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85%</w:t>
            </w:r>
          </w:p>
        </w:tc>
      </w:tr>
      <w:tr>
        <w:tc>
          <w:tcPr>
            <w:tcW w:type="dxa" w:w="4864"/>
          </w:tcPr>
          <w:p>
            <w:pPr>
              <w:spacing w:after="0"/>
            </w:pPr>
            <w:r/>
            <w:r>
              <w:rPr>
                <w:sz w:val="16"/>
              </w:rPr>
              <w:t>Defence platforms &amp; MRO</w:t>
            </w:r>
          </w:p>
        </w:tc>
        <w:tc>
          <w:tcPr>
            <w:tcW w:type="dxa" w:w="556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81"/>
          </w:tcPr>
          <w:p>
            <w:pPr>
              <w:spacing w:after="0"/>
            </w:pPr>
            <w:r/>
            <w:r>
              <w:rPr>
                <w:sz w:val="16"/>
              </w:rPr>
              <w:t>2,125.0</w:t>
            </w:r>
          </w:p>
        </w:tc>
        <w:tc>
          <w:tcPr>
            <w:tcW w:type="dxa" w:w="903"/>
          </w:tcPr>
          <w:p>
            <w:pPr>
              <w:spacing w:after="0"/>
            </w:pPr>
            <w:r/>
            <w:r>
              <w:rPr>
                <w:sz w:val="16"/>
              </w:rPr>
              <w:t>446.3</w:t>
            </w:r>
          </w:p>
        </w:tc>
        <w:tc>
          <w:tcPr>
            <w:tcW w:type="dxa" w:w="397"/>
          </w:tcPr>
          <w:p>
            <w:pPr>
              <w:spacing w:after="0"/>
            </w:pPr>
            <w:r/>
            <w:r>
              <w:rPr>
                <w:sz w:val="16"/>
              </w:rPr>
              <w:t>39%</w:t>
            </w:r>
          </w:p>
        </w:tc>
        <w:tc>
          <w:tcPr>
            <w:tcW w:type="dxa" w:w="1737"/>
          </w:tcPr>
          <w:p>
            <w:pPr>
              <w:spacing w:after="0"/>
            </w:pPr>
            <w:r/>
            <w:r>
              <w:rPr>
                <w:sz w:val="16"/>
              </w:rPr>
              <w:t>40%</w:t>
            </w:r>
          </w:p>
        </w:tc>
      </w:tr>
      <w:tr>
        <w:tc>
          <w:tcPr>
            <w:tcW w:type="dxa" w:w="4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&amp; maritime industry</w:t>
            </w:r>
          </w:p>
        </w:tc>
        <w:tc>
          <w:tcPr>
            <w:tcW w:type="dxa" w:w="5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8.2</w:t>
            </w:r>
          </w:p>
        </w:tc>
        <w:tc>
          <w:tcPr>
            <w:tcW w:type="dxa" w:w="90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1.7</w:t>
            </w:r>
          </w:p>
        </w:tc>
        <w:tc>
          <w:tcPr>
            <w:tcW w:type="dxa" w:w="39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0%</w:t>
            </w:r>
          </w:p>
        </w:tc>
        <w:tc>
          <w:tcPr>
            <w:tcW w:type="dxa" w:w="173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60%</w:t>
            </w:r>
          </w:p>
        </w:tc>
      </w:tr>
      <w:tr>
        <w:tc>
          <w:tcPr>
            <w:tcW w:type="dxa" w:w="4864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556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81"/>
          </w:tcPr>
          <w:p>
            <w:pPr>
              <w:spacing w:after="0"/>
            </w:pPr>
            <w:r/>
            <w:r>
              <w:rPr>
                <w:sz w:val="16"/>
              </w:rPr>
              <w:t>122.9</w:t>
            </w:r>
          </w:p>
        </w:tc>
        <w:tc>
          <w:tcPr>
            <w:tcW w:type="dxa" w:w="903"/>
          </w:tcPr>
          <w:p>
            <w:pPr>
              <w:spacing w:after="0"/>
            </w:pPr>
            <w:r/>
            <w:r>
              <w:rPr>
                <w:sz w:val="16"/>
              </w:rPr>
              <w:t>25.8</w:t>
            </w:r>
          </w:p>
        </w:tc>
        <w:tc>
          <w:tcPr>
            <w:tcW w:type="dxa" w:w="397"/>
          </w:tcPr>
          <w:p>
            <w:pPr>
              <w:spacing w:after="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1737"/>
          </w:tcPr>
          <w:p>
            <w:pPr>
              <w:spacing w:after="0"/>
            </w:pPr>
            <w:r/>
            <w:r>
              <w:rPr>
                <w:sz w:val="16"/>
              </w:rPr>
              <w:t>50%</w:t>
            </w:r>
          </w:p>
        </w:tc>
      </w:tr>
      <w:tr>
        <w:tc>
          <w:tcPr>
            <w:tcW w:type="dxa" w:w="4864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556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181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480.3</w:t>
            </w:r>
          </w:p>
        </w:tc>
        <w:tc>
          <w:tcPr>
            <w:tcW w:type="dxa" w:w="903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100.9</w:t>
            </w:r>
          </w:p>
        </w:tc>
        <w:tc>
          <w:tcPr>
            <w:tcW w:type="dxa" w:w="397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9%</w:t>
            </w:r>
          </w:p>
        </w:tc>
        <w:tc>
          <w:tcPr>
            <w:tcW w:type="dxa" w:w="1737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864"/>
          </w:tcPr>
          <w:p>
            <w:pPr>
              <w:spacing w:after="0"/>
            </w:pPr>
            <w:r/>
            <w:r>
              <w:rPr>
                <w:sz w:val="16"/>
              </w:rPr>
              <w:t>Digital infrastructure (data centre, AI &amp; IT)</w:t>
            </w:r>
          </w:p>
        </w:tc>
        <w:tc>
          <w:tcPr>
            <w:tcW w:type="dxa" w:w="556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81"/>
          </w:tcPr>
          <w:p>
            <w:pPr>
              <w:spacing w:after="0"/>
            </w:pPr>
            <w:r/>
            <w:r>
              <w:rPr>
                <w:sz w:val="16"/>
              </w:rPr>
              <w:t>250.0</w:t>
            </w:r>
          </w:p>
        </w:tc>
        <w:tc>
          <w:tcPr>
            <w:tcW w:type="dxa" w:w="903"/>
          </w:tcPr>
          <w:p>
            <w:pPr>
              <w:spacing w:after="0"/>
            </w:pPr>
            <w:r/>
            <w:r>
              <w:rPr>
                <w:sz w:val="16"/>
              </w:rPr>
              <w:t>52.5</w:t>
            </w:r>
          </w:p>
        </w:tc>
        <w:tc>
          <w:tcPr>
            <w:tcW w:type="dxa" w:w="397"/>
          </w:tcPr>
          <w:p>
            <w:pPr>
              <w:spacing w:after="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1737"/>
          </w:tcPr>
          <w:p>
            <w:pPr>
              <w:spacing w:after="0"/>
            </w:pPr>
            <w:r/>
            <w:r>
              <w:rPr>
                <w:sz w:val="16"/>
              </w:rPr>
              <w:t>35%</w:t>
            </w:r>
          </w:p>
        </w:tc>
      </w:tr>
      <w:tr>
        <w:tc>
          <w:tcPr>
            <w:tcW w:type="dxa" w:w="4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Deep tech (quantum, semiconductors, space, drone)</w:t>
            </w:r>
          </w:p>
        </w:tc>
        <w:tc>
          <w:tcPr>
            <w:tcW w:type="dxa" w:w="5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43.4</w:t>
            </w:r>
          </w:p>
        </w:tc>
        <w:tc>
          <w:tcPr>
            <w:tcW w:type="dxa" w:w="90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9.1</w:t>
            </w:r>
          </w:p>
        </w:tc>
        <w:tc>
          <w:tcPr>
            <w:tcW w:type="dxa" w:w="39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173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40%</w:t>
            </w:r>
          </w:p>
        </w:tc>
      </w:tr>
      <w:tr>
        <w:tc>
          <w:tcPr>
            <w:tcW w:type="dxa" w:w="4864"/>
          </w:tcPr>
          <w:p>
            <w:pPr>
              <w:spacing w:after="0"/>
            </w:pPr>
            <w:r/>
            <w:r>
              <w:rPr>
                <w:sz w:val="16"/>
              </w:rPr>
              <w:t>Technology park (Tech Corridor)</w:t>
            </w:r>
          </w:p>
        </w:tc>
        <w:tc>
          <w:tcPr>
            <w:tcW w:type="dxa" w:w="556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81"/>
          </w:tcPr>
          <w:p>
            <w:pPr>
              <w:spacing w:after="0"/>
            </w:pPr>
            <w:r/>
            <w:r>
              <w:rPr>
                <w:sz w:val="16"/>
              </w:rPr>
              <w:t>186.9</w:t>
            </w:r>
          </w:p>
        </w:tc>
        <w:tc>
          <w:tcPr>
            <w:tcW w:type="dxa" w:w="903"/>
          </w:tcPr>
          <w:p>
            <w:pPr>
              <w:spacing w:after="0"/>
            </w:pPr>
            <w:r/>
            <w:r>
              <w:rPr>
                <w:sz w:val="16"/>
              </w:rPr>
              <w:t>39.2</w:t>
            </w:r>
          </w:p>
        </w:tc>
        <w:tc>
          <w:tcPr>
            <w:tcW w:type="dxa" w:w="397"/>
          </w:tcPr>
          <w:p>
            <w:pPr>
              <w:spacing w:after="0"/>
            </w:pPr>
            <w:r/>
            <w:r>
              <w:rPr>
                <w:sz w:val="16"/>
              </w:rPr>
              <w:t>3%</w:t>
            </w:r>
          </w:p>
        </w:tc>
        <w:tc>
          <w:tcPr>
            <w:tcW w:type="dxa" w:w="1737"/>
          </w:tcPr>
          <w:p>
            <w:pPr>
              <w:spacing w:after="0"/>
            </w:pPr>
            <w:r/>
            <w:r>
              <w:rPr>
                <w:sz w:val="16"/>
              </w:rPr>
              <w:t>75%</w:t>
            </w:r>
          </w:p>
        </w:tc>
      </w:tr>
      <w:tr>
        <w:tc>
          <w:tcPr>
            <w:tcW w:type="dxa" w:w="4864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Finance</w:t>
            </w:r>
          </w:p>
        </w:tc>
        <w:tc>
          <w:tcPr>
            <w:tcW w:type="dxa" w:w="556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181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1.0</w:t>
            </w:r>
          </w:p>
        </w:tc>
        <w:tc>
          <w:tcPr>
            <w:tcW w:type="dxa" w:w="903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0.2</w:t>
            </w:r>
          </w:p>
        </w:tc>
        <w:tc>
          <w:tcPr>
            <w:tcW w:type="dxa" w:w="397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0%</w:t>
            </w:r>
          </w:p>
        </w:tc>
        <w:tc>
          <w:tcPr>
            <w:tcW w:type="dxa" w:w="1737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864"/>
          </w:tcPr>
          <w:p>
            <w:pPr>
              <w:spacing w:after="0"/>
            </w:pPr>
            <w:r/>
            <w:r>
              <w:rPr>
                <w:sz w:val="16"/>
              </w:rPr>
              <w:t>Financial &amp; commercial platforms</w:t>
            </w:r>
          </w:p>
        </w:tc>
        <w:tc>
          <w:tcPr>
            <w:tcW w:type="dxa" w:w="556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81"/>
          </w:tcPr>
          <w:p>
            <w:pPr>
              <w:spacing w:after="0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903"/>
          </w:tcPr>
          <w:p>
            <w:pPr>
              <w:spacing w:after="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397"/>
          </w:tcPr>
          <w:p>
            <w:pPr>
              <w:spacing w:after="0"/>
            </w:pPr>
            <w:r/>
            <w:r>
              <w:rPr>
                <w:sz w:val="16"/>
              </w:rPr>
              <w:t>0%</w:t>
            </w:r>
          </w:p>
        </w:tc>
        <w:tc>
          <w:tcPr>
            <w:tcW w:type="dxa" w:w="1737"/>
          </w:tcPr>
          <w:p>
            <w:pPr>
              <w:spacing w:after="0"/>
            </w:pPr>
            <w:r/>
            <w:r>
              <w:rPr>
                <w:sz w:val="16"/>
              </w:rPr>
              <w:t>60%</w:t>
            </w:r>
          </w:p>
        </w:tc>
      </w:tr>
      <w:tr>
        <w:tc>
          <w:tcPr>
            <w:tcW w:type="dxa" w:w="4864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Total (34 costed + 5 to be confirmed)</w:t>
            </w:r>
          </w:p>
        </w:tc>
        <w:tc>
          <w:tcPr>
            <w:tcW w:type="dxa" w:w="556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34</w:t>
            </w:r>
          </w:p>
        </w:tc>
        <w:tc>
          <w:tcPr>
            <w:tcW w:type="dxa" w:w="1181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5,395.5</w:t>
            </w:r>
          </w:p>
        </w:tc>
        <w:tc>
          <w:tcPr>
            <w:tcW w:type="dxa" w:w="903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1,133.1</w:t>
            </w:r>
          </w:p>
        </w:tc>
        <w:tc>
          <w:tcPr>
            <w:tcW w:type="dxa" w:w="397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100%</w:t>
            </w:r>
          </w:p>
        </w:tc>
        <w:tc>
          <w:tcPr>
            <w:tcW w:type="dxa" w:w="1737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Table 2.7. Industry projects (Rp trillion)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2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81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</w:t>
            </w:r>
          </w:p>
        </w:tc>
        <w:tc>
          <w:tcPr>
            <w:tcW w:type="dxa" w:w="5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Equity</w:t>
            </w:r>
          </w:p>
        </w:tc>
        <w:tc>
          <w:tcPr>
            <w:tcW w:type="dxa" w:w="104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Timeline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PLTS 100 GW (solar)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231.4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48.6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Fishing-village food security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83.8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17.6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Biodiesel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75.4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15.8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Al, Fe, Ni, Mn metals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73.3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15.4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2029–2031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CPE (assumed petrochemical)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71.2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15.0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CDME (coal to DME)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46.3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9.7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Refinery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40.9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Silica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8.9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1.9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Legacy waste – landfill mining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Legacy waste – RDF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Project Tarsius Ph.1 (rare earths)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0.5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2029–2032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Copper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2.0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0.4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Project Anoa (rare earths)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0.4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0.1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 smart cities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225.0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47.3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2028–2032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Affordable housing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219.4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46.1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500 schools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178.0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37.4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Centralised water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112.2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23.6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STEM university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71.0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14.9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Decentralised waste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4.6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Giant Sea Wall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Giant Sea Wall *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1,200.0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252.0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Defence platforms &amp; MRO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Defence modernisation ‡ *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2,125.0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446.3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&amp; maritime industry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Shipyard &amp; ship components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2028–2032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Defence &amp; maritime industry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EV Power Pack (maritime)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0.6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Textile ecosystem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89.0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18.7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sz w:val="16"/>
              </w:rPr>
              <w:t>MOBNAS &amp; MOLINAS</w:t>
            </w:r>
          </w:p>
        </w:tc>
        <w:tc>
          <w:tcPr>
            <w:tcW w:type="dxa" w:w="813"/>
          </w:tcPr>
          <w:p>
            <w:pPr>
              <w:spacing w:after="0"/>
            </w:pPr>
            <w:r/>
            <w:r>
              <w:rPr>
                <w:sz w:val="16"/>
              </w:rPr>
              <w:t>25.0</w:t>
            </w:r>
          </w:p>
        </w:tc>
        <w:tc>
          <w:tcPr>
            <w:tcW w:type="dxa" w:w="581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  <w:tc>
          <w:tcPr>
            <w:tcW w:type="dxa" w:w="1045"/>
          </w:tcPr>
          <w:p>
            <w:pPr>
              <w:spacing w:after="0"/>
            </w:pPr>
            <w:r/>
            <w:r>
              <w:rPr>
                <w:sz w:val="16"/>
              </w:rPr>
              <w:t>2027–2029</w:t>
            </w:r>
          </w:p>
        </w:tc>
      </w:tr>
      <w:tr>
        <w:tc>
          <w:tcPr>
            <w:tcW w:type="dxa" w:w="32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39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Biosimilar &amp; pharma</w:t>
            </w:r>
          </w:p>
        </w:tc>
        <w:tc>
          <w:tcPr>
            <w:tcW w:type="dxa" w:w="8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8.9</w:t>
            </w:r>
          </w:p>
        </w:tc>
        <w:tc>
          <w:tcPr>
            <w:tcW w:type="dxa" w:w="5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1.9</w:t>
            </w:r>
          </w:p>
        </w:tc>
        <w:tc>
          <w:tcPr>
            <w:tcW w:type="dxa" w:w="10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</w:tbl>
    <w:p>
      <w:pPr>
        <w:spacing w:after="40"/>
      </w:pPr>
    </w:p>
    <w:p>
      <w:pPr>
        <w:pStyle w:val="Heading2"/>
      </w:pPr>
      <w:r>
        <w:t>Table 2.8. Technology projects (Rp trillion)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85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415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90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</w:t>
            </w:r>
          </w:p>
        </w:tc>
        <w:tc>
          <w:tcPr>
            <w:tcW w:type="dxa" w:w="54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Equity</w:t>
            </w:r>
          </w:p>
        </w:tc>
        <w:tc>
          <w:tcPr>
            <w:tcW w:type="dxa" w:w="116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Timeline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/>
            <w:r>
              <w:rPr>
                <w:sz w:val="16"/>
              </w:rPr>
              <w:t>Digital infrastructure</w:t>
            </w:r>
          </w:p>
        </w:tc>
        <w:tc>
          <w:tcPr>
            <w:tcW w:type="dxa" w:w="4156"/>
          </w:tcPr>
          <w:p>
            <w:pPr>
              <w:spacing w:after="0"/>
            </w:pPr>
            <w:r/>
            <w:r>
              <w:rPr>
                <w:sz w:val="16"/>
              </w:rPr>
              <w:t>AI and IT programme *</w:t>
            </w:r>
          </w:p>
        </w:tc>
        <w:tc>
          <w:tcPr>
            <w:tcW w:type="dxa" w:w="909"/>
          </w:tcPr>
          <w:p>
            <w:pPr>
              <w:spacing w:after="0"/>
            </w:pPr>
            <w:r/>
            <w:r>
              <w:rPr>
                <w:sz w:val="16"/>
              </w:rPr>
              <w:t>200.0</w:t>
            </w:r>
          </w:p>
        </w:tc>
        <w:tc>
          <w:tcPr>
            <w:tcW w:type="dxa" w:w="546"/>
          </w:tcPr>
          <w:p>
            <w:pPr>
              <w:spacing w:after="0"/>
            </w:pPr>
            <w:r/>
            <w:r>
              <w:rPr>
                <w:sz w:val="16"/>
              </w:rPr>
              <w:t>42.0</w:t>
            </w:r>
          </w:p>
        </w:tc>
        <w:tc>
          <w:tcPr>
            <w:tcW w:type="dxa" w:w="1169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</w:tr>
      <w:tr>
        <w:tc>
          <w:tcPr>
            <w:tcW w:type="dxa" w:w="28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Digital infrastructure</w:t>
            </w:r>
          </w:p>
        </w:tc>
        <w:tc>
          <w:tcPr>
            <w:tcW w:type="dxa" w:w="41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National Data Centre *</w:t>
            </w:r>
          </w:p>
        </w:tc>
        <w:tc>
          <w:tcPr>
            <w:tcW w:type="dxa" w:w="90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50.0</w:t>
            </w:r>
          </w:p>
        </w:tc>
        <w:tc>
          <w:tcPr>
            <w:tcW w:type="dxa" w:w="54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10.5</w:t>
            </w:r>
          </w:p>
        </w:tc>
        <w:tc>
          <w:tcPr>
            <w:tcW w:type="dxa" w:w="11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/>
            <w:r>
              <w:rPr>
                <w:sz w:val="16"/>
              </w:rPr>
              <w:t>Deep tech</w:t>
            </w:r>
          </w:p>
        </w:tc>
        <w:tc>
          <w:tcPr>
            <w:tcW w:type="dxa" w:w="4156"/>
          </w:tcPr>
          <w:p>
            <w:pPr>
              <w:spacing w:after="0"/>
            </w:pPr>
            <w:r/>
            <w:r>
              <w:rPr>
                <w:sz w:val="16"/>
              </w:rPr>
              <w:t>Quantum technology development *</w:t>
            </w:r>
          </w:p>
        </w:tc>
        <w:tc>
          <w:tcPr>
            <w:tcW w:type="dxa" w:w="909"/>
          </w:tcPr>
          <w:p>
            <w:pPr>
              <w:spacing w:after="0"/>
            </w:pPr>
            <w:r/>
            <w:r>
              <w:rPr>
                <w:sz w:val="16"/>
              </w:rPr>
              <w:t>20.0</w:t>
            </w:r>
          </w:p>
        </w:tc>
        <w:tc>
          <w:tcPr>
            <w:tcW w:type="dxa" w:w="546"/>
          </w:tcPr>
          <w:p>
            <w:pPr>
              <w:spacing w:after="0"/>
            </w:pPr>
            <w:r/>
            <w:r>
              <w:rPr>
                <w:sz w:val="16"/>
              </w:rPr>
              <w:t>4.2</w:t>
            </w:r>
          </w:p>
        </w:tc>
        <w:tc>
          <w:tcPr>
            <w:tcW w:type="dxa" w:w="1169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28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Deep tech</w:t>
            </w:r>
          </w:p>
        </w:tc>
        <w:tc>
          <w:tcPr>
            <w:tcW w:type="dxa" w:w="41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Semiconductors *</w:t>
            </w:r>
          </w:p>
        </w:tc>
        <w:tc>
          <w:tcPr>
            <w:tcW w:type="dxa" w:w="90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15.0</w:t>
            </w:r>
          </w:p>
        </w:tc>
        <w:tc>
          <w:tcPr>
            <w:tcW w:type="dxa" w:w="54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11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/>
            <w:r>
              <w:rPr>
                <w:sz w:val="16"/>
              </w:rPr>
              <w:t>Deep tech</w:t>
            </w:r>
          </w:p>
        </w:tc>
        <w:tc>
          <w:tcPr>
            <w:tcW w:type="dxa" w:w="4156"/>
          </w:tcPr>
          <w:p>
            <w:pPr>
              <w:spacing w:after="0"/>
            </w:pPr>
            <w:r/>
            <w:r>
              <w:rPr>
                <w:sz w:val="16"/>
              </w:rPr>
              <w:t>National space programme</w:t>
            </w:r>
          </w:p>
        </w:tc>
        <w:tc>
          <w:tcPr>
            <w:tcW w:type="dxa" w:w="909"/>
          </w:tcPr>
          <w:p>
            <w:pPr>
              <w:spacing w:after="0"/>
            </w:pPr>
            <w:r/>
            <w:r>
              <w:rPr>
                <w:sz w:val="16"/>
              </w:rPr>
              <w:t>5.4</w:t>
            </w:r>
          </w:p>
        </w:tc>
        <w:tc>
          <w:tcPr>
            <w:tcW w:type="dxa" w:w="546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1169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28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Deep tech</w:t>
            </w:r>
          </w:p>
        </w:tc>
        <w:tc>
          <w:tcPr>
            <w:tcW w:type="dxa" w:w="41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Drone</w:t>
            </w:r>
          </w:p>
        </w:tc>
        <w:tc>
          <w:tcPr>
            <w:tcW w:type="dxa" w:w="90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54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0.6</w:t>
            </w:r>
          </w:p>
        </w:tc>
        <w:tc>
          <w:tcPr>
            <w:tcW w:type="dxa" w:w="11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/>
            <w:r>
              <w:rPr>
                <w:sz w:val="16"/>
              </w:rPr>
              <w:t>Technology park</w:t>
            </w:r>
          </w:p>
        </w:tc>
        <w:tc>
          <w:tcPr>
            <w:tcW w:type="dxa" w:w="4156"/>
          </w:tcPr>
          <w:p>
            <w:pPr>
              <w:spacing w:after="0"/>
            </w:pPr>
            <w:r/>
            <w:r>
              <w:rPr>
                <w:sz w:val="16"/>
              </w:rPr>
              <w:t>Tech Corridor</w:t>
            </w:r>
          </w:p>
        </w:tc>
        <w:tc>
          <w:tcPr>
            <w:tcW w:type="dxa" w:w="909"/>
          </w:tcPr>
          <w:p>
            <w:pPr>
              <w:spacing w:after="0"/>
            </w:pPr>
            <w:r/>
            <w:r>
              <w:rPr>
                <w:sz w:val="16"/>
              </w:rPr>
              <w:t>186.9</w:t>
            </w:r>
          </w:p>
        </w:tc>
        <w:tc>
          <w:tcPr>
            <w:tcW w:type="dxa" w:w="546"/>
          </w:tcPr>
          <w:p>
            <w:pPr>
              <w:spacing w:after="0"/>
            </w:pPr>
            <w:r/>
            <w:r>
              <w:rPr>
                <w:sz w:val="16"/>
              </w:rPr>
              <w:t>39.2</w:t>
            </w:r>
          </w:p>
        </w:tc>
        <w:tc>
          <w:tcPr>
            <w:tcW w:type="dxa" w:w="1169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28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Digital infrastructure</w:t>
            </w:r>
          </w:p>
        </w:tc>
        <w:tc>
          <w:tcPr>
            <w:tcW w:type="dxa" w:w="41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IMX (purpose to be confirmed)</w:t>
            </w:r>
          </w:p>
        </w:tc>
        <w:tc>
          <w:tcPr>
            <w:tcW w:type="dxa" w:w="90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54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11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</w:tr>
    </w:tbl>
    <w:p>
      <w:pPr>
        <w:spacing w:after="40"/>
      </w:pPr>
    </w:p>
    <w:p>
      <w:pPr>
        <w:pStyle w:val="Heading2"/>
      </w:pPr>
      <w:r>
        <w:t>Table 3.1. Stabilisation approaches in Chile, Mexico and Brazil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21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Chile</w:t>
            </w:r>
          </w:p>
        </w:tc>
        <w:tc>
          <w:tcPr>
            <w:tcW w:type="dxa" w:w="294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Mexico</w:t>
            </w:r>
          </w:p>
        </w:tc>
        <w:tc>
          <w:tcPr>
            <w:tcW w:type="dxa" w:w="235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Brazil</w:t>
            </w:r>
          </w:p>
        </w:tc>
      </w:tr>
      <w:tr>
        <w:tc>
          <w:tcPr>
            <w:tcW w:type="dxa" w:w="1124"/>
          </w:tcPr>
          <w:p>
            <w:pPr>
              <w:spacing w:after="0"/>
            </w:pPr>
            <w:r/>
            <w:r>
              <w:rPr>
                <w:sz w:val="16"/>
              </w:rPr>
              <w:t>Main commodity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6"/>
              </w:rPr>
              <w:t>Copper (state-owned Codelco plus private mines)</w:t>
            </w:r>
          </w:p>
        </w:tc>
        <w:tc>
          <w:tcPr>
            <w:tcW w:type="dxa" w:w="2945"/>
          </w:tcPr>
          <w:p>
            <w:pPr>
              <w:spacing w:after="0"/>
            </w:pPr>
            <w:r/>
            <w:r>
              <w:rPr>
                <w:sz w:val="16"/>
              </w:rPr>
              <w:t>Oil (Pemex)</w:t>
            </w:r>
          </w:p>
        </w:tc>
        <w:tc>
          <w:tcPr>
            <w:tcW w:type="dxa" w:w="2356"/>
          </w:tcPr>
          <w:p>
            <w:pPr>
              <w:spacing w:after="0"/>
            </w:pPr>
            <w:r/>
            <w:r>
              <w:rPr>
                <w:sz w:val="16"/>
              </w:rPr>
              <w:t>Oil, iron ore (private and mixed firms)</w:t>
            </w:r>
          </w:p>
        </w:tc>
      </w:tr>
      <w:tr>
        <w:tc>
          <w:tcPr>
            <w:tcW w:type="dxa" w:w="11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Budget price</w:t>
            </w:r>
          </w:p>
        </w:tc>
        <w:tc>
          <w:tcPr>
            <w:tcW w:type="dxa" w:w="32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Long-run reference price set by independent committee</w:t>
            </w:r>
          </w:p>
        </w:tc>
        <w:tc>
          <w:tcPr>
            <w:tcW w:type="dxa" w:w="29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Reference oil price in annual budget</w:t>
            </w:r>
          </w:p>
        </w:tc>
        <w:tc>
          <w:tcPr>
            <w:tcW w:type="dxa" w:w="23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Implicit in revenue forecasts</w:t>
            </w:r>
          </w:p>
        </w:tc>
      </w:tr>
      <w:tr>
        <w:tc>
          <w:tcPr>
            <w:tcW w:type="dxa" w:w="1124"/>
          </w:tcPr>
          <w:p>
            <w:pPr>
              <w:spacing w:after="0"/>
            </w:pPr>
            <w:r/>
            <w:r>
              <w:rPr>
                <w:sz w:val="16"/>
              </w:rPr>
              <w:t>Shock absorber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6"/>
              </w:rPr>
              <w:t>ESSF: saves surplus, drawn in downturns</w:t>
            </w:r>
          </w:p>
        </w:tc>
        <w:tc>
          <w:tcPr>
            <w:tcW w:type="dxa" w:w="2945"/>
          </w:tcPr>
          <w:p>
            <w:pPr>
              <w:spacing w:after="0"/>
            </w:pPr>
            <w:r/>
            <w:r>
              <w:rPr>
                <w:sz w:val="16"/>
              </w:rPr>
              <w:t>Put-option hedge; FEIP; FMP</w:t>
            </w:r>
          </w:p>
        </w:tc>
        <w:tc>
          <w:tcPr>
            <w:tcW w:type="dxa" w:w="2356"/>
          </w:tcPr>
          <w:p>
            <w:pPr>
              <w:spacing w:after="0"/>
            </w:pPr>
            <w:r/>
            <w:r>
              <w:rPr>
                <w:sz w:val="16"/>
              </w:rPr>
              <w:t>None dedicated; FSB wound down in 2018</w:t>
            </w:r>
          </w:p>
        </w:tc>
      </w:tr>
      <w:tr>
        <w:tc>
          <w:tcPr>
            <w:tcW w:type="dxa" w:w="11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Fiscal anchor</w:t>
            </w:r>
          </w:p>
        </w:tc>
        <w:tc>
          <w:tcPr>
            <w:tcW w:type="dxa" w:w="32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Structural balance rule (2001); Fiscal Responsibility Law (2006)</w:t>
            </w:r>
          </w:p>
        </w:tc>
        <w:tc>
          <w:tcPr>
            <w:tcW w:type="dxa" w:w="29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Budget balance law and reference price</w:t>
            </w:r>
          </w:p>
        </w:tc>
        <w:tc>
          <w:tcPr>
            <w:tcW w:type="dxa" w:w="23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Spending cap (2016); fiscal framework (2023)</w:t>
            </w:r>
          </w:p>
        </w:tc>
      </w:tr>
      <w:tr>
        <w:tc>
          <w:tcPr>
            <w:tcW w:type="dxa" w:w="1124"/>
          </w:tcPr>
          <w:p>
            <w:pPr>
              <w:spacing w:after="0"/>
            </w:pPr>
            <w:r/>
            <w:r>
              <w:rPr>
                <w:sz w:val="16"/>
              </w:rPr>
              <w:t>Independent oversight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6"/>
              </w:rPr>
              <w:t>Expert committees; Autonomous Fiscal Council (2019)</w:t>
            </w:r>
          </w:p>
        </w:tc>
        <w:tc>
          <w:tcPr>
            <w:tcW w:type="dxa" w:w="2945"/>
          </w:tcPr>
          <w:p>
            <w:pPr>
              <w:spacing w:after="0"/>
            </w:pPr>
            <w:r/>
            <w:r>
              <w:rPr>
                <w:sz w:val="16"/>
              </w:rPr>
              <w:t>Limited</w:t>
            </w:r>
          </w:p>
        </w:tc>
        <w:tc>
          <w:tcPr>
            <w:tcW w:type="dxa" w:w="2356"/>
          </w:tcPr>
          <w:p>
            <w:pPr>
              <w:spacing w:after="0"/>
            </w:pPr>
            <w:r/>
            <w:r>
              <w:rPr>
                <w:sz w:val="16"/>
              </w:rPr>
              <w:t>Limited</w:t>
            </w:r>
          </w:p>
        </w:tc>
      </w:tr>
      <w:tr>
        <w:tc>
          <w:tcPr>
            <w:tcW w:type="dxa" w:w="11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Main lesson</w:t>
            </w:r>
          </w:p>
        </w:tc>
        <w:tc>
          <w:tcPr>
            <w:tcW w:type="dxa" w:w="32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Independent price-setting gives the rule credibility</w:t>
            </w:r>
          </w:p>
        </w:tc>
        <w:tc>
          <w:tcPr>
            <w:tcW w:type="dxa" w:w="29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Insurance protects one year; buffers need deposit rules</w:t>
            </w:r>
          </w:p>
        </w:tc>
        <w:tc>
          <w:tcPr>
            <w:tcW w:type="dxa" w:w="23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Spending caps alone do not save windfalls</w:t>
            </w:r>
          </w:p>
        </w:tc>
      </w:tr>
    </w:tbl>
    <w:p>
      <w:pPr>
        <w:spacing w:after="40"/>
      </w:pPr>
    </w:p>
    <w:p>
      <w:pPr>
        <w:pStyle w:val="Heading2"/>
      </w:pPr>
      <w:r>
        <w:t>Table 3.2. Ways of using future export receivables, and their 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Mechanism</w:t>
            </w:r>
          </w:p>
        </w:tc>
        <w:tc>
          <w:tcPr>
            <w:tcW w:type="dxa" w:w="375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75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/>
            <w:r>
              <w:rPr>
                <w:sz w:val="16"/>
              </w:rPr>
              <w:t>Future-flow securitisation</w:t>
            </w:r>
          </w:p>
        </w:tc>
        <w:tc>
          <w:tcPr>
            <w:tcW w:type="dxa" w:w="3755"/>
          </w:tcPr>
          <w:p>
            <w:pPr>
              <w:spacing w:after="0"/>
            </w:pPr>
            <w:r/>
            <w:r>
              <w:rPr>
                <w:sz w:val="16"/>
              </w:rPr>
              <w:t>Pemex oil receivables; Brazilian and Mexican banks' diversified payment rights</w:t>
            </w:r>
          </w:p>
        </w:tc>
        <w:tc>
          <w:tcPr>
            <w:tcW w:type="dxa" w:w="3755"/>
          </w:tcPr>
          <w:p>
            <w:pPr>
              <w:spacing w:after="0"/>
            </w:pPr>
            <w:r/>
            <w:r>
              <w:rPr>
                <w:sz w:val="16"/>
              </w:rPr>
              <w:t>Lowers borrowing costs for specific firms by routing cash flows offshore. A financing efficiency, not a growth engine</w:t>
            </w:r>
          </w:p>
        </w:tc>
      </w:tr>
      <w:tr>
        <w:tc>
          <w:tcPr>
            <w:tcW w:type="dxa" w:w="21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Resource-backed loans</w:t>
            </w:r>
          </w:p>
        </w:tc>
        <w:tc>
          <w:tcPr>
            <w:tcW w:type="dxa" w:w="37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Angola and Ecuador oil-for-loan deals</w:t>
            </w:r>
          </w:p>
        </w:tc>
        <w:tc>
          <w:tcPr>
            <w:tcW w:type="dxa" w:w="37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Cash arrives now but future revenue is pre-committed; both countries lost fiscal flexibility when prices fell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/>
            <w:r>
              <w:rPr>
                <w:sz w:val="16"/>
              </w:rPr>
              <w:t>Money creation against receivables</w:t>
            </w:r>
          </w:p>
        </w:tc>
        <w:tc>
          <w:tcPr>
            <w:tcW w:type="dxa" w:w="3755"/>
          </w:tcPr>
          <w:p>
            <w:pPr>
              <w:spacing w:after="0"/>
            </w:pPr>
            <w:r/>
            <w:r>
              <w:rPr>
                <w:sz w:val="16"/>
              </w:rPr>
              <w:t>Zimbabwe bond notes (2016); Venezuela Petro (2018); French assignats</w:t>
            </w:r>
          </w:p>
        </w:tc>
        <w:tc>
          <w:tcPr>
            <w:tcW w:type="dxa" w:w="3755"/>
          </w:tcPr>
          <w:p>
            <w:pPr>
              <w:spacing w:after="0"/>
            </w:pPr>
            <w:r/>
            <w:r>
              <w:rPr>
                <w:sz w:val="16"/>
              </w:rPr>
              <w:t>Receivables are uncertain and not owned by the central bank; printing against them has ended in inflation</w:t>
            </w:r>
          </w:p>
        </w:tc>
      </w:tr>
      <w:tr>
        <w:tc>
          <w:tcPr>
            <w:tcW w:type="dxa" w:w="21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Stabilisation rule</w:t>
            </w:r>
          </w:p>
        </w:tc>
        <w:tc>
          <w:tcPr>
            <w:tcW w:type="dxa" w:w="37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Chile structural balance rule; Mexico oil hedge</w:t>
            </w:r>
          </w:p>
        </w:tc>
        <w:tc>
          <w:tcPr>
            <w:tcW w:type="dxa" w:w="37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Prevents temporary windfalls from being spent and smooths spending across the cycle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/>
            <w:r>
              <w:rPr>
                <w:sz w:val="16"/>
              </w:rPr>
              <w:t>Savings rule</w:t>
            </w:r>
          </w:p>
        </w:tc>
        <w:tc>
          <w:tcPr>
            <w:tcW w:type="dxa" w:w="3755"/>
          </w:tcPr>
          <w:p>
            <w:pPr>
              <w:spacing w:after="0"/>
            </w:pPr>
            <w:r/>
            <w:r>
              <w:rPr>
                <w:sz w:val="16"/>
              </w:rPr>
              <w:t>Norway GPFG; Alaska Permanent Fund; Kuwait FGF</w:t>
            </w:r>
          </w:p>
        </w:tc>
        <w:tc>
          <w:tcPr>
            <w:tcW w:type="dxa" w:w="3755"/>
          </w:tcPr>
          <w:p>
            <w:pPr>
              <w:spacing w:after="0"/>
            </w:pPr>
            <w:r/>
            <w:r>
              <w:rPr>
                <w:sz w:val="16"/>
              </w:rPr>
              <w:t>Converts depleting resources into permanent financial assets and spends only the return</w:t>
            </w:r>
          </w:p>
        </w:tc>
      </w:tr>
    </w:tbl>
    <w:p>
      <w:pPr>
        <w:spacing w:after="40"/>
      </w:pPr>
    </w:p>
    <w:p>
      <w:pPr>
        <w:pStyle w:val="Heading2"/>
      </w:pPr>
      <w:r>
        <w:t>Table 4.1. Evolution of the DHE SDA regime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7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Instrument</w:t>
            </w:r>
          </w:p>
        </w:tc>
        <w:tc>
          <w:tcPr>
            <w:tcW w:type="dxa" w:w="141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Effective</w:t>
            </w:r>
          </w:p>
        </w:tc>
        <w:tc>
          <w:tcPr>
            <w:tcW w:type="dxa" w:w="705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Main provisions</w:t>
            </w:r>
          </w:p>
        </w:tc>
      </w:tr>
      <w:tr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6"/>
              </w:rPr>
              <w:t>PP 36/2023</w:t>
            </w:r>
          </w:p>
        </w:tc>
        <w:tc>
          <w:tcPr>
            <w:tcW w:type="dxa" w:w="1410"/>
          </w:tcPr>
          <w:p>
            <w:pPr>
              <w:spacing w:after="0"/>
            </w:pPr>
            <w:r/>
            <w:r>
              <w:rPr>
                <w:sz w:val="16"/>
              </w:rPr>
              <w:t>2023</w:t>
            </w:r>
          </w:p>
        </w:tc>
        <w:tc>
          <w:tcPr>
            <w:tcW w:type="dxa" w:w="7052"/>
          </w:tcPr>
          <w:p>
            <w:pPr>
              <w:spacing w:after="0"/>
            </w:pPr>
            <w:r/>
            <w:r>
              <w:rPr>
                <w:sz w:val="16"/>
              </w:rPr>
              <w:t>Resource exporters retain at least 30% of export proceeds in the domestic financial system for at least three months</w:t>
            </w:r>
          </w:p>
        </w:tc>
      </w:tr>
      <w:tr>
        <w:tc>
          <w:tcPr>
            <w:tcW w:type="dxa" w:w="11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PP 8/2025</w:t>
            </w:r>
          </w:p>
        </w:tc>
        <w:tc>
          <w:tcPr>
            <w:tcW w:type="dxa" w:w="14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 March 2025</w:t>
            </w:r>
          </w:p>
        </w:tc>
        <w:tc>
          <w:tcPr>
            <w:tcW w:type="dxa" w:w="70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Non-oil-and-gas sectors: 100% retention for 12 months in special FX accounts. Oil and gas unchanged at 30% for three months</w:t>
            </w:r>
          </w:p>
        </w:tc>
      </w:tr>
      <w:tr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6"/>
              </w:rPr>
              <w:t>PP 21/2026</w:t>
            </w:r>
          </w:p>
        </w:tc>
        <w:tc>
          <w:tcPr>
            <w:tcW w:type="dxa" w:w="1410"/>
          </w:tcPr>
          <w:p>
            <w:pPr>
              <w:spacing w:after="0"/>
            </w:pPr>
            <w:r/>
            <w:r>
              <w:rPr>
                <w:sz w:val="16"/>
              </w:rPr>
              <w:t>1 June 2026</w:t>
            </w:r>
          </w:p>
        </w:tc>
        <w:tc>
          <w:tcPr>
            <w:tcW w:type="dxa" w:w="7052"/>
          </w:tcPr>
          <w:p>
            <w:pPr>
              <w:spacing w:after="0"/>
            </w:pPr>
            <w:r/>
            <w:r>
              <w:rPr>
                <w:sz w:val="16"/>
              </w:rPr>
              <w:t>Special accounts only at state-owned banks (Himbara); conversion to rupiah capped at 50%; income tax on placement instruments as low as 0%</w:t>
            </w:r>
          </w:p>
        </w:tc>
      </w:tr>
    </w:tbl>
    <w:p>
      <w:pPr>
        <w:spacing w:after="40"/>
      </w:pPr>
    </w:p>
    <w:p>
      <w:pPr>
        <w:pStyle w:val="Heading2"/>
      </w:pPr>
      <w:r>
        <w:t>Table 4.2. Suitability of Indonesian commodities for the fund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39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Commodity</w:t>
            </w:r>
          </w:p>
        </w:tc>
        <w:tc>
          <w:tcPr>
            <w:tcW w:type="dxa" w:w="7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Exports, avg 2021–25</w:t>
            </w:r>
          </w:p>
        </w:tc>
        <w:tc>
          <w:tcPr>
            <w:tcW w:type="dxa" w:w="294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State revenue channel</w:t>
            </w:r>
          </w:p>
        </w:tc>
        <w:tc>
          <w:tcPr>
            <w:tcW w:type="dxa" w:w="321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Main constraint</w:t>
            </w:r>
          </w:p>
        </w:tc>
        <w:tc>
          <w:tcPr>
            <w:tcW w:type="dxa" w:w="133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Fit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Coal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6"/>
              </w:rPr>
              <w:t>US$32.6 bn</w:t>
            </w:r>
          </w:p>
        </w:tc>
        <w:tc>
          <w:tcPr>
            <w:tcW w:type="dxa" w:w="2945"/>
          </w:tcPr>
          <w:p>
            <w:pPr>
              <w:spacing w:after="0"/>
            </w:pPr>
            <w:r/>
            <w:r>
              <w:rPr>
                <w:sz w:val="16"/>
              </w:rPr>
              <w:t>Royalties, PNBP, CIT, export-related revenue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6"/>
              </w:rPr>
              <w:t>Domestic market obligation and capped domestic prices; long-term demand risk</w:t>
            </w:r>
          </w:p>
        </w:tc>
        <w:tc>
          <w:tcPr>
            <w:tcW w:type="dxa" w:w="1339"/>
          </w:tcPr>
          <w:p>
            <w:pPr>
              <w:spacing w:after="0"/>
            </w:pPr>
            <w:r/>
            <w:r>
              <w:rPr>
                <w:sz w:val="16"/>
              </w:rPr>
              <w:t>High: start here</w:t>
            </w:r>
          </w:p>
        </w:tc>
      </w:tr>
      <w:tr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Oil and gas</w:t>
            </w:r>
          </w:p>
        </w:tc>
        <w:tc>
          <w:tcPr>
            <w:tcW w:type="dxa" w:w="7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US$13.7 bn</w:t>
            </w:r>
          </w:p>
        </w:tc>
        <w:tc>
          <w:tcPr>
            <w:tcW w:type="dxa" w:w="29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Production-sharing income, taxes; ICP already in budget</w:t>
            </w:r>
          </w:p>
        </w:tc>
        <w:tc>
          <w:tcPr>
            <w:tcW w:type="dxa" w:w="32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Declining output; domestic gas price cap</w:t>
            </w:r>
          </w:p>
        </w:tc>
        <w:tc>
          <w:tcPr>
            <w:tcW w:type="dxa" w:w="13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High: start here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Palm oil and derivatives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6"/>
              </w:rPr>
              <w:t>US$33.2 bn</w:t>
            </w:r>
          </w:p>
        </w:tc>
        <w:tc>
          <w:tcPr>
            <w:tcW w:type="dxa" w:w="2945"/>
          </w:tcPr>
          <w:p>
            <w:pPr>
              <w:spacing w:after="0"/>
            </w:pPr>
            <w:r/>
            <w:r>
              <w:rPr>
                <w:sz w:val="16"/>
              </w:rPr>
              <w:t>Export duty and levy (BPDP); CIT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6"/>
              </w:rPr>
              <w:t>Levy earmarked for biodiesel and replanting; ~40% smallholder area</w:t>
            </w:r>
          </w:p>
        </w:tc>
        <w:tc>
          <w:tcPr>
            <w:tcW w:type="dxa" w:w="1339"/>
          </w:tcPr>
          <w:p>
            <w:pPr>
              <w:spacing w:after="0"/>
            </w:pPr>
            <w:r/>
            <w:r>
              <w:rPr>
                <w:sz w:val="16"/>
              </w:rPr>
              <w:t>Medium: after levy reform</w:t>
            </w:r>
          </w:p>
        </w:tc>
      </w:tr>
      <w:tr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Nickel chain</w:t>
            </w:r>
          </w:p>
        </w:tc>
        <w:tc>
          <w:tcPr>
            <w:tcW w:type="dxa" w:w="7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US$28.3 bn</w:t>
            </w:r>
          </w:p>
        </w:tc>
        <w:tc>
          <w:tcPr>
            <w:tcW w:type="dxa" w:w="29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Royalties; smelter CIT</w:t>
            </w:r>
          </w:p>
        </w:tc>
        <w:tc>
          <w:tcPr>
            <w:tcW w:type="dxa" w:w="32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Tax holidays; foreign-owned smelters; Indonesia's supply moves the world price</w:t>
            </w:r>
          </w:p>
        </w:tc>
        <w:tc>
          <w:tcPr>
            <w:tcW w:type="dxa" w:w="13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Medium: add later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Copper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6"/>
              </w:rPr>
              <w:t>US$9.1 bn</w:t>
            </w:r>
          </w:p>
        </w:tc>
        <w:tc>
          <w:tcPr>
            <w:tcW w:type="dxa" w:w="2945"/>
          </w:tcPr>
          <w:p>
            <w:pPr>
              <w:spacing w:after="0"/>
            </w:pPr>
            <w:r/>
            <w:r>
              <w:rPr>
                <w:sz w:val="16"/>
              </w:rPr>
              <w:t>Royalties, dividends (MIND ID stake), CIT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6"/>
              </w:rPr>
              <w:t>Shift from concentrate to domestic smelting</w:t>
            </w:r>
          </w:p>
        </w:tc>
        <w:tc>
          <w:tcPr>
            <w:tcW w:type="dxa" w:w="1339"/>
          </w:tcPr>
          <w:p>
            <w:pPr>
              <w:spacing w:after="0"/>
            </w:pPr>
            <w:r/>
            <w:r>
              <w:rPr>
                <w:sz w:val="16"/>
              </w:rPr>
              <w:t>Medium: add later</w:t>
            </w:r>
          </w:p>
        </w:tc>
      </w:tr>
      <w:tr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Tin, gold, rubber, plywood</w:t>
            </w:r>
          </w:p>
        </w:tc>
        <w:tc>
          <w:tcPr>
            <w:tcW w:type="dxa" w:w="7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US$8.5 bn</w:t>
            </w:r>
          </w:p>
        </w:tc>
        <w:tc>
          <w:tcPr>
            <w:tcW w:type="dxa" w:w="294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Royalties, forest charges, CIT</w:t>
            </w:r>
          </w:p>
        </w:tc>
        <w:tc>
          <w:tcPr>
            <w:tcW w:type="dxa" w:w="32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Small or declining revenue</w:t>
            </w:r>
          </w:p>
        </w:tc>
        <w:tc>
          <w:tcPr>
            <w:tcW w:type="dxa" w:w="13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Low</w:t>
            </w:r>
          </w:p>
        </w:tc>
      </w:tr>
    </w:tbl>
    <w:p>
      <w:pPr>
        <w:spacing w:after="40"/>
      </w:pPr>
    </w:p>
    <w:p>
      <w:pPr>
        <w:pStyle w:val="Heading2"/>
      </w:pPr>
      <w:r>
        <w:t>Table 4.3. Proposed rules for the two windows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Reserve window (stabilisation)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Future window (generations)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Purpose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Smooth resource revenue across the price cycle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Convert depleting resources into permanent financial wealth</w:t>
            </w:r>
          </w:p>
        </w:tc>
      </w:tr>
      <w:tr>
        <w:tc>
          <w:tcPr>
            <w:tcW w:type="dxa" w:w="113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Inflow</w:t>
            </w:r>
          </w:p>
        </w:tc>
        <w:tc>
          <w:tcPr>
            <w:tcW w:type="dxa" w:w="42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Revenue above the reference price for coal, oil and gas (later palm oil and nickel); most of the windfall saved automatically</w:t>
            </w:r>
          </w:p>
        </w:tc>
        <w:tc>
          <w:tcPr>
            <w:tcW w:type="dxa" w:w="42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 fixed share of resource revenue every year, regardless of price (reference points: Kuwait 10%, Alaska 25%)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Outflow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Automatic top-up when revenue falls below the reference path, capped at a share of the balance per year; a floor below which draws stop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Only the expected real return (reference: Norway 3%); principal locked</w:t>
            </w:r>
          </w:p>
        </w:tc>
      </w:tr>
      <w:tr>
        <w:tc>
          <w:tcPr>
            <w:tcW w:type="dxa" w:w="113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Emergency access</w:t>
            </w:r>
          </w:p>
        </w:tc>
        <w:tc>
          <w:tcPr>
            <w:tcW w:type="dxa" w:w="42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Not applicable</w:t>
            </w:r>
          </w:p>
        </w:tc>
        <w:tc>
          <w:tcPr>
            <w:tcW w:type="dxa" w:w="42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Borrowing only, capped (reference: Kuwait 10% of net assets), repayment first, no write-off without a Law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Investment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Liquid foreign-currency assets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Diversified global portfolio, largely abroad</w:t>
            </w:r>
          </w:p>
        </w:tc>
      </w:tr>
      <w:tr>
        <w:tc>
          <w:tcPr>
            <w:tcW w:type="dxa" w:w="113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Precedent</w:t>
            </w:r>
          </w:p>
        </w:tc>
        <w:tc>
          <w:tcPr>
            <w:tcW w:type="dxa" w:w="42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Chile ESSF; Mexico FEIP and hedge; Kuwait GRF</w:t>
            </w:r>
          </w:p>
        </w:tc>
        <w:tc>
          <w:tcPr>
            <w:tcW w:type="dxa" w:w="425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Norway GPFG; Alaska principal; Kuwait FGF</w:t>
            </w:r>
          </w:p>
        </w:tc>
      </w:tr>
    </w:tbl>
    <w:p>
      <w:pPr>
        <w:spacing w:after="40"/>
      </w:pPr>
    </w:p>
    <w:p>
      <w:pPr>
        <w:pStyle w:val="Heading2"/>
      </w:pPr>
      <w:r>
        <w:t>Table 5.1. Savings approaches in Norway, Alaska and Kuwait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5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38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Norway (GPFG)</w:t>
            </w:r>
          </w:p>
        </w:tc>
        <w:tc>
          <w:tcPr>
            <w:tcW w:type="dxa" w:w="324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Alaska (Permanent Fund)</w:t>
            </w:r>
          </w:p>
        </w:tc>
        <w:tc>
          <w:tcPr>
            <w:tcW w:type="dxa" w:w="324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Kuwait (GRF and FGF)</w:t>
            </w:r>
          </w:p>
        </w:tc>
      </w:tr>
      <w:tr>
        <w:tc>
          <w:tcPr>
            <w:tcW w:type="dxa" w:w="758"/>
          </w:tcPr>
          <w:p>
            <w:pPr>
              <w:spacing w:after="0"/>
            </w:pPr>
            <w:r/>
            <w:r>
              <w:rPr>
                <w:sz w:val="16"/>
              </w:rPr>
              <w:t>Inflow rule</w:t>
            </w:r>
          </w:p>
        </w:tc>
        <w:tc>
          <w:tcPr>
            <w:tcW w:type="dxa" w:w="2382"/>
          </w:tcPr>
          <w:p>
            <w:pPr>
              <w:spacing w:after="0"/>
            </w:pPr>
            <w:r/>
            <w:r>
              <w:rPr>
                <w:sz w:val="16"/>
              </w:rPr>
              <w:t>100% of state net petroleum cash flow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sz w:val="16"/>
              </w:rPr>
              <w:t>At least 25% of royalties (constitution)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sz w:val="16"/>
              </w:rPr>
              <w:t>All oil revenue to GRF; 10% to FGF until 2020, now surplus years only</w:t>
            </w:r>
          </w:p>
        </w:tc>
      </w:tr>
      <w:tr>
        <w:tc>
          <w:tcPr>
            <w:tcW w:type="dxa" w:w="7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Outflow rule</w:t>
            </w:r>
          </w:p>
        </w:tc>
        <w:tc>
          <w:tcPr>
            <w:tcW w:type="dxa" w:w="23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Expected real return, 3% since 2017</w:t>
            </w:r>
          </w:p>
        </w:tc>
        <w:tc>
          <w:tcPr>
            <w:tcW w:type="dxa" w:w="3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5% of average market value (since 2018)</w:t>
            </w:r>
          </w:p>
        </w:tc>
        <w:tc>
          <w:tcPr>
            <w:tcW w:type="dxa" w:w="3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FGF closed to withdrawals; capped borrowing since Sept 2026</w:t>
            </w:r>
          </w:p>
        </w:tc>
      </w:tr>
      <w:tr>
        <w:tc>
          <w:tcPr>
            <w:tcW w:type="dxa" w:w="758"/>
          </w:tcPr>
          <w:p>
            <w:pPr>
              <w:spacing w:after="0"/>
            </w:pPr>
            <w:r/>
            <w:r>
              <w:rPr>
                <w:sz w:val="16"/>
              </w:rPr>
              <w:t>Legal strength</w:t>
            </w:r>
          </w:p>
        </w:tc>
        <w:tc>
          <w:tcPr>
            <w:tcW w:type="dxa" w:w="2382"/>
          </w:tcPr>
          <w:p>
            <w:pPr>
              <w:spacing w:after="0"/>
            </w:pPr>
            <w:r/>
            <w:r>
              <w:rPr>
                <w:sz w:val="16"/>
              </w:rPr>
              <w:t>Parliamentary guideline with broad consensus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sz w:val="16"/>
              </w:rPr>
              <w:t>Principal: constitution. Draw and dividend: statute and annual budget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sz w:val="16"/>
              </w:rPr>
              <w:t>FGF: statute; 2026 decree-law sets borrowing limits</w:t>
            </w:r>
          </w:p>
        </w:tc>
      </w:tr>
      <w:tr>
        <w:tc>
          <w:tcPr>
            <w:tcW w:type="dxa" w:w="7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Citizen link</w:t>
            </w:r>
          </w:p>
        </w:tc>
        <w:tc>
          <w:tcPr>
            <w:tcW w:type="dxa" w:w="238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Indirect: funds public services</w:t>
            </w:r>
          </w:p>
        </w:tc>
        <w:tc>
          <w:tcPr>
            <w:tcW w:type="dxa" w:w="3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Direct cash dividend</w:t>
            </w:r>
          </w:p>
        </w:tc>
        <w:tc>
          <w:tcPr>
            <w:tcW w:type="dxa" w:w="324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Indirect: wages and subsidies</w:t>
            </w:r>
          </w:p>
        </w:tc>
      </w:tr>
      <w:tr>
        <w:tc>
          <w:tcPr>
            <w:tcW w:type="dxa" w:w="758"/>
          </w:tcPr>
          <w:p>
            <w:pPr>
              <w:spacing w:after="0"/>
            </w:pPr>
            <w:r/>
            <w:r>
              <w:rPr>
                <w:sz w:val="16"/>
              </w:rPr>
              <w:t>Main weakness</w:t>
            </w:r>
          </w:p>
        </w:tc>
        <w:tc>
          <w:tcPr>
            <w:tcW w:type="dxa" w:w="2382"/>
          </w:tcPr>
          <w:p>
            <w:pPr>
              <w:spacing w:after="0"/>
            </w:pPr>
            <w:r/>
            <w:r>
              <w:rPr>
                <w:sz w:val="16"/>
              </w:rPr>
              <w:t>Growing reliance to cover deficits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sz w:val="16"/>
              </w:rPr>
              <w:t>Earnings spendable by simple majority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sz w:val="16"/>
              </w:rPr>
              <w:t>Unconstrained budget drained the reserve fund</w:t>
            </w:r>
          </w:p>
        </w:tc>
      </w:tr>
    </w:tbl>
    <w:p>
      <w:pPr>
        <w:spacing w:after="40"/>
      </w:pPr>
    </w:p>
    <w:p>
      <w:pPr>
        <w:pStyle w:val="Heading2"/>
      </w:pPr>
      <w:r>
        <w:t>Table 5.2. What Indonesia should adopt, and what it should avoid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80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44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Adopt</w:t>
            </w:r>
          </w:p>
        </w:tc>
        <w:tc>
          <w:tcPr>
            <w:tcW w:type="dxa" w:w="44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Avoid</w:t>
            </w:r>
          </w:p>
        </w:tc>
      </w:tr>
      <w:tr>
        <w:tc>
          <w:tcPr>
            <w:tcW w:type="dxa" w:w="809"/>
          </w:tcPr>
          <w:p>
            <w:pPr>
              <w:spacing w:after="0"/>
            </w:pPr>
            <w:r/>
            <w:r>
              <w:rPr>
                <w:sz w:val="16"/>
              </w:rPr>
              <w:t>Chile</w:t>
            </w:r>
          </w:p>
        </w:tc>
        <w:tc>
          <w:tcPr>
            <w:tcW w:type="dxa" w:w="4414"/>
          </w:tcPr>
          <w:p>
            <w:pPr>
              <w:spacing w:after="0"/>
            </w:pPr>
            <w:r/>
            <w:r>
              <w:rPr>
                <w:sz w:val="16"/>
              </w:rPr>
              <w:t>Reference price and trend output set by independent experts; automatic saving of surplus; fiscal council</w:t>
            </w:r>
          </w:p>
        </w:tc>
        <w:tc>
          <w:tcPr>
            <w:tcW w:type="dxa" w:w="4414"/>
          </w:tcPr>
          <w:p>
            <w:pPr>
              <w:spacing w:after="0"/>
            </w:pPr>
            <w:r/>
            <w:r>
              <w:rPr>
                <w:sz w:val="16"/>
              </w:rPr>
              <w:t>Frequent changes to methodology that weaken expectations</w:t>
            </w:r>
          </w:p>
        </w:tc>
      </w:tr>
      <w:tr>
        <w:tc>
          <w:tcPr>
            <w:tcW w:type="dxa" w:w="80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Mexico</w:t>
            </w:r>
          </w:p>
        </w:tc>
        <w:tc>
          <w:tcPr>
            <w:tcW w:type="dxa" w:w="44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Market hedging of a budget-year price floor; central-bank management of the fund</w:t>
            </w:r>
          </w:p>
        </w:tc>
        <w:tc>
          <w:tcPr>
            <w:tcW w:type="dxa" w:w="44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 buffer without a binding deposit rule, drained in one downturn</w:t>
            </w:r>
          </w:p>
        </w:tc>
      </w:tr>
      <w:tr>
        <w:tc>
          <w:tcPr>
            <w:tcW w:type="dxa" w:w="809"/>
          </w:tcPr>
          <w:p>
            <w:pPr>
              <w:spacing w:after="0"/>
            </w:pPr>
            <w:r/>
            <w:r>
              <w:rPr>
                <w:sz w:val="16"/>
              </w:rPr>
              <w:t>Brazil</w:t>
            </w:r>
          </w:p>
        </w:tc>
        <w:tc>
          <w:tcPr>
            <w:tcW w:type="dxa" w:w="4414"/>
          </w:tcPr>
          <w:p>
            <w:pPr>
              <w:spacing w:after="0"/>
            </w:pPr>
            <w:r/>
            <w:r>
              <w:rPr>
                <w:sz w:val="16"/>
              </w:rPr>
              <w:t>An expenditure-growth rule alongside commodity rules</w:t>
            </w:r>
          </w:p>
        </w:tc>
        <w:tc>
          <w:tcPr>
            <w:tcW w:type="dxa" w:w="4414"/>
          </w:tcPr>
          <w:p>
            <w:pPr>
              <w:spacing w:after="0"/>
            </w:pPr>
            <w:r/>
            <w:r>
              <w:rPr>
                <w:sz w:val="16"/>
              </w:rPr>
              <w:t>Relying on general spending caps alone; small, multi-purpose funds</w:t>
            </w:r>
          </w:p>
        </w:tc>
      </w:tr>
      <w:tr>
        <w:tc>
          <w:tcPr>
            <w:tcW w:type="dxa" w:w="80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Norway</w:t>
            </w:r>
          </w:p>
        </w:tc>
        <w:tc>
          <w:tcPr>
            <w:tcW w:type="dxa" w:w="44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All relevant revenue through the fund; spend only the expected real return; invest abroad</w:t>
            </w:r>
          </w:p>
        </w:tc>
        <w:tc>
          <w:tcPr>
            <w:tcW w:type="dxa" w:w="44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Treating the fund as a permanent source of deficit finance</w:t>
            </w:r>
          </w:p>
        </w:tc>
      </w:tr>
      <w:tr>
        <w:tc>
          <w:tcPr>
            <w:tcW w:type="dxa" w:w="809"/>
          </w:tcPr>
          <w:p>
            <w:pPr>
              <w:spacing w:after="0"/>
            </w:pPr>
            <w:r/>
            <w:r>
              <w:rPr>
                <w:sz w:val="16"/>
              </w:rPr>
              <w:t>Alaska</w:t>
            </w:r>
          </w:p>
        </w:tc>
        <w:tc>
          <w:tcPr>
            <w:tcW w:type="dxa" w:w="4414"/>
          </w:tcPr>
          <w:p>
            <w:pPr>
              <w:spacing w:after="0"/>
            </w:pPr>
            <w:r/>
            <w:r>
              <w:rPr>
                <w:sz w:val="16"/>
              </w:rPr>
              <w:t>Constitutional-level lock on the principal; visible citizen benefit</w:t>
            </w:r>
          </w:p>
        </w:tc>
        <w:tc>
          <w:tcPr>
            <w:tcW w:type="dxa" w:w="4414"/>
          </w:tcPr>
          <w:p>
            <w:pPr>
              <w:spacing w:after="0"/>
            </w:pPr>
            <w:r/>
            <w:r>
              <w:rPr>
                <w:sz w:val="16"/>
              </w:rPr>
              <w:t>A benefit formula renegotiated in every annual budget</w:t>
            </w:r>
          </w:p>
        </w:tc>
      </w:tr>
      <w:tr>
        <w:tc>
          <w:tcPr>
            <w:tcW w:type="dxa" w:w="80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Kuwait</w:t>
            </w:r>
          </w:p>
        </w:tc>
        <w:tc>
          <w:tcPr>
            <w:tcW w:type="dxa" w:w="44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Separate reserve and future windows; borrowing-only emergency access with repayment first</w:t>
            </w:r>
          </w:p>
        </w:tc>
        <w:tc>
          <w:tcPr>
            <w:tcW w:type="dxa" w:w="441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Conditional deposits; an unconstrained wage and subsidy bill</w:t>
            </w:r>
          </w:p>
        </w:tc>
      </w:tr>
      <w:tr>
        <w:tc>
          <w:tcPr>
            <w:tcW w:type="dxa" w:w="809"/>
          </w:tcPr>
          <w:p>
            <w:pPr>
              <w:spacing w:after="0"/>
            </w:pPr>
            <w:r/>
            <w:r>
              <w:rPr>
                <w:sz w:val="16"/>
              </w:rPr>
              <w:t>Timor-Leste</w:t>
            </w:r>
          </w:p>
        </w:tc>
        <w:tc>
          <w:tcPr>
            <w:tcW w:type="dxa" w:w="4414"/>
          </w:tcPr>
          <w:p>
            <w:pPr>
              <w:spacing w:after="0"/>
            </w:pPr>
            <w:r/>
            <w:r>
              <w:rPr>
                <w:sz w:val="16"/>
              </w:rPr>
              <w:t>Counting only approved future receivables as wealth</w:t>
            </w:r>
          </w:p>
        </w:tc>
        <w:tc>
          <w:tcPr>
            <w:tcW w:type="dxa" w:w="4414"/>
          </w:tcPr>
          <w:p>
            <w:pPr>
              <w:spacing w:after="0"/>
            </w:pPr>
            <w:r/>
            <w:r>
              <w:rPr>
                <w:sz w:val="16"/>
              </w:rPr>
              <w:t>Soft ceilings exceeded every year; no domestic revenue base</w:t>
            </w:r>
          </w:p>
        </w:tc>
      </w:tr>
    </w:tbl>
    <w:p>
      <w:pPr>
        <w:spacing w:after="40"/>
      </w:pPr>
    </w:p>
    <w:p>
      <w:pPr>
        <w:pStyle w:val="Heading2"/>
      </w:pPr>
      <w:r>
        <w:t>Table 7.1. Proposed rules for the development window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04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404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/>
            <w:r>
              <w:rPr>
                <w:sz w:val="16"/>
              </w:rPr>
              <w:t>Inflow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Long-term savings raised from 25% to 30% of natural-resource PNBP. The development window receives 60% of this flow in 2027–2032 and 30% in 2033–2038, and nothing after 2038 unless renewed by Law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Front-loads investment while domestic returns are highest; the sunset keeps the future window as the long-run destination</w:t>
            </w:r>
          </w:p>
        </w:tc>
      </w:tr>
      <w:tr>
        <w:tc>
          <w:tcPr>
            <w:tcW w:type="dxa" w:w="15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Spending from savings</w:t>
            </w:r>
          </w:p>
        </w:tc>
        <w:tc>
          <w:tcPr>
            <w:tcW w:type="dxa" w:w="4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May borrow up to 5% of the future window's balance a year until 2034, with total borrowing capped; repaid first from exits; no write-off without a Law</w:t>
            </w:r>
          </w:p>
        </w:tc>
        <w:tc>
          <w:tcPr>
            <w:tcW w:type="dxa" w:w="4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This is the 'spend from savings' element, bounded on Kuwait's 2026 model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/>
            <w:r>
              <w:rPr>
                <w:sz w:val="16"/>
              </w:rPr>
              <w:t>Eligible projects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At least 70% in resource-conversion and energy-transition projects; at most 30% in other projects, of which the sovereignty tier (Table 7.2) at most 20%. Public goods and social infrastructure are excluded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A resource fund should convert resource wealth; social assets have no cash flow to recycle</w:t>
            </w:r>
          </w:p>
        </w:tc>
      </w:tr>
      <w:tr>
        <w:tc>
          <w:tcPr>
            <w:tcW w:type="dxa" w:w="15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Return floor</w:t>
            </w:r>
          </w:p>
        </w:tc>
        <w:tc>
          <w:tcPr>
            <w:tcW w:type="dxa" w:w="4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Expected portfolio financial return at least the 10-year government bond yield in real terms (DDMF's own 'sovereign floor', score 1)</w:t>
            </w:r>
          </w:p>
        </w:tc>
        <w:tc>
          <w:tcPr>
            <w:tcW w:type="dxa" w:w="4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Keeps the principal recyclable; below the floor, the subsidy belongs in the APBN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/>
            <w:r>
              <w:rPr>
                <w:sz w:val="16"/>
              </w:rPr>
              <w:t>Multiplier hurdle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Economic IRR of at least 10% real, counting foreign-exchange savings, taxes, jobs and TKDN, verified by an independent reviewer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Captures the benefits a financial return misses</w:t>
            </w:r>
          </w:p>
        </w:tc>
      </w:tr>
      <w:tr>
        <w:tc>
          <w:tcPr>
            <w:tcW w:type="dxa" w:w="15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Crowding in</w:t>
            </w:r>
          </w:p>
        </w:tc>
        <w:tc>
          <w:tcPr>
            <w:tcW w:type="dxa" w:w="4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At least Rp 3.5 of other capital for every Rp 1 of fund money (the RKAP's structure implies 3.8)</w:t>
            </w:r>
          </w:p>
        </w:tc>
        <w:tc>
          <w:tcPr>
            <w:tcW w:type="dxa" w:w="4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Makes the multiplier explicit and measurable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/>
            <w:r>
              <w:rPr>
                <w:sz w:val="16"/>
              </w:rPr>
              <w:t>Concentration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At most 15% of the window in any one project and 35% in any one commodity chain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Limits the correlation risk described in Section 4.7</w:t>
            </w:r>
          </w:p>
        </w:tc>
      </w:tr>
      <w:tr>
        <w:tc>
          <w:tcPr>
            <w:tcW w:type="dxa" w:w="15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Instruments</w:t>
            </w:r>
          </w:p>
        </w:tc>
        <w:tc>
          <w:tcPr>
            <w:tcW w:type="dxa" w:w="4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Equity, subordinated debt and capped first-loss tranches only; no guarantees or comfort letters</w:t>
            </w:r>
          </w:p>
        </w:tc>
        <w:tc>
          <w:tcPr>
            <w:tcW w:type="dxa" w:w="4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The RKAP identifies contingent liabilities as a key risk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/>
            <w:r>
              <w:rPr>
                <w:sz w:val="16"/>
              </w:rPr>
              <w:t>Disbursement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Stage-gated tranches at feasibility study, financial close and construction milestones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Money follows readiness, not announcements</w:t>
            </w:r>
          </w:p>
        </w:tc>
      </w:tr>
      <w:tr>
        <w:tc>
          <w:tcPr>
            <w:tcW w:type="dxa" w:w="15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Counter-cyclical timing</w:t>
            </w:r>
          </w:p>
        </w:tc>
        <w:tc>
          <w:tcPr>
            <w:tcW w:type="dxa" w:w="4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When the reserve window is paying out, approved projects may draw up to 1.5 times the annual allocation</w:t>
            </w:r>
          </w:p>
        </w:tc>
        <w:tc>
          <w:tcPr>
            <w:tcW w:type="dxa" w:w="4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Fiscal multipliers are larger in downturns (Auerbach and Gorodnichenko, 2012)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/>
            <w:r>
              <w:rPr>
                <w:sz w:val="16"/>
              </w:rPr>
              <w:t>Governance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MoF owns the money; a Development Window Investment Committee with independent members decides; DDMF executes under a mandate agreement; BPK audit; project-level public reporting</w:t>
            </w:r>
          </w:p>
        </w:tc>
        <w:tc>
          <w:tcPr>
            <w:tcW w:type="dxa" w:w="4044"/>
          </w:tcPr>
          <w:p>
            <w:pPr>
              <w:spacing w:after="0"/>
            </w:pPr>
            <w:r/>
            <w:r>
              <w:rPr>
                <w:sz w:val="16"/>
              </w:rPr>
              <w:t>Keeps the separation principle of Parts II and III and adds a contractual channel</w:t>
            </w:r>
          </w:p>
        </w:tc>
      </w:tr>
    </w:tbl>
    <w:p>
      <w:pPr>
        <w:spacing w:after="40"/>
      </w:pPr>
    </w:p>
    <w:p>
      <w:pPr>
        <w:pStyle w:val="Heading2"/>
      </w:pPr>
      <w:r>
        <w:t>Table 7.2. Rules for the sovereignty tier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87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4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Scope</w:t>
            </w:r>
          </w:p>
        </w:tc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Defence-industrial capacity: shipyards, ship components, domestic alutsista production and maintenance. Not platform purchases or operations</w:t>
            </w:r>
          </w:p>
        </w:tc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Builds lasting domestic capital, in line with the Hartwick logic of the fund</w:t>
            </w:r>
          </w:p>
        </w:tc>
      </w:tr>
      <w:tr>
        <w:tc>
          <w:tcPr>
            <w:tcW w:type="dxa" w:w="8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Size</w:t>
            </w:r>
          </w:p>
        </w:tc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At most 20% of the development window; at most 15% in any one project</w:t>
            </w:r>
          </w:p>
        </w:tc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Keeps the resource-conversion core at 70% or more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Offtake</w:t>
            </w:r>
          </w:p>
        </w:tc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Multi-year contract from Kemhan or the TNI, or availability payments within a Ministry of Finance ceiling</w:t>
            </w:r>
          </w:p>
        </w:tc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Defence has a single buyer; revenue must be contracted before money moves</w:t>
            </w:r>
          </w:p>
        </w:tc>
      </w:tr>
      <w:tr>
        <w:tc>
          <w:tcPr>
            <w:tcW w:type="dxa" w:w="8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Localisation</w:t>
            </w:r>
          </w:p>
        </w:tc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Local content and offsets under Law 16/2012 on the Defence Industry; KKIP endorsement; work channelled to domestic yards and SME suppliers (for example through a Develop–Off-taker–Certification–Upgrading programme)</w:t>
            </w:r>
          </w:p>
        </w:tc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The multiplier comes from domestic content, not from the platform itself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Athens †</w:t>
            </w:r>
          </w:p>
        </w:tc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Remark: unknown / black programme (classified; scope and details not disclosed). The fund may hold DDMF's SPV equity (Rp 15.1 T). The 20-year availability payments stay on the APBN; vessels built at domestic yards; debt consolidation onto Danantara resolved first</w:t>
            </w:r>
          </w:p>
        </w:tc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Separates the investable industrial stake from the budget obligation</w:t>
            </w:r>
          </w:p>
        </w:tc>
      </w:tr>
      <w:tr>
        <w:tc>
          <w:tcPr>
            <w:tcW w:type="dxa" w:w="8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Instruments</w:t>
            </w:r>
          </w:p>
        </w:tc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Equity only; no guarantees or comfort letters</w:t>
            </w:r>
          </w:p>
        </w:tc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Avoids hidden contingent liabilities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sz w:val="16"/>
              </w:rPr>
              <w:t>Disclosure</w:t>
            </w:r>
          </w:p>
        </w:tc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Financial aggregates public; classified details reported in closed session to DPR Commission I and BPK</w:t>
            </w:r>
          </w:p>
        </w:tc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Balances secrecy with accountability</w:t>
            </w:r>
          </w:p>
        </w:tc>
      </w:tr>
    </w:tbl>
    <w:p>
      <w:pPr>
        <w:spacing w:after="40"/>
      </w:pPr>
    </w:p>
    <w:p>
      <w:pPr>
        <w:pStyle w:val="Heading2"/>
      </w:pPr>
      <w:r>
        <w:t>Table 8.1. Segment parameters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02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61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69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Domestic content</w:t>
            </w:r>
          </w:p>
        </w:tc>
        <w:tc>
          <w:tcPr>
            <w:tcW w:type="dxa" w:w="77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Productive capital</w:t>
            </w:r>
          </w:p>
        </w:tc>
        <w:tc>
          <w:tcPr>
            <w:tcW w:type="dxa" w:w="82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Labour productivity</w:t>
            </w:r>
          </w:p>
        </w:tc>
        <w:tc>
          <w:tcPr>
            <w:tcW w:type="dxa" w:w="370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Basis</w:t>
            </w:r>
          </w:p>
        </w:tc>
      </w:tr>
      <w:tr>
        <w:tc>
          <w:tcPr>
            <w:tcW w:type="dxa" w:w="3025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617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692"/>
          </w:tcPr>
          <w:p>
            <w:pPr>
              <w:spacing w:after="0"/>
            </w:pPr>
            <w:r/>
            <w:r>
              <w:rPr>
                <w:sz w:val="16"/>
              </w:rPr>
              <w:t>55%</w:t>
            </w:r>
          </w:p>
        </w:tc>
        <w:tc>
          <w:tcPr>
            <w:tcW w:type="dxa" w:w="778"/>
          </w:tcPr>
          <w:p>
            <w:pPr>
              <w:spacing w:after="0"/>
            </w:pPr>
            <w:r/>
            <w:r>
              <w:rPr>
                <w:sz w:val="16"/>
              </w:rPr>
              <w:t>100%</w:t>
            </w:r>
          </w:p>
        </w:tc>
        <w:tc>
          <w:tcPr>
            <w:tcW w:type="dxa" w:w="821"/>
          </w:tcPr>
          <w:p>
            <w:pPr>
              <w:spacing w:after="0"/>
            </w:pPr>
            <w:r/>
            <w:r>
              <w:rPr>
                <w:sz w:val="16"/>
              </w:rPr>
              <w:t>2.5×</w:t>
            </w:r>
          </w:p>
        </w:tc>
        <w:tc>
          <w:tcPr>
            <w:tcW w:type="dxa" w:w="3704"/>
          </w:tcPr>
          <w:p>
            <w:pPr>
              <w:spacing w:after="0"/>
            </w:pPr>
            <w:r/>
            <w:r>
              <w:rPr>
                <w:sz w:val="16"/>
              </w:rPr>
              <w:t>Imported smelter, refinery and solar equipment; capital-intensive</w:t>
            </w:r>
          </w:p>
        </w:tc>
      </w:tr>
      <w:tr>
        <w:tc>
          <w:tcPr>
            <w:tcW w:type="dxa" w:w="30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6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6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80%</w:t>
            </w:r>
          </w:p>
        </w:tc>
        <w:tc>
          <w:tcPr>
            <w:tcW w:type="dxa" w:w="77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80%</w:t>
            </w:r>
          </w:p>
        </w:tc>
        <w:tc>
          <w:tcPr>
            <w:tcW w:type="dxa" w:w="8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1.0×</w:t>
            </w:r>
          </w:p>
        </w:tc>
        <w:tc>
          <w:tcPr>
            <w:tcW w:type="dxa" w:w="37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Construction mostly domestic; social assets partly non-productive</w:t>
            </w:r>
          </w:p>
        </w:tc>
      </w:tr>
      <w:tr>
        <w:tc>
          <w:tcPr>
            <w:tcW w:type="dxa" w:w="3025"/>
          </w:tcPr>
          <w:p>
            <w:pPr>
              <w:spacing w:after="0"/>
            </w:pPr>
            <w:r/>
            <w:r>
              <w:rPr>
                <w:sz w:val="16"/>
              </w:rPr>
              <w:t>Giant Sea Wall</w:t>
            </w:r>
          </w:p>
        </w:tc>
        <w:tc>
          <w:tcPr>
            <w:tcW w:type="dxa" w:w="617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692"/>
          </w:tcPr>
          <w:p>
            <w:pPr>
              <w:spacing w:after="0"/>
            </w:pPr>
            <w:r/>
            <w:r>
              <w:rPr>
                <w:sz w:val="16"/>
              </w:rPr>
              <w:t>85%</w:t>
            </w:r>
          </w:p>
        </w:tc>
        <w:tc>
          <w:tcPr>
            <w:tcW w:type="dxa" w:w="778"/>
          </w:tcPr>
          <w:p>
            <w:pPr>
              <w:spacing w:after="0"/>
            </w:pPr>
            <w:r/>
            <w:r>
              <w:rPr>
                <w:sz w:val="16"/>
              </w:rPr>
              <w:t>60%</w:t>
            </w:r>
          </w:p>
        </w:tc>
        <w:tc>
          <w:tcPr>
            <w:tcW w:type="dxa" w:w="821"/>
          </w:tcPr>
          <w:p>
            <w:pPr>
              <w:spacing w:after="0"/>
            </w:pPr>
            <w:r/>
            <w:r>
              <w:rPr>
                <w:sz w:val="16"/>
              </w:rPr>
              <w:t>1.0×</w:t>
            </w:r>
          </w:p>
        </w:tc>
        <w:tc>
          <w:tcPr>
            <w:tcW w:type="dxa" w:w="3704"/>
          </w:tcPr>
          <w:p>
            <w:pPr>
              <w:spacing w:after="0"/>
            </w:pPr>
            <w:r/>
            <w:r>
              <w:rPr>
                <w:sz w:val="16"/>
              </w:rPr>
              <w:t>Civil works and materials largely domestic; protects existing assets</w:t>
            </w:r>
          </w:p>
        </w:tc>
      </w:tr>
      <w:tr>
        <w:tc>
          <w:tcPr>
            <w:tcW w:type="dxa" w:w="30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platforms &amp; MRO</w:t>
            </w:r>
          </w:p>
        </w:tc>
        <w:tc>
          <w:tcPr>
            <w:tcW w:type="dxa" w:w="6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6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40%</w:t>
            </w:r>
          </w:p>
        </w:tc>
        <w:tc>
          <w:tcPr>
            <w:tcW w:type="dxa" w:w="77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20%</w:t>
            </w:r>
          </w:p>
        </w:tc>
        <w:tc>
          <w:tcPr>
            <w:tcW w:type="dxa" w:w="8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1.5×</w:t>
            </w:r>
          </w:p>
        </w:tc>
        <w:tc>
          <w:tcPr>
            <w:tcW w:type="dxa" w:w="37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Platforms and aircraft largely imported; DEFEND ID local content 43%</w:t>
            </w:r>
          </w:p>
        </w:tc>
      </w:tr>
      <w:tr>
        <w:tc>
          <w:tcPr>
            <w:tcW w:type="dxa" w:w="3025"/>
          </w:tcPr>
          <w:p>
            <w:pPr>
              <w:spacing w:after="0"/>
            </w:pPr>
            <w:r/>
            <w:r>
              <w:rPr>
                <w:sz w:val="16"/>
              </w:rPr>
              <w:t>Defence &amp; maritime industry</w:t>
            </w:r>
          </w:p>
        </w:tc>
        <w:tc>
          <w:tcPr>
            <w:tcW w:type="dxa" w:w="617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692"/>
          </w:tcPr>
          <w:p>
            <w:pPr>
              <w:spacing w:after="0"/>
            </w:pPr>
            <w:r/>
            <w:r>
              <w:rPr>
                <w:sz w:val="16"/>
              </w:rPr>
              <w:t>60%</w:t>
            </w:r>
          </w:p>
        </w:tc>
        <w:tc>
          <w:tcPr>
            <w:tcW w:type="dxa" w:w="778"/>
          </w:tcPr>
          <w:p>
            <w:pPr>
              <w:spacing w:after="0"/>
            </w:pPr>
            <w:r/>
            <w:r>
              <w:rPr>
                <w:sz w:val="16"/>
              </w:rPr>
              <w:t>100%</w:t>
            </w:r>
          </w:p>
        </w:tc>
        <w:tc>
          <w:tcPr>
            <w:tcW w:type="dxa" w:w="821"/>
          </w:tcPr>
          <w:p>
            <w:pPr>
              <w:spacing w:after="0"/>
            </w:pPr>
            <w:r/>
            <w:r>
              <w:rPr>
                <w:sz w:val="16"/>
              </w:rPr>
              <w:t>1.5×</w:t>
            </w:r>
          </w:p>
        </w:tc>
        <w:tc>
          <w:tcPr>
            <w:tcW w:type="dxa" w:w="3704"/>
          </w:tcPr>
          <w:p>
            <w:pPr>
              <w:spacing w:after="0"/>
            </w:pPr>
            <w:r/>
            <w:r>
              <w:rPr>
                <w:sz w:val="16"/>
              </w:rPr>
              <w:t>Domestic yards and components</w:t>
            </w:r>
          </w:p>
        </w:tc>
      </w:tr>
      <w:tr>
        <w:tc>
          <w:tcPr>
            <w:tcW w:type="dxa" w:w="30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6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6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50%</w:t>
            </w:r>
          </w:p>
        </w:tc>
        <w:tc>
          <w:tcPr>
            <w:tcW w:type="dxa" w:w="77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100%</w:t>
            </w:r>
          </w:p>
        </w:tc>
        <w:tc>
          <w:tcPr>
            <w:tcW w:type="dxa" w:w="8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0.8×</w:t>
            </w:r>
          </w:p>
        </w:tc>
        <w:tc>
          <w:tcPr>
            <w:tcW w:type="dxa" w:w="37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Imported machinery; textile labour-intensive</w:t>
            </w:r>
          </w:p>
        </w:tc>
      </w:tr>
      <w:tr>
        <w:tc>
          <w:tcPr>
            <w:tcW w:type="dxa" w:w="3025"/>
          </w:tcPr>
          <w:p>
            <w:pPr>
              <w:spacing w:after="0"/>
            </w:pPr>
            <w:r/>
            <w:r>
              <w:rPr>
                <w:sz w:val="16"/>
              </w:rPr>
              <w:t>Digital infrastructure (data centre, AI &amp; IT)</w:t>
            </w:r>
          </w:p>
        </w:tc>
        <w:tc>
          <w:tcPr>
            <w:tcW w:type="dxa" w:w="617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692"/>
          </w:tcPr>
          <w:p>
            <w:pPr>
              <w:spacing w:after="0"/>
            </w:pPr>
            <w:r/>
            <w:r>
              <w:rPr>
                <w:sz w:val="16"/>
              </w:rPr>
              <w:t>35%</w:t>
            </w:r>
          </w:p>
        </w:tc>
        <w:tc>
          <w:tcPr>
            <w:tcW w:type="dxa" w:w="778"/>
          </w:tcPr>
          <w:p>
            <w:pPr>
              <w:spacing w:after="0"/>
            </w:pPr>
            <w:r/>
            <w:r>
              <w:rPr>
                <w:sz w:val="16"/>
              </w:rPr>
              <w:t>100%</w:t>
            </w:r>
          </w:p>
        </w:tc>
        <w:tc>
          <w:tcPr>
            <w:tcW w:type="dxa" w:w="821"/>
          </w:tcPr>
          <w:p>
            <w:pPr>
              <w:spacing w:after="0"/>
            </w:pPr>
            <w:r/>
            <w:r>
              <w:rPr>
                <w:sz w:val="16"/>
              </w:rPr>
              <w:t>2.0×</w:t>
            </w:r>
          </w:p>
        </w:tc>
        <w:tc>
          <w:tcPr>
            <w:tcW w:type="dxa" w:w="3704"/>
          </w:tcPr>
          <w:p>
            <w:pPr>
              <w:spacing w:after="0"/>
            </w:pPr>
            <w:r/>
            <w:r>
              <w:rPr>
                <w:sz w:val="16"/>
              </w:rPr>
              <w:t>Servers, accelerators and cooling imported</w:t>
            </w:r>
          </w:p>
        </w:tc>
      </w:tr>
      <w:tr>
        <w:tc>
          <w:tcPr>
            <w:tcW w:type="dxa" w:w="30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Deep tech (quantum, semiconductors, space, drone)</w:t>
            </w:r>
          </w:p>
        </w:tc>
        <w:tc>
          <w:tcPr>
            <w:tcW w:type="dxa" w:w="6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6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40%</w:t>
            </w:r>
          </w:p>
        </w:tc>
        <w:tc>
          <w:tcPr>
            <w:tcW w:type="dxa" w:w="77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100%</w:t>
            </w:r>
          </w:p>
        </w:tc>
        <w:tc>
          <w:tcPr>
            <w:tcW w:type="dxa" w:w="8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2.0×</w:t>
            </w:r>
          </w:p>
        </w:tc>
        <w:tc>
          <w:tcPr>
            <w:tcW w:type="dxa" w:w="37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Imported tools; research-heavy</w:t>
            </w:r>
          </w:p>
        </w:tc>
      </w:tr>
      <w:tr>
        <w:tc>
          <w:tcPr>
            <w:tcW w:type="dxa" w:w="3025"/>
          </w:tcPr>
          <w:p>
            <w:pPr>
              <w:spacing w:after="0"/>
            </w:pPr>
            <w:r/>
            <w:r>
              <w:rPr>
                <w:sz w:val="16"/>
              </w:rPr>
              <w:t>Technology park (Tech Corridor)</w:t>
            </w:r>
          </w:p>
        </w:tc>
        <w:tc>
          <w:tcPr>
            <w:tcW w:type="dxa" w:w="617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692"/>
          </w:tcPr>
          <w:p>
            <w:pPr>
              <w:spacing w:after="0"/>
            </w:pPr>
            <w:r/>
            <w:r>
              <w:rPr>
                <w:sz w:val="16"/>
              </w:rPr>
              <w:t>75%</w:t>
            </w:r>
          </w:p>
        </w:tc>
        <w:tc>
          <w:tcPr>
            <w:tcW w:type="dxa" w:w="778"/>
          </w:tcPr>
          <w:p>
            <w:pPr>
              <w:spacing w:after="0"/>
            </w:pPr>
            <w:r/>
            <w:r>
              <w:rPr>
                <w:sz w:val="16"/>
              </w:rPr>
              <w:t>80%</w:t>
            </w:r>
          </w:p>
        </w:tc>
        <w:tc>
          <w:tcPr>
            <w:tcW w:type="dxa" w:w="821"/>
          </w:tcPr>
          <w:p>
            <w:pPr>
              <w:spacing w:after="0"/>
            </w:pPr>
            <w:r/>
            <w:r>
              <w:rPr>
                <w:sz w:val="16"/>
              </w:rPr>
              <w:t>1.5×</w:t>
            </w:r>
          </w:p>
        </w:tc>
        <w:tc>
          <w:tcPr>
            <w:tcW w:type="dxa" w:w="3704"/>
          </w:tcPr>
          <w:p>
            <w:pPr>
              <w:spacing w:after="0"/>
            </w:pPr>
            <w:r/>
            <w:r>
              <w:rPr>
                <w:sz w:val="16"/>
              </w:rPr>
              <w:t>Mostly construction</w:t>
            </w:r>
          </w:p>
        </w:tc>
      </w:tr>
      <w:tr>
        <w:tc>
          <w:tcPr>
            <w:tcW w:type="dxa" w:w="30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Financial &amp; commercial platforms</w:t>
            </w:r>
          </w:p>
        </w:tc>
        <w:tc>
          <w:tcPr>
            <w:tcW w:type="dxa" w:w="61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Finance</w:t>
            </w:r>
          </w:p>
        </w:tc>
        <w:tc>
          <w:tcPr>
            <w:tcW w:type="dxa" w:w="6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60%</w:t>
            </w:r>
          </w:p>
        </w:tc>
        <w:tc>
          <w:tcPr>
            <w:tcW w:type="dxa" w:w="77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100%</w:t>
            </w:r>
          </w:p>
        </w:tc>
        <w:tc>
          <w:tcPr>
            <w:tcW w:type="dxa" w:w="8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1.0×</w:t>
            </w:r>
          </w:p>
        </w:tc>
        <w:tc>
          <w:tcPr>
            <w:tcW w:type="dxa" w:w="37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Software and services</w:t>
            </w:r>
          </w:p>
        </w:tc>
      </w:tr>
    </w:tbl>
    <w:p>
      <w:pPr>
        <w:spacing w:after="40"/>
      </w:pPr>
    </w:p>
    <w:p>
      <w:pPr>
        <w:pStyle w:val="Heading2"/>
      </w:pPr>
      <w:r>
        <w:t>Table 8.2. Economic effects by cluster (base case)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8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type="dxa" w:w="75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Industry</w:t>
            </w:r>
          </w:p>
        </w:tc>
        <w:tc>
          <w:tcPr>
            <w:tcW w:type="dxa" w:w="94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66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Finance</w:t>
            </w:r>
          </w:p>
        </w:tc>
        <w:tc>
          <w:tcPr>
            <w:tcW w:type="dxa" w:w="6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202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</w:tr>
      <w:tr>
        <w:tc>
          <w:tcPr>
            <w:tcW w:type="dxa" w:w="4583"/>
          </w:tcPr>
          <w:p>
            <w:pPr>
              <w:spacing w:after="0"/>
            </w:pPr>
            <w:r/>
            <w:r>
              <w:rPr>
                <w:sz w:val="16"/>
              </w:rPr>
              <w:t>Investment</w:t>
            </w:r>
          </w:p>
        </w:tc>
        <w:tc>
          <w:tcPr>
            <w:tcW w:type="dxa" w:w="755"/>
          </w:tcPr>
          <w:p>
            <w:pPr>
              <w:spacing w:after="0"/>
            </w:pPr>
            <w:r/>
            <w:r>
              <w:rPr>
                <w:sz w:val="16"/>
              </w:rPr>
              <w:t>4,914</w:t>
            </w:r>
          </w:p>
        </w:tc>
        <w:tc>
          <w:tcPr>
            <w:tcW w:type="dxa" w:w="944"/>
          </w:tcPr>
          <w:p>
            <w:pPr>
              <w:spacing w:after="0"/>
            </w:pPr>
            <w:r/>
            <w:r>
              <w:rPr>
                <w:sz w:val="16"/>
              </w:rPr>
              <w:t>480</w:t>
            </w:r>
          </w:p>
        </w:tc>
        <w:tc>
          <w:tcPr>
            <w:tcW w:type="dxa" w:w="660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74"/>
          </w:tcPr>
          <w:p>
            <w:pPr>
              <w:spacing w:after="0"/>
            </w:pPr>
            <w:r/>
            <w:r>
              <w:rPr>
                <w:sz w:val="16"/>
              </w:rPr>
              <w:t>5,396</w:t>
            </w:r>
          </w:p>
        </w:tc>
        <w:tc>
          <w:tcPr>
            <w:tcW w:type="dxa" w:w="2022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</w:tr>
      <w:tr>
        <w:tc>
          <w:tcPr>
            <w:tcW w:type="dxa" w:w="45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Peak GDP level effect</w:t>
            </w:r>
          </w:p>
        </w:tc>
        <w:tc>
          <w:tcPr>
            <w:tcW w:type="dxa" w:w="7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1.94</w:t>
            </w:r>
          </w:p>
        </w:tc>
        <w:tc>
          <w:tcPr>
            <w:tcW w:type="dxa" w:w="9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0.25</w:t>
            </w:r>
          </w:p>
        </w:tc>
        <w:tc>
          <w:tcPr>
            <w:tcW w:type="dxa" w:w="66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67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2.20</w:t>
            </w:r>
          </w:p>
        </w:tc>
        <w:tc>
          <w:tcPr>
            <w:tcW w:type="dxa" w:w="20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% of GDP (2031)</w:t>
            </w:r>
          </w:p>
        </w:tc>
      </w:tr>
      <w:tr>
        <w:tc>
          <w:tcPr>
            <w:tcW w:type="dxa" w:w="4583"/>
          </w:tcPr>
          <w:p>
            <w:pPr>
              <w:spacing w:after="0"/>
            </w:pPr>
            <w:r/>
            <w:r>
              <w:rPr>
                <w:sz w:val="16"/>
              </w:rPr>
              <w:t>Cumulative GDP during build</w:t>
            </w:r>
          </w:p>
        </w:tc>
        <w:tc>
          <w:tcPr>
            <w:tcW w:type="dxa" w:w="755"/>
          </w:tcPr>
          <w:p>
            <w:pPr>
              <w:spacing w:after="0"/>
            </w:pPr>
            <w:r/>
            <w:r>
              <w:rPr>
                <w:sz w:val="16"/>
              </w:rPr>
              <w:t>3,221</w:t>
            </w:r>
          </w:p>
        </w:tc>
        <w:tc>
          <w:tcPr>
            <w:tcW w:type="dxa" w:w="944"/>
          </w:tcPr>
          <w:p>
            <w:pPr>
              <w:spacing w:after="0"/>
            </w:pPr>
            <w:r/>
            <w:r>
              <w:rPr>
                <w:sz w:val="16"/>
              </w:rPr>
              <w:t>285</w:t>
            </w:r>
          </w:p>
        </w:tc>
        <w:tc>
          <w:tcPr>
            <w:tcW w:type="dxa" w:w="660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74"/>
          </w:tcPr>
          <w:p>
            <w:pPr>
              <w:spacing w:after="0"/>
            </w:pPr>
            <w:r/>
            <w:r>
              <w:rPr>
                <w:sz w:val="16"/>
              </w:rPr>
              <w:t>3,507</w:t>
            </w:r>
          </w:p>
        </w:tc>
        <w:tc>
          <w:tcPr>
            <w:tcW w:type="dxa" w:w="2022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</w:tr>
      <w:tr>
        <w:tc>
          <w:tcPr>
            <w:tcW w:type="dxa" w:w="45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Permanent GDP gain</w:t>
            </w:r>
          </w:p>
        </w:tc>
        <w:tc>
          <w:tcPr>
            <w:tcW w:type="dxa" w:w="7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396</w:t>
            </w:r>
          </w:p>
        </w:tc>
        <w:tc>
          <w:tcPr>
            <w:tcW w:type="dxa" w:w="9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66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67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464</w:t>
            </w:r>
          </w:p>
        </w:tc>
        <w:tc>
          <w:tcPr>
            <w:tcW w:type="dxa" w:w="20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 a year</w:t>
            </w:r>
          </w:p>
        </w:tc>
      </w:tr>
      <w:tr>
        <w:tc>
          <w:tcPr>
            <w:tcW w:type="dxa" w:w="4583"/>
          </w:tcPr>
          <w:p>
            <w:pPr>
              <w:spacing w:after="0"/>
            </w:pPr>
            <w:r/>
            <w:r>
              <w:rPr>
                <w:sz w:val="16"/>
              </w:rPr>
              <w:t>Job-years during build (GDP-based)</w:t>
            </w:r>
          </w:p>
        </w:tc>
        <w:tc>
          <w:tcPr>
            <w:tcW w:type="dxa" w:w="755"/>
          </w:tcPr>
          <w:p>
            <w:pPr>
              <w:spacing w:after="0"/>
            </w:pPr>
            <w:r/>
            <w:r>
              <w:rPr>
                <w:sz w:val="16"/>
              </w:rPr>
              <w:t>16.0</w:t>
            </w:r>
          </w:p>
        </w:tc>
        <w:tc>
          <w:tcPr>
            <w:tcW w:type="dxa" w:w="944"/>
          </w:tcPr>
          <w:p>
            <w:pPr>
              <w:spacing w:after="0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66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674"/>
          </w:tcPr>
          <w:p>
            <w:pPr>
              <w:spacing w:after="0"/>
            </w:pPr>
            <w:r/>
            <w:r>
              <w:rPr>
                <w:sz w:val="16"/>
              </w:rPr>
              <w:t>17.1</w:t>
            </w:r>
          </w:p>
        </w:tc>
        <w:tc>
          <w:tcPr>
            <w:tcW w:type="dxa" w:w="2022"/>
          </w:tcPr>
          <w:p>
            <w:pPr>
              <w:spacing w:after="0"/>
            </w:pPr>
            <w:r/>
            <w:r>
              <w:rPr>
                <w:sz w:val="16"/>
              </w:rPr>
              <w:t>million</w:t>
            </w:r>
          </w:p>
        </w:tc>
      </w:tr>
      <w:tr>
        <w:tc>
          <w:tcPr>
            <w:tcW w:type="dxa" w:w="45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Extra tax during build</w:t>
            </w:r>
          </w:p>
        </w:tc>
        <w:tc>
          <w:tcPr>
            <w:tcW w:type="dxa" w:w="7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300</w:t>
            </w:r>
          </w:p>
        </w:tc>
        <w:tc>
          <w:tcPr>
            <w:tcW w:type="dxa" w:w="9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66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67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327</w:t>
            </w:r>
          </w:p>
        </w:tc>
        <w:tc>
          <w:tcPr>
            <w:tcW w:type="dxa" w:w="20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</w:tr>
      <w:tr>
        <w:tc>
          <w:tcPr>
            <w:tcW w:type="dxa" w:w="4583"/>
          </w:tcPr>
          <w:p>
            <w:pPr>
              <w:spacing w:after="0"/>
            </w:pPr>
            <w:r/>
            <w:r>
              <w:rPr>
                <w:sz w:val="16"/>
              </w:rPr>
              <w:t>Imports embodied in capex</w:t>
            </w:r>
          </w:p>
        </w:tc>
        <w:tc>
          <w:tcPr>
            <w:tcW w:type="dxa" w:w="755"/>
          </w:tcPr>
          <w:p>
            <w:pPr>
              <w:spacing w:after="0"/>
            </w:pPr>
            <w:r/>
            <w:r>
              <w:rPr>
                <w:sz w:val="16"/>
              </w:rPr>
              <w:t>110.9</w:t>
            </w:r>
          </w:p>
        </w:tc>
        <w:tc>
          <w:tcPr>
            <w:tcW w:type="dxa" w:w="944"/>
          </w:tcPr>
          <w:p>
            <w:pPr>
              <w:spacing w:after="0"/>
            </w:pPr>
            <w:r/>
            <w:r>
              <w:rPr>
                <w:sz w:val="16"/>
              </w:rPr>
              <w:t>13.2</w:t>
            </w:r>
          </w:p>
        </w:tc>
        <w:tc>
          <w:tcPr>
            <w:tcW w:type="dxa" w:w="66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674"/>
          </w:tcPr>
          <w:p>
            <w:pPr>
              <w:spacing w:after="0"/>
            </w:pPr>
            <w:r/>
            <w:r>
              <w:rPr>
                <w:sz w:val="16"/>
              </w:rPr>
              <w:t>124.1</w:t>
            </w:r>
          </w:p>
        </w:tc>
        <w:tc>
          <w:tcPr>
            <w:tcW w:type="dxa" w:w="2022"/>
          </w:tcPr>
          <w:p>
            <w:pPr>
              <w:spacing w:after="0"/>
            </w:pPr>
            <w:r/>
            <w:r>
              <w:rPr>
                <w:sz w:val="16"/>
              </w:rPr>
              <w:t>US$ bn</w:t>
            </w:r>
          </w:p>
        </w:tc>
      </w:tr>
      <w:tr>
        <w:tc>
          <w:tcPr>
            <w:tcW w:type="dxa" w:w="45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DDMF-type equity</w:t>
            </w:r>
          </w:p>
        </w:tc>
        <w:tc>
          <w:tcPr>
            <w:tcW w:type="dxa" w:w="75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1,032</w:t>
            </w:r>
          </w:p>
        </w:tc>
        <w:tc>
          <w:tcPr>
            <w:tcW w:type="dxa" w:w="9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101</w:t>
            </w:r>
          </w:p>
        </w:tc>
        <w:tc>
          <w:tcPr>
            <w:tcW w:type="dxa" w:w="66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67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1,133</w:t>
            </w:r>
          </w:p>
        </w:tc>
        <w:tc>
          <w:tcPr>
            <w:tcW w:type="dxa" w:w="202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T</w:t>
            </w:r>
          </w:p>
        </w:tc>
      </w:tr>
    </w:tbl>
    <w:p>
      <w:pPr>
        <w:spacing w:after="40"/>
      </w:pPr>
    </w:p>
    <w:p>
      <w:pPr>
        <w:pStyle w:val="Heading2"/>
      </w:pPr>
      <w:r>
        <w:t>Table 8.3. Year-by-year path of the whole pipeline (base case)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9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 (Rp T)</w:t>
            </w:r>
          </w:p>
        </w:tc>
        <w:tc>
          <w:tcPr>
            <w:tcW w:type="dxa" w:w="17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 (% of GDP)</w:t>
            </w:r>
          </w:p>
        </w:tc>
        <w:tc>
          <w:tcPr>
            <w:tcW w:type="dxa" w:w="221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GDP level effect (% of GDP)</w:t>
            </w:r>
          </w:p>
        </w:tc>
        <w:tc>
          <w:tcPr>
            <w:tcW w:type="dxa" w:w="139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Added growth (pp)</w:t>
            </w:r>
          </w:p>
        </w:tc>
        <w:tc>
          <w:tcPr>
            <w:tcW w:type="dxa" w:w="245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Enhanced efficiency (% of GDP)</w:t>
            </w:r>
          </w:p>
        </w:tc>
      </w:tr>
      <w:tr>
        <w:tc>
          <w:tcPr>
            <w:tcW w:type="dxa" w:w="468"/>
          </w:tcPr>
          <w:p>
            <w:pPr>
              <w:spacing w:after="0"/>
            </w:pPr>
            <w:r/>
            <w:r>
              <w:rPr>
                <w:sz w:val="16"/>
              </w:rPr>
              <w:t>2027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539</w:t>
            </w:r>
          </w:p>
        </w:tc>
        <w:tc>
          <w:tcPr>
            <w:tcW w:type="dxa" w:w="1719"/>
          </w:tcPr>
          <w:p>
            <w:pPr>
              <w:spacing w:after="0"/>
            </w:pPr>
            <w:r/>
            <w:r>
              <w:rPr>
                <w:sz w:val="16"/>
              </w:rPr>
              <w:t>2.05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6"/>
              </w:rPr>
              <w:t>0.77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0.81</w:t>
            </w:r>
          </w:p>
        </w:tc>
        <w:tc>
          <w:tcPr>
            <w:tcW w:type="dxa" w:w="2456"/>
          </w:tcPr>
          <w:p>
            <w:pPr>
              <w:spacing w:after="0"/>
            </w:pPr>
            <w:r/>
            <w:r>
              <w:rPr>
                <w:sz w:val="16"/>
              </w:rPr>
              <w:t>1.01</w:t>
            </w:r>
          </w:p>
        </w:tc>
      </w:tr>
      <w:tr>
        <w:tc>
          <w:tcPr>
            <w:tcW w:type="dxa" w:w="4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</w:t>
            </w:r>
          </w:p>
        </w:tc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804</w:t>
            </w:r>
          </w:p>
        </w:tc>
        <w:tc>
          <w:tcPr>
            <w:tcW w:type="dxa" w:w="17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2.92</w:t>
            </w:r>
          </w:p>
        </w:tc>
        <w:tc>
          <w:tcPr>
            <w:tcW w:type="dxa" w:w="221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1.48</w:t>
            </w:r>
          </w:p>
        </w:tc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0.78</w:t>
            </w:r>
          </w:p>
        </w:tc>
        <w:tc>
          <w:tcPr>
            <w:tcW w:type="dxa" w:w="24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468"/>
          </w:tcPr>
          <w:p>
            <w:pPr>
              <w:spacing w:after="0"/>
            </w:pPr>
            <w:r/>
            <w:r>
              <w:rPr>
                <w:sz w:val="16"/>
              </w:rPr>
              <w:t>2029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829</w:t>
            </w:r>
          </w:p>
        </w:tc>
        <w:tc>
          <w:tcPr>
            <w:tcW w:type="dxa" w:w="1719"/>
          </w:tcPr>
          <w:p>
            <w:pPr>
              <w:spacing w:after="0"/>
            </w:pPr>
            <w:r/>
            <w:r>
              <w:rPr>
                <w:sz w:val="16"/>
              </w:rPr>
              <w:t>2.86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6"/>
              </w:rPr>
              <w:t>1.85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0.46</w:t>
            </w:r>
          </w:p>
        </w:tc>
        <w:tc>
          <w:tcPr>
            <w:tcW w:type="dxa" w:w="2456"/>
          </w:tcPr>
          <w:p>
            <w:pPr>
              <w:spacing w:after="0"/>
            </w:pPr>
            <w:r/>
            <w:r>
              <w:rPr>
                <w:sz w:val="16"/>
              </w:rPr>
              <w:t>2.40</w:t>
            </w:r>
          </w:p>
        </w:tc>
      </w:tr>
      <w:tr>
        <w:tc>
          <w:tcPr>
            <w:tcW w:type="dxa" w:w="4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2030</w:t>
            </w:r>
          </w:p>
        </w:tc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821</w:t>
            </w:r>
          </w:p>
        </w:tc>
        <w:tc>
          <w:tcPr>
            <w:tcW w:type="dxa" w:w="17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2.70</w:t>
            </w:r>
          </w:p>
        </w:tc>
        <w:tc>
          <w:tcPr>
            <w:tcW w:type="dxa" w:w="221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2.14</w:t>
            </w:r>
          </w:p>
        </w:tc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0.40</w:t>
            </w:r>
          </w:p>
        </w:tc>
        <w:tc>
          <w:tcPr>
            <w:tcW w:type="dxa" w:w="24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2.78</w:t>
            </w:r>
          </w:p>
        </w:tc>
      </w:tr>
      <w:tr>
        <w:tc>
          <w:tcPr>
            <w:tcW w:type="dxa" w:w="468"/>
          </w:tcPr>
          <w:p>
            <w:pPr>
              <w:spacing w:after="0"/>
            </w:pPr>
            <w:r/>
            <w:r>
              <w:rPr>
                <w:sz w:val="16"/>
              </w:rPr>
              <w:t>2031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748</w:t>
            </w:r>
          </w:p>
        </w:tc>
        <w:tc>
          <w:tcPr>
            <w:tcW w:type="dxa" w:w="1719"/>
          </w:tcPr>
          <w:p>
            <w:pPr>
              <w:spacing w:after="0"/>
            </w:pPr>
            <w:r/>
            <w:r>
              <w:rPr>
                <w:sz w:val="16"/>
              </w:rPr>
              <w:t>2.34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6"/>
              </w:rPr>
              <w:t>2.20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0.17</w:t>
            </w:r>
          </w:p>
        </w:tc>
        <w:tc>
          <w:tcPr>
            <w:tcW w:type="dxa" w:w="2456"/>
          </w:tcPr>
          <w:p>
            <w:pPr>
              <w:spacing w:after="0"/>
            </w:pPr>
            <w:r/>
            <w:r>
              <w:rPr>
                <w:sz w:val="16"/>
              </w:rPr>
              <w:t>2.86</w:t>
            </w:r>
          </w:p>
        </w:tc>
      </w:tr>
      <w:tr>
        <w:tc>
          <w:tcPr>
            <w:tcW w:type="dxa" w:w="4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2032</w:t>
            </w:r>
          </w:p>
        </w:tc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438</w:t>
            </w:r>
          </w:p>
        </w:tc>
        <w:tc>
          <w:tcPr>
            <w:tcW w:type="dxa" w:w="17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1.31</w:t>
            </w:r>
          </w:p>
        </w:tc>
        <w:tc>
          <w:tcPr>
            <w:tcW w:type="dxa" w:w="221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1.31</w:t>
            </w:r>
          </w:p>
        </w:tc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-0.82</w:t>
            </w:r>
          </w:p>
        </w:tc>
        <w:tc>
          <w:tcPr>
            <w:tcW w:type="dxa" w:w="24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1.71</w:t>
            </w:r>
          </w:p>
        </w:tc>
      </w:tr>
      <w:tr>
        <w:tc>
          <w:tcPr>
            <w:tcW w:type="dxa" w:w="468"/>
          </w:tcPr>
          <w:p>
            <w:pPr>
              <w:spacing w:after="0"/>
            </w:pPr>
            <w:r/>
            <w:r>
              <w:rPr>
                <w:sz w:val="16"/>
              </w:rPr>
              <w:t>2033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351</w:t>
            </w:r>
          </w:p>
        </w:tc>
        <w:tc>
          <w:tcPr>
            <w:tcW w:type="dxa" w:w="1719"/>
          </w:tcPr>
          <w:p>
            <w:pPr>
              <w:spacing w:after="0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6"/>
              </w:rPr>
              <w:t>1.09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-0.17</w:t>
            </w:r>
          </w:p>
        </w:tc>
        <w:tc>
          <w:tcPr>
            <w:tcW w:type="dxa" w:w="2456"/>
          </w:tcPr>
          <w:p>
            <w:pPr>
              <w:spacing w:after="0"/>
            </w:pPr>
            <w:r/>
            <w:r>
              <w:rPr>
                <w:sz w:val="16"/>
              </w:rPr>
              <w:t>1.42</w:t>
            </w:r>
          </w:p>
        </w:tc>
      </w:tr>
      <w:tr>
        <w:tc>
          <w:tcPr>
            <w:tcW w:type="dxa" w:w="4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2034</w:t>
            </w:r>
          </w:p>
        </w:tc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351</w:t>
            </w:r>
          </w:p>
        </w:tc>
        <w:tc>
          <w:tcPr>
            <w:tcW w:type="dxa" w:w="17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0.95</w:t>
            </w:r>
          </w:p>
        </w:tc>
        <w:tc>
          <w:tcPr>
            <w:tcW w:type="dxa" w:w="221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1.08</w:t>
            </w:r>
          </w:p>
        </w:tc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0.05</w:t>
            </w:r>
          </w:p>
        </w:tc>
        <w:tc>
          <w:tcPr>
            <w:tcW w:type="dxa" w:w="24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468"/>
          </w:tcPr>
          <w:p>
            <w:pPr>
              <w:spacing w:after="0"/>
            </w:pPr>
            <w:r/>
            <w:r>
              <w:rPr>
                <w:sz w:val="16"/>
              </w:rPr>
              <w:t>2035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86</w:t>
            </w:r>
          </w:p>
        </w:tc>
        <w:tc>
          <w:tcPr>
            <w:tcW w:type="dxa" w:w="1719"/>
          </w:tcPr>
          <w:p>
            <w:pPr>
              <w:spacing w:after="0"/>
            </w:pPr>
            <w:r/>
            <w:r>
              <w:rPr>
                <w:sz w:val="16"/>
              </w:rPr>
              <w:t>0.22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6"/>
              </w:rPr>
              <w:t>1.07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sz w:val="16"/>
              </w:rPr>
              <w:t>0.04</w:t>
            </w:r>
          </w:p>
        </w:tc>
        <w:tc>
          <w:tcPr>
            <w:tcW w:type="dxa" w:w="2456"/>
          </w:tcPr>
          <w:p>
            <w:pPr>
              <w:spacing w:after="0"/>
            </w:pPr>
            <w:r/>
            <w:r>
              <w:rPr>
                <w:sz w:val="16"/>
              </w:rPr>
              <w:t>1.40</w:t>
            </w:r>
          </w:p>
        </w:tc>
      </w:tr>
      <w:tr>
        <w:tc>
          <w:tcPr>
            <w:tcW w:type="dxa" w:w="4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2040</w:t>
            </w:r>
          </w:p>
        </w:tc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86</w:t>
            </w:r>
          </w:p>
        </w:tc>
        <w:tc>
          <w:tcPr>
            <w:tcW w:type="dxa" w:w="171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0.17</w:t>
            </w:r>
          </w:p>
        </w:tc>
        <w:tc>
          <w:tcPr>
            <w:tcW w:type="dxa" w:w="221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0.92</w:t>
            </w:r>
          </w:p>
        </w:tc>
        <w:tc>
          <w:tcPr>
            <w:tcW w:type="dxa" w:w="13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0.02</w:t>
            </w:r>
          </w:p>
        </w:tc>
        <w:tc>
          <w:tcPr>
            <w:tcW w:type="dxa" w:w="245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1.20</w:t>
            </w:r>
          </w:p>
        </w:tc>
      </w:tr>
    </w:tbl>
    <w:p>
      <w:pPr>
        <w:spacing w:after="40"/>
      </w:pPr>
    </w:p>
    <w:p>
      <w:pPr>
        <w:pStyle w:val="Heading2"/>
      </w:pPr>
      <w:r>
        <w:t>Table 8.4. Effects per Rp 1 trillion of investment, by segment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42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137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GDP in the first year (Rp T)</w:t>
            </w:r>
          </w:p>
        </w:tc>
        <w:tc>
          <w:tcPr>
            <w:tcW w:type="dxa" w:w="132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GDP after five years (Rp T)</w:t>
            </w:r>
          </w:p>
        </w:tc>
        <w:tc>
          <w:tcPr>
            <w:tcW w:type="dxa" w:w="132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Permanent GDP a year (Rp T)</w:t>
            </w:r>
          </w:p>
        </w:tc>
        <w:tc>
          <w:tcPr>
            <w:tcW w:type="dxa" w:w="11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Imports embodied (US$ m)</w:t>
            </w:r>
          </w:p>
        </w:tc>
        <w:tc>
          <w:tcPr>
            <w:tcW w:type="dxa" w:w="102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Job-years (bottom-up)</w:t>
            </w:r>
          </w:p>
        </w:tc>
      </w:tr>
      <w:tr>
        <w:tc>
          <w:tcPr>
            <w:tcW w:type="dxa" w:w="3425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1370"/>
          </w:tcPr>
          <w:p>
            <w:pPr>
              <w:spacing w:after="0"/>
            </w:pPr>
            <w:r/>
            <w:r>
              <w:rPr>
                <w:sz w:val="16"/>
              </w:rPr>
              <w:t>0.39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6"/>
              </w:rPr>
              <w:t>0.94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6"/>
              </w:rPr>
              <w:t>0.15</w:t>
            </w:r>
          </w:p>
        </w:tc>
        <w:tc>
          <w:tcPr>
            <w:tcW w:type="dxa" w:w="1174"/>
          </w:tcPr>
          <w:p>
            <w:pPr>
              <w:spacing w:after="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027"/>
          </w:tcPr>
          <w:p>
            <w:pPr>
              <w:spacing w:after="0"/>
            </w:pPr>
            <w:r/>
            <w:r>
              <w:rPr>
                <w:sz w:val="16"/>
              </w:rPr>
              <w:t>4,649</w:t>
            </w:r>
          </w:p>
        </w:tc>
      </w:tr>
      <w:tr>
        <w:tc>
          <w:tcPr>
            <w:tcW w:type="dxa" w:w="34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13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0.57</w:t>
            </w:r>
          </w:p>
        </w:tc>
        <w:tc>
          <w:tcPr>
            <w:tcW w:type="dxa" w:w="1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1.37</w:t>
            </w:r>
          </w:p>
        </w:tc>
        <w:tc>
          <w:tcPr>
            <w:tcW w:type="dxa" w:w="1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0.12</w:t>
            </w:r>
          </w:p>
        </w:tc>
        <w:tc>
          <w:tcPr>
            <w:tcW w:type="dxa" w:w="117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02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6,439</w:t>
            </w:r>
          </w:p>
        </w:tc>
      </w:tr>
      <w:tr>
        <w:tc>
          <w:tcPr>
            <w:tcW w:type="dxa" w:w="3425"/>
          </w:tcPr>
          <w:p>
            <w:pPr>
              <w:spacing w:after="0"/>
            </w:pPr>
            <w:r/>
            <w:r>
              <w:rPr>
                <w:sz w:val="16"/>
              </w:rPr>
              <w:t>Giant Sea Wall</w:t>
            </w:r>
          </w:p>
        </w:tc>
        <w:tc>
          <w:tcPr>
            <w:tcW w:type="dxa" w:w="1370"/>
          </w:tcPr>
          <w:p>
            <w:pPr>
              <w:spacing w:after="0"/>
            </w:pPr>
            <w:r/>
            <w:r>
              <w:rPr>
                <w:sz w:val="16"/>
              </w:rPr>
              <w:t>0.61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6"/>
              </w:rPr>
              <w:t>1.46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6"/>
              </w:rPr>
              <w:t>0.09</w:t>
            </w:r>
          </w:p>
        </w:tc>
        <w:tc>
          <w:tcPr>
            <w:tcW w:type="dxa" w:w="1174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027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</w:tr>
      <w:tr>
        <w:tc>
          <w:tcPr>
            <w:tcW w:type="dxa" w:w="34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platforms &amp; MRO</w:t>
            </w:r>
          </w:p>
        </w:tc>
        <w:tc>
          <w:tcPr>
            <w:tcW w:type="dxa" w:w="13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0.29</w:t>
            </w:r>
          </w:p>
        </w:tc>
        <w:tc>
          <w:tcPr>
            <w:tcW w:type="dxa" w:w="1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0.69</w:t>
            </w:r>
          </w:p>
        </w:tc>
        <w:tc>
          <w:tcPr>
            <w:tcW w:type="dxa" w:w="1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0.03</w:t>
            </w:r>
          </w:p>
        </w:tc>
        <w:tc>
          <w:tcPr>
            <w:tcW w:type="dxa" w:w="117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102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3,291</w:t>
            </w:r>
          </w:p>
        </w:tc>
      </w:tr>
      <w:tr>
        <w:tc>
          <w:tcPr>
            <w:tcW w:type="dxa" w:w="3425"/>
          </w:tcPr>
          <w:p>
            <w:pPr>
              <w:spacing w:after="0"/>
            </w:pPr>
            <w:r/>
            <w:r>
              <w:rPr>
                <w:sz w:val="16"/>
              </w:rPr>
              <w:t>Defence &amp; maritime industry</w:t>
            </w:r>
          </w:p>
        </w:tc>
        <w:tc>
          <w:tcPr>
            <w:tcW w:type="dxa" w:w="1370"/>
          </w:tcPr>
          <w:p>
            <w:pPr>
              <w:spacing w:after="0"/>
            </w:pPr>
            <w:r/>
            <w:r>
              <w:rPr>
                <w:sz w:val="16"/>
              </w:rPr>
              <w:t>0.43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6"/>
              </w:rPr>
              <w:t>1.03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6"/>
              </w:rPr>
              <w:t>0.15</w:t>
            </w:r>
          </w:p>
        </w:tc>
        <w:tc>
          <w:tcPr>
            <w:tcW w:type="dxa" w:w="1174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027"/>
          </w:tcPr>
          <w:p>
            <w:pPr>
              <w:spacing w:after="0"/>
            </w:pPr>
            <w:r/>
            <w:r>
              <w:rPr>
                <w:sz w:val="16"/>
              </w:rPr>
              <w:t>5,236</w:t>
            </w:r>
          </w:p>
        </w:tc>
      </w:tr>
      <w:tr>
        <w:tc>
          <w:tcPr>
            <w:tcW w:type="dxa" w:w="34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13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0.36</w:t>
            </w:r>
          </w:p>
        </w:tc>
        <w:tc>
          <w:tcPr>
            <w:tcW w:type="dxa" w:w="1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0.86</w:t>
            </w:r>
          </w:p>
        </w:tc>
        <w:tc>
          <w:tcPr>
            <w:tcW w:type="dxa" w:w="1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0.15</w:t>
            </w:r>
          </w:p>
        </w:tc>
        <w:tc>
          <w:tcPr>
            <w:tcW w:type="dxa" w:w="117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102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5,759</w:t>
            </w:r>
          </w:p>
        </w:tc>
      </w:tr>
      <w:tr>
        <w:tc>
          <w:tcPr>
            <w:tcW w:type="dxa" w:w="3425"/>
          </w:tcPr>
          <w:p>
            <w:pPr>
              <w:spacing w:after="0"/>
            </w:pPr>
            <w:r/>
            <w:r>
              <w:rPr>
                <w:sz w:val="16"/>
              </w:rPr>
              <w:t>Digital infrastructure (data centre, AI &amp; IT)</w:t>
            </w:r>
          </w:p>
        </w:tc>
        <w:tc>
          <w:tcPr>
            <w:tcW w:type="dxa" w:w="1370"/>
          </w:tcPr>
          <w:p>
            <w:pPr>
              <w:spacing w:after="0"/>
            </w:pPr>
            <w:r/>
            <w:r>
              <w:rPr>
                <w:sz w:val="16"/>
              </w:rPr>
              <w:t>0.25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6"/>
              </w:rPr>
              <w:t>0.60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6"/>
              </w:rPr>
              <w:t>0.15</w:t>
            </w:r>
          </w:p>
        </w:tc>
        <w:tc>
          <w:tcPr>
            <w:tcW w:type="dxa" w:w="1174"/>
          </w:tcPr>
          <w:p>
            <w:pPr>
              <w:spacing w:after="0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1027"/>
          </w:tcPr>
          <w:p>
            <w:pPr>
              <w:spacing w:after="0"/>
            </w:pPr>
            <w:r/>
            <w:r>
              <w:rPr>
                <w:sz w:val="16"/>
              </w:rPr>
              <w:t>4,470</w:t>
            </w:r>
          </w:p>
        </w:tc>
      </w:tr>
      <w:tr>
        <w:tc>
          <w:tcPr>
            <w:tcW w:type="dxa" w:w="34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Deep tech (quantum, semiconductors, space, drone)</w:t>
            </w:r>
          </w:p>
        </w:tc>
        <w:tc>
          <w:tcPr>
            <w:tcW w:type="dxa" w:w="13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0.29</w:t>
            </w:r>
          </w:p>
        </w:tc>
        <w:tc>
          <w:tcPr>
            <w:tcW w:type="dxa" w:w="1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0.69</w:t>
            </w:r>
          </w:p>
        </w:tc>
        <w:tc>
          <w:tcPr>
            <w:tcW w:type="dxa" w:w="13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0.15</w:t>
            </w:r>
          </w:p>
        </w:tc>
        <w:tc>
          <w:tcPr>
            <w:tcW w:type="dxa" w:w="117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102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4,559</w:t>
            </w:r>
          </w:p>
        </w:tc>
      </w:tr>
      <w:tr>
        <w:tc>
          <w:tcPr>
            <w:tcW w:type="dxa" w:w="3425"/>
          </w:tcPr>
          <w:p>
            <w:pPr>
              <w:spacing w:after="0"/>
            </w:pPr>
            <w:r/>
            <w:r>
              <w:rPr>
                <w:sz w:val="16"/>
              </w:rPr>
              <w:t>Technology park (Tech Corridor)</w:t>
            </w:r>
          </w:p>
        </w:tc>
        <w:tc>
          <w:tcPr>
            <w:tcW w:type="dxa" w:w="1370"/>
          </w:tcPr>
          <w:p>
            <w:pPr>
              <w:spacing w:after="0"/>
            </w:pPr>
            <w:r/>
            <w:r>
              <w:rPr>
                <w:sz w:val="16"/>
              </w:rPr>
              <w:t>0.54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6"/>
              </w:rPr>
              <w:t>1.29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6"/>
              </w:rPr>
              <w:t>0.12</w:t>
            </w:r>
          </w:p>
        </w:tc>
        <w:tc>
          <w:tcPr>
            <w:tcW w:type="dxa" w:w="1174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027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</w:tr>
    </w:tbl>
    <w:p>
      <w:pPr>
        <w:spacing w:after="40"/>
      </w:pPr>
    </w:p>
    <w:p>
      <w:pPr>
        <w:pStyle w:val="Heading2"/>
      </w:pPr>
      <w:r>
        <w:t>Table 8.5. Pipeline effects under alternative assumptions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13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Variant</w:t>
            </w:r>
          </w:p>
        </w:tc>
        <w:tc>
          <w:tcPr>
            <w:tcW w:type="dxa" w:w="12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Added growth 2029 (pp)</w:t>
            </w:r>
          </w:p>
        </w:tc>
        <w:tc>
          <w:tcPr>
            <w:tcW w:type="dxa" w:w="115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Average 2027–30 (pp)</w:t>
            </w:r>
          </w:p>
        </w:tc>
        <w:tc>
          <w:tcPr>
            <w:tcW w:type="dxa" w:w="162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Peak level effect (% of GDP)</w:t>
            </w:r>
          </w:p>
        </w:tc>
        <w:tc>
          <w:tcPr>
            <w:tcW w:type="dxa" w:w="52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2032 (pp)</w:t>
            </w:r>
          </w:p>
        </w:tc>
        <w:tc>
          <w:tcPr>
            <w:tcW w:type="dxa" w:w="92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Imports (US$ bn)</w:t>
            </w:r>
          </w:p>
        </w:tc>
      </w:tr>
      <w:tr>
        <w:tc>
          <w:tcPr>
            <w:tcW w:type="dxa" w:w="4136"/>
          </w:tcPr>
          <w:p>
            <w:pPr>
              <w:spacing w:after="0"/>
            </w:pPr>
            <w:r/>
            <w:r>
              <w:rPr>
                <w:sz w:val="16"/>
              </w:rPr>
              <w:t>Base case</w:t>
            </w:r>
          </w:p>
        </w:tc>
        <w:tc>
          <w:tcPr>
            <w:tcW w:type="dxa" w:w="1274"/>
          </w:tcPr>
          <w:p>
            <w:pPr>
              <w:spacing w:after="0"/>
            </w:pPr>
            <w:r/>
            <w:r>
              <w:rPr>
                <w:sz w:val="16"/>
              </w:rPr>
              <w:t>0.46</w:t>
            </w:r>
          </w:p>
        </w:tc>
        <w:tc>
          <w:tcPr>
            <w:tcW w:type="dxa" w:w="1158"/>
          </w:tcPr>
          <w:p>
            <w:pPr>
              <w:spacing w:after="0"/>
            </w:pPr>
            <w:r/>
            <w:r>
              <w:rPr>
                <w:sz w:val="16"/>
              </w:rPr>
              <w:t>0.61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6"/>
              </w:rPr>
              <w:t>2.20</w:t>
            </w:r>
          </w:p>
        </w:tc>
        <w:tc>
          <w:tcPr>
            <w:tcW w:type="dxa" w:w="521"/>
          </w:tcPr>
          <w:p>
            <w:pPr>
              <w:spacing w:after="0"/>
            </w:pPr>
            <w:r/>
            <w:r>
              <w:rPr>
                <w:sz w:val="16"/>
              </w:rPr>
              <w:t>−0.82</w:t>
            </w:r>
          </w:p>
        </w:tc>
        <w:tc>
          <w:tcPr>
            <w:tcW w:type="dxa" w:w="927"/>
          </w:tcPr>
          <w:p>
            <w:pPr>
              <w:spacing w:after="0"/>
            </w:pPr>
            <w:r/>
            <w:r>
              <w:rPr>
                <w:sz w:val="16"/>
              </w:rPr>
              <w:t>124</w:t>
            </w:r>
          </w:p>
        </w:tc>
      </w:tr>
      <w:tr>
        <w:tc>
          <w:tcPr>
            <w:tcW w:type="dxa" w:w="413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domestic content 60% (instead of 40%)</w:t>
            </w:r>
          </w:p>
        </w:tc>
        <w:tc>
          <w:tcPr>
            <w:tcW w:type="dxa" w:w="127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0.51</w:t>
            </w:r>
          </w:p>
        </w:tc>
        <w:tc>
          <w:tcPr>
            <w:tcW w:type="dxa" w:w="11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0.69</w:t>
            </w:r>
          </w:p>
        </w:tc>
        <w:tc>
          <w:tcPr>
            <w:tcW w:type="dxa" w:w="1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2.48</w:t>
            </w:r>
          </w:p>
        </w:tc>
        <w:tc>
          <w:tcPr>
            <w:tcW w:type="dxa" w:w="5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−0.82</w:t>
            </w:r>
          </w:p>
        </w:tc>
        <w:tc>
          <w:tcPr>
            <w:tcW w:type="dxa" w:w="92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4136"/>
          </w:tcPr>
          <w:p>
            <w:pPr>
              <w:spacing w:after="0"/>
            </w:pPr>
            <w:r/>
            <w:r>
              <w:rPr>
                <w:sz w:val="16"/>
              </w:rPr>
              <w:t>Sea wall built in 2027–2034 (instead of 2027–2040)</w:t>
            </w:r>
          </w:p>
        </w:tc>
        <w:tc>
          <w:tcPr>
            <w:tcW w:type="dxa" w:w="1274"/>
          </w:tcPr>
          <w:p>
            <w:pPr>
              <w:spacing w:after="0"/>
            </w:pPr>
            <w:r/>
            <w:r>
              <w:rPr>
                <w:sz w:val="16"/>
              </w:rPr>
              <w:t>0.51</w:t>
            </w:r>
          </w:p>
        </w:tc>
        <w:tc>
          <w:tcPr>
            <w:tcW w:type="dxa" w:w="1158"/>
          </w:tcPr>
          <w:p>
            <w:pPr>
              <w:spacing w:after="0"/>
            </w:pPr>
            <w:r/>
            <w:r>
              <w:rPr>
                <w:sz w:val="16"/>
              </w:rPr>
              <w:t>0.69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6"/>
              </w:rPr>
              <w:t>2.49</w:t>
            </w:r>
          </w:p>
        </w:tc>
        <w:tc>
          <w:tcPr>
            <w:tcW w:type="dxa" w:w="521"/>
          </w:tcPr>
          <w:p>
            <w:pPr>
              <w:spacing w:after="0"/>
            </w:pPr>
            <w:r/>
            <w:r>
              <w:rPr>
                <w:sz w:val="16"/>
              </w:rPr>
              <w:t>−0.82</w:t>
            </w:r>
          </w:p>
        </w:tc>
        <w:tc>
          <w:tcPr>
            <w:tcW w:type="dxa" w:w="927"/>
          </w:tcPr>
          <w:p>
            <w:pPr>
              <w:spacing w:after="0"/>
            </w:pPr>
            <w:r/>
            <w:r>
              <w:rPr>
                <w:sz w:val="16"/>
              </w:rPr>
              <w:t>124</w:t>
            </w:r>
          </w:p>
        </w:tc>
      </w:tr>
      <w:tr>
        <w:tc>
          <w:tcPr>
            <w:tcW w:type="dxa" w:w="413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Both</w:t>
            </w:r>
          </w:p>
        </w:tc>
        <w:tc>
          <w:tcPr>
            <w:tcW w:type="dxa" w:w="127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0.56</w:t>
            </w:r>
          </w:p>
        </w:tc>
        <w:tc>
          <w:tcPr>
            <w:tcW w:type="dxa" w:w="11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0.76</w:t>
            </w:r>
          </w:p>
        </w:tc>
        <w:tc>
          <w:tcPr>
            <w:tcW w:type="dxa" w:w="16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2.78</w:t>
            </w:r>
          </w:p>
        </w:tc>
        <w:tc>
          <w:tcPr>
            <w:tcW w:type="dxa" w:w="52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−0.82</w:t>
            </w:r>
          </w:p>
        </w:tc>
        <w:tc>
          <w:tcPr>
            <w:tcW w:type="dxa" w:w="92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4136"/>
          </w:tcPr>
          <w:p>
            <w:pPr>
              <w:spacing w:after="0"/>
            </w:pPr>
            <w:r/>
            <w:r>
              <w:rPr>
                <w:sz w:val="16"/>
              </w:rPr>
              <w:t>Enhanced efficiency (IMF)</w:t>
            </w:r>
          </w:p>
        </w:tc>
        <w:tc>
          <w:tcPr>
            <w:tcW w:type="dxa" w:w="1274"/>
          </w:tcPr>
          <w:p>
            <w:pPr>
              <w:spacing w:after="0"/>
            </w:pPr>
            <w:r/>
            <w:r>
              <w:rPr>
                <w:sz w:val="16"/>
              </w:rPr>
              <w:t>0.60</w:t>
            </w:r>
          </w:p>
        </w:tc>
        <w:tc>
          <w:tcPr>
            <w:tcW w:type="dxa" w:w="1158"/>
          </w:tcPr>
          <w:p>
            <w:pPr>
              <w:spacing w:after="0"/>
            </w:pPr>
            <w:r/>
            <w:r>
              <w:rPr>
                <w:sz w:val="16"/>
              </w:rPr>
              <w:t>0.80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6"/>
              </w:rPr>
              <w:t>2.86</w:t>
            </w:r>
          </w:p>
        </w:tc>
        <w:tc>
          <w:tcPr>
            <w:tcW w:type="dxa" w:w="521"/>
          </w:tcPr>
          <w:p>
            <w:pPr>
              <w:spacing w:after="0"/>
            </w:pPr>
            <w:r/>
            <w:r>
              <w:rPr>
                <w:sz w:val="16"/>
              </w:rPr>
              <w:t>-1.07</w:t>
            </w:r>
          </w:p>
        </w:tc>
        <w:tc>
          <w:tcPr>
            <w:tcW w:type="dxa" w:w="927"/>
          </w:tcPr>
          <w:p>
            <w:pPr>
              <w:spacing w:after="0"/>
            </w:pPr>
            <w:r/>
            <w:r>
              <w:rPr>
                <w:sz w:val="16"/>
              </w:rPr>
              <w:t>124</w:t>
            </w:r>
          </w:p>
        </w:tc>
      </w:tr>
    </w:tbl>
    <w:p>
      <w:pPr>
        <w:spacing w:after="40"/>
      </w:pPr>
    </w:p>
    <w:p>
      <w:pPr>
        <w:pStyle w:val="Heading2"/>
      </w:pPr>
      <w:r>
        <w:t>Table 8.6. Employment by cluster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type="dxa" w:w="1033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Cluster</w:t>
            </w:r>
          </w:p>
        </w:tc>
        <w:tc>
          <w:tcPr>
            <w:tcW w:type="dxa" w:w="86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Invest. Rp T</w:t>
            </w:r>
          </w:p>
        </w:tc>
        <w:tc>
          <w:tcPr>
            <w:tcW w:type="dxa" w:w="115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Direct m job-yrs</w:t>
            </w:r>
          </w:p>
        </w:tc>
        <w:tc>
          <w:tcPr>
            <w:tcW w:type="dxa" w:w="723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Indirect m</w:t>
            </w:r>
          </w:p>
        </w:tc>
        <w:tc>
          <w:tcPr>
            <w:tcW w:type="dxa" w:w="65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Induced m</w:t>
            </w:r>
          </w:p>
        </w:tc>
        <w:tc>
          <w:tcPr>
            <w:tcW w:type="dxa" w:w="1085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Total m job-yrs</w:t>
            </w:r>
          </w:p>
        </w:tc>
        <w:tc>
          <w:tcPr>
            <w:tcW w:type="dxa" w:w="130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Job-yrs per Rp 1 T</w:t>
            </w:r>
          </w:p>
        </w:tc>
        <w:tc>
          <w:tcPr>
            <w:tcW w:type="dxa" w:w="1446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Permanent direct (k)</w:t>
            </w:r>
          </w:p>
        </w:tc>
        <w:tc>
          <w:tcPr>
            <w:tcW w:type="dxa" w:w="137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Permanent total (k)</w:t>
            </w:r>
          </w:p>
        </w:tc>
      </w:tr>
      <w:tr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5"/>
              </w:rPr>
              <w:t>Industry</w:t>
            </w:r>
          </w:p>
        </w:tc>
        <w:tc>
          <w:tcPr>
            <w:tcW w:type="dxa" w:w="868"/>
          </w:tcPr>
          <w:p>
            <w:pPr>
              <w:spacing w:after="0"/>
            </w:pPr>
            <w:r/>
            <w:r>
              <w:rPr>
                <w:sz w:val="15"/>
              </w:rPr>
              <w:t>4,914</w:t>
            </w:r>
          </w:p>
        </w:tc>
        <w:tc>
          <w:tcPr>
            <w:tcW w:type="dxa" w:w="1157"/>
          </w:tcPr>
          <w:p>
            <w:pPr>
              <w:spacing w:after="0"/>
            </w:pPr>
            <w:r/>
            <w:r>
              <w:rPr>
                <w:sz w:val="15"/>
              </w:rPr>
              <w:t>8.68</w:t>
            </w:r>
          </w:p>
        </w:tc>
        <w:tc>
          <w:tcPr>
            <w:tcW w:type="dxa" w:w="723"/>
          </w:tcPr>
          <w:p>
            <w:pPr>
              <w:spacing w:after="0"/>
            </w:pPr>
            <w:r/>
            <w:r>
              <w:rPr>
                <w:sz w:val="15"/>
              </w:rPr>
              <w:t>8.42</w:t>
            </w:r>
          </w:p>
        </w:tc>
        <w:tc>
          <w:tcPr>
            <w:tcW w:type="dxa" w:w="651"/>
          </w:tcPr>
          <w:p>
            <w:pPr>
              <w:spacing w:after="0"/>
            </w:pPr>
            <w:r/>
            <w:r>
              <w:rPr>
                <w:sz w:val="15"/>
              </w:rPr>
              <w:t>5.98</w:t>
            </w:r>
          </w:p>
        </w:tc>
        <w:tc>
          <w:tcPr>
            <w:tcW w:type="dxa" w:w="1085"/>
          </w:tcPr>
          <w:p>
            <w:pPr>
              <w:spacing w:after="0"/>
            </w:pPr>
            <w:r/>
            <w:r>
              <w:rPr>
                <w:sz w:val="15"/>
              </w:rPr>
              <w:t>23.08</w:t>
            </w:r>
          </w:p>
        </w:tc>
        <w:tc>
          <w:tcPr>
            <w:tcW w:type="dxa" w:w="1302"/>
          </w:tcPr>
          <w:p>
            <w:pPr>
              <w:spacing w:after="0"/>
            </w:pPr>
            <w:r/>
            <w:r>
              <w:rPr>
                <w:sz w:val="15"/>
              </w:rPr>
              <w:t>4,697</w:t>
            </w:r>
          </w:p>
        </w:tc>
        <w:tc>
          <w:tcPr>
            <w:tcW w:type="dxa" w:w="1446"/>
          </w:tcPr>
          <w:p>
            <w:pPr>
              <w:spacing w:after="0"/>
            </w:pPr>
            <w:r/>
            <w:r>
              <w:rPr>
                <w:sz w:val="15"/>
              </w:rPr>
              <w:t>490</w:t>
            </w:r>
          </w:p>
        </w:tc>
        <w:tc>
          <w:tcPr>
            <w:tcW w:type="dxa" w:w="1374"/>
          </w:tcPr>
          <w:p>
            <w:pPr>
              <w:spacing w:after="0"/>
            </w:pPr>
            <w:r/>
            <w:r>
              <w:rPr>
                <w:sz w:val="15"/>
              </w:rPr>
              <w:t>1,190</w:t>
            </w:r>
          </w:p>
        </w:tc>
      </w:tr>
      <w:tr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Technology</w:t>
            </w:r>
          </w:p>
        </w:tc>
        <w:tc>
          <w:tcPr>
            <w:tcW w:type="dxa" w:w="86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480</w:t>
            </w:r>
          </w:p>
        </w:tc>
        <w:tc>
          <w:tcPr>
            <w:tcW w:type="dxa" w:w="1157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0.84</w:t>
            </w:r>
          </w:p>
        </w:tc>
        <w:tc>
          <w:tcPr>
            <w:tcW w:type="dxa" w:w="723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0.95</w:t>
            </w:r>
          </w:p>
        </w:tc>
        <w:tc>
          <w:tcPr>
            <w:tcW w:type="dxa" w:w="651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0.63</w:t>
            </w:r>
          </w:p>
        </w:tc>
        <w:tc>
          <w:tcPr>
            <w:tcW w:type="dxa" w:w="1085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2.42</w:t>
            </w:r>
          </w:p>
        </w:tc>
        <w:tc>
          <w:tcPr>
            <w:tcW w:type="dxa" w:w="1302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5,044</w:t>
            </w:r>
          </w:p>
        </w:tc>
        <w:tc>
          <w:tcPr>
            <w:tcW w:type="dxa" w:w="1446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87</w:t>
            </w:r>
          </w:p>
        </w:tc>
        <w:tc>
          <w:tcPr>
            <w:tcW w:type="dxa" w:w="1374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212</w:t>
            </w:r>
          </w:p>
        </w:tc>
      </w:tr>
      <w:tr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5"/>
              </w:rPr>
              <w:t>Finance</w:t>
            </w:r>
          </w:p>
        </w:tc>
        <w:tc>
          <w:tcPr>
            <w:tcW w:type="dxa" w:w="868"/>
          </w:tcPr>
          <w:p>
            <w:pPr>
              <w:spacing w:after="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157"/>
          </w:tcPr>
          <w:p>
            <w:pPr>
              <w:spacing w:after="0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723"/>
          </w:tcPr>
          <w:p>
            <w:pPr>
              <w:spacing w:after="0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651"/>
          </w:tcPr>
          <w:p>
            <w:pPr>
              <w:spacing w:after="0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1085"/>
          </w:tcPr>
          <w:p>
            <w:pPr>
              <w:spacing w:after="0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1302"/>
          </w:tcPr>
          <w:p>
            <w:pPr>
              <w:spacing w:after="0"/>
            </w:pPr>
            <w:r/>
            <w:r>
              <w:rPr>
                <w:sz w:val="15"/>
              </w:rPr>
              <w:t>4,470</w:t>
            </w:r>
          </w:p>
        </w:tc>
        <w:tc>
          <w:tcPr>
            <w:tcW w:type="dxa" w:w="1446"/>
          </w:tcPr>
          <w:p>
            <w:pPr>
              <w:spacing w:after="0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374"/>
          </w:tcPr>
          <w:p>
            <w:pPr>
              <w:spacing w:after="0"/>
            </w:pPr>
            <w:r/>
            <w:r>
              <w:rPr>
                <w:sz w:val="15"/>
              </w:rPr>
              <w:t>0</w:t>
            </w:r>
          </w:p>
        </w:tc>
      </w:tr>
      <w:tr>
        <w:tc>
          <w:tcPr>
            <w:tcW w:type="dxa" w:w="1033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Total</w:t>
            </w:r>
          </w:p>
        </w:tc>
        <w:tc>
          <w:tcPr>
            <w:tcW w:type="dxa" w:w="868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5,396</w:t>
            </w:r>
          </w:p>
        </w:tc>
        <w:tc>
          <w:tcPr>
            <w:tcW w:type="dxa" w:w="1157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9.52</w:t>
            </w:r>
          </w:p>
        </w:tc>
        <w:tc>
          <w:tcPr>
            <w:tcW w:type="dxa" w:w="723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9.37</w:t>
            </w:r>
          </w:p>
        </w:tc>
        <w:tc>
          <w:tcPr>
            <w:tcW w:type="dxa" w:w="651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6.61</w:t>
            </w:r>
          </w:p>
        </w:tc>
        <w:tc>
          <w:tcPr>
            <w:tcW w:type="dxa" w:w="1085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25.51</w:t>
            </w:r>
          </w:p>
        </w:tc>
        <w:tc>
          <w:tcPr>
            <w:tcW w:type="dxa" w:w="1302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4,728</w:t>
            </w:r>
          </w:p>
        </w:tc>
        <w:tc>
          <w:tcPr>
            <w:tcW w:type="dxa" w:w="1446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577</w:t>
            </w:r>
          </w:p>
        </w:tc>
        <w:tc>
          <w:tcPr>
            <w:tcW w:type="dxa" w:w="1374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1,403</w:t>
            </w:r>
          </w:p>
        </w:tc>
      </w:tr>
    </w:tbl>
    <w:p>
      <w:pPr>
        <w:spacing w:after="40"/>
      </w:pPr>
    </w:p>
    <w:p>
      <w:pPr>
        <w:pStyle w:val="Heading2"/>
      </w:pPr>
      <w:r>
        <w:t>Table 8.7. The 15 projects with the most construction jobs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17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109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92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Invest. Rp T</w:t>
            </w:r>
          </w:p>
        </w:tc>
        <w:tc>
          <w:tcPr>
            <w:tcW w:type="dxa" w:w="153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Job-years (thousand)</w:t>
            </w:r>
          </w:p>
        </w:tc>
        <w:tc>
          <w:tcPr>
            <w:tcW w:type="dxa" w:w="153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Job-years per Rp 1 T</w:t>
            </w:r>
          </w:p>
        </w:tc>
        <w:tc>
          <w:tcPr>
            <w:tcW w:type="dxa" w:w="138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Permanent jobs (k)</w:t>
            </w:r>
          </w:p>
        </w:tc>
      </w:tr>
      <w:tr>
        <w:tc>
          <w:tcPr>
            <w:tcW w:type="dxa" w:w="3176"/>
          </w:tcPr>
          <w:p>
            <w:pPr>
              <w:spacing w:after="0"/>
            </w:pPr>
            <w:r/>
            <w:r>
              <w:rPr>
                <w:sz w:val="16"/>
              </w:rPr>
              <w:t>Giant Sea Wall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sz w:val="16"/>
              </w:rPr>
              <w:t>1,200.0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7,110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  <w:tc>
          <w:tcPr>
            <w:tcW w:type="dxa" w:w="1380"/>
          </w:tcPr>
          <w:p>
            <w:pPr>
              <w:spacing w:after="0"/>
            </w:pPr>
            <w:r/>
            <w:r>
              <w:rPr>
                <w:sz w:val="16"/>
              </w:rPr>
              <w:t>58.3</w:t>
            </w:r>
          </w:p>
        </w:tc>
      </w:tr>
      <w:tr>
        <w:tc>
          <w:tcPr>
            <w:tcW w:type="dxa" w:w="3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modernisation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2,125.0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6,993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3,291</w:t>
            </w:r>
          </w:p>
        </w:tc>
        <w:tc>
          <w:tcPr>
            <w:tcW w:type="dxa" w:w="13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309.8</w:t>
            </w:r>
          </w:p>
        </w:tc>
      </w:tr>
      <w:tr>
        <w:tc>
          <w:tcPr>
            <w:tcW w:type="dxa" w:w="3176"/>
          </w:tcPr>
          <w:p>
            <w:pPr>
              <w:spacing w:after="0"/>
            </w:pPr>
            <w:r/>
            <w:r>
              <w:rPr>
                <w:sz w:val="16"/>
              </w:rPr>
              <w:t>Affordable housing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sz w:val="16"/>
              </w:rPr>
              <w:t>219.4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1,495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6,814</w:t>
            </w:r>
          </w:p>
        </w:tc>
        <w:tc>
          <w:tcPr>
            <w:tcW w:type="dxa" w:w="1380"/>
          </w:tcPr>
          <w:p>
            <w:pPr>
              <w:spacing w:after="0"/>
            </w:pPr>
            <w:r/>
            <w:r>
              <w:rPr>
                <w:sz w:val="16"/>
              </w:rPr>
              <w:t>16.0</w:t>
            </w:r>
          </w:p>
        </w:tc>
      </w:tr>
      <w:tr>
        <w:tc>
          <w:tcPr>
            <w:tcW w:type="dxa" w:w="3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 smart cities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225.0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1,333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  <w:tc>
          <w:tcPr>
            <w:tcW w:type="dxa" w:w="13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54.7</w:t>
            </w:r>
          </w:p>
        </w:tc>
      </w:tr>
      <w:tr>
        <w:tc>
          <w:tcPr>
            <w:tcW w:type="dxa" w:w="3176"/>
          </w:tcPr>
          <w:p>
            <w:pPr>
              <w:spacing w:after="0"/>
            </w:pPr>
            <w:r/>
            <w:r>
              <w:rPr>
                <w:sz w:val="16"/>
              </w:rPr>
              <w:t>500 schools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sz w:val="16"/>
              </w:rPr>
              <w:t>178.0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1,213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6,814</w:t>
            </w:r>
          </w:p>
        </w:tc>
        <w:tc>
          <w:tcPr>
            <w:tcW w:type="dxa" w:w="1380"/>
          </w:tcPr>
          <w:p>
            <w:pPr>
              <w:spacing w:after="0"/>
            </w:pPr>
            <w:r/>
            <w:r>
              <w:rPr>
                <w:sz w:val="16"/>
              </w:rPr>
              <w:t>64.9</w:t>
            </w:r>
          </w:p>
        </w:tc>
      </w:tr>
      <w:tr>
        <w:tc>
          <w:tcPr>
            <w:tcW w:type="dxa" w:w="3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 Corridor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9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186.9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1,107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  <w:tc>
          <w:tcPr>
            <w:tcW w:type="dxa" w:w="13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113.5</w:t>
            </w:r>
          </w:p>
        </w:tc>
      </w:tr>
      <w:tr>
        <w:tc>
          <w:tcPr>
            <w:tcW w:type="dxa" w:w="3176"/>
          </w:tcPr>
          <w:p>
            <w:pPr>
              <w:spacing w:after="0"/>
            </w:pPr>
            <w:r/>
            <w:r>
              <w:rPr>
                <w:sz w:val="16"/>
              </w:rPr>
              <w:t>PLTS 100 GW (solar)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sz w:val="16"/>
              </w:rPr>
              <w:t>231.4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1,066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4,607</w:t>
            </w:r>
          </w:p>
        </w:tc>
        <w:tc>
          <w:tcPr>
            <w:tcW w:type="dxa" w:w="1380"/>
          </w:tcPr>
          <w:p>
            <w:pPr>
              <w:spacing w:after="0"/>
            </w:pPr>
            <w:r/>
            <w:r>
              <w:rPr>
                <w:sz w:val="16"/>
              </w:rPr>
              <w:t>56.2</w:t>
            </w:r>
          </w:p>
        </w:tc>
      </w:tr>
      <w:tr>
        <w:tc>
          <w:tcPr>
            <w:tcW w:type="dxa" w:w="3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AI and IT programme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9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200.0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894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4,470</w:t>
            </w:r>
          </w:p>
        </w:tc>
        <w:tc>
          <w:tcPr>
            <w:tcW w:type="dxa" w:w="13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72.9</w:t>
            </w:r>
          </w:p>
        </w:tc>
      </w:tr>
      <w:tr>
        <w:tc>
          <w:tcPr>
            <w:tcW w:type="dxa" w:w="3176"/>
          </w:tcPr>
          <w:p>
            <w:pPr>
              <w:spacing w:after="0"/>
            </w:pPr>
            <w:r/>
            <w:r>
              <w:rPr>
                <w:sz w:val="16"/>
              </w:rPr>
              <w:t>Centralised water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sz w:val="16"/>
              </w:rPr>
              <w:t>112.2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665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  <w:tc>
          <w:tcPr>
            <w:tcW w:type="dxa" w:w="1380"/>
          </w:tcPr>
          <w:p>
            <w:pPr>
              <w:spacing w:after="0"/>
            </w:pPr>
            <w:r/>
            <w:r>
              <w:rPr>
                <w:sz w:val="16"/>
              </w:rPr>
              <w:t>21.8</w:t>
            </w:r>
          </w:p>
        </w:tc>
      </w:tr>
      <w:tr>
        <w:tc>
          <w:tcPr>
            <w:tcW w:type="dxa" w:w="3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Textile ecosystem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89.0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513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5,759</w:t>
            </w:r>
          </w:p>
        </w:tc>
        <w:tc>
          <w:tcPr>
            <w:tcW w:type="dxa" w:w="13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259.5</w:t>
            </w:r>
          </w:p>
        </w:tc>
      </w:tr>
      <w:tr>
        <w:tc>
          <w:tcPr>
            <w:tcW w:type="dxa" w:w="3176"/>
          </w:tcPr>
          <w:p>
            <w:pPr>
              <w:spacing w:after="0"/>
            </w:pPr>
            <w:r/>
            <w:r>
              <w:rPr>
                <w:sz w:val="16"/>
              </w:rPr>
              <w:t>Fishing-village food security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sz w:val="16"/>
              </w:rPr>
              <w:t>83.8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496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5,925</w:t>
            </w:r>
          </w:p>
        </w:tc>
        <w:tc>
          <w:tcPr>
            <w:tcW w:type="dxa" w:w="1380"/>
          </w:tcPr>
          <w:p>
            <w:pPr>
              <w:spacing w:after="0"/>
            </w:pPr>
            <w:r/>
            <w:r>
              <w:rPr>
                <w:sz w:val="16"/>
              </w:rPr>
              <w:t>203.5</w:t>
            </w:r>
          </w:p>
        </w:tc>
      </w:tr>
      <w:tr>
        <w:tc>
          <w:tcPr>
            <w:tcW w:type="dxa" w:w="3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STEM university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71.0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484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6,814</w:t>
            </w:r>
          </w:p>
        </w:tc>
        <w:tc>
          <w:tcPr>
            <w:tcW w:type="dxa" w:w="13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12.1</w:t>
            </w:r>
          </w:p>
        </w:tc>
      </w:tr>
      <w:tr>
        <w:tc>
          <w:tcPr>
            <w:tcW w:type="dxa" w:w="3176"/>
          </w:tcPr>
          <w:p>
            <w:pPr>
              <w:spacing w:after="0"/>
            </w:pPr>
            <w:r/>
            <w:r>
              <w:rPr>
                <w:sz w:val="16"/>
              </w:rPr>
              <w:t>Biodiesel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sz w:val="16"/>
              </w:rPr>
              <w:t>75.4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434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5,759</w:t>
            </w:r>
          </w:p>
        </w:tc>
        <w:tc>
          <w:tcPr>
            <w:tcW w:type="dxa" w:w="1380"/>
          </w:tcPr>
          <w:p>
            <w:pPr>
              <w:spacing w:after="0"/>
            </w:pPr>
            <w:r/>
            <w:r>
              <w:rPr>
                <w:sz w:val="16"/>
              </w:rPr>
              <w:t>22.0</w:t>
            </w:r>
          </w:p>
        </w:tc>
      </w:tr>
      <w:tr>
        <w:tc>
          <w:tcPr>
            <w:tcW w:type="dxa" w:w="31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Al, Fe, Ni, Mn metals</w:t>
            </w:r>
          </w:p>
        </w:tc>
        <w:tc>
          <w:tcPr>
            <w:tcW w:type="dxa" w:w="10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73.3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283</w:t>
            </w:r>
          </w:p>
        </w:tc>
        <w:tc>
          <w:tcPr>
            <w:tcW w:type="dxa" w:w="15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3,856</w:t>
            </w:r>
          </w:p>
        </w:tc>
        <w:tc>
          <w:tcPr>
            <w:tcW w:type="dxa" w:w="138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26.7</w:t>
            </w:r>
          </w:p>
        </w:tc>
      </w:tr>
      <w:tr>
        <w:tc>
          <w:tcPr>
            <w:tcW w:type="dxa" w:w="3176"/>
          </w:tcPr>
          <w:p>
            <w:pPr>
              <w:spacing w:after="0"/>
            </w:pPr>
            <w:r/>
            <w:r>
              <w:rPr>
                <w:sz w:val="16"/>
              </w:rPr>
              <w:t>CPE (assumed petrochemical)</w:t>
            </w:r>
          </w:p>
        </w:tc>
        <w:tc>
          <w:tcPr>
            <w:tcW w:type="dxa" w:w="1095"/>
          </w:tcPr>
          <w:p>
            <w:pPr>
              <w:spacing w:after="0"/>
            </w:pPr>
            <w:r/>
            <w:r>
              <w:rPr>
                <w:sz w:val="16"/>
              </w:rPr>
              <w:t>Industry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sz w:val="16"/>
              </w:rPr>
              <w:t>71.2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275</w:t>
            </w:r>
          </w:p>
        </w:tc>
        <w:tc>
          <w:tcPr>
            <w:tcW w:type="dxa" w:w="1533"/>
          </w:tcPr>
          <w:p>
            <w:pPr>
              <w:spacing w:after="0"/>
            </w:pPr>
            <w:r/>
            <w:r>
              <w:rPr>
                <w:sz w:val="16"/>
              </w:rPr>
              <w:t>3,856</w:t>
            </w:r>
          </w:p>
        </w:tc>
        <w:tc>
          <w:tcPr>
            <w:tcW w:type="dxa" w:w="1380"/>
          </w:tcPr>
          <w:p>
            <w:pPr>
              <w:spacing w:after="0"/>
            </w:pPr>
            <w:r/>
            <w:r>
              <w:rPr>
                <w:sz w:val="16"/>
              </w:rPr>
              <w:t>8.7</w:t>
            </w:r>
          </w:p>
        </w:tc>
      </w:tr>
    </w:tbl>
    <w:p>
      <w:pPr>
        <w:spacing w:after="40"/>
      </w:pPr>
    </w:p>
    <w:p>
      <w:pPr>
        <w:pStyle w:val="Heading2"/>
      </w:pPr>
      <w:r>
        <w:t>Table 8.8. Jobs supported and open unemployment by year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709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Year</w:t>
            </w:r>
          </w:p>
        </w:tc>
        <w:tc>
          <w:tcPr>
            <w:tcW w:type="dxa" w:w="124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Direct (m)</w:t>
            </w:r>
          </w:p>
        </w:tc>
        <w:tc>
          <w:tcPr>
            <w:tcW w:type="dxa" w:w="148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Indirect (m)</w:t>
            </w:r>
          </w:p>
        </w:tc>
        <w:tc>
          <w:tcPr>
            <w:tcW w:type="dxa" w:w="136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Induced (m)</w:t>
            </w:r>
          </w:p>
        </w:tc>
        <w:tc>
          <w:tcPr>
            <w:tcW w:type="dxa" w:w="161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Permanent (m)</w:t>
            </w:r>
          </w:p>
        </w:tc>
        <w:tc>
          <w:tcPr>
            <w:tcW w:type="dxa" w:w="1116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Total (m)</w:t>
            </w:r>
          </w:p>
        </w:tc>
        <w:tc>
          <w:tcPr>
            <w:tcW w:type="dxa" w:w="210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Unemployment rate</w:t>
            </w:r>
          </w:p>
        </w:tc>
      </w:tr>
      <w:tr>
        <w:tc>
          <w:tcPr>
            <w:tcW w:type="dxa" w:w="709"/>
          </w:tcPr>
          <w:p>
            <w:pPr>
              <w:spacing w:after="0"/>
            </w:pPr>
            <w:r/>
            <w:r>
              <w:rPr>
                <w:sz w:val="15"/>
              </w:rPr>
              <w:t>2027</w:t>
            </w:r>
          </w:p>
        </w:tc>
        <w:tc>
          <w:tcPr>
            <w:tcW w:type="dxa" w:w="1240"/>
          </w:tcPr>
          <w:p>
            <w:pPr>
              <w:spacing w:after="0"/>
            </w:pPr>
            <w:r/>
            <w:r>
              <w:rPr>
                <w:sz w:val="15"/>
              </w:rPr>
              <w:t>0.84</w:t>
            </w:r>
          </w:p>
        </w:tc>
        <w:tc>
          <w:tcPr>
            <w:tcW w:type="dxa" w:w="1488"/>
          </w:tcPr>
          <w:p>
            <w:pPr>
              <w:spacing w:after="0"/>
            </w:pPr>
            <w:r/>
            <w:r>
              <w:rPr>
                <w:sz w:val="15"/>
              </w:rPr>
              <w:t>0.90</w:t>
            </w:r>
          </w:p>
        </w:tc>
        <w:tc>
          <w:tcPr>
            <w:tcW w:type="dxa" w:w="1364"/>
          </w:tcPr>
          <w:p>
            <w:pPr>
              <w:spacing w:after="0"/>
            </w:pPr>
            <w:r/>
            <w:r>
              <w:rPr>
                <w:sz w:val="15"/>
              </w:rPr>
              <w:t>0.61</w:t>
            </w:r>
          </w:p>
        </w:tc>
        <w:tc>
          <w:tcPr>
            <w:tcW w:type="dxa" w:w="1612"/>
          </w:tcPr>
          <w:p>
            <w:pPr>
              <w:spacing w:after="0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1116"/>
          </w:tcPr>
          <w:p>
            <w:pPr>
              <w:spacing w:after="0"/>
            </w:pPr>
            <w:r/>
            <w:r>
              <w:rPr>
                <w:sz w:val="15"/>
              </w:rPr>
              <w:t>2.35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sz w:val="15"/>
              </w:rPr>
              <w:t>4.08%</w:t>
            </w:r>
          </w:p>
        </w:tc>
      </w:tr>
      <w:tr>
        <w:tc>
          <w:tcPr>
            <w:tcW w:type="dxa" w:w="70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2028</w:t>
            </w:r>
          </w:p>
        </w:tc>
        <w:tc>
          <w:tcPr>
            <w:tcW w:type="dxa" w:w="124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1.46</w:t>
            </w:r>
          </w:p>
        </w:tc>
        <w:tc>
          <w:tcPr>
            <w:tcW w:type="dxa" w:w="148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1.44</w:t>
            </w:r>
          </w:p>
        </w:tc>
        <w:tc>
          <w:tcPr>
            <w:tcW w:type="dxa" w:w="1364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1.01</w:t>
            </w:r>
          </w:p>
        </w:tc>
        <w:tc>
          <w:tcPr>
            <w:tcW w:type="dxa" w:w="1612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1116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3.91</w:t>
            </w:r>
          </w:p>
        </w:tc>
        <w:tc>
          <w:tcPr>
            <w:tcW w:type="dxa" w:w="210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3.69%</w:t>
            </w:r>
          </w:p>
        </w:tc>
      </w:tr>
      <w:tr>
        <w:tc>
          <w:tcPr>
            <w:tcW w:type="dxa" w:w="709"/>
          </w:tcPr>
          <w:p>
            <w:pPr>
              <w:spacing w:after="0"/>
            </w:pPr>
            <w:r/>
            <w:r>
              <w:rPr>
                <w:sz w:val="15"/>
              </w:rPr>
              <w:t>2029</w:t>
            </w:r>
          </w:p>
        </w:tc>
        <w:tc>
          <w:tcPr>
            <w:tcW w:type="dxa" w:w="1240"/>
          </w:tcPr>
          <w:p>
            <w:pPr>
              <w:spacing w:after="0"/>
            </w:pPr>
            <w:r/>
            <w:r>
              <w:rPr>
                <w:sz w:val="15"/>
              </w:rPr>
              <w:t>1.49</w:t>
            </w:r>
          </w:p>
        </w:tc>
        <w:tc>
          <w:tcPr>
            <w:tcW w:type="dxa" w:w="1488"/>
          </w:tcPr>
          <w:p>
            <w:pPr>
              <w:spacing w:after="0"/>
            </w:pPr>
            <w:r/>
            <w:r>
              <w:rPr>
                <w:sz w:val="15"/>
              </w:rPr>
              <w:t>1.48</w:t>
            </w:r>
          </w:p>
        </w:tc>
        <w:tc>
          <w:tcPr>
            <w:tcW w:type="dxa" w:w="1364"/>
          </w:tcPr>
          <w:p>
            <w:pPr>
              <w:spacing w:after="0"/>
            </w:pPr>
            <w:r/>
            <w:r>
              <w:rPr>
                <w:sz w:val="15"/>
              </w:rPr>
              <w:t>1.04</w:t>
            </w:r>
          </w:p>
        </w:tc>
        <w:tc>
          <w:tcPr>
            <w:tcW w:type="dxa" w:w="1612"/>
          </w:tcPr>
          <w:p>
            <w:pPr>
              <w:spacing w:after="0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1116"/>
          </w:tcPr>
          <w:p>
            <w:pPr>
              <w:spacing w:after="0"/>
            </w:pPr>
            <w:r/>
            <w:r>
              <w:rPr>
                <w:sz w:val="15"/>
              </w:rPr>
              <w:t>4.01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sz w:val="15"/>
              </w:rPr>
              <w:t>3.68%</w:t>
            </w:r>
          </w:p>
        </w:tc>
      </w:tr>
      <w:tr>
        <w:tc>
          <w:tcPr>
            <w:tcW w:type="dxa" w:w="70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2030</w:t>
            </w:r>
          </w:p>
        </w:tc>
        <w:tc>
          <w:tcPr>
            <w:tcW w:type="dxa" w:w="124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1.47</w:t>
            </w:r>
          </w:p>
        </w:tc>
        <w:tc>
          <w:tcPr>
            <w:tcW w:type="dxa" w:w="148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1.46</w:t>
            </w:r>
          </w:p>
        </w:tc>
        <w:tc>
          <w:tcPr>
            <w:tcW w:type="dxa" w:w="1364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1.03</w:t>
            </w:r>
          </w:p>
        </w:tc>
        <w:tc>
          <w:tcPr>
            <w:tcW w:type="dxa" w:w="1612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0.02</w:t>
            </w:r>
          </w:p>
        </w:tc>
        <w:tc>
          <w:tcPr>
            <w:tcW w:type="dxa" w:w="1116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3.99</w:t>
            </w:r>
          </w:p>
        </w:tc>
        <w:tc>
          <w:tcPr>
            <w:tcW w:type="dxa" w:w="210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3.69%</w:t>
            </w:r>
          </w:p>
        </w:tc>
      </w:tr>
      <w:tr>
        <w:tc>
          <w:tcPr>
            <w:tcW w:type="dxa" w:w="709"/>
          </w:tcPr>
          <w:p>
            <w:pPr>
              <w:spacing w:after="0"/>
            </w:pPr>
            <w:r/>
            <w:r>
              <w:rPr>
                <w:sz w:val="15"/>
              </w:rPr>
              <w:t>2031</w:t>
            </w:r>
          </w:p>
        </w:tc>
        <w:tc>
          <w:tcPr>
            <w:tcW w:type="dxa" w:w="1240"/>
          </w:tcPr>
          <w:p>
            <w:pPr>
              <w:spacing w:after="0"/>
            </w:pPr>
            <w:r/>
            <w:r>
              <w:rPr>
                <w:sz w:val="15"/>
              </w:rPr>
              <w:t>1.36</w:t>
            </w:r>
          </w:p>
        </w:tc>
        <w:tc>
          <w:tcPr>
            <w:tcW w:type="dxa" w:w="1488"/>
          </w:tcPr>
          <w:p>
            <w:pPr>
              <w:spacing w:after="0"/>
            </w:pPr>
            <w:r/>
            <w:r>
              <w:rPr>
                <w:sz w:val="15"/>
              </w:rPr>
              <w:t>1.33</w:t>
            </w:r>
          </w:p>
        </w:tc>
        <w:tc>
          <w:tcPr>
            <w:tcW w:type="dxa" w:w="1364"/>
          </w:tcPr>
          <w:p>
            <w:pPr>
              <w:spacing w:after="0"/>
            </w:pPr>
            <w:r/>
            <w:r>
              <w:rPr>
                <w:sz w:val="15"/>
              </w:rPr>
              <w:t>0.94</w:t>
            </w:r>
          </w:p>
        </w:tc>
        <w:tc>
          <w:tcPr>
            <w:tcW w:type="dxa" w:w="1612"/>
          </w:tcPr>
          <w:p>
            <w:pPr>
              <w:spacing w:after="0"/>
            </w:pPr>
            <w:r/>
            <w:r>
              <w:rPr>
                <w:sz w:val="15"/>
              </w:rPr>
              <w:t>0.10</w:t>
            </w:r>
          </w:p>
        </w:tc>
        <w:tc>
          <w:tcPr>
            <w:tcW w:type="dxa" w:w="1116"/>
          </w:tcPr>
          <w:p>
            <w:pPr>
              <w:spacing w:after="0"/>
            </w:pPr>
            <w:r/>
            <w:r>
              <w:rPr>
                <w:sz w:val="15"/>
              </w:rPr>
              <w:t>3.73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sz w:val="15"/>
              </w:rPr>
              <w:t>3.77%</w:t>
            </w:r>
          </w:p>
        </w:tc>
      </w:tr>
      <w:tr>
        <w:tc>
          <w:tcPr>
            <w:tcW w:type="dxa" w:w="70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2032</w:t>
            </w:r>
          </w:p>
        </w:tc>
        <w:tc>
          <w:tcPr>
            <w:tcW w:type="dxa" w:w="124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0.66</w:t>
            </w:r>
          </w:p>
        </w:tc>
        <w:tc>
          <w:tcPr>
            <w:tcW w:type="dxa" w:w="148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0.70</w:t>
            </w:r>
          </w:p>
        </w:tc>
        <w:tc>
          <w:tcPr>
            <w:tcW w:type="dxa" w:w="1364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0.47</w:t>
            </w:r>
          </w:p>
        </w:tc>
        <w:tc>
          <w:tcPr>
            <w:tcW w:type="dxa" w:w="1612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0.89</w:t>
            </w:r>
          </w:p>
        </w:tc>
        <w:tc>
          <w:tcPr>
            <w:tcW w:type="dxa" w:w="1116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2.72</w:t>
            </w:r>
          </w:p>
        </w:tc>
        <w:tc>
          <w:tcPr>
            <w:tcW w:type="dxa" w:w="210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4.02%</w:t>
            </w:r>
          </w:p>
        </w:tc>
      </w:tr>
      <w:tr>
        <w:tc>
          <w:tcPr>
            <w:tcW w:type="dxa" w:w="709"/>
          </w:tcPr>
          <w:p>
            <w:pPr>
              <w:spacing w:after="0"/>
            </w:pPr>
            <w:r/>
            <w:r>
              <w:rPr>
                <w:sz w:val="15"/>
              </w:rPr>
              <w:t>2033</w:t>
            </w:r>
          </w:p>
        </w:tc>
        <w:tc>
          <w:tcPr>
            <w:tcW w:type="dxa" w:w="1240"/>
          </w:tcPr>
          <w:p>
            <w:pPr>
              <w:spacing w:after="0"/>
            </w:pPr>
            <w:r/>
            <w:r>
              <w:rPr>
                <w:sz w:val="15"/>
              </w:rPr>
              <w:t>0.50</w:t>
            </w:r>
          </w:p>
        </w:tc>
        <w:tc>
          <w:tcPr>
            <w:tcW w:type="dxa" w:w="1488"/>
          </w:tcPr>
          <w:p>
            <w:pPr>
              <w:spacing w:after="0"/>
            </w:pPr>
            <w:r/>
            <w:r>
              <w:rPr>
                <w:sz w:val="15"/>
              </w:rPr>
              <w:t>0.53</w:t>
            </w:r>
          </w:p>
        </w:tc>
        <w:tc>
          <w:tcPr>
            <w:tcW w:type="dxa" w:w="1364"/>
          </w:tcPr>
          <w:p>
            <w:pPr>
              <w:spacing w:after="0"/>
            </w:pPr>
            <w:r/>
            <w:r>
              <w:rPr>
                <w:sz w:val="15"/>
              </w:rPr>
              <w:t>0.36</w:t>
            </w:r>
          </w:p>
        </w:tc>
        <w:tc>
          <w:tcPr>
            <w:tcW w:type="dxa" w:w="1612"/>
          </w:tcPr>
          <w:p>
            <w:pPr>
              <w:spacing w:after="0"/>
            </w:pPr>
            <w:r/>
            <w:r>
              <w:rPr>
                <w:sz w:val="15"/>
              </w:rPr>
              <w:t>1.03</w:t>
            </w:r>
          </w:p>
        </w:tc>
        <w:tc>
          <w:tcPr>
            <w:tcW w:type="dxa" w:w="1116"/>
          </w:tcPr>
          <w:p>
            <w:pPr>
              <w:spacing w:after="0"/>
            </w:pPr>
            <w:r/>
            <w:r>
              <w:rPr>
                <w:sz w:val="15"/>
              </w:rPr>
              <w:t>2.42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sz w:val="15"/>
              </w:rPr>
              <w:t>4.10%</w:t>
            </w:r>
          </w:p>
        </w:tc>
      </w:tr>
      <w:tr>
        <w:tc>
          <w:tcPr>
            <w:tcW w:type="dxa" w:w="70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2034</w:t>
            </w:r>
          </w:p>
        </w:tc>
        <w:tc>
          <w:tcPr>
            <w:tcW w:type="dxa" w:w="124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0.50</w:t>
            </w:r>
          </w:p>
        </w:tc>
        <w:tc>
          <w:tcPr>
            <w:tcW w:type="dxa" w:w="148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0.53</w:t>
            </w:r>
          </w:p>
        </w:tc>
        <w:tc>
          <w:tcPr>
            <w:tcW w:type="dxa" w:w="1364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0.36</w:t>
            </w:r>
          </w:p>
        </w:tc>
        <w:tc>
          <w:tcPr>
            <w:tcW w:type="dxa" w:w="1612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1.03</w:t>
            </w:r>
          </w:p>
        </w:tc>
        <w:tc>
          <w:tcPr>
            <w:tcW w:type="dxa" w:w="1116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2.42</w:t>
            </w:r>
          </w:p>
        </w:tc>
        <w:tc>
          <w:tcPr>
            <w:tcW w:type="dxa" w:w="210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4.11%</w:t>
            </w:r>
          </w:p>
        </w:tc>
      </w:tr>
      <w:tr>
        <w:tc>
          <w:tcPr>
            <w:tcW w:type="dxa" w:w="709"/>
          </w:tcPr>
          <w:p>
            <w:pPr>
              <w:spacing w:after="0"/>
            </w:pPr>
            <w:r/>
            <w:r>
              <w:rPr>
                <w:sz w:val="15"/>
              </w:rPr>
              <w:t>2035</w:t>
            </w:r>
          </w:p>
        </w:tc>
        <w:tc>
          <w:tcPr>
            <w:tcW w:type="dxa" w:w="1240"/>
          </w:tcPr>
          <w:p>
            <w:pPr>
              <w:spacing w:after="0"/>
            </w:pPr>
            <w:r/>
            <w:r>
              <w:rPr>
                <w:sz w:val="15"/>
              </w:rPr>
              <w:t>0.21</w:t>
            </w:r>
          </w:p>
        </w:tc>
        <w:tc>
          <w:tcPr>
            <w:tcW w:type="dxa" w:w="1488"/>
          </w:tcPr>
          <w:p>
            <w:pPr>
              <w:spacing w:after="0"/>
            </w:pPr>
            <w:r/>
            <w:r>
              <w:rPr>
                <w:sz w:val="15"/>
              </w:rPr>
              <w:t>0.17</w:t>
            </w:r>
          </w:p>
        </w:tc>
        <w:tc>
          <w:tcPr>
            <w:tcW w:type="dxa" w:w="1364"/>
          </w:tcPr>
          <w:p>
            <w:pPr>
              <w:spacing w:after="0"/>
            </w:pPr>
            <w:r/>
            <w:r>
              <w:rPr>
                <w:sz w:val="15"/>
              </w:rPr>
              <w:t>0.13</w:t>
            </w:r>
          </w:p>
        </w:tc>
        <w:tc>
          <w:tcPr>
            <w:tcW w:type="dxa" w:w="1612"/>
          </w:tcPr>
          <w:p>
            <w:pPr>
              <w:spacing w:after="0"/>
            </w:pPr>
            <w:r/>
            <w:r>
              <w:rPr>
                <w:sz w:val="15"/>
              </w:rPr>
              <w:t>1.34</w:t>
            </w:r>
          </w:p>
        </w:tc>
        <w:tc>
          <w:tcPr>
            <w:tcW w:type="dxa" w:w="1116"/>
          </w:tcPr>
          <w:p>
            <w:pPr>
              <w:spacing w:after="0"/>
            </w:pPr>
            <w:r/>
            <w:r>
              <w:rPr>
                <w:sz w:val="15"/>
              </w:rPr>
              <w:t>1.85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sz w:val="15"/>
              </w:rPr>
              <w:t>4.24%</w:t>
            </w:r>
          </w:p>
        </w:tc>
      </w:tr>
      <w:tr>
        <w:tc>
          <w:tcPr>
            <w:tcW w:type="dxa" w:w="709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2040</w:t>
            </w:r>
          </w:p>
        </w:tc>
        <w:tc>
          <w:tcPr>
            <w:tcW w:type="dxa" w:w="1240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0.21</w:t>
            </w:r>
          </w:p>
        </w:tc>
        <w:tc>
          <w:tcPr>
            <w:tcW w:type="dxa" w:w="148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0.17</w:t>
            </w:r>
          </w:p>
        </w:tc>
        <w:tc>
          <w:tcPr>
            <w:tcW w:type="dxa" w:w="1364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0.13</w:t>
            </w:r>
          </w:p>
        </w:tc>
        <w:tc>
          <w:tcPr>
            <w:tcW w:type="dxa" w:w="1612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1.34</w:t>
            </w:r>
          </w:p>
        </w:tc>
        <w:tc>
          <w:tcPr>
            <w:tcW w:type="dxa" w:w="1116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1.85</w:t>
            </w:r>
          </w:p>
        </w:tc>
        <w:tc>
          <w:tcPr>
            <w:tcW w:type="dxa" w:w="2108"/>
            <w:shd w:val="clear" w:color="auto" w:fill="EEF2F8"/>
          </w:tcPr>
          <w:p>
            <w:pPr>
              <w:spacing w:after="0"/>
            </w:pPr>
            <w:r/>
            <w:r>
              <w:rPr>
                <w:sz w:val="15"/>
              </w:rPr>
              <w:t>4.27%</w:t>
            </w:r>
          </w:p>
        </w:tc>
      </w:tr>
    </w:tbl>
    <w:p>
      <w:pPr>
        <w:spacing w:after="40"/>
      </w:pPr>
    </w:p>
    <w:p>
      <w:pPr>
        <w:pStyle w:val="Heading2"/>
      </w:pPr>
      <w:r>
        <w:t>Table 8.9. The consumption loop at the 2029 peak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3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31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39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Basis</w:t>
            </w:r>
          </w:p>
        </w:tc>
      </w:tr>
      <w:tr>
        <w:tc>
          <w:tcPr>
            <w:tcW w:type="dxa" w:w="2930"/>
          </w:tcPr>
          <w:p>
            <w:pPr>
              <w:spacing w:after="0"/>
            </w:pPr>
            <w:r/>
            <w:r>
              <w:rPr>
                <w:sz w:val="16"/>
              </w:rPr>
              <w:t>On-site and supplier jobs</w:t>
            </w:r>
          </w:p>
        </w:tc>
        <w:tc>
          <w:tcPr>
            <w:tcW w:type="dxa" w:w="2313"/>
          </w:tcPr>
          <w:p>
            <w:pPr>
              <w:spacing w:after="0"/>
            </w:pPr>
            <w:r/>
            <w:r>
              <w:rPr>
                <w:sz w:val="16"/>
              </w:rPr>
              <w:t>about 3.0 million</w:t>
            </w:r>
          </w:p>
        </w:tc>
        <w:tc>
          <w:tcPr>
            <w:tcW w:type="dxa" w:w="4395"/>
          </w:tcPr>
          <w:p>
            <w:pPr>
              <w:spacing w:after="0"/>
            </w:pPr>
            <w:r/>
            <w:r>
              <w:rPr>
                <w:sz w:val="16"/>
              </w:rPr>
              <w:t>Table 8.8</w:t>
            </w:r>
          </w:p>
        </w:tc>
      </w:tr>
      <w:tr>
        <w:tc>
          <w:tcPr>
            <w:tcW w:type="dxa" w:w="29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Wage income a year</w:t>
            </w:r>
          </w:p>
        </w:tc>
        <w:tc>
          <w:tcPr>
            <w:tcW w:type="dxa" w:w="23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about Rp 119 T</w:t>
            </w:r>
          </w:p>
        </w:tc>
        <w:tc>
          <w:tcPr>
            <w:tcW w:type="dxa" w:w="43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BPS average wage Rp 3.33 million a month (Aug 2025)</w:t>
            </w:r>
          </w:p>
        </w:tc>
      </w:tr>
      <w:tr>
        <w:tc>
          <w:tcPr>
            <w:tcW w:type="dxa" w:w="2930"/>
          </w:tcPr>
          <w:p>
            <w:pPr>
              <w:spacing w:after="0"/>
            </w:pPr>
            <w:r/>
            <w:r>
              <w:rPr>
                <w:sz w:val="16"/>
              </w:rPr>
              <w:t>Genuinely new household income</w:t>
            </w:r>
          </w:p>
        </w:tc>
        <w:tc>
          <w:tcPr>
            <w:tcW w:type="dxa" w:w="2313"/>
          </w:tcPr>
          <w:p>
            <w:pPr>
              <w:spacing w:after="0"/>
            </w:pPr>
            <w:r/>
            <w:r>
              <w:rPr>
                <w:sz w:val="16"/>
              </w:rPr>
              <w:t>Rp 59–95 T</w:t>
            </w:r>
          </w:p>
        </w:tc>
        <w:tc>
          <w:tcPr>
            <w:tcW w:type="dxa" w:w="4395"/>
          </w:tcPr>
          <w:p>
            <w:pPr>
              <w:spacing w:after="0"/>
            </w:pPr>
            <w:r/>
            <w:r>
              <w:rPr>
                <w:sz w:val="16"/>
              </w:rPr>
              <w:t>50–80% of wages; the rest replaces other, lower-paid work</w:t>
            </w:r>
          </w:p>
        </w:tc>
      </w:tr>
      <w:tr>
        <w:tc>
          <w:tcPr>
            <w:tcW w:type="dxa" w:w="293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Extra consumption</w:t>
            </w:r>
          </w:p>
        </w:tc>
        <w:tc>
          <w:tcPr>
            <w:tcW w:type="dxa" w:w="231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45–81 T (0.15–0.28% of GDP)</w:t>
            </w:r>
          </w:p>
        </w:tc>
        <w:tc>
          <w:tcPr>
            <w:tcW w:type="dxa" w:w="439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Spending 75–85% of extra income</w:t>
            </w:r>
          </w:p>
        </w:tc>
      </w:tr>
      <w:tr>
        <w:tc>
          <w:tcPr>
            <w:tcW w:type="dxa" w:w="293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Total lift to GDP after further rounds</w:t>
            </w:r>
          </w:p>
        </w:tc>
        <w:tc>
          <w:tcPr>
            <w:tcW w:type="dxa" w:w="231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about 0.3–0.6% of GDP</w:t>
            </w:r>
          </w:p>
        </w:tc>
        <w:tc>
          <w:tcPr>
            <w:tcW w:type="dxa" w:w="439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After imports and taxes</w:t>
            </w:r>
          </w:p>
        </w:tc>
      </w:tr>
    </w:tbl>
    <w:p>
      <w:pPr>
        <w:spacing w:after="40"/>
      </w:pPr>
    </w:p>
    <w:p>
      <w:pPr>
        <w:pStyle w:val="Heading2"/>
      </w:pPr>
      <w:r>
        <w:t>Table 9.1. Due-diligence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04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60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Rp T (equity)</w:t>
            </w:r>
          </w:p>
        </w:tc>
        <w:tc>
          <w:tcPr>
            <w:tcW w:type="dxa" w:w="328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Key finding</w:t>
            </w:r>
          </w:p>
        </w:tc>
        <w:tc>
          <w:tcPr>
            <w:tcW w:type="dxa" w:w="14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328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Recommended redesign</w:t>
            </w:r>
          </w:p>
        </w:tc>
      </w:tr>
      <w:tr>
        <w:tc>
          <w:tcPr>
            <w:tcW w:type="dxa" w:w="1040"/>
          </w:tcPr>
          <w:p>
            <w:pPr>
              <w:spacing w:after="0"/>
            </w:pPr>
            <w:r/>
            <w:r>
              <w:rPr>
                <w:sz w:val="16"/>
              </w:rPr>
              <w:t>Textile ecosystem</w:t>
            </w:r>
          </w:p>
        </w:tc>
        <w:tc>
          <w:tcPr>
            <w:tcW w:type="dxa" w:w="602"/>
          </w:tcPr>
          <w:p>
            <w:pPr>
              <w:spacing w:after="0"/>
            </w:pPr>
            <w:r/>
            <w:r>
              <w:rPr>
                <w:sz w:val="16"/>
              </w:rPr>
              <w:t>89.0 (18.7)</w:t>
            </w:r>
          </w:p>
        </w:tc>
        <w:tc>
          <w:tcPr>
            <w:tcW w:type="dxa" w:w="3286"/>
          </w:tcPr>
          <w:p>
            <w:pPr>
              <w:spacing w:after="0"/>
            </w:pPr>
            <w:r/>
            <w:r>
              <w:rPr>
                <w:sz w:val="16"/>
              </w:rPr>
              <w:t>Binding constraint is demand and import competition, not capacity; mills at 30–50% utilisation; cotton almost fully imported</w:t>
            </w:r>
          </w:p>
        </w:tc>
        <w:tc>
          <w:tcPr>
            <w:tcW w:type="dxa" w:w="1424"/>
          </w:tcPr>
          <w:p>
            <w:pPr>
              <w:spacing w:after="0"/>
            </w:pPr>
            <w:r/>
            <w:r>
              <w:rPr>
                <w:sz w:val="16"/>
              </w:rPr>
              <w:t>Restructure, don't build</w:t>
            </w:r>
          </w:p>
        </w:tc>
        <w:tc>
          <w:tcPr>
            <w:tcW w:type="dxa" w:w="3286"/>
          </w:tcPr>
          <w:p>
            <w:pPr>
              <w:spacing w:after="0"/>
            </w:pPr>
            <w:r/>
            <w:r>
              <w:rPr>
                <w:sz w:val="16"/>
              </w:rPr>
              <w:t>Acquire and modernise distressed assets; viscose-based fabric; tranches tied to utilisation and trade enforcement</w:t>
            </w:r>
          </w:p>
        </w:tc>
      </w:tr>
      <w:tr>
        <w:tc>
          <w:tcPr>
            <w:tcW w:type="dxa" w:w="104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Biosimilar &amp; pharma</w:t>
            </w:r>
          </w:p>
        </w:tc>
        <w:tc>
          <w:tcPr>
            <w:tcW w:type="dxa" w:w="6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8.9 (1.9)</w:t>
            </w:r>
          </w:p>
        </w:tc>
        <w:tc>
          <w:tcPr>
            <w:tcW w:type="dxa" w:w="328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70–90% of APIs imported; three domestic EPO producers already; few trials; local manufacturing rule favours JVs</w:t>
            </w:r>
          </w:p>
        </w:tc>
        <w:tc>
          <w:tcPr>
            <w:tcW w:type="dxa" w:w="14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Conditional</w:t>
            </w:r>
          </w:p>
        </w:tc>
        <w:tc>
          <w:tcPr>
            <w:tcW w:type="dxa" w:w="328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Monoclonal antibodies and insulin with a technology partner; priority APIs; clinical-trial capacity via INA-CRC</w:t>
            </w:r>
          </w:p>
        </w:tc>
      </w:tr>
      <w:tr>
        <w:tc>
          <w:tcPr>
            <w:tcW w:type="dxa" w:w="1040"/>
          </w:tcPr>
          <w:p>
            <w:pPr>
              <w:spacing w:after="0"/>
            </w:pPr>
            <w:r/>
            <w:r>
              <w:rPr>
                <w:sz w:val="16"/>
              </w:rPr>
              <w:t>Semiconductors</w:t>
            </w:r>
          </w:p>
        </w:tc>
        <w:tc>
          <w:tcPr>
            <w:tcW w:type="dxa" w:w="602"/>
          </w:tcPr>
          <w:p>
            <w:pPr>
              <w:spacing w:after="0"/>
            </w:pPr>
            <w:r/>
            <w:r>
              <w:rPr>
                <w:sz w:val="16"/>
              </w:rPr>
              <w:t>15.0 (3.1)</w:t>
            </w:r>
          </w:p>
        </w:tc>
        <w:tc>
          <w:tcPr>
            <w:tcW w:type="dxa" w:w="3286"/>
          </w:tcPr>
          <w:p>
            <w:pPr>
              <w:spacing w:after="0"/>
            </w:pPr>
            <w:r/>
            <w:r>
              <w:rPr>
                <w:sz w:val="16"/>
              </w:rPr>
              <w:t>Domestic demand about US$5bn and fragmented; Rp 15 T (about US$0.8bn) cannot build a fab; OSAT model proven in Batam</w:t>
            </w:r>
          </w:p>
        </w:tc>
        <w:tc>
          <w:tcPr>
            <w:tcW w:type="dxa" w:w="1424"/>
          </w:tcPr>
          <w:p>
            <w:pPr>
              <w:spacing w:after="0"/>
            </w:pPr>
            <w:r/>
            <w:r>
              <w:rPr>
                <w:sz w:val="16"/>
              </w:rPr>
              <w:t>Redesign</w:t>
            </w:r>
          </w:p>
        </w:tc>
        <w:tc>
          <w:tcPr>
            <w:tcW w:type="dxa" w:w="3286"/>
          </w:tcPr>
          <w:p>
            <w:pPr>
              <w:spacing w:after="0"/>
            </w:pPr>
            <w:r/>
            <w:r>
              <w:rPr>
                <w:sz w:val="16"/>
              </w:rPr>
              <w:t>OSAT and power devices with an anchor offtaker; silica materials; chip-design talent; no front-end fab</w:t>
            </w:r>
          </w:p>
        </w:tc>
      </w:tr>
      <w:tr>
        <w:tc>
          <w:tcPr>
            <w:tcW w:type="dxa" w:w="104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E-commerce</w:t>
            </w:r>
          </w:p>
        </w:tc>
        <w:tc>
          <w:tcPr>
            <w:tcW w:type="dxa" w:w="60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1.0 (0.2)</w:t>
            </w:r>
          </w:p>
        </w:tc>
        <w:tc>
          <w:tcPr>
            <w:tcW w:type="dxa" w:w="328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Two platforms hold about 92% of GMV; Bukalapak and Blanja exited; state platforms survive only where the state is the buyer</w:t>
            </w:r>
          </w:p>
        </w:tc>
        <w:tc>
          <w:tcPr>
            <w:tcW w:type="dxa" w:w="142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High death-on-arrival risk</w:t>
            </w:r>
          </w:p>
        </w:tc>
        <w:tc>
          <w:tcPr>
            <w:tcW w:type="dxa" w:w="328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B2G/B2B platform for MSMEs: consolidate PaDi UMKM and e-Katalog; supply-chain finance; export aggregation</w:t>
            </w:r>
          </w:p>
        </w:tc>
      </w:tr>
    </w:tbl>
    <w:p>
      <w:pPr>
        <w:spacing w:after="40"/>
      </w:pPr>
    </w:p>
    <w:p>
      <w:pPr>
        <w:pStyle w:val="Heading2"/>
      </w:pPr>
      <w:r>
        <w:t>Table 10.1. Scenario results (Rp trillion, constant 2026 prices)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47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83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Fund assets 2035</w:t>
            </w:r>
          </w:p>
        </w:tc>
        <w:tc>
          <w:tcPr>
            <w:tcW w:type="dxa" w:w="83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Fund assets 2050</w:t>
            </w:r>
          </w:p>
        </w:tc>
        <w:tc>
          <w:tcPr>
            <w:tcW w:type="dxa" w:w="140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Development equity deployed</w:t>
            </w:r>
          </w:p>
        </w:tc>
        <w:tc>
          <w:tcPr>
            <w:tcW w:type="dxa" w:w="104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 mobilised</w:t>
            </w:r>
          </w:p>
        </w:tc>
        <w:tc>
          <w:tcPr>
            <w:tcW w:type="dxa" w:w="104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Budget draws 2027–35</w:t>
            </w:r>
          </w:p>
        </w:tc>
      </w:tr>
      <w:tr>
        <w:tc>
          <w:tcPr>
            <w:tcW w:type="dxa" w:w="4472"/>
          </w:tcPr>
          <w:p>
            <w:pPr>
              <w:spacing w:after="0"/>
            </w:pPr>
            <w:r/>
            <w:r>
              <w:rPr>
                <w:sz w:val="16"/>
              </w:rPr>
              <w:t>Saving only (25% to future window)</w:t>
            </w:r>
          </w:p>
        </w:tc>
        <w:tc>
          <w:tcPr>
            <w:tcW w:type="dxa" w:w="835"/>
          </w:tcPr>
          <w:p>
            <w:pPr>
              <w:spacing w:after="0"/>
            </w:pPr>
            <w:r/>
            <w:r>
              <w:rPr>
                <w:sz w:val="16"/>
              </w:rPr>
              <w:t>567</w:t>
            </w:r>
          </w:p>
        </w:tc>
        <w:tc>
          <w:tcPr>
            <w:tcW w:type="dxa" w:w="835"/>
          </w:tcPr>
          <w:p>
            <w:pPr>
              <w:spacing w:after="0"/>
            </w:pPr>
            <w:r/>
            <w:r>
              <w:rPr>
                <w:sz w:val="16"/>
              </w:rPr>
              <w:t>1,438</w:t>
            </w:r>
          </w:p>
        </w:tc>
        <w:tc>
          <w:tcPr>
            <w:tcW w:type="dxa" w:w="1409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68</w:t>
            </w:r>
          </w:p>
        </w:tc>
      </w:tr>
      <w:tr>
        <w:tc>
          <w:tcPr>
            <w:tcW w:type="dxa" w:w="44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Aggressive (30%; 60/30/0 split; 5% loan)</w:t>
            </w:r>
          </w:p>
        </w:tc>
        <w:tc>
          <w:tcPr>
            <w:tcW w:type="dxa" w:w="8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685</w:t>
            </w:r>
          </w:p>
        </w:tc>
        <w:tc>
          <w:tcPr>
            <w:tcW w:type="dxa" w:w="8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1,845</w:t>
            </w:r>
          </w:p>
        </w:tc>
        <w:tc>
          <w:tcPr>
            <w:tcW w:type="dxa" w:w="140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428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2,039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32</w:t>
            </w:r>
          </w:p>
        </w:tc>
      </w:tr>
      <w:tr>
        <w:tc>
          <w:tcPr>
            <w:tcW w:type="dxa" w:w="4472"/>
          </w:tcPr>
          <w:p>
            <w:pPr>
              <w:spacing w:after="0"/>
            </w:pPr>
            <w:r/>
            <w:r>
              <w:rPr>
                <w:sz w:val="16"/>
              </w:rPr>
              <w:t>Aggressive at 25% contribution</w:t>
            </w:r>
          </w:p>
        </w:tc>
        <w:tc>
          <w:tcPr>
            <w:tcW w:type="dxa" w:w="835"/>
          </w:tcPr>
          <w:p>
            <w:pPr>
              <w:spacing w:after="0"/>
            </w:pPr>
            <w:r/>
            <w:r>
              <w:rPr>
                <w:sz w:val="16"/>
              </w:rPr>
              <w:t>570</w:t>
            </w:r>
          </w:p>
        </w:tc>
        <w:tc>
          <w:tcPr>
            <w:tcW w:type="dxa" w:w="835"/>
          </w:tcPr>
          <w:p>
            <w:pPr>
              <w:spacing w:after="0"/>
            </w:pPr>
            <w:r/>
            <w:r>
              <w:rPr>
                <w:sz w:val="16"/>
              </w:rPr>
              <w:t>1,537</w:t>
            </w:r>
          </w:p>
        </w:tc>
        <w:tc>
          <w:tcPr>
            <w:tcW w:type="dxa" w:w="1409"/>
          </w:tcPr>
          <w:p>
            <w:pPr>
              <w:spacing w:after="0"/>
            </w:pPr>
            <w:r/>
            <w:r>
              <w:rPr>
                <w:sz w:val="16"/>
              </w:rPr>
              <w:t>357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1,698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26</w:t>
            </w:r>
          </w:p>
        </w:tc>
      </w:tr>
      <w:tr>
        <w:tc>
          <w:tcPr>
            <w:tcW w:type="dxa" w:w="44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Stress: aggressive, half of development equity lost, 1.5% yield</w:t>
            </w:r>
          </w:p>
        </w:tc>
        <w:tc>
          <w:tcPr>
            <w:tcW w:type="dxa" w:w="8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670</w:t>
            </w:r>
          </w:p>
        </w:tc>
        <w:tc>
          <w:tcPr>
            <w:tcW w:type="dxa" w:w="83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1,507</w:t>
            </w:r>
          </w:p>
        </w:tc>
        <w:tc>
          <w:tcPr>
            <w:tcW w:type="dxa" w:w="140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428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2,037</w:t>
            </w:r>
          </w:p>
        </w:tc>
        <w:tc>
          <w:tcPr>
            <w:tcW w:type="dxa" w:w="104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31</w:t>
            </w:r>
          </w:p>
        </w:tc>
      </w:tr>
    </w:tbl>
    <w:p>
      <w:pPr>
        <w:spacing w:after="40"/>
      </w:pPr>
    </w:p>
    <w:p>
      <w:pPr>
        <w:pStyle w:val="Heading2"/>
      </w:pPr>
      <w:r>
        <w:t>Table 10.2. Sources of money for the pipeline, 2027–2034 (Rp trillion)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7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Current rule (save 30%, 60% to development)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Maximised (save 40%, 80% to development)</w:t>
            </w:r>
          </w:p>
        </w:tc>
        <w:tc>
          <w:tcPr>
            <w:tcW w:type="dxa" w:w="328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Basis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6"/>
              </w:rPr>
              <w:t>Development window (share of resource PNBP)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398</w:t>
            </w:r>
          </w:p>
        </w:tc>
        <w:tc>
          <w:tcPr>
            <w:tcW w:type="dxa" w:w="1559"/>
          </w:tcPr>
          <w:p>
            <w:pPr>
              <w:spacing w:after="0"/>
            </w:pPr>
            <w:r/>
            <w:r>
              <w:rPr>
                <w:sz w:val="16"/>
              </w:rPr>
              <w:t>708</w:t>
            </w:r>
          </w:p>
        </w:tc>
        <w:tc>
          <w:tcPr>
            <w:tcW w:type="dxa" w:w="3285"/>
          </w:tcPr>
          <w:p>
            <w:pPr>
              <w:spacing w:after="0"/>
            </w:pPr>
            <w:r/>
            <w:r>
              <w:rPr>
                <w:sz w:val="16"/>
              </w:rPr>
              <w:t>Resource PNBP Rp 283.4 T in the RAPBN 2027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Windfall above the reference price (50%)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15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328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15 T a year; the 2026 windfall shows the scale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6"/>
              </w:rPr>
              <w:t>Coal export duty, earmarked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1559"/>
          </w:tcPr>
          <w:p>
            <w:pPr>
              <w:spacing w:after="0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3285"/>
          </w:tcPr>
          <w:p>
            <w:pPr>
              <w:spacing w:after="0"/>
            </w:pPr>
            <w:r/>
            <w:r>
              <w:rPr>
                <w:sz w:val="16"/>
              </w:rPr>
              <w:t>Moderate 2.5% duty; simulations give Rp 11.7–19 T a year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Mineral royalty revision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15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328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From 2028; the increase was postponed in May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6"/>
              </w:rPr>
              <w:t>Resource-SOE dividends reinvested by Danantara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160</w:t>
            </w:r>
          </w:p>
        </w:tc>
        <w:tc>
          <w:tcPr>
            <w:tcW w:type="dxa" w:w="1559"/>
          </w:tcPr>
          <w:p>
            <w:pPr>
              <w:spacing w:after="0"/>
            </w:pPr>
            <w:r/>
            <w:r>
              <w:rPr>
                <w:sz w:val="16"/>
              </w:rPr>
              <w:t>160</w:t>
            </w:r>
          </w:p>
        </w:tc>
        <w:tc>
          <w:tcPr>
            <w:tcW w:type="dxa" w:w="3285"/>
          </w:tcPr>
          <w:p>
            <w:pPr>
              <w:spacing w:after="0"/>
            </w:pPr>
            <w:r/>
            <w:r>
              <w:rPr>
                <w:sz w:val="16"/>
              </w:rPr>
              <w:t>Rp 20 T a year of SOE dividends (Rp 142.3 T in 2025)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cash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868</w:t>
            </w:r>
          </w:p>
        </w:tc>
        <w:tc>
          <w:tcPr>
            <w:tcW w:type="dxa" w:w="15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1,178</w:t>
            </w:r>
          </w:p>
        </w:tc>
        <w:tc>
          <w:tcPr>
            <w:tcW w:type="dxa" w:w="328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6"/>
              </w:rPr>
              <w:t>FX loans funded by retained export proceeds (DHE SDA)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1,139</w:t>
            </w:r>
          </w:p>
        </w:tc>
        <w:tc>
          <w:tcPr>
            <w:tcW w:type="dxa" w:w="1559"/>
          </w:tcPr>
          <w:p>
            <w:pPr>
              <w:spacing w:after="0"/>
            </w:pPr>
            <w:r/>
            <w:r>
              <w:rPr>
                <w:sz w:val="16"/>
              </w:rPr>
              <w:t>1,139</w:t>
            </w:r>
          </w:p>
        </w:tc>
        <w:tc>
          <w:tcPr>
            <w:tcW w:type="dxa" w:w="3285"/>
          </w:tcPr>
          <w:p>
            <w:pPr>
              <w:spacing w:after="0"/>
            </w:pPr>
            <w:r/>
            <w:r>
              <w:rPr>
                <w:sz w:val="16"/>
              </w:rPr>
              <w:t>US$8 bn a year; DHE retained US$22.9 bn in March–April 2025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Resource-revenue bonds or sukuk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320</w:t>
            </w:r>
          </w:p>
        </w:tc>
        <w:tc>
          <w:tcPr>
            <w:tcW w:type="dxa" w:w="15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320</w:t>
            </w:r>
          </w:p>
        </w:tc>
        <w:tc>
          <w:tcPr>
            <w:tcW w:type="dxa" w:w="328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40 T a year, serviced from future PNBP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6"/>
              </w:rPr>
              <w:t>Resource money (cash + resource-backed debt)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2,327 (48%)</w:t>
            </w:r>
          </w:p>
        </w:tc>
        <w:tc>
          <w:tcPr>
            <w:tcW w:type="dxa" w:w="1559"/>
          </w:tcPr>
          <w:p>
            <w:pPr>
              <w:spacing w:after="0"/>
            </w:pPr>
            <w:r/>
            <w:r>
              <w:rPr>
                <w:sz w:val="16"/>
              </w:rPr>
              <w:t>2,637 (54%)</w:t>
            </w:r>
          </w:p>
        </w:tc>
        <w:tc>
          <w:tcPr>
            <w:tcW w:type="dxa" w:w="328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1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Partners and project debt drawn into commercial projects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996</w:t>
            </w:r>
          </w:p>
        </w:tc>
        <w:tc>
          <w:tcPr>
            <w:tcW w:type="dxa" w:w="15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996</w:t>
            </w:r>
          </w:p>
        </w:tc>
        <w:tc>
          <w:tcPr>
            <w:tcW w:type="dxa" w:w="328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79% of commercial investment, crowded in by 21% equity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6"/>
              </w:rPr>
              <w:t>Resource-anchored total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3,323 (68%)</w:t>
            </w:r>
          </w:p>
        </w:tc>
        <w:tc>
          <w:tcPr>
            <w:tcW w:type="dxa" w:w="1559"/>
          </w:tcPr>
          <w:p>
            <w:pPr>
              <w:spacing w:after="0"/>
            </w:pPr>
            <w:r/>
            <w:r>
              <w:rPr>
                <w:sz w:val="16"/>
              </w:rPr>
              <w:t>3,633 (74%)</w:t>
            </w:r>
          </w:p>
        </w:tc>
        <w:tc>
          <w:tcPr>
            <w:tcW w:type="dxa" w:w="328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11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Remainder: budget, KPBU, export credit</w:t>
            </w:r>
          </w:p>
        </w:tc>
        <w:tc>
          <w:tcPr>
            <w:tcW w:type="dxa" w:w="167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1,558</w:t>
            </w:r>
          </w:p>
        </w:tc>
        <w:tc>
          <w:tcPr>
            <w:tcW w:type="dxa" w:w="155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1,249</w:t>
            </w:r>
          </w:p>
        </w:tc>
        <w:tc>
          <w:tcPr>
            <w:tcW w:type="dxa" w:w="328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6"/>
              </w:rPr>
              <w:t>Resource PNBP saved, a year (budget gives up)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6"/>
              </w:rPr>
              <w:t>83</w:t>
            </w:r>
          </w:p>
        </w:tc>
        <w:tc>
          <w:tcPr>
            <w:tcW w:type="dxa" w:w="1559"/>
          </w:tcPr>
          <w:p>
            <w:pPr>
              <w:spacing w:after="0"/>
            </w:pPr>
            <w:r/>
            <w:r>
              <w:rPr>
                <w:sz w:val="16"/>
              </w:rPr>
              <w:t>111</w:t>
            </w:r>
          </w:p>
        </w:tc>
        <w:tc>
          <w:tcPr>
            <w:tcW w:type="dxa" w:w="3285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Table 10.3. First screen of DDMF projects for the development window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5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46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Equity (Rp T)</w:t>
            </w:r>
          </w:p>
        </w:tc>
        <w:tc>
          <w:tcPr>
            <w:tcW w:type="dxa" w:w="305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305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Conditions or reason</w:t>
            </w:r>
          </w:p>
        </w:tc>
      </w:tr>
      <w:tr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PLTS 100 GW</w:t>
            </w:r>
          </w:p>
        </w:tc>
        <w:tc>
          <w:tcPr>
            <w:tcW w:type="dxa" w:w="464"/>
          </w:tcPr>
          <w:p>
            <w:pPr>
              <w:spacing w:after="0"/>
            </w:pPr>
            <w:r/>
            <w:r>
              <w:rPr>
                <w:sz w:val="16"/>
              </w:rPr>
              <w:t>48.6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Anchor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The main coal-transition asset. Commit in 10 GW tranches after the hybrid-tariff regulation is issued; link to domestic PV and silica manufacturing; demand risk shown by Trina's unused 3 GW</w:t>
            </w:r>
          </w:p>
        </w:tc>
      </w:tr>
      <w:tr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CDME (coal to DME)</w:t>
            </w:r>
          </w:p>
        </w:tc>
        <w:tc>
          <w:tcPr>
            <w:tcW w:type="dxa" w:w="4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9.7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Conditional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US$0.9 bn a year of FX savings at 20% substitution. Requires a take-or-pay offtake, a DME price rule versus subsidised LPG, a carbon-cost test and a time-limited mandate</w:t>
            </w:r>
          </w:p>
        </w:tc>
      </w:tr>
      <w:tr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Tarsius Ph.1 and Anoa (rare earths)</w:t>
            </w:r>
          </w:p>
        </w:tc>
        <w:tc>
          <w:tcPr>
            <w:tcW w:type="dxa" w:w="464"/>
          </w:tcPr>
          <w:p>
            <w:pPr>
              <w:spacing w:after="0"/>
            </w:pPr>
            <w:r/>
            <w:r>
              <w:rPr>
                <w:sz w:val="16"/>
              </w:rPr>
              <w:t>0.6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Eligible, pull forward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Small tickets, pilot plant built, MIND ID, PT Timah and Perminas already cooperating; the start of a mine-to-magnet chain</w:t>
            </w:r>
          </w:p>
        </w:tc>
      </w:tr>
      <w:tr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Al, Fe, Ni, Mn metals; Copper; Silica</w:t>
            </w:r>
          </w:p>
        </w:tc>
        <w:tc>
          <w:tcPr>
            <w:tcW w:type="dxa" w:w="4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17.7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Eligible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Deepens the nickel and copper chains; subject to the 35% commodity cap and a feasibility study</w:t>
            </w:r>
          </w:p>
        </w:tc>
      </w:tr>
      <w:tr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Refinery; CPE; Biodiesel</w:t>
            </w:r>
          </w:p>
        </w:tc>
        <w:tc>
          <w:tcPr>
            <w:tcW w:type="dxa" w:w="464"/>
          </w:tcPr>
          <w:p>
            <w:pPr>
              <w:spacing w:after="0"/>
            </w:pPr>
            <w:r/>
            <w:r>
              <w:rPr>
                <w:sz w:val="16"/>
              </w:rPr>
              <w:t>39.4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Conditional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Import substitution. Biodiesel only alongside BPDP levy reform, to avoid a second subsidy</w:t>
            </w:r>
          </w:p>
        </w:tc>
      </w:tr>
      <w:tr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EV Power Pack (maritime)</w:t>
            </w:r>
          </w:p>
        </w:tc>
        <w:tc>
          <w:tcPr>
            <w:tcW w:type="dxa" w:w="4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0.6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Eligible, priority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Nickel link and ship-import substitution; preferred site near PT PAL's shipyard; requires captive demand from SOEs and ministries</w:t>
            </w:r>
          </w:p>
        </w:tc>
      </w:tr>
      <w:tr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Shipyard &amp; ship components</w:t>
            </w:r>
          </w:p>
        </w:tc>
        <w:tc>
          <w:tcPr>
            <w:tcW w:type="dxa" w:w="464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Eligible, priority (sovereignty tier)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Localises yard capacity and components; tranches tied to the national vessel backlog, TKDN milestones and SME supplier development</w:t>
            </w:r>
          </w:p>
        </w:tc>
      </w:tr>
      <w:tr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modernisation (Rp 2,125 T) *</w:t>
            </w:r>
          </w:p>
        </w:tc>
        <w:tc>
          <w:tcPr>
            <w:tcW w:type="dxa" w:w="4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446.2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Split: industry share eligible (sovereignty tier); platforms on the budget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Only the domestic industrial share (yards, components, MRO) within the 20% tier cap; platforms and crews on the APBN; imported share financed by DHE SDA loans, not foreign loans; 60% domestic-content target</w:t>
            </w:r>
          </w:p>
        </w:tc>
      </w:tr>
      <w:tr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Textile ecosystem</w:t>
            </w:r>
          </w:p>
        </w:tc>
        <w:tc>
          <w:tcPr>
            <w:tcW w:type="dxa" w:w="464"/>
          </w:tcPr>
          <w:p>
            <w:pPr>
              <w:spacing w:after="0"/>
            </w:pPr>
            <w:r/>
            <w:r>
              <w:rPr>
                <w:sz w:val="16"/>
              </w:rPr>
              <w:t>18.7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Conditional (≤30% tier)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No resource link but a high employment multiplier; finance machine modernisation through co-financing</w:t>
            </w:r>
          </w:p>
        </w:tc>
      </w:tr>
      <w:tr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MOBNAS &amp; MOLINAS</w:t>
            </w:r>
          </w:p>
        </w:tc>
        <w:tc>
          <w:tcPr>
            <w:tcW w:type="dxa" w:w="4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High risk, capped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Behind schedule, land not secured and no partner yet; stage-gate strictly</w:t>
            </w:r>
          </w:p>
        </w:tc>
      </w:tr>
      <w:tr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Tech Corridor</w:t>
            </w:r>
          </w:p>
        </w:tc>
        <w:tc>
          <w:tcPr>
            <w:tcW w:type="dxa" w:w="464"/>
          </w:tcPr>
          <w:p>
            <w:pPr>
              <w:spacing w:after="0"/>
            </w:pPr>
            <w:r/>
            <w:r>
              <w:rPr>
                <w:sz w:val="16"/>
              </w:rPr>
              <w:t>39.2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Not yet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Scope, milestones and support are all still to be determined</w:t>
            </w:r>
          </w:p>
        </w:tc>
      </w:tr>
      <w:tr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National Data Centre; AI and IT programme *</w:t>
            </w:r>
          </w:p>
        </w:tc>
        <w:tc>
          <w:tcPr>
            <w:tcW w:type="dxa" w:w="4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52.5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Conditional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Commercial tranches only (shared compute, sovereign cloud) with anchor public demand; public systems and skills on the budget; renewable power required</w:t>
            </w:r>
          </w:p>
        </w:tc>
      </w:tr>
      <w:tr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Quantum technology; semiconductors *</w:t>
            </w:r>
          </w:p>
        </w:tc>
        <w:tc>
          <w:tcPr>
            <w:tcW w:type="dxa" w:w="464"/>
          </w:tcPr>
          <w:p>
            <w:pPr>
              <w:spacing w:after="0"/>
            </w:pPr>
            <w:r/>
            <w:r>
              <w:rPr>
                <w:sz w:val="16"/>
              </w:rPr>
              <w:t>7.3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Conditional / redesign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Quantum as staged research partnerships; semiconductors in back-end and power devices with an anchor offtaker (Section 9.3)</w:t>
            </w:r>
          </w:p>
        </w:tc>
      </w:tr>
      <w:tr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Biosimilar &amp; pharma; E-commerce</w:t>
            </w:r>
          </w:p>
        </w:tc>
        <w:tc>
          <w:tcPr>
            <w:tcW w:type="dxa" w:w="4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2.1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Outside the fund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On hold or commercial; DDMF's own capital or private investors</w:t>
            </w:r>
          </w:p>
        </w:tc>
      </w:tr>
      <w:tr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Waste, landfill mining, RDF</w:t>
            </w:r>
          </w:p>
        </w:tc>
        <w:tc>
          <w:tcPr>
            <w:tcW w:type="dxa" w:w="464"/>
          </w:tcPr>
          <w:p>
            <w:pPr>
              <w:spacing w:after="0"/>
            </w:pPr>
            <w:r/>
            <w:r>
              <w:rPr>
                <w:sz w:val="16"/>
              </w:rPr>
              <w:t>3.5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Outside the fund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Regional public services; the regional endowment or budget. RDF could qualify later as a coal substitute</w:t>
            </w:r>
          </w:p>
        </w:tc>
      </w:tr>
      <w:tr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Housing, schools, STEM university, smart cities, water, fishing villages</w:t>
            </w:r>
          </w:p>
        </w:tc>
        <w:tc>
          <w:tcPr>
            <w:tcW w:type="dxa" w:w="4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207.2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Budget route</w:t>
            </w:r>
          </w:p>
        </w:tc>
        <w:tc>
          <w:tcPr>
            <w:tcW w:type="dxa" w:w="30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 cash flow to recycle. Finance through the APBN, SBSN or KPBU, which can be supported by the future window's annual return draw</w:t>
            </w:r>
          </w:p>
        </w:tc>
      </w:tr>
      <w:tr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Giant Sea Wall (Rp 1,200 T) *</w:t>
            </w:r>
          </w:p>
        </w:tc>
        <w:tc>
          <w:tcPr>
            <w:tcW w:type="dxa" w:w="464"/>
          </w:tcPr>
          <w:p>
            <w:pPr>
              <w:spacing w:after="0"/>
            </w:pPr>
            <w:r/>
            <w:r>
              <w:rPr>
                <w:sz w:val="16"/>
              </w:rPr>
              <w:t>252.0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Budget route, resource-backed</w:t>
            </w:r>
          </w:p>
        </w:tc>
        <w:tc>
          <w:tcPr>
            <w:tcW w:type="dxa" w:w="3058"/>
          </w:tcPr>
          <w:p>
            <w:pPr>
              <w:spacing w:after="0"/>
            </w:pPr>
            <w:r/>
            <w:r>
              <w:rPr>
                <w:sz w:val="16"/>
              </w:rPr>
              <w:t>No cash flow to recycle; APBN, KPBU availability payments and resource-revenue bonds; up to 30% from resource cash (Section 10.3); stage by segment</w:t>
            </w:r>
          </w:p>
        </w:tc>
      </w:tr>
    </w:tbl>
    <w:p>
      <w:pPr>
        <w:spacing w:after="40"/>
      </w:pPr>
    </w:p>
    <w:p>
      <w:pPr>
        <w:pStyle w:val="Heading2"/>
      </w:pPr>
      <w:r>
        <w:t>Table 11.1. Investment needed for 8% growth at different levels of efficiency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3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ICOR</w:t>
            </w:r>
          </w:p>
        </w:tc>
        <w:tc>
          <w:tcPr>
            <w:tcW w:type="dxa" w:w="26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 needed for 8% (% of GDP)</w:t>
            </w:r>
          </w:p>
        </w:tc>
        <w:tc>
          <w:tcPr>
            <w:tcW w:type="dxa" w:w="653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436"/>
          </w:tcPr>
          <w:p>
            <w:pPr>
              <w:spacing w:after="0"/>
            </w:pPr>
            <w:r/>
            <w:r>
              <w:rPr>
                <w:sz w:val="16"/>
              </w:rPr>
              <w:t>3.9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sz w:val="16"/>
              </w:rPr>
              <w:t>31.2</w:t>
            </w:r>
          </w:p>
        </w:tc>
        <w:tc>
          <w:tcPr>
            <w:tcW w:type="dxa" w:w="6534"/>
          </w:tcPr>
          <w:p>
            <w:pPr>
              <w:spacing w:after="0"/>
            </w:pPr>
            <w:r/>
            <w:r>
              <w:rPr>
                <w:sz w:val="16"/>
              </w:rPr>
              <w:t>Government target for 2029; Singapore level</w:t>
            </w:r>
          </w:p>
        </w:tc>
      </w:tr>
      <w:tr>
        <w:tc>
          <w:tcPr>
            <w:tcW w:type="dxa" w:w="43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4.2</w:t>
            </w:r>
          </w:p>
        </w:tc>
        <w:tc>
          <w:tcPr>
            <w:tcW w:type="dxa" w:w="26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33.6</w:t>
            </w:r>
          </w:p>
        </w:tc>
        <w:tc>
          <w:tcPr>
            <w:tcW w:type="dxa" w:w="653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Recommended path (Chapter 12)</w:t>
            </w:r>
          </w:p>
        </w:tc>
      </w:tr>
      <w:tr>
        <w:tc>
          <w:tcPr>
            <w:tcW w:type="dxa" w:w="436"/>
          </w:tcPr>
          <w:p>
            <w:pPr>
              <w:spacing w:after="0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sz w:val="16"/>
              </w:rPr>
              <w:t>34.4</w:t>
            </w:r>
          </w:p>
        </w:tc>
        <w:tc>
          <w:tcPr>
            <w:tcW w:type="dxa" w:w="6534"/>
          </w:tcPr>
          <w:p>
            <w:pPr>
              <w:spacing w:after="0"/>
            </w:pPr>
            <w:r/>
            <w:r>
              <w:rPr>
                <w:sz w:val="16"/>
              </w:rPr>
              <w:t>Needed with all resource levers and the updated pipeline (Section 11.4)</w:t>
            </w:r>
          </w:p>
        </w:tc>
      </w:tr>
      <w:tr>
        <w:tc>
          <w:tcPr>
            <w:tcW w:type="dxa" w:w="43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4.5</w:t>
            </w:r>
          </w:p>
        </w:tc>
        <w:tc>
          <w:tcPr>
            <w:tcW w:type="dxa" w:w="26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36.0</w:t>
            </w:r>
          </w:p>
        </w:tc>
        <w:tc>
          <w:tcPr>
            <w:tcW w:type="dxa" w:w="653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Malaysia level</w:t>
            </w:r>
          </w:p>
        </w:tc>
      </w:tr>
      <w:tr>
        <w:tc>
          <w:tcPr>
            <w:tcW w:type="dxa" w:w="436"/>
          </w:tcPr>
          <w:p>
            <w:pPr>
              <w:spacing w:after="0"/>
            </w:pPr>
            <w:r/>
            <w:r>
              <w:rPr>
                <w:sz w:val="16"/>
              </w:rPr>
              <w:t>5.0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sz w:val="16"/>
              </w:rPr>
              <w:t>40.0</w:t>
            </w:r>
          </w:p>
        </w:tc>
        <w:tc>
          <w:tcPr>
            <w:tcW w:type="dxa" w:w="6534"/>
          </w:tcPr>
          <w:p>
            <w:pPr>
              <w:spacing w:after="0"/>
            </w:pPr>
            <w:r/>
            <w:r>
              <w:rPr>
                <w:sz w:val="16"/>
              </w:rPr>
              <w:t>Moderate improvement</w:t>
            </w:r>
          </w:p>
        </w:tc>
      </w:tr>
      <w:tr>
        <w:tc>
          <w:tcPr>
            <w:tcW w:type="dxa" w:w="43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5.6</w:t>
            </w:r>
          </w:p>
        </w:tc>
        <w:tc>
          <w:tcPr>
            <w:tcW w:type="dxa" w:w="266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44.8</w:t>
            </w:r>
          </w:p>
        </w:tc>
        <w:tc>
          <w:tcPr>
            <w:tcW w:type="dxa" w:w="653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Today's implied efficiency</w:t>
            </w:r>
          </w:p>
        </w:tc>
      </w:tr>
      <w:tr>
        <w:tc>
          <w:tcPr>
            <w:tcW w:type="dxa" w:w="436"/>
          </w:tcPr>
          <w:p>
            <w:pPr>
              <w:spacing w:after="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sz w:val="16"/>
              </w:rPr>
              <w:t>48.0</w:t>
            </w:r>
          </w:p>
        </w:tc>
        <w:tc>
          <w:tcPr>
            <w:tcW w:type="dxa" w:w="6534"/>
          </w:tcPr>
          <w:p>
            <w:pPr>
              <w:spacing w:after="0"/>
            </w:pPr>
            <w:r/>
            <w:r>
              <w:rPr>
                <w:sz w:val="16"/>
              </w:rPr>
              <w:t>Official estimate of today's ICOR</w:t>
            </w:r>
          </w:p>
        </w:tc>
      </w:tr>
    </w:tbl>
    <w:p>
      <w:pPr>
        <w:spacing w:after="40"/>
      </w:pPr>
    </w:p>
    <w:p>
      <w:pPr>
        <w:pStyle w:val="Heading2"/>
      </w:pPr>
      <w:r>
        <w:t>Table 11.2. Growth bridge: from 5.1% towards 8% (percentage points)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7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Lever</w:t>
            </w:r>
          </w:p>
        </w:tc>
        <w:tc>
          <w:tcPr>
            <w:tcW w:type="dxa" w:w="6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2029</w:t>
            </w:r>
          </w:p>
        </w:tc>
        <w:tc>
          <w:tcPr>
            <w:tcW w:type="dxa" w:w="135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Average 2027–30</w:t>
            </w:r>
          </w:p>
        </w:tc>
        <w:tc>
          <w:tcPr>
            <w:tcW w:type="dxa" w:w="465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Key assumption</w:t>
            </w:r>
          </w:p>
        </w:tc>
      </w:tr>
      <w:tr>
        <w:tc>
          <w:tcPr>
            <w:tcW w:type="dxa" w:w="2975"/>
          </w:tcPr>
          <w:p>
            <w:pPr>
              <w:spacing w:after="0"/>
            </w:pPr>
            <w:r/>
            <w:r>
              <w:rPr>
                <w:sz w:val="16"/>
              </w:rPr>
              <w:t>Baseline</w:t>
            </w:r>
          </w:p>
        </w:tc>
        <w:tc>
          <w:tcPr>
            <w:tcW w:type="dxa" w:w="647"/>
          </w:tcPr>
          <w:p>
            <w:pPr>
              <w:spacing w:after="0"/>
            </w:pPr>
            <w:r/>
            <w:r>
              <w:rPr>
                <w:sz w:val="16"/>
              </w:rPr>
              <w:t>5.10</w:t>
            </w:r>
          </w:p>
        </w:tc>
        <w:tc>
          <w:tcPr>
            <w:tcW w:type="dxa" w:w="1358"/>
          </w:tcPr>
          <w:p>
            <w:pPr>
              <w:spacing w:after="0"/>
            </w:pPr>
            <w:r/>
            <w:r>
              <w:rPr>
                <w:sz w:val="16"/>
              </w:rPr>
              <w:t>5.10</w:t>
            </w:r>
          </w:p>
        </w:tc>
        <w:tc>
          <w:tcPr>
            <w:tcW w:type="dxa" w:w="4657"/>
          </w:tcPr>
          <w:p>
            <w:pPr>
              <w:spacing w:after="0"/>
            </w:pPr>
            <w:r/>
            <w:r>
              <w:rPr>
                <w:sz w:val="16"/>
              </w:rPr>
              <w:t>2025 actual 5.11%; IMF 2026 5.0%</w:t>
            </w:r>
          </w:p>
        </w:tc>
      </w:tr>
      <w:tr>
        <w:tc>
          <w:tcPr>
            <w:tcW w:type="dxa" w:w="29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Upstream recovery</w:t>
            </w:r>
          </w:p>
        </w:tc>
        <w:tc>
          <w:tcPr>
            <w:tcW w:type="dxa" w:w="6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+0.32</w:t>
            </w:r>
          </w:p>
        </w:tc>
        <w:tc>
          <w:tcPr>
            <w:tcW w:type="dxa" w:w="13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+0.27</w:t>
            </w:r>
          </w:p>
        </w:tc>
        <w:tc>
          <w:tcPr>
            <w:tcW w:type="dxa" w:w="46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Mining from −0.66% to +3% a year</w:t>
            </w:r>
          </w:p>
        </w:tc>
      </w:tr>
      <w:tr>
        <w:tc>
          <w:tcPr>
            <w:tcW w:type="dxa" w:w="2975"/>
          </w:tcPr>
          <w:p>
            <w:pPr>
              <w:spacing w:after="0"/>
            </w:pPr>
            <w:r/>
            <w:r>
              <w:rPr>
                <w:sz w:val="16"/>
              </w:rPr>
              <w:t>Updated pipeline</w:t>
            </w:r>
          </w:p>
        </w:tc>
        <w:tc>
          <w:tcPr>
            <w:tcW w:type="dxa" w:w="647"/>
          </w:tcPr>
          <w:p>
            <w:pPr>
              <w:spacing w:after="0"/>
            </w:pPr>
            <w:r/>
            <w:r>
              <w:rPr>
                <w:sz w:val="16"/>
              </w:rPr>
              <w:t>+0.46</w:t>
            </w:r>
          </w:p>
        </w:tc>
        <w:tc>
          <w:tcPr>
            <w:tcW w:type="dxa" w:w="1358"/>
          </w:tcPr>
          <w:p>
            <w:pPr>
              <w:spacing w:after="0"/>
            </w:pPr>
            <w:r/>
            <w:r>
              <w:rPr>
                <w:sz w:val="16"/>
              </w:rPr>
              <w:t>+0.61</w:t>
            </w:r>
          </w:p>
        </w:tc>
        <w:tc>
          <w:tcPr>
            <w:tcW w:type="dxa" w:w="4657"/>
          </w:tcPr>
          <w:p>
            <w:pPr>
              <w:spacing w:after="0"/>
            </w:pPr>
            <w:r/>
            <w:r>
              <w:rPr>
                <w:sz w:val="16"/>
              </w:rPr>
              <w:t>Cluster model, base case (Chapter 8)</w:t>
            </w:r>
          </w:p>
        </w:tc>
      </w:tr>
      <w:tr>
        <w:tc>
          <w:tcPr>
            <w:tcW w:type="dxa" w:w="29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Downstream acceleration</w:t>
            </w:r>
          </w:p>
        </w:tc>
        <w:tc>
          <w:tcPr>
            <w:tcW w:type="dxa" w:w="6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+0.28</w:t>
            </w:r>
          </w:p>
        </w:tc>
        <w:tc>
          <w:tcPr>
            <w:tcW w:type="dxa" w:w="13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+0.22</w:t>
            </w:r>
          </w:p>
        </w:tc>
        <w:tc>
          <w:tcPr>
            <w:tcW w:type="dxa" w:w="46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+1.1% of GDP investment by 2030</w:t>
            </w:r>
          </w:p>
        </w:tc>
      </w:tr>
      <w:tr>
        <w:tc>
          <w:tcPr>
            <w:tcW w:type="dxa" w:w="2975"/>
          </w:tcPr>
          <w:p>
            <w:pPr>
              <w:spacing w:after="0"/>
            </w:pPr>
            <w:r/>
            <w:r>
              <w:rPr>
                <w:sz w:val="16"/>
              </w:rPr>
              <w:t>Plantation &amp; marine</w:t>
            </w:r>
          </w:p>
        </w:tc>
        <w:tc>
          <w:tcPr>
            <w:tcW w:type="dxa" w:w="647"/>
          </w:tcPr>
          <w:p>
            <w:pPr>
              <w:spacing w:after="0"/>
            </w:pPr>
            <w:r/>
            <w:r>
              <w:rPr>
                <w:sz w:val="16"/>
              </w:rPr>
              <w:t>+0.10</w:t>
            </w:r>
          </w:p>
        </w:tc>
        <w:tc>
          <w:tcPr>
            <w:tcW w:type="dxa" w:w="1358"/>
          </w:tcPr>
          <w:p>
            <w:pPr>
              <w:spacing w:after="0"/>
            </w:pPr>
            <w:r/>
            <w:r>
              <w:rPr>
                <w:sz w:val="16"/>
              </w:rPr>
              <w:t>+0.07</w:t>
            </w:r>
          </w:p>
        </w:tc>
        <w:tc>
          <w:tcPr>
            <w:tcW w:type="dxa" w:w="4657"/>
          </w:tcPr>
          <w:p>
            <w:pPr>
              <w:spacing w:after="0"/>
            </w:pPr>
            <w:r/>
            <w:r>
              <w:rPr>
                <w:sz w:val="16"/>
              </w:rPr>
              <w:t>Agriculture +0.75 pp from 2028</w:t>
            </w:r>
          </w:p>
        </w:tc>
      </w:tr>
      <w:tr>
        <w:tc>
          <w:tcPr>
            <w:tcW w:type="dxa" w:w="29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Stabilisation dividend</w:t>
            </w:r>
          </w:p>
        </w:tc>
        <w:tc>
          <w:tcPr>
            <w:tcW w:type="dxa" w:w="6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+0.10</w:t>
            </w:r>
          </w:p>
        </w:tc>
        <w:tc>
          <w:tcPr>
            <w:tcW w:type="dxa" w:w="13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+0.08</w:t>
            </w:r>
          </w:p>
        </w:tc>
        <w:tc>
          <w:tcPr>
            <w:tcW w:type="dxa" w:w="46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From 2028</w:t>
            </w:r>
          </w:p>
        </w:tc>
      </w:tr>
      <w:tr>
        <w:tc>
          <w:tcPr>
            <w:tcW w:type="dxa" w:w="2975"/>
          </w:tcPr>
          <w:p>
            <w:pPr>
              <w:spacing w:after="0"/>
            </w:pPr>
            <w:r/>
            <w:r>
              <w:rPr>
                <w:sz w:val="16"/>
              </w:rPr>
              <w:t>Natural resources alone</w:t>
            </w:r>
          </w:p>
        </w:tc>
        <w:tc>
          <w:tcPr>
            <w:tcW w:type="dxa" w:w="647"/>
          </w:tcPr>
          <w:p>
            <w:pPr>
              <w:spacing w:after="0"/>
            </w:pPr>
            <w:r/>
            <w:r>
              <w:rPr>
                <w:sz w:val="16"/>
              </w:rPr>
              <w:t>6.37</w:t>
            </w:r>
          </w:p>
        </w:tc>
        <w:tc>
          <w:tcPr>
            <w:tcW w:type="dxa" w:w="1358"/>
          </w:tcPr>
          <w:p>
            <w:pPr>
              <w:spacing w:after="0"/>
            </w:pPr>
            <w:r/>
            <w:r>
              <w:rPr>
                <w:sz w:val="16"/>
              </w:rPr>
              <w:t>6.35</w:t>
            </w:r>
          </w:p>
        </w:tc>
        <w:tc>
          <w:tcPr>
            <w:tcW w:type="dxa" w:w="465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9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Investment efficiency</w:t>
            </w:r>
          </w:p>
        </w:tc>
        <w:tc>
          <w:tcPr>
            <w:tcW w:type="dxa" w:w="6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+0.53</w:t>
            </w:r>
          </w:p>
        </w:tc>
        <w:tc>
          <w:tcPr>
            <w:tcW w:type="dxa" w:w="13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+0.40</w:t>
            </w:r>
          </w:p>
        </w:tc>
        <w:tc>
          <w:tcPr>
            <w:tcW w:type="dxa" w:w="46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ICOR 5.6 → 5.1 (2029) → 5.0</w:t>
            </w:r>
          </w:p>
        </w:tc>
      </w:tr>
      <w:tr>
        <w:tc>
          <w:tcPr>
            <w:tcW w:type="dxa" w:w="2975"/>
          </w:tcPr>
          <w:p>
            <w:pPr>
              <w:spacing w:after="0"/>
            </w:pPr>
            <w:r/>
            <w:r>
              <w:rPr>
                <w:sz w:val="16"/>
              </w:rPr>
              <w:t>Achievable</w:t>
            </w:r>
          </w:p>
        </w:tc>
        <w:tc>
          <w:tcPr>
            <w:tcW w:type="dxa" w:w="647"/>
          </w:tcPr>
          <w:p>
            <w:pPr>
              <w:spacing w:after="0"/>
            </w:pPr>
            <w:r/>
            <w:r>
              <w:rPr>
                <w:sz w:val="16"/>
              </w:rPr>
              <w:t>6.90</w:t>
            </w:r>
          </w:p>
        </w:tc>
        <w:tc>
          <w:tcPr>
            <w:tcW w:type="dxa" w:w="1358"/>
          </w:tcPr>
          <w:p>
            <w:pPr>
              <w:spacing w:after="0"/>
            </w:pPr>
            <w:r/>
            <w:r>
              <w:rPr>
                <w:sz w:val="16"/>
              </w:rPr>
              <w:t>6.75</w:t>
            </w:r>
          </w:p>
        </w:tc>
        <w:tc>
          <w:tcPr>
            <w:tcW w:type="dxa" w:w="4657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97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Gap to 8%</w:t>
            </w:r>
          </w:p>
        </w:tc>
        <w:tc>
          <w:tcPr>
            <w:tcW w:type="dxa" w:w="6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1.10</w:t>
            </w:r>
          </w:p>
        </w:tc>
        <w:tc>
          <w:tcPr>
            <w:tcW w:type="dxa" w:w="13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1.25</w:t>
            </w:r>
          </w:p>
        </w:tc>
        <w:tc>
          <w:tcPr>
            <w:tcW w:type="dxa" w:w="465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Non-resource reforms</w:t>
            </w:r>
          </w:p>
        </w:tc>
      </w:tr>
    </w:tbl>
    <w:p>
      <w:pPr>
        <w:spacing w:after="40"/>
      </w:pPr>
    </w:p>
    <w:p>
      <w:pPr>
        <w:pStyle w:val="Heading2"/>
      </w:pPr>
      <w:r>
        <w:t>Table 12.1. Three scenarios for 8% growth by 2029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4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67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S1 Efficiency first</w:t>
            </w:r>
          </w:p>
        </w:tc>
        <w:tc>
          <w:tcPr>
            <w:tcW w:type="dxa" w:w="160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S2 Big push</w:t>
            </w:r>
          </w:p>
        </w:tc>
        <w:tc>
          <w:tcPr>
            <w:tcW w:type="dxa" w:w="197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S3 Industrial &amp; export leap</w:t>
            </w:r>
          </w:p>
        </w:tc>
      </w:tr>
      <w:tr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Investment, % of GDP (2029)</w:t>
            </w:r>
          </w:p>
        </w:tc>
        <w:tc>
          <w:tcPr>
            <w:tcW w:type="dxa" w:w="1679"/>
          </w:tcPr>
          <w:p>
            <w:pPr>
              <w:spacing w:after="0"/>
            </w:pPr>
            <w:r/>
            <w:r>
              <w:rPr>
                <w:sz w:val="16"/>
              </w:rPr>
              <w:t>31.5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6"/>
              </w:rPr>
              <w:t>38.5</w:t>
            </w:r>
          </w:p>
        </w:tc>
        <w:tc>
          <w:tcPr>
            <w:tcW w:type="dxa" w:w="1971"/>
          </w:tcPr>
          <w:p>
            <w:pPr>
              <w:spacing w:after="0"/>
            </w:pPr>
            <w:r/>
            <w:r>
              <w:rPr>
                <w:sz w:val="16"/>
              </w:rPr>
              <w:t>34.5</w:t>
            </w:r>
          </w:p>
        </w:tc>
      </w:tr>
      <w:tr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ICOR (2029)</w:t>
            </w:r>
          </w:p>
        </w:tc>
        <w:tc>
          <w:tcPr>
            <w:tcW w:type="dxa" w:w="16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3.95</w:t>
            </w:r>
          </w:p>
        </w:tc>
        <w:tc>
          <w:tcPr>
            <w:tcW w:type="dxa" w:w="16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4.8</w:t>
            </w:r>
          </w:p>
        </w:tc>
        <w:tc>
          <w:tcPr>
            <w:tcW w:type="dxa" w:w="19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4.3</w:t>
            </w:r>
          </w:p>
        </w:tc>
      </w:tr>
      <w:tr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Growth 2026 / 27 / 28 / 29</w:t>
            </w:r>
          </w:p>
        </w:tc>
        <w:tc>
          <w:tcPr>
            <w:tcW w:type="dxa" w:w="1679"/>
          </w:tcPr>
          <w:p>
            <w:pPr>
              <w:spacing w:after="0"/>
            </w:pPr>
            <w:r/>
            <w:r>
              <w:rPr>
                <w:sz w:val="16"/>
              </w:rPr>
              <w:t>5.3 / 5.8 / 6.6 / 8.0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6"/>
              </w:rPr>
              <w:t>6.3 / 6.9 / 7.5 / 8.0</w:t>
            </w:r>
          </w:p>
        </w:tc>
        <w:tc>
          <w:tcPr>
            <w:tcW w:type="dxa" w:w="1971"/>
          </w:tcPr>
          <w:p>
            <w:pPr>
              <w:spacing w:after="0"/>
            </w:pPr>
            <w:r/>
            <w:r>
              <w:rPr>
                <w:sz w:val="16"/>
              </w:rPr>
              <w:t>5.5 / 6.1 / 6.9 / 8.0</w:t>
            </w:r>
          </w:p>
        </w:tc>
      </w:tr>
      <w:tr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Extra investment a year by 2029</w:t>
            </w:r>
          </w:p>
        </w:tc>
        <w:tc>
          <w:tcPr>
            <w:tcW w:type="dxa" w:w="16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834 T (US$47 bn)</w:t>
            </w:r>
          </w:p>
        </w:tc>
        <w:tc>
          <w:tcPr>
            <w:tcW w:type="dxa" w:w="16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3,058 T (US$172 bn)</w:t>
            </w:r>
          </w:p>
        </w:tc>
        <w:tc>
          <w:tcPr>
            <w:tcW w:type="dxa" w:w="19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Rp 1,765 T (US$99 bn)</w:t>
            </w:r>
          </w:p>
        </w:tc>
      </w:tr>
      <w:tr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Investment growth needed a year</w:t>
            </w:r>
          </w:p>
        </w:tc>
        <w:tc>
          <w:tcPr>
            <w:tcW w:type="dxa" w:w="1679"/>
          </w:tcPr>
          <w:p>
            <w:pPr>
              <w:spacing w:after="0"/>
            </w:pPr>
            <w:r/>
            <w:r>
              <w:rPr>
                <w:sz w:val="16"/>
              </w:rPr>
              <w:t>8.9%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6"/>
              </w:rPr>
              <w:t>15.3%</w:t>
            </w:r>
          </w:p>
        </w:tc>
        <w:tc>
          <w:tcPr>
            <w:tcW w:type="dxa" w:w="1971"/>
          </w:tcPr>
          <w:p>
            <w:pPr>
              <w:spacing w:after="0"/>
            </w:pPr>
            <w:r/>
            <w:r>
              <w:rPr>
                <w:sz w:val="16"/>
              </w:rPr>
              <w:t>11.6%</w:t>
            </w:r>
          </w:p>
        </w:tc>
      </w:tr>
      <w:tr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Sector growth 2029: manufacturing / mining / construction / services</w:t>
            </w:r>
          </w:p>
        </w:tc>
        <w:tc>
          <w:tcPr>
            <w:tcW w:type="dxa" w:w="16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8.5 / 3.0 / 7.5 / 9.8</w:t>
            </w:r>
          </w:p>
        </w:tc>
        <w:tc>
          <w:tcPr>
            <w:tcW w:type="dxa" w:w="16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9.0 / 6.0 / 13.0 / 8.1</w:t>
            </w:r>
          </w:p>
        </w:tc>
        <w:tc>
          <w:tcPr>
            <w:tcW w:type="dxa" w:w="19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11.5 / 5.0 / 8.0 / 8.2</w:t>
            </w:r>
          </w:p>
        </w:tc>
      </w:tr>
      <w:tr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Extra national saving assumed</w:t>
            </w:r>
          </w:p>
        </w:tc>
        <w:tc>
          <w:tcPr>
            <w:tcW w:type="dxa" w:w="1679"/>
          </w:tcPr>
          <w:p>
            <w:pPr>
              <w:spacing w:after="0"/>
            </w:pPr>
            <w:r/>
            <w:r>
              <w:rPr>
                <w:sz w:val="16"/>
              </w:rPr>
              <w:t>+1.5 pp of GDP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6"/>
              </w:rPr>
              <w:t>+6.0 pp of GDP</w:t>
            </w:r>
          </w:p>
        </w:tc>
        <w:tc>
          <w:tcPr>
            <w:tcW w:type="dxa" w:w="1971"/>
          </w:tcPr>
          <w:p>
            <w:pPr>
              <w:spacing w:after="0"/>
            </w:pPr>
            <w:r/>
            <w:r>
              <w:rPr>
                <w:sz w:val="16"/>
              </w:rPr>
              <w:t>+4.0 pp of GDP</w:t>
            </w:r>
          </w:p>
        </w:tc>
      </w:tr>
      <w:tr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Current account 2029</w:t>
            </w:r>
          </w:p>
        </w:tc>
        <w:tc>
          <w:tcPr>
            <w:tcW w:type="dxa" w:w="16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−1.3% of GDP</w:t>
            </w:r>
          </w:p>
        </w:tc>
        <w:tc>
          <w:tcPr>
            <w:tcW w:type="dxa" w:w="16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−3.8% of GDP</w:t>
            </w:r>
          </w:p>
        </w:tc>
        <w:tc>
          <w:tcPr>
            <w:tcW w:type="dxa" w:w="19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−1.8% of GDP</w:t>
            </w:r>
          </w:p>
        </w:tc>
      </w:tr>
      <w:tr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Extra GDP in 2029 vs 5.1% baseline</w:t>
            </w:r>
          </w:p>
        </w:tc>
        <w:tc>
          <w:tcPr>
            <w:tcW w:type="dxa" w:w="1679"/>
          </w:tcPr>
          <w:p>
            <w:pPr>
              <w:spacing w:after="0"/>
            </w:pPr>
            <w:r/>
            <w:r>
              <w:rPr>
                <w:sz w:val="16"/>
              </w:rPr>
              <w:t>Rp 1,474 T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6"/>
              </w:rPr>
              <w:t>Rp 2,352 T</w:t>
            </w:r>
          </w:p>
        </w:tc>
        <w:tc>
          <w:tcPr>
            <w:tcW w:type="dxa" w:w="1971"/>
          </w:tcPr>
          <w:p>
            <w:pPr>
              <w:spacing w:after="0"/>
            </w:pPr>
            <w:r/>
            <w:r>
              <w:rPr>
                <w:sz w:val="16"/>
              </w:rPr>
              <w:t>Rp 1,726 T</w:t>
            </w:r>
          </w:p>
        </w:tc>
      </w:tr>
      <w:tr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Contribution of natural resources</w:t>
            </w:r>
          </w:p>
        </w:tc>
        <w:tc>
          <w:tcPr>
            <w:tcW w:type="dxa" w:w="16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+1.3 pp</w:t>
            </w:r>
          </w:p>
        </w:tc>
        <w:tc>
          <w:tcPr>
            <w:tcW w:type="dxa" w:w="16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+2.0 pp</w:t>
            </w:r>
          </w:p>
        </w:tc>
        <w:tc>
          <w:tcPr>
            <w:tcW w:type="dxa" w:w="19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≈ +1.5 pp</w:t>
            </w:r>
          </w:p>
        </w:tc>
      </w:tr>
      <w:tr>
        <w:tc>
          <w:tcPr>
            <w:tcW w:type="dxa" w:w="4381"/>
          </w:tcPr>
          <w:p>
            <w:pPr>
              <w:spacing w:after="0"/>
            </w:pPr>
            <w:r/>
            <w:r>
              <w:rPr>
                <w:sz w:val="16"/>
              </w:rPr>
              <w:t>Hardest assumption</w:t>
            </w:r>
          </w:p>
        </w:tc>
        <w:tc>
          <w:tcPr>
            <w:tcW w:type="dxa" w:w="1679"/>
          </w:tcPr>
          <w:p>
            <w:pPr>
              <w:spacing w:after="0"/>
            </w:pPr>
            <w:r/>
            <w:r>
              <w:rPr>
                <w:sz w:val="16"/>
              </w:rPr>
              <w:t>ICOR 3.95 in four years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6"/>
              </w:rPr>
              <w:t>Investment +15% a year</w:t>
            </w:r>
          </w:p>
        </w:tc>
        <w:tc>
          <w:tcPr>
            <w:tcW w:type="dxa" w:w="1971"/>
          </w:tcPr>
          <w:p>
            <w:pPr>
              <w:spacing w:after="0"/>
            </w:pPr>
            <w:r/>
            <w:r>
              <w:rPr>
                <w:sz w:val="16"/>
              </w:rPr>
              <w:t>Manufacturing +11.5% a year</w:t>
            </w:r>
          </w:p>
        </w:tc>
      </w:tr>
      <w:tr>
        <w:tc>
          <w:tcPr>
            <w:tcW w:type="dxa" w:w="43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Main risk</w:t>
            </w:r>
          </w:p>
        </w:tc>
        <w:tc>
          <w:tcPr>
            <w:tcW w:type="dxa" w:w="16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Reform politics</w:t>
            </w:r>
          </w:p>
        </w:tc>
        <w:tc>
          <w:tcPr>
            <w:tcW w:type="dxa" w:w="160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Balance of payments</w:t>
            </w:r>
          </w:p>
        </w:tc>
        <w:tc>
          <w:tcPr>
            <w:tcW w:type="dxa" w:w="19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Global markets</w:t>
            </w:r>
          </w:p>
        </w:tc>
      </w:tr>
    </w:tbl>
    <w:p>
      <w:pPr>
        <w:spacing w:after="40"/>
      </w:pPr>
    </w:p>
    <w:p>
      <w:pPr>
        <w:pStyle w:val="Heading2"/>
      </w:pPr>
      <w:r>
        <w:t>Table 13.1. Who does what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23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Institution</w:t>
            </w:r>
          </w:p>
        </w:tc>
        <w:tc>
          <w:tcPr>
            <w:tcW w:type="dxa" w:w="540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/>
            <w:r>
              <w:rPr>
                <w:sz w:val="16"/>
              </w:rPr>
              <w:t>Ministry of Finance</w:t>
            </w:r>
          </w:p>
        </w:tc>
        <w:tc>
          <w:tcPr>
            <w:tcW w:type="dxa" w:w="5404"/>
          </w:tcPr>
          <w:p>
            <w:pPr>
              <w:spacing w:after="0"/>
            </w:pPr>
            <w:r/>
            <w:r>
              <w:rPr>
                <w:sz w:val="16"/>
              </w:rPr>
              <w:t>Owns the fund; sets contribution and withdrawal rules; reports to Parliament</w:t>
            </w:r>
          </w:p>
        </w:tc>
      </w:tr>
      <w:tr>
        <w:tc>
          <w:tcPr>
            <w:tcW w:type="dxa" w:w="42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Independent reference-price committee</w:t>
            </w:r>
          </w:p>
        </w:tc>
        <w:tc>
          <w:tcPr>
            <w:tcW w:type="dxa" w:w="54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Sets commodity reference prices each year (Chile model)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/>
            <w:r>
              <w:rPr>
                <w:sz w:val="16"/>
              </w:rPr>
              <w:t>Danantara / DDMF</w:t>
            </w:r>
          </w:p>
        </w:tc>
        <w:tc>
          <w:tcPr>
            <w:tcW w:type="dxa" w:w="5404"/>
          </w:tcPr>
          <w:p>
            <w:pPr>
              <w:spacing w:after="0"/>
            </w:pPr>
            <w:r/>
            <w:r>
              <w:rPr>
                <w:sz w:val="16"/>
              </w:rPr>
              <w:t>Executes the development window under a mandate; screens and manages projects</w:t>
            </w:r>
          </w:p>
        </w:tc>
      </w:tr>
      <w:tr>
        <w:tc>
          <w:tcPr>
            <w:tcW w:type="dxa" w:w="42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Bappenas</w:t>
            </w:r>
          </w:p>
        </w:tc>
        <w:tc>
          <w:tcPr>
            <w:tcW w:type="dxa" w:w="54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Links the fund to the RPJMN; tracks the ICOR and the growth dashboard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/>
            <w:r>
              <w:rPr>
                <w:sz w:val="16"/>
              </w:rPr>
              <w:t>Ministry of Investment and Downstreaming (BKPM)</w:t>
            </w:r>
          </w:p>
        </w:tc>
        <w:tc>
          <w:tcPr>
            <w:tcW w:type="dxa" w:w="5404"/>
          </w:tcPr>
          <w:p>
            <w:pPr>
              <w:spacing w:after="0"/>
            </w:pPr>
            <w:r/>
            <w:r>
              <w:rPr>
                <w:sz w:val="16"/>
              </w:rPr>
              <w:t>Downstream investment pipeline, licensing, investor facilitation</w:t>
            </w:r>
          </w:p>
        </w:tc>
      </w:tr>
      <w:tr>
        <w:tc>
          <w:tcPr>
            <w:tcW w:type="dxa" w:w="42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Coordinating Ministry for Economic Affairs</w:t>
            </w:r>
          </w:p>
        </w:tc>
        <w:tc>
          <w:tcPr>
            <w:tcW w:type="dxa" w:w="54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Logistics-cost reform and cross-ministry coordination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/>
            <w:r>
              <w:rPr>
                <w:sz w:val="16"/>
              </w:rPr>
              <w:t>Ministry of Defence and KKIP</w:t>
            </w:r>
          </w:p>
        </w:tc>
        <w:tc>
          <w:tcPr>
            <w:tcW w:type="dxa" w:w="5404"/>
          </w:tcPr>
          <w:p>
            <w:pPr>
              <w:spacing w:after="0"/>
            </w:pPr>
            <w:r/>
            <w:r>
              <w:rPr>
                <w:sz w:val="16"/>
              </w:rPr>
              <w:t>Sovereignty tier, domestic-content and offset policy</w:t>
            </w:r>
          </w:p>
        </w:tc>
      </w:tr>
      <w:tr>
        <w:tc>
          <w:tcPr>
            <w:tcW w:type="dxa" w:w="42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Bank Indonesia</w:t>
            </w:r>
          </w:p>
        </w:tc>
        <w:tc>
          <w:tcPr>
            <w:tcW w:type="dxa" w:w="54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Macro-financial monitoring: current account, rupiah, inflation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/>
            <w:r>
              <w:rPr>
                <w:sz w:val="16"/>
              </w:rPr>
              <w:t>BPK and an independent investment committee</w:t>
            </w:r>
          </w:p>
        </w:tc>
        <w:tc>
          <w:tcPr>
            <w:tcW w:type="dxa" w:w="5404"/>
          </w:tcPr>
          <w:p>
            <w:pPr>
              <w:spacing w:after="0"/>
            </w:pPr>
            <w:r/>
            <w:r>
              <w:rPr>
                <w:sz w:val="16"/>
              </w:rPr>
              <w:t>Audit, project review and annual public report</w:t>
            </w:r>
          </w:p>
        </w:tc>
      </w:tr>
      <w:tr>
        <w:tc>
          <w:tcPr>
            <w:tcW w:type="dxa" w:w="42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Parliament (DPR)</w:t>
            </w:r>
          </w:p>
        </w:tc>
        <w:tc>
          <w:tcPr>
            <w:tcW w:type="dxa" w:w="540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Approves the Law and any rule change; receives annual reports</w:t>
            </w:r>
          </w:p>
        </w:tc>
      </w:tr>
    </w:tbl>
    <w:p>
      <w:pPr>
        <w:spacing w:after="40"/>
      </w:pPr>
    </w:p>
    <w:p>
      <w:pPr>
        <w:pStyle w:val="Heading2"/>
      </w:pPr>
      <w:r>
        <w:t>Table 13.2. Working plan by workstream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295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Lead and partners</w:t>
            </w:r>
          </w:p>
        </w:tc>
        <w:tc>
          <w:tcPr>
            <w:tcW w:type="dxa" w:w="334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Key outputs</w:t>
            </w:r>
          </w:p>
        </w:tc>
        <w:tc>
          <w:tcPr>
            <w:tcW w:type="dxa" w:w="139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Timing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/>
            <w:r>
              <w:rPr>
                <w:sz w:val="16"/>
              </w:rPr>
              <w:t>1. Fiscal modelling and calibration</w:t>
            </w:r>
          </w:p>
        </w:tc>
        <w:tc>
          <w:tcPr>
            <w:tcW w:type="dxa" w:w="2953"/>
          </w:tcPr>
          <w:p>
            <w:pPr>
              <w:spacing w:after="0"/>
            </w:pPr>
            <w:r/>
            <w:r>
              <w:rPr>
                <w:sz w:val="16"/>
              </w:rPr>
              <w:t>MoF (BKF) with BI, ESDM</w:t>
            </w:r>
          </w:p>
        </w:tc>
        <w:tc>
          <w:tcPr>
            <w:tcW w:type="dxa" w:w="3343"/>
          </w:tcPr>
          <w:p>
            <w:pPr>
              <w:spacing w:after="0"/>
            </w:pPr>
            <w:r/>
            <w:r>
              <w:rPr>
                <w:sz w:val="16"/>
              </w:rPr>
              <w:t>Reference-price method; contribution shares; withdrawal caps; revenue scenarios</w:t>
            </w:r>
          </w:p>
        </w:tc>
        <w:tc>
          <w:tcPr>
            <w:tcW w:type="dxa" w:w="1393"/>
          </w:tcPr>
          <w:p>
            <w:pPr>
              <w:spacing w:after="0"/>
            </w:pPr>
            <w:r/>
            <w:r>
              <w:rPr>
                <w:sz w:val="16"/>
              </w:rPr>
              <w:t>Q4 2026 – Q2 2027</w:t>
            </w:r>
          </w:p>
        </w:tc>
      </w:tr>
      <w:tr>
        <w:tc>
          <w:tcPr>
            <w:tcW w:type="dxa" w:w="19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 Legal drafting</w:t>
            </w:r>
          </w:p>
        </w:tc>
        <w:tc>
          <w:tcPr>
            <w:tcW w:type="dxa" w:w="29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MoF with Ministry of Law, BI; DPR Commission XI</w:t>
            </w:r>
          </w:p>
        </w:tc>
        <w:tc>
          <w:tcPr>
            <w:tcW w:type="dxa" w:w="33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Academic paper (naskah akademik); draft Law; Prolegnas entry; enactment</w:t>
            </w:r>
          </w:p>
        </w:tc>
        <w:tc>
          <w:tcPr>
            <w:tcW w:type="dxa" w:w="13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 – 2028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/>
            <w:r>
              <w:rPr>
                <w:sz w:val="16"/>
              </w:rPr>
              <w:t>3. Reference Price Committee</w:t>
            </w:r>
          </w:p>
        </w:tc>
        <w:tc>
          <w:tcPr>
            <w:tcW w:type="dxa" w:w="2953"/>
          </w:tcPr>
          <w:p>
            <w:pPr>
              <w:spacing w:after="0"/>
            </w:pPr>
            <w:r/>
            <w:r>
              <w:rPr>
                <w:sz w:val="16"/>
              </w:rPr>
              <w:t>MoF; independent experts; universities</w:t>
            </w:r>
          </w:p>
        </w:tc>
        <w:tc>
          <w:tcPr>
            <w:tcW w:type="dxa" w:w="3343"/>
          </w:tcPr>
          <w:p>
            <w:pPr>
              <w:spacing w:after="0"/>
            </w:pPr>
            <w:r/>
            <w:r>
              <w:rPr>
                <w:sz w:val="16"/>
              </w:rPr>
              <w:t>Committee charter, membership, first published reference prices</w:t>
            </w:r>
          </w:p>
        </w:tc>
        <w:tc>
          <w:tcPr>
            <w:tcW w:type="dxa" w:w="1393"/>
          </w:tcPr>
          <w:p>
            <w:pPr>
              <w:spacing w:after="0"/>
            </w:pPr>
            <w:r/>
            <w:r>
              <w:rPr>
                <w:sz w:val="16"/>
              </w:rPr>
              <w:t>2028 – 2029</w:t>
            </w:r>
          </w:p>
        </w:tc>
      </w:tr>
      <w:tr>
        <w:tc>
          <w:tcPr>
            <w:tcW w:type="dxa" w:w="19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 Revenue base review</w:t>
            </w:r>
          </w:p>
        </w:tc>
        <w:tc>
          <w:tcPr>
            <w:tcW w:type="dxa" w:w="29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MoF (DJP, DJA), ESDM, Ministry of Investment</w:t>
            </w:r>
          </w:p>
        </w:tc>
        <w:tc>
          <w:tcPr>
            <w:tcW w:type="dxa" w:w="33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Review of smelter tax holidays and royalty design; nickel and copper inclusion plan</w:t>
            </w:r>
          </w:p>
        </w:tc>
        <w:tc>
          <w:tcPr>
            <w:tcW w:type="dxa" w:w="13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 – 2030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/>
            <w:r>
              <w:rPr>
                <w:sz w:val="16"/>
              </w:rPr>
              <w:t>5. Palm oil levy reform</w:t>
            </w:r>
          </w:p>
        </w:tc>
        <w:tc>
          <w:tcPr>
            <w:tcW w:type="dxa" w:w="2953"/>
          </w:tcPr>
          <w:p>
            <w:pPr>
              <w:spacing w:after="0"/>
            </w:pPr>
            <w:r/>
            <w:r>
              <w:rPr>
                <w:sz w:val="16"/>
              </w:rPr>
              <w:t>Coordinating Ministry for Economic Affairs, BPDP, MoF</w:t>
            </w:r>
          </w:p>
        </w:tc>
        <w:tc>
          <w:tcPr>
            <w:tcW w:type="dxa" w:w="3343"/>
          </w:tcPr>
          <w:p>
            <w:pPr>
              <w:spacing w:after="0"/>
            </w:pPr>
            <w:r/>
            <w:r>
              <w:rPr>
                <w:sz w:val="16"/>
              </w:rPr>
              <w:t>Levy saving rule; ring-fenced replanting; biodiesel budget ceiling</w:t>
            </w:r>
          </w:p>
        </w:tc>
        <w:tc>
          <w:tcPr>
            <w:tcW w:type="dxa" w:w="1393"/>
          </w:tcPr>
          <w:p>
            <w:pPr>
              <w:spacing w:after="0"/>
            </w:pPr>
            <w:r/>
            <w:r>
              <w:rPr>
                <w:sz w:val="16"/>
              </w:rPr>
              <w:t>2028 – 2030</w:t>
            </w:r>
          </w:p>
        </w:tc>
      </w:tr>
      <w:tr>
        <w:tc>
          <w:tcPr>
            <w:tcW w:type="dxa" w:w="19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 Fund operations</w:t>
            </w:r>
          </w:p>
        </w:tc>
        <w:tc>
          <w:tcPr>
            <w:tcW w:type="dxa" w:w="29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BI (operational manager), MoF (owner)</w:t>
            </w:r>
          </w:p>
        </w:tc>
        <w:tc>
          <w:tcPr>
            <w:tcW w:type="dxa" w:w="33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Investment mandate; custody; risk framework; first deposits</w:t>
            </w:r>
          </w:p>
        </w:tc>
        <w:tc>
          <w:tcPr>
            <w:tcW w:type="dxa" w:w="13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 – 2029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/>
            <w:r>
              <w:rPr>
                <w:sz w:val="16"/>
              </w:rPr>
              <w:t>7. Transparency and regions</w:t>
            </w:r>
          </w:p>
        </w:tc>
        <w:tc>
          <w:tcPr>
            <w:tcW w:type="dxa" w:w="2953"/>
          </w:tcPr>
          <w:p>
            <w:pPr>
              <w:spacing w:after="0"/>
            </w:pPr>
            <w:r/>
            <w:r>
              <w:rPr>
                <w:sz w:val="16"/>
              </w:rPr>
              <w:t>BPK, DPR, Ministry of Home Affairs, regions</w:t>
            </w:r>
          </w:p>
        </w:tc>
        <w:tc>
          <w:tcPr>
            <w:tcW w:type="dxa" w:w="3343"/>
          </w:tcPr>
          <w:p>
            <w:pPr>
              <w:spacing w:after="0"/>
            </w:pPr>
            <w:r/>
            <w:r>
              <w:rPr>
                <w:sz w:val="16"/>
              </w:rPr>
              <w:t>Annual and quarterly reports; audit; Dana Abadi SDA Daerah rules</w:t>
            </w:r>
          </w:p>
        </w:tc>
        <w:tc>
          <w:tcPr>
            <w:tcW w:type="dxa" w:w="1393"/>
          </w:tcPr>
          <w:p>
            <w:pPr>
              <w:spacing w:after="0"/>
            </w:pPr>
            <w:r/>
            <w:r>
              <w:rPr>
                <w:sz w:val="16"/>
              </w:rPr>
              <w:t>2029 onwards</w:t>
            </w:r>
          </w:p>
        </w:tc>
      </w:tr>
      <w:tr>
        <w:tc>
          <w:tcPr>
            <w:tcW w:type="dxa" w:w="195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 Data and monitoring</w:t>
            </w:r>
          </w:p>
        </w:tc>
        <w:tc>
          <w:tcPr>
            <w:tcW w:type="dxa" w:w="29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BPS, BI, MoF</w:t>
            </w:r>
          </w:p>
        </w:tc>
        <w:tc>
          <w:tcPr>
            <w:tcW w:type="dxa" w:w="334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revenue dashboard; export and revenue series; first full-cycle review</w:t>
            </w:r>
          </w:p>
        </w:tc>
        <w:tc>
          <w:tcPr>
            <w:tcW w:type="dxa" w:w="139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 onwards; review 2032</w:t>
            </w:r>
          </w:p>
        </w:tc>
      </w:tr>
    </w:tbl>
    <w:p>
      <w:pPr>
        <w:spacing w:after="40"/>
      </w:pPr>
    </w:p>
    <w:p>
      <w:pPr>
        <w:pStyle w:val="Heading2"/>
      </w:pPr>
      <w:r>
        <w:t>Table 13.3. Key success factors and indicators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69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Success factor</w:t>
            </w:r>
          </w:p>
        </w:tc>
        <w:tc>
          <w:tcPr>
            <w:tcW w:type="dxa" w:w="386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407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Indicator of success</w:t>
            </w:r>
          </w:p>
        </w:tc>
      </w:tr>
      <w:tr>
        <w:tc>
          <w:tcPr>
            <w:tcW w:type="dxa" w:w="1697"/>
          </w:tcPr>
          <w:p>
            <w:pPr>
              <w:spacing w:after="0"/>
            </w:pPr>
            <w:r/>
            <w:r>
              <w:rPr>
                <w:sz w:val="16"/>
              </w:rPr>
              <w:t>Legal durability</w:t>
            </w:r>
          </w:p>
        </w:tc>
        <w:tc>
          <w:tcPr>
            <w:tcW w:type="dxa" w:w="3869"/>
          </w:tcPr>
          <w:p>
            <w:pPr>
              <w:spacing w:after="0"/>
            </w:pPr>
            <w:r/>
            <w:r>
              <w:rPr>
                <w:sz w:val="16"/>
              </w:rPr>
              <w:t>Rules protected by Law survive changes of government</w:t>
            </w:r>
          </w:p>
        </w:tc>
        <w:tc>
          <w:tcPr>
            <w:tcW w:type="dxa" w:w="4072"/>
          </w:tcPr>
          <w:p>
            <w:pPr>
              <w:spacing w:after="0"/>
            </w:pPr>
            <w:r/>
            <w:r>
              <w:rPr>
                <w:sz w:val="16"/>
              </w:rPr>
              <w:t>Fund established by Law; no weakening amendment in the first cycle</w:t>
            </w:r>
          </w:p>
        </w:tc>
      </w:tr>
      <w:tr>
        <w:tc>
          <w:tcPr>
            <w:tcW w:type="dxa" w:w="169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Independent price-setting</w:t>
            </w:r>
          </w:p>
        </w:tc>
        <w:tc>
          <w:tcPr>
            <w:tcW w:type="dxa" w:w="38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Removes the incentive to declare a boom permanent</w:t>
            </w:r>
          </w:p>
        </w:tc>
        <w:tc>
          <w:tcPr>
            <w:tcW w:type="dxa" w:w="40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Committee outside MoF; methods and prices published before each budget</w:t>
            </w:r>
          </w:p>
        </w:tc>
      </w:tr>
      <w:tr>
        <w:tc>
          <w:tcPr>
            <w:tcW w:type="dxa" w:w="1697"/>
          </w:tcPr>
          <w:p>
            <w:pPr>
              <w:spacing w:after="0"/>
            </w:pPr>
            <w:r/>
            <w:r>
              <w:rPr>
                <w:sz w:val="16"/>
              </w:rPr>
              <w:t>Automatic rules</w:t>
            </w:r>
          </w:p>
        </w:tc>
        <w:tc>
          <w:tcPr>
            <w:tcW w:type="dxa" w:w="3869"/>
          </w:tcPr>
          <w:p>
            <w:pPr>
              <w:spacing w:after="0"/>
            </w:pPr>
            <w:r/>
            <w:r>
              <w:rPr>
                <w:sz w:val="16"/>
              </w:rPr>
              <w:t>Saving does not depend on annual political decisions</w:t>
            </w:r>
          </w:p>
        </w:tc>
        <w:tc>
          <w:tcPr>
            <w:tcW w:type="dxa" w:w="4072"/>
          </w:tcPr>
          <w:p>
            <w:pPr>
              <w:spacing w:after="0"/>
            </w:pPr>
            <w:r/>
            <w:r>
              <w:rPr>
                <w:sz w:val="16"/>
              </w:rPr>
              <w:t>Deposits made in every year as the Law requires; withdrawals within caps</w:t>
            </w:r>
          </w:p>
        </w:tc>
      </w:tr>
      <w:tr>
        <w:tc>
          <w:tcPr>
            <w:tcW w:type="dxa" w:w="169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Transparency</w:t>
            </w:r>
          </w:p>
        </w:tc>
        <w:tc>
          <w:tcPr>
            <w:tcW w:type="dxa" w:w="38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Public scrutiny deters misuse and builds trust</w:t>
            </w:r>
          </w:p>
        </w:tc>
        <w:tc>
          <w:tcPr>
            <w:tcW w:type="dxa" w:w="40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Quarterly reports; BPK audit opinion; Santiago Principles self-assessment</w:t>
            </w:r>
          </w:p>
        </w:tc>
      </w:tr>
      <w:tr>
        <w:tc>
          <w:tcPr>
            <w:tcW w:type="dxa" w:w="1697"/>
          </w:tcPr>
          <w:p>
            <w:pPr>
              <w:spacing w:after="0"/>
            </w:pPr>
            <w:r/>
            <w:r>
              <w:rPr>
                <w:sz w:val="16"/>
              </w:rPr>
              <w:t>Broad political ownership</w:t>
            </w:r>
          </w:p>
        </w:tc>
        <w:tc>
          <w:tcPr>
            <w:tcW w:type="dxa" w:w="3869"/>
          </w:tcPr>
          <w:p>
            <w:pPr>
              <w:spacing w:after="0"/>
            </w:pPr>
            <w:r/>
            <w:r>
              <w:rPr>
                <w:sz w:val="16"/>
              </w:rPr>
              <w:t>Consensus sustains the rules through cycles, as in Norway</w:t>
            </w:r>
          </w:p>
        </w:tc>
        <w:tc>
          <w:tcPr>
            <w:tcW w:type="dxa" w:w="4072"/>
          </w:tcPr>
          <w:p>
            <w:pPr>
              <w:spacing w:after="0"/>
            </w:pPr>
            <w:r/>
            <w:r>
              <w:rPr>
                <w:sz w:val="16"/>
              </w:rPr>
              <w:t>Cross-party support in the DPR; regional participation</w:t>
            </w:r>
          </w:p>
        </w:tc>
      </w:tr>
      <w:tr>
        <w:tc>
          <w:tcPr>
            <w:tcW w:type="dxa" w:w="169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Visible benefits</w:t>
            </w:r>
          </w:p>
        </w:tc>
        <w:tc>
          <w:tcPr>
            <w:tcW w:type="dxa" w:w="386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Citizens defend a fund they can see working for them</w:t>
            </w:r>
          </w:p>
        </w:tc>
        <w:tc>
          <w:tcPr>
            <w:tcW w:type="dxa" w:w="407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Regional endowment allocations; development spending financed by returns</w:t>
            </w:r>
          </w:p>
        </w:tc>
      </w:tr>
      <w:tr>
        <w:tc>
          <w:tcPr>
            <w:tcW w:type="dxa" w:w="1697"/>
          </w:tcPr>
          <w:p>
            <w:pPr>
              <w:spacing w:after="0"/>
            </w:pPr>
            <w:r/>
            <w:r>
              <w:rPr>
                <w:sz w:val="16"/>
              </w:rPr>
              <w:t>Gradual phasing</w:t>
            </w:r>
          </w:p>
        </w:tc>
        <w:tc>
          <w:tcPr>
            <w:tcW w:type="dxa" w:w="3869"/>
          </w:tcPr>
          <w:p>
            <w:pPr>
              <w:spacing w:after="0"/>
            </w:pPr>
            <w:r/>
            <w:r>
              <w:rPr>
                <w:sz w:val="16"/>
              </w:rPr>
              <w:t>Early success builds credibility</w:t>
            </w:r>
          </w:p>
        </w:tc>
        <w:tc>
          <w:tcPr>
            <w:tcW w:type="dxa" w:w="4072"/>
          </w:tcPr>
          <w:p>
            <w:pPr>
              <w:spacing w:after="0"/>
            </w:pPr>
            <w:r/>
            <w:r>
              <w:rPr>
                <w:sz w:val="16"/>
              </w:rPr>
              <w:t>Oil, gas and coal first; palm oil and nickel added on schedule</w:t>
            </w:r>
          </w:p>
        </w:tc>
      </w:tr>
    </w:tbl>
    <w:p>
      <w:pPr>
        <w:spacing w:after="40"/>
      </w:pPr>
    </w:p>
    <w:p>
      <w:pPr>
        <w:pStyle w:val="Heading2"/>
      </w:pPr>
      <w:r>
        <w:t>Table 14.1. Growth and fund dashboard: targets and triggers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92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type="dxa" w:w="93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2025</w:t>
            </w:r>
          </w:p>
        </w:tc>
        <w:tc>
          <w:tcPr>
            <w:tcW w:type="dxa" w:w="86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2029 target</w:t>
            </w:r>
          </w:p>
        </w:tc>
        <w:tc>
          <w:tcPr>
            <w:tcW w:type="dxa" w:w="259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Red flag (trigger)</w:t>
            </w:r>
          </w:p>
        </w:tc>
        <w:tc>
          <w:tcPr>
            <w:tcW w:type="dxa" w:w="232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925"/>
          </w:tcPr>
          <w:p>
            <w:pPr>
              <w:spacing w:after="0"/>
            </w:pPr>
            <w:r/>
            <w:r>
              <w:rPr>
                <w:sz w:val="16"/>
              </w:rPr>
              <w:t>Real GDP growth (%)</w:t>
            </w:r>
          </w:p>
        </w:tc>
        <w:tc>
          <w:tcPr>
            <w:tcW w:type="dxa" w:w="931"/>
          </w:tcPr>
          <w:p>
            <w:pPr>
              <w:spacing w:after="0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6"/>
              </w:rPr>
              <w:t>8.0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Below 6.0% for four quarters after 2027</w:t>
            </w:r>
          </w:p>
        </w:tc>
        <w:tc>
          <w:tcPr>
            <w:tcW w:type="dxa" w:w="2326"/>
          </w:tcPr>
          <w:p>
            <w:pPr>
              <w:spacing w:after="0"/>
            </w:pPr>
            <w:r/>
            <w:r>
              <w:rPr>
                <w:sz w:val="16"/>
              </w:rPr>
              <w:t>Bappenas, BPS</w:t>
            </w:r>
          </w:p>
        </w:tc>
      </w:tr>
      <w:tr>
        <w:tc>
          <w:tcPr>
            <w:tcW w:type="dxa" w:w="29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Investment, PMTB (% of GDP)</w:t>
            </w:r>
          </w:p>
        </w:tc>
        <w:tc>
          <w:tcPr>
            <w:tcW w:type="dxa" w:w="9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28.8</w:t>
            </w:r>
          </w:p>
        </w:tc>
        <w:tc>
          <w:tcPr>
            <w:tcW w:type="dxa" w:w="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33–34</w:t>
            </w:r>
          </w:p>
        </w:tc>
        <w:tc>
          <w:tcPr>
            <w:tcW w:type="dxa" w:w="25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Below 30% in 2027</w:t>
            </w:r>
          </w:p>
        </w:tc>
        <w:tc>
          <w:tcPr>
            <w:tcW w:type="dxa" w:w="23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Bappenas, BKPM</w:t>
            </w:r>
          </w:p>
        </w:tc>
      </w:tr>
      <w:tr>
        <w:tc>
          <w:tcPr>
            <w:tcW w:type="dxa" w:w="2925"/>
          </w:tcPr>
          <w:p>
            <w:pPr>
              <w:spacing w:after="0"/>
            </w:pPr>
            <w:r/>
            <w:r>
              <w:rPr>
                <w:sz w:val="16"/>
              </w:rPr>
              <w:t>Open unemployment rate (%)</w:t>
            </w:r>
          </w:p>
        </w:tc>
        <w:tc>
          <w:tcPr>
            <w:tcW w:type="dxa" w:w="931"/>
          </w:tcPr>
          <w:p>
            <w:pPr>
              <w:spacing w:after="0"/>
            </w:pPr>
            <w:r/>
            <w:r>
              <w:rPr>
                <w:sz w:val="16"/>
              </w:rPr>
              <w:t>4.7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6"/>
              </w:rPr>
              <w:t>3.7–4.0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Above 4.5% in 2028</w:t>
            </w:r>
          </w:p>
        </w:tc>
        <w:tc>
          <w:tcPr>
            <w:tcW w:type="dxa" w:w="2326"/>
          </w:tcPr>
          <w:p>
            <w:pPr>
              <w:spacing w:after="0"/>
            </w:pPr>
            <w:r/>
            <w:r>
              <w:rPr>
                <w:sz w:val="16"/>
              </w:rPr>
              <w:t>Ministry of Manpower, BPS</w:t>
            </w:r>
          </w:p>
        </w:tc>
      </w:tr>
      <w:tr>
        <w:tc>
          <w:tcPr>
            <w:tcW w:type="dxa" w:w="29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ICOR</w:t>
            </w:r>
          </w:p>
        </w:tc>
        <w:tc>
          <w:tcPr>
            <w:tcW w:type="dxa" w:w="9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5.6</w:t>
            </w:r>
          </w:p>
        </w:tc>
        <w:tc>
          <w:tcPr>
            <w:tcW w:type="dxa" w:w="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≤ 4.3</w:t>
            </w:r>
          </w:p>
        </w:tc>
        <w:tc>
          <w:tcPr>
            <w:tcW w:type="dxa" w:w="25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Above 5.0 in 2028</w:t>
            </w:r>
          </w:p>
        </w:tc>
        <w:tc>
          <w:tcPr>
            <w:tcW w:type="dxa" w:w="23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Bappenas</w:t>
            </w:r>
          </w:p>
        </w:tc>
      </w:tr>
      <w:tr>
        <w:tc>
          <w:tcPr>
            <w:tcW w:type="dxa" w:w="2925"/>
          </w:tcPr>
          <w:p>
            <w:pPr>
              <w:spacing w:after="0"/>
            </w:pPr>
            <w:r/>
            <w:r>
              <w:rPr>
                <w:sz w:val="16"/>
              </w:rPr>
              <w:t>Manufacturing growth (%)</w:t>
            </w:r>
          </w:p>
        </w:tc>
        <w:tc>
          <w:tcPr>
            <w:tcW w:type="dxa" w:w="931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6"/>
              </w:rPr>
              <w:t>≥ 10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Below 7% in 2028</w:t>
            </w:r>
          </w:p>
        </w:tc>
        <w:tc>
          <w:tcPr>
            <w:tcW w:type="dxa" w:w="2326"/>
          </w:tcPr>
          <w:p>
            <w:pPr>
              <w:spacing w:after="0"/>
            </w:pPr>
            <w:r/>
            <w:r>
              <w:rPr>
                <w:sz w:val="16"/>
              </w:rPr>
              <w:t>Ministry of Industry</w:t>
            </w:r>
          </w:p>
        </w:tc>
      </w:tr>
      <w:tr>
        <w:tc>
          <w:tcPr>
            <w:tcW w:type="dxa" w:w="29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Downstream investment (Rp T a year)</w:t>
            </w:r>
          </w:p>
        </w:tc>
        <w:tc>
          <w:tcPr>
            <w:tcW w:type="dxa" w:w="9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584</w:t>
            </w:r>
          </w:p>
        </w:tc>
        <w:tc>
          <w:tcPr>
            <w:tcW w:type="dxa" w:w="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≥ 1,000</w:t>
            </w:r>
          </w:p>
        </w:tc>
        <w:tc>
          <w:tcPr>
            <w:tcW w:type="dxa" w:w="25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Below 700 in 2027</w:t>
            </w:r>
          </w:p>
        </w:tc>
        <w:tc>
          <w:tcPr>
            <w:tcW w:type="dxa" w:w="23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BKPM</w:t>
            </w:r>
          </w:p>
        </w:tc>
      </w:tr>
      <w:tr>
        <w:tc>
          <w:tcPr>
            <w:tcW w:type="dxa" w:w="2925"/>
          </w:tcPr>
          <w:p>
            <w:pPr>
              <w:spacing w:after="0"/>
            </w:pPr>
            <w:r/>
            <w:r>
              <w:rPr>
                <w:sz w:val="16"/>
              </w:rPr>
              <w:t>Mining growth (%)</w:t>
            </w:r>
          </w:p>
        </w:tc>
        <w:tc>
          <w:tcPr>
            <w:tcW w:type="dxa" w:w="931"/>
          </w:tcPr>
          <w:p>
            <w:pPr>
              <w:spacing w:after="0"/>
            </w:pPr>
            <w:r/>
            <w:r>
              <w:rPr>
                <w:sz w:val="16"/>
              </w:rPr>
              <w:t>−0.7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6"/>
              </w:rPr>
              <w:t>≥ 3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Negative in 2027</w:t>
            </w:r>
          </w:p>
        </w:tc>
        <w:tc>
          <w:tcPr>
            <w:tcW w:type="dxa" w:w="2326"/>
          </w:tcPr>
          <w:p>
            <w:pPr>
              <w:spacing w:after="0"/>
            </w:pPr>
            <w:r/>
            <w:r>
              <w:rPr>
                <w:sz w:val="16"/>
              </w:rPr>
              <w:t>Ministry of Energy</w:t>
            </w:r>
          </w:p>
        </w:tc>
      </w:tr>
      <w:tr>
        <w:tc>
          <w:tcPr>
            <w:tcW w:type="dxa" w:w="29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Logistics cost (% of GDP)</w:t>
            </w:r>
          </w:p>
        </w:tc>
        <w:tc>
          <w:tcPr>
            <w:tcW w:type="dxa" w:w="9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14.3</w:t>
            </w:r>
          </w:p>
        </w:tc>
        <w:tc>
          <w:tcPr>
            <w:tcW w:type="dxa" w:w="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≤ 9</w:t>
            </w:r>
          </w:p>
        </w:tc>
        <w:tc>
          <w:tcPr>
            <w:tcW w:type="dxa" w:w="25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Above 12% in 2028</w:t>
            </w:r>
          </w:p>
        </w:tc>
        <w:tc>
          <w:tcPr>
            <w:tcW w:type="dxa" w:w="23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Coordinating Ministry</w:t>
            </w:r>
          </w:p>
        </w:tc>
      </w:tr>
      <w:tr>
        <w:tc>
          <w:tcPr>
            <w:tcW w:type="dxa" w:w="2925"/>
          </w:tcPr>
          <w:p>
            <w:pPr>
              <w:spacing w:after="0"/>
            </w:pPr>
            <w:r/>
            <w:r>
              <w:rPr>
                <w:sz w:val="16"/>
              </w:rPr>
              <w:t>Current account (% of GDP)</w:t>
            </w:r>
          </w:p>
        </w:tc>
        <w:tc>
          <w:tcPr>
            <w:tcW w:type="dxa" w:w="931"/>
          </w:tcPr>
          <w:p>
            <w:pPr>
              <w:spacing w:after="0"/>
            </w:pPr>
            <w:r/>
            <w:r>
              <w:rPr>
                <w:sz w:val="16"/>
              </w:rPr>
              <w:t>−0.1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6"/>
              </w:rPr>
              <w:t>≥ −2.5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Below −2.5%</w:t>
            </w:r>
          </w:p>
        </w:tc>
        <w:tc>
          <w:tcPr>
            <w:tcW w:type="dxa" w:w="2326"/>
          </w:tcPr>
          <w:p>
            <w:pPr>
              <w:spacing w:after="0"/>
            </w:pPr>
            <w:r/>
            <w:r>
              <w:rPr>
                <w:sz w:val="16"/>
              </w:rPr>
              <w:t>Bank Indonesia</w:t>
            </w:r>
          </w:p>
        </w:tc>
      </w:tr>
      <w:tr>
        <w:tc>
          <w:tcPr>
            <w:tcW w:type="dxa" w:w="29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Inflation (%)</w:t>
            </w:r>
          </w:p>
        </w:tc>
        <w:tc>
          <w:tcPr>
            <w:tcW w:type="dxa" w:w="9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Target 2.5 ± 1</w:t>
            </w:r>
          </w:p>
        </w:tc>
        <w:tc>
          <w:tcPr>
            <w:tcW w:type="dxa" w:w="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Within target</w:t>
            </w:r>
          </w:p>
        </w:tc>
        <w:tc>
          <w:tcPr>
            <w:tcW w:type="dxa" w:w="25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Above 3.5% for two quarters</w:t>
            </w:r>
          </w:p>
        </w:tc>
        <w:tc>
          <w:tcPr>
            <w:tcW w:type="dxa" w:w="23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Bank Indonesia</w:t>
            </w:r>
          </w:p>
        </w:tc>
      </w:tr>
      <w:tr>
        <w:tc>
          <w:tcPr>
            <w:tcW w:type="dxa" w:w="2925"/>
          </w:tcPr>
          <w:p>
            <w:pPr>
              <w:spacing w:after="0"/>
            </w:pPr>
            <w:r/>
            <w:r>
              <w:rPr>
                <w:sz w:val="16"/>
              </w:rPr>
              <w:t>Share of resource PNBP saved</w:t>
            </w:r>
          </w:p>
        </w:tc>
        <w:tc>
          <w:tcPr>
            <w:tcW w:type="dxa" w:w="931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6"/>
              </w:rPr>
              <w:t>40% (2027–34)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Any shortfall</w:t>
            </w:r>
          </w:p>
        </w:tc>
        <w:tc>
          <w:tcPr>
            <w:tcW w:type="dxa" w:w="2326"/>
          </w:tcPr>
          <w:p>
            <w:pPr>
              <w:spacing w:after="0"/>
            </w:pPr>
            <w:r/>
            <w:r>
              <w:rPr>
                <w:sz w:val="16"/>
              </w:rPr>
              <w:t>Ministry of Finance</w:t>
            </w:r>
          </w:p>
        </w:tc>
      </w:tr>
      <w:tr>
        <w:tc>
          <w:tcPr>
            <w:tcW w:type="dxa" w:w="29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Pipeline funded by natural resources</w:t>
            </w:r>
          </w:p>
        </w:tc>
        <w:tc>
          <w:tcPr>
            <w:tcW w:type="dxa" w:w="9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≥ 50%</w:t>
            </w:r>
          </w:p>
        </w:tc>
        <w:tc>
          <w:tcPr>
            <w:tcW w:type="dxa" w:w="25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Below 40%</w:t>
            </w:r>
          </w:p>
        </w:tc>
        <w:tc>
          <w:tcPr>
            <w:tcW w:type="dxa" w:w="23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Ministry of Finance, Danantara</w:t>
            </w:r>
          </w:p>
        </w:tc>
      </w:tr>
      <w:tr>
        <w:tc>
          <w:tcPr>
            <w:tcW w:type="dxa" w:w="2925"/>
          </w:tcPr>
          <w:p>
            <w:pPr>
              <w:spacing w:after="0"/>
            </w:pPr>
            <w:r/>
            <w:r>
              <w:rPr>
                <w:sz w:val="16"/>
              </w:rPr>
              <w:t>DDMF projects passing the gate; cost overrun</w:t>
            </w:r>
          </w:p>
        </w:tc>
        <w:tc>
          <w:tcPr>
            <w:tcW w:type="dxa" w:w="931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6"/>
              </w:rPr>
              <w:t>100%; &lt; 15%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Overrun above 15%</w:t>
            </w:r>
          </w:p>
        </w:tc>
        <w:tc>
          <w:tcPr>
            <w:tcW w:type="dxa" w:w="2326"/>
          </w:tcPr>
          <w:p>
            <w:pPr>
              <w:spacing w:after="0"/>
            </w:pPr>
            <w:r/>
            <w:r>
              <w:rPr>
                <w:sz w:val="16"/>
              </w:rPr>
              <w:t>DDMF, investment committee</w:t>
            </w:r>
          </w:p>
        </w:tc>
      </w:tr>
      <w:tr>
        <w:tc>
          <w:tcPr>
            <w:tcW w:type="dxa" w:w="29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domestic content (%)</w:t>
            </w:r>
          </w:p>
        </w:tc>
        <w:tc>
          <w:tcPr>
            <w:tcW w:type="dxa" w:w="93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864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≥ 60</w:t>
            </w:r>
          </w:p>
        </w:tc>
        <w:tc>
          <w:tcPr>
            <w:tcW w:type="dxa" w:w="2592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Below 45% in 2028</w:t>
            </w:r>
          </w:p>
        </w:tc>
        <w:tc>
          <w:tcPr>
            <w:tcW w:type="dxa" w:w="232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Ministry of Defence, KKIP</w:t>
            </w:r>
          </w:p>
        </w:tc>
      </w:tr>
      <w:tr>
        <w:tc>
          <w:tcPr>
            <w:tcW w:type="dxa" w:w="2925"/>
          </w:tcPr>
          <w:p>
            <w:pPr>
              <w:spacing w:after="0"/>
            </w:pPr>
            <w:r/>
            <w:r>
              <w:rPr>
                <w:sz w:val="16"/>
              </w:rPr>
              <w:t>Defence imports (US$ bn a year)</w:t>
            </w:r>
          </w:p>
        </w:tc>
        <w:tc>
          <w:tcPr>
            <w:tcW w:type="dxa" w:w="931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6"/>
              </w:rPr>
              <w:t>≤ 7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Above 9</w:t>
            </w:r>
          </w:p>
        </w:tc>
        <w:tc>
          <w:tcPr>
            <w:tcW w:type="dxa" w:w="2326"/>
          </w:tcPr>
          <w:p>
            <w:pPr>
              <w:spacing w:after="0"/>
            </w:pPr>
            <w:r/>
            <w:r>
              <w:rPr>
                <w:sz w:val="16"/>
              </w:rPr>
              <w:t>Ministry of Defence, Bank Indonesia</w:t>
            </w:r>
          </w:p>
        </w:tc>
      </w:tr>
    </w:tbl>
    <w:p>
      <w:pPr>
        <w:spacing w:after="40"/>
      </w:pPr>
    </w:p>
    <w:p>
      <w:pPr>
        <w:pStyle w:val="Heading2"/>
      </w:pPr>
      <w:r>
        <w:t>Table 14.2. Risk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82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5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47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477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823"/>
          </w:tcPr>
          <w:p>
            <w:pPr>
              <w:spacing w:after="0"/>
            </w:pPr>
            <w:r/>
            <w:r>
              <w:rPr>
                <w:sz w:val="16"/>
              </w:rPr>
              <w:t>Political pressure to spend windfalls</w:t>
            </w:r>
          </w:p>
        </w:tc>
        <w:tc>
          <w:tcPr>
            <w:tcW w:type="dxa" w:w="558"/>
          </w:tcPr>
          <w:p>
            <w:pPr>
              <w:spacing w:after="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478"/>
          </w:tcPr>
          <w:p>
            <w:pPr>
              <w:spacing w:after="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4779"/>
          </w:tcPr>
          <w:p>
            <w:pPr>
              <w:spacing w:after="0"/>
            </w:pPr>
            <w:r/>
            <w:r>
              <w:rPr>
                <w:sz w:val="16"/>
              </w:rPr>
              <w:t>Automatic deposits and hard caps in the Law; fiscal council oversight; public reporting</w:t>
            </w:r>
          </w:p>
        </w:tc>
      </w:tr>
      <w:tr>
        <w:tc>
          <w:tcPr>
            <w:tcW w:type="dxa" w:w="38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Reference price set too high</w:t>
            </w:r>
          </w:p>
        </w:tc>
        <w:tc>
          <w:tcPr>
            <w:tcW w:type="dxa" w:w="5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47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47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Independent committee; published methods; conservative discount for nickel and palm oil</w:t>
            </w:r>
          </w:p>
        </w:tc>
      </w:tr>
      <w:tr>
        <w:tc>
          <w:tcPr>
            <w:tcW w:type="dxa" w:w="3823"/>
          </w:tcPr>
          <w:p>
            <w:pPr>
              <w:spacing w:after="0"/>
            </w:pPr>
            <w:r/>
            <w:r>
              <w:rPr>
                <w:sz w:val="16"/>
              </w:rPr>
              <w:t>Small state revenue share</w:t>
            </w:r>
          </w:p>
        </w:tc>
        <w:tc>
          <w:tcPr>
            <w:tcW w:type="dxa" w:w="558"/>
          </w:tcPr>
          <w:p>
            <w:pPr>
              <w:spacing w:after="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47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4779"/>
          </w:tcPr>
          <w:p>
            <w:pPr>
              <w:spacing w:after="0"/>
            </w:pPr>
            <w:r/>
            <w:r>
              <w:rPr>
                <w:sz w:val="16"/>
              </w:rPr>
              <w:t>Review smelter incentives and royalty design as tax holidays expire</w:t>
            </w:r>
          </w:p>
        </w:tc>
      </w:tr>
      <w:tr>
        <w:tc>
          <w:tcPr>
            <w:tcW w:type="dxa" w:w="38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Domestic price controls (DMO, caps, export bans)</w:t>
            </w:r>
          </w:p>
        </w:tc>
        <w:tc>
          <w:tcPr>
            <w:tcW w:type="dxa" w:w="5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47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47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Show the fiscal cost of such measures explicitly in the budget</w:t>
            </w:r>
          </w:p>
        </w:tc>
      </w:tr>
      <w:tr>
        <w:tc>
          <w:tcPr>
            <w:tcW w:type="dxa" w:w="3823"/>
          </w:tcPr>
          <w:p>
            <w:pPr>
              <w:spacing w:after="0"/>
            </w:pPr>
            <w:r/>
            <w:r>
              <w:rPr>
                <w:sz w:val="16"/>
              </w:rPr>
              <w:t>Launch during a price downturn</w:t>
            </w:r>
          </w:p>
        </w:tc>
        <w:tc>
          <w:tcPr>
            <w:tcW w:type="dxa" w:w="55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47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4779"/>
          </w:tcPr>
          <w:p>
            <w:pPr>
              <w:spacing w:after="0"/>
            </w:pPr>
            <w:r/>
            <w:r>
              <w:rPr>
                <w:sz w:val="16"/>
              </w:rPr>
              <w:t>Legislate now; capitalise in the first high-price year; temporary hedging</w:t>
            </w:r>
          </w:p>
        </w:tc>
      </w:tr>
      <w:tr>
        <w:tc>
          <w:tcPr>
            <w:tcW w:type="dxa" w:w="38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Institutional overlap (Danantara, INA, DHE)</w:t>
            </w:r>
          </w:p>
        </w:tc>
        <w:tc>
          <w:tcPr>
            <w:tcW w:type="dxa" w:w="5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47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47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Clear legal mandates: the fund saves, Danantara invests, DHE manages liquidity</w:t>
            </w:r>
          </w:p>
        </w:tc>
      </w:tr>
      <w:tr>
        <w:tc>
          <w:tcPr>
            <w:tcW w:type="dxa" w:w="3823"/>
          </w:tcPr>
          <w:p>
            <w:pPr>
              <w:spacing w:after="0"/>
            </w:pPr>
            <w:r/>
            <w:r>
              <w:rPr>
                <w:sz w:val="16"/>
              </w:rPr>
              <w:t>Investment losses in the future window</w:t>
            </w:r>
          </w:p>
        </w:tc>
        <w:tc>
          <w:tcPr>
            <w:tcW w:type="dxa" w:w="558"/>
          </w:tcPr>
          <w:p>
            <w:pPr>
              <w:spacing w:after="0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478"/>
          </w:tcPr>
          <w:p>
            <w:pPr>
              <w:spacing w:after="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4779"/>
          </w:tcPr>
          <w:p>
            <w:pPr>
              <w:spacing w:after="0"/>
            </w:pPr>
            <w:r/>
            <w:r>
              <w:rPr>
                <w:sz w:val="16"/>
              </w:rPr>
              <w:t>Diversified global mandate; risk limits; BI management; independent audit</w:t>
            </w:r>
          </w:p>
        </w:tc>
      </w:tr>
      <w:tr>
        <w:tc>
          <w:tcPr>
            <w:tcW w:type="dxa" w:w="382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Governance capture or misuse</w:t>
            </w:r>
          </w:p>
        </w:tc>
        <w:tc>
          <w:tcPr>
            <w:tcW w:type="dxa" w:w="55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47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477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Santiago Principles; BPK audit; DPR reporting; no domestic project lending</w:t>
            </w:r>
          </w:p>
        </w:tc>
      </w:tr>
    </w:tbl>
    <w:p>
      <w:pPr>
        <w:spacing w:after="40"/>
      </w:pPr>
    </w:p>
    <w:p>
      <w:pPr>
        <w:pStyle w:val="Heading2"/>
      </w:pPr>
      <w:r>
        <w:t>Table 14.3. Main risks of the aggressive option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7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68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68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Safeguard</w:t>
            </w:r>
          </w:p>
        </w:tc>
      </w:tr>
      <w:tr>
        <w:tc>
          <w:tcPr>
            <w:tcW w:type="dxa" w:w="2271"/>
          </w:tcPr>
          <w:p>
            <w:pPr>
              <w:spacing w:after="0"/>
            </w:pPr>
            <w:r/>
            <w:r>
              <w:rPr>
                <w:sz w:val="16"/>
              </w:rPr>
              <w:t>Correlated commodity exposure</w:t>
            </w:r>
          </w:p>
        </w:tc>
        <w:tc>
          <w:tcPr>
            <w:tcW w:type="dxa" w:w="3683"/>
          </w:tcPr>
          <w:p>
            <w:pPr>
              <w:spacing w:after="0"/>
            </w:pPr>
            <w:r/>
            <w:r>
              <w:rPr>
                <w:sz w:val="16"/>
              </w:rPr>
              <w:t>Project revenue and state revenue both fall when coal or nickel prices fall</w:t>
            </w:r>
          </w:p>
        </w:tc>
        <w:tc>
          <w:tcPr>
            <w:tcW w:type="dxa" w:w="3683"/>
          </w:tcPr>
          <w:p>
            <w:pPr>
              <w:spacing w:after="0"/>
            </w:pPr>
            <w:r/>
            <w:r>
              <w:rPr>
                <w:sz w:val="16"/>
              </w:rPr>
              <w:t>35% commodity cap; share of assets with stable contracted returns</w:t>
            </w:r>
          </w:p>
        </w:tc>
      </w:tr>
      <w:tr>
        <w:tc>
          <w:tcPr>
            <w:tcW w:type="dxa" w:w="22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Stranded coal assets</w:t>
            </w:r>
          </w:p>
        </w:tc>
        <w:tc>
          <w:tcPr>
            <w:tcW w:type="dxa" w:w="36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DME may be uncompetitive against LPG; long-term decline in coal demand</w:t>
            </w:r>
          </w:p>
        </w:tc>
        <w:tc>
          <w:tcPr>
            <w:tcW w:type="dxa" w:w="36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Time-limited CDME mandate; carbon-cost test; solar as the anchor</w:t>
            </w:r>
          </w:p>
        </w:tc>
      </w:tr>
      <w:tr>
        <w:tc>
          <w:tcPr>
            <w:tcW w:type="dxa" w:w="2271"/>
          </w:tcPr>
          <w:p>
            <w:pPr>
              <w:spacing w:after="0"/>
            </w:pPr>
            <w:r/>
            <w:r>
              <w:rPr>
                <w:sz w:val="16"/>
              </w:rPr>
              <w:t>Contingent liabilities</w:t>
            </w:r>
          </w:p>
        </w:tc>
        <w:tc>
          <w:tcPr>
            <w:tcW w:type="dxa" w:w="3683"/>
          </w:tcPr>
          <w:p>
            <w:pPr>
              <w:spacing w:after="0"/>
            </w:pPr>
            <w:r/>
            <w:r>
              <w:rPr>
                <w:sz w:val="16"/>
              </w:rPr>
              <w:t>The RKAP lists guarantees, comfort letters and bailout pressure; Athens's availability payments</w:t>
            </w:r>
          </w:p>
        </w:tc>
        <w:tc>
          <w:tcPr>
            <w:tcW w:type="dxa" w:w="3683"/>
          </w:tcPr>
          <w:p>
            <w:pPr>
              <w:spacing w:after="0"/>
            </w:pPr>
            <w:r/>
            <w:r>
              <w:rPr>
                <w:sz w:val="16"/>
              </w:rPr>
              <w:t>No guarantees from the fund; defence through equity only, availability payments on the APBN</w:t>
            </w:r>
          </w:p>
        </w:tc>
      </w:tr>
      <w:tr>
        <w:tc>
          <w:tcPr>
            <w:tcW w:type="dxa" w:w="22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Defence-specific risks</w:t>
            </w:r>
          </w:p>
        </w:tc>
        <w:tc>
          <w:tcPr>
            <w:tcW w:type="dxa" w:w="36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Single buyer; export controls and limits on technology transfer; budget-dependent revenue; classified information</w:t>
            </w:r>
          </w:p>
        </w:tc>
        <w:tc>
          <w:tcPr>
            <w:tcW w:type="dxa" w:w="36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Multi-year contracts; offset agreements; 20% tier cap; closed-session reporting to DPR Commission I and BPK</w:t>
            </w:r>
          </w:p>
        </w:tc>
      </w:tr>
      <w:tr>
        <w:tc>
          <w:tcPr>
            <w:tcW w:type="dxa" w:w="2271"/>
          </w:tcPr>
          <w:p>
            <w:pPr>
              <w:spacing w:after="0"/>
            </w:pPr>
            <w:r/>
            <w:r>
              <w:rPr>
                <w:sz w:val="16"/>
              </w:rPr>
              <w:t>Exceptions become the rule</w:t>
            </w:r>
          </w:p>
        </w:tc>
        <w:tc>
          <w:tcPr>
            <w:tcW w:type="dxa" w:w="3683"/>
          </w:tcPr>
          <w:p>
            <w:pPr>
              <w:spacing w:after="0"/>
            </w:pPr>
            <w:r/>
            <w:r>
              <w:rPr>
                <w:sz w:val="16"/>
              </w:rPr>
              <w:t>Timor-Leste: withdrawals above the ESI almost every year since 2009</w:t>
            </w:r>
          </w:p>
        </w:tc>
        <w:tc>
          <w:tcPr>
            <w:tcW w:type="dxa" w:w="3683"/>
          </w:tcPr>
          <w:p>
            <w:pPr>
              <w:spacing w:after="0"/>
            </w:pPr>
            <w:r/>
            <w:r>
              <w:rPr>
                <w:sz w:val="16"/>
              </w:rPr>
              <w:t>Caps written into the Law; sunset in 2038; any extension requires a Law</w:t>
            </w:r>
          </w:p>
        </w:tc>
      </w:tr>
      <w:tr>
        <w:tc>
          <w:tcPr>
            <w:tcW w:type="dxa" w:w="22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Capture and misuse</w:t>
            </w:r>
          </w:p>
        </w:tc>
        <w:tc>
          <w:tcPr>
            <w:tcW w:type="dxa" w:w="36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1MDB; subsidised lending with large fiscal costs elsewhere</w:t>
            </w:r>
          </w:p>
        </w:tc>
        <w:tc>
          <w:tcPr>
            <w:tcW w:type="dxa" w:w="36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Independent committee; BPK audit; project-level disclosure; Santiago Principles</w:t>
            </w:r>
          </w:p>
        </w:tc>
      </w:tr>
      <w:tr>
        <w:tc>
          <w:tcPr>
            <w:tcW w:type="dxa" w:w="2271"/>
          </w:tcPr>
          <w:p>
            <w:pPr>
              <w:spacing w:after="0"/>
            </w:pPr>
            <w:r/>
            <w:r>
              <w:rPr>
                <w:sz w:val="16"/>
              </w:rPr>
              <w:t>Absorptive capacity and Dutch disease</w:t>
            </w:r>
          </w:p>
        </w:tc>
        <w:tc>
          <w:tcPr>
            <w:tcW w:type="dxa" w:w="3683"/>
          </w:tcPr>
          <w:p>
            <w:pPr>
              <w:spacing w:after="0"/>
            </w:pPr>
            <w:r/>
            <w:r>
              <w:rPr>
                <w:sz w:val="16"/>
              </w:rPr>
              <w:t>Investment inefficiency (IMF, 2015); rupiah pressure from domestic spending</w:t>
            </w:r>
          </w:p>
        </w:tc>
        <w:tc>
          <w:tcPr>
            <w:tcW w:type="dxa" w:w="3683"/>
          </w:tcPr>
          <w:p>
            <w:pPr>
              <w:spacing w:after="0"/>
            </w:pPr>
            <w:r/>
            <w:r>
              <w:rPr>
                <w:sz w:val="16"/>
              </w:rPr>
              <w:t>Stage-gating; disbursement tied to readiness; counter-cyclical timing</w:t>
            </w:r>
          </w:p>
        </w:tc>
      </w:tr>
      <w:tr>
        <w:tc>
          <w:tcPr>
            <w:tcW w:type="dxa" w:w="227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Unmeasured impact</w:t>
            </w:r>
          </w:p>
        </w:tc>
        <w:tc>
          <w:tcPr>
            <w:tcW w:type="dxa" w:w="36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The RKAP's impact KPIs all have zero targets for 2026</w:t>
            </w:r>
          </w:p>
        </w:tc>
        <w:tc>
          <w:tcPr>
            <w:tcW w:type="dxa" w:w="368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 disbursement without a quantified baseline for jobs, TKDN, FX effect and emissions</w:t>
            </w:r>
          </w:p>
        </w:tc>
      </w:tr>
    </w:tbl>
    <w:p>
      <w:pPr>
        <w:spacing w:after="40"/>
      </w:pPr>
    </w:p>
    <w:p>
      <w:pPr>
        <w:pStyle w:val="Heading2"/>
      </w:pPr>
      <w:r>
        <w:t>Table 14.4. Risks of the growth push and their mitigation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3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Most exposed</w:t>
            </w:r>
          </w:p>
        </w:tc>
        <w:tc>
          <w:tcPr>
            <w:tcW w:type="dxa" w:w="295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Early warning</w:t>
            </w:r>
          </w:p>
        </w:tc>
        <w:tc>
          <w:tcPr>
            <w:tcW w:type="dxa" w:w="377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387"/>
          </w:tcPr>
          <w:p>
            <w:pPr>
              <w:spacing w:after="0"/>
            </w:pPr>
            <w:r/>
            <w:r>
              <w:rPr>
                <w:sz w:val="16"/>
              </w:rPr>
              <w:t>Overheating and inflation</w:t>
            </w:r>
          </w:p>
        </w:tc>
        <w:tc>
          <w:tcPr>
            <w:tcW w:type="dxa" w:w="528"/>
          </w:tcPr>
          <w:p>
            <w:pPr>
              <w:spacing w:after="0"/>
            </w:pPr>
            <w:r/>
            <w:r>
              <w:rPr>
                <w:sz w:val="16"/>
              </w:rPr>
              <w:t>S2</w:t>
            </w:r>
          </w:p>
        </w:tc>
        <w:tc>
          <w:tcPr>
            <w:tcW w:type="dxa" w:w="2953"/>
          </w:tcPr>
          <w:p>
            <w:pPr>
              <w:spacing w:after="0"/>
            </w:pPr>
            <w:r/>
            <w:r>
              <w:rPr>
                <w:sz w:val="16"/>
              </w:rPr>
              <w:t>Core inflation, credit growth above 15%</w:t>
            </w:r>
          </w:p>
        </w:tc>
        <w:tc>
          <w:tcPr>
            <w:tcW w:type="dxa" w:w="3770"/>
          </w:tcPr>
          <w:p>
            <w:pPr>
              <w:spacing w:after="0"/>
            </w:pPr>
            <w:r/>
            <w:r>
              <w:rPr>
                <w:sz w:val="16"/>
              </w:rPr>
              <w:t>Re-phase construction; macroprudential limits; Bank Indonesia independence</w:t>
            </w:r>
          </w:p>
        </w:tc>
      </w:tr>
      <w:tr>
        <w:tc>
          <w:tcPr>
            <w:tcW w:type="dxa" w:w="238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Current account and rupiah</w:t>
            </w:r>
          </w:p>
        </w:tc>
        <w:tc>
          <w:tcPr>
            <w:tcW w:type="dxa" w:w="5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S2, S3</w:t>
            </w:r>
          </w:p>
        </w:tc>
        <w:tc>
          <w:tcPr>
            <w:tcW w:type="dxa" w:w="29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Deficit above 2.5% of GDP; reserves</w:t>
            </w:r>
          </w:p>
        </w:tc>
        <w:tc>
          <w:tcPr>
            <w:tcW w:type="dxa" w:w="37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Slow drawdowns; favour domestic-content projects; FDI over portfolio flows</w:t>
            </w:r>
          </w:p>
        </w:tc>
      </w:tr>
      <w:tr>
        <w:tc>
          <w:tcPr>
            <w:tcW w:type="dxa" w:w="2387"/>
          </w:tcPr>
          <w:p>
            <w:pPr>
              <w:spacing w:after="0"/>
            </w:pPr>
            <w:r/>
            <w:r>
              <w:rPr>
                <w:sz w:val="16"/>
              </w:rPr>
              <w:t>Debt and contingent liabilities</w:t>
            </w:r>
          </w:p>
        </w:tc>
        <w:tc>
          <w:tcPr>
            <w:tcW w:type="dxa" w:w="528"/>
          </w:tcPr>
          <w:p>
            <w:pPr>
              <w:spacing w:after="0"/>
            </w:pPr>
            <w:r/>
            <w:r>
              <w:rPr>
                <w:sz w:val="16"/>
              </w:rPr>
              <w:t>S2</w:t>
            </w:r>
          </w:p>
        </w:tc>
        <w:tc>
          <w:tcPr>
            <w:tcW w:type="dxa" w:w="2953"/>
          </w:tcPr>
          <w:p>
            <w:pPr>
              <w:spacing w:after="0"/>
            </w:pPr>
            <w:r/>
            <w:r>
              <w:rPr>
                <w:sz w:val="16"/>
              </w:rPr>
              <w:t>SOE debt; guarantees issued</w:t>
            </w:r>
          </w:p>
        </w:tc>
        <w:tc>
          <w:tcPr>
            <w:tcW w:type="dxa" w:w="3770"/>
          </w:tcPr>
          <w:p>
            <w:pPr>
              <w:spacing w:after="0"/>
            </w:pPr>
            <w:r/>
            <w:r>
              <w:rPr>
                <w:sz w:val="16"/>
              </w:rPr>
              <w:t>Equity rather than guarantees; cap on DDMF leverage; publish contingent liabilities</w:t>
            </w:r>
          </w:p>
        </w:tc>
      </w:tr>
      <w:tr>
        <w:tc>
          <w:tcPr>
            <w:tcW w:type="dxa" w:w="238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ICOR does not fall (white elephants)</w:t>
            </w:r>
          </w:p>
        </w:tc>
        <w:tc>
          <w:tcPr>
            <w:tcW w:type="dxa" w:w="5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29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Cost overruns; utilisation of new capacity</w:t>
            </w:r>
          </w:p>
        </w:tc>
        <w:tc>
          <w:tcPr>
            <w:tcW w:type="dxa" w:w="37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Six-test gate; independent appraisal; stop-loss rules</w:t>
            </w:r>
          </w:p>
        </w:tc>
      </w:tr>
      <w:tr>
        <w:tc>
          <w:tcPr>
            <w:tcW w:type="dxa" w:w="2387"/>
          </w:tcPr>
          <w:p>
            <w:pPr>
              <w:spacing w:after="0"/>
            </w:pPr>
            <w:r/>
            <w:r>
              <w:rPr>
                <w:sz w:val="16"/>
              </w:rPr>
              <w:t>Weak global demand and trade frictions</w:t>
            </w:r>
          </w:p>
        </w:tc>
        <w:tc>
          <w:tcPr>
            <w:tcW w:type="dxa" w:w="528"/>
          </w:tcPr>
          <w:p>
            <w:pPr>
              <w:spacing w:after="0"/>
            </w:pPr>
            <w:r/>
            <w:r>
              <w:rPr>
                <w:sz w:val="16"/>
              </w:rPr>
              <w:t>S3</w:t>
            </w:r>
          </w:p>
        </w:tc>
        <w:tc>
          <w:tcPr>
            <w:tcW w:type="dxa" w:w="2953"/>
          </w:tcPr>
          <w:p>
            <w:pPr>
              <w:spacing w:after="0"/>
            </w:pPr>
            <w:r/>
            <w:r>
              <w:rPr>
                <w:sz w:val="16"/>
              </w:rPr>
              <w:t>Export orders; trade measures against Indonesia</w:t>
            </w:r>
          </w:p>
        </w:tc>
        <w:tc>
          <w:tcPr>
            <w:tcW w:type="dxa" w:w="3770"/>
          </w:tcPr>
          <w:p>
            <w:pPr>
              <w:spacing w:after="0"/>
            </w:pPr>
            <w:r/>
            <w:r>
              <w:rPr>
                <w:sz w:val="16"/>
              </w:rPr>
              <w:t>Diversify markets; EU agreement; domestic offtake for part of output</w:t>
            </w:r>
          </w:p>
        </w:tc>
      </w:tr>
      <w:tr>
        <w:tc>
          <w:tcPr>
            <w:tcW w:type="dxa" w:w="238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Commodity prices (nickel, coal)</w:t>
            </w:r>
          </w:p>
        </w:tc>
        <w:tc>
          <w:tcPr>
            <w:tcW w:type="dxa" w:w="5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29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Reference-price gap</w:t>
            </w:r>
          </w:p>
        </w:tc>
        <w:tc>
          <w:tcPr>
            <w:tcW w:type="dxa" w:w="37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Reserve window; conservative project price decks</w:t>
            </w:r>
          </w:p>
        </w:tc>
      </w:tr>
      <w:tr>
        <w:tc>
          <w:tcPr>
            <w:tcW w:type="dxa" w:w="2387"/>
          </w:tcPr>
          <w:p>
            <w:pPr>
              <w:spacing w:after="0"/>
            </w:pPr>
            <w:r/>
            <w:r>
              <w:rPr>
                <w:sz w:val="16"/>
              </w:rPr>
              <w:t>Reform fatigue</w:t>
            </w:r>
          </w:p>
        </w:tc>
        <w:tc>
          <w:tcPr>
            <w:tcW w:type="dxa" w:w="528"/>
          </w:tcPr>
          <w:p>
            <w:pPr>
              <w:spacing w:after="0"/>
            </w:pPr>
            <w:r/>
            <w:r>
              <w:rPr>
                <w:sz w:val="16"/>
              </w:rPr>
              <w:t>S1</w:t>
            </w:r>
          </w:p>
        </w:tc>
        <w:tc>
          <w:tcPr>
            <w:tcW w:type="dxa" w:w="2953"/>
          </w:tcPr>
          <w:p>
            <w:pPr>
              <w:spacing w:after="0"/>
            </w:pPr>
            <w:r/>
            <w:r>
              <w:rPr>
                <w:sz w:val="16"/>
              </w:rPr>
              <w:t>Delays in logistics and licensing reforms</w:t>
            </w:r>
          </w:p>
        </w:tc>
        <w:tc>
          <w:tcPr>
            <w:tcW w:type="dxa" w:w="3770"/>
          </w:tcPr>
          <w:p>
            <w:pPr>
              <w:spacing w:after="0"/>
            </w:pPr>
            <w:r/>
            <w:r>
              <w:rPr>
                <w:sz w:val="16"/>
              </w:rPr>
              <w:t>Presidential delivery unit; publish milestones</w:t>
            </w:r>
          </w:p>
        </w:tc>
      </w:tr>
      <w:tr>
        <w:tc>
          <w:tcPr>
            <w:tcW w:type="dxa" w:w="238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Governance and corruption</w:t>
            </w:r>
          </w:p>
        </w:tc>
        <w:tc>
          <w:tcPr>
            <w:tcW w:type="dxa" w:w="5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29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Audit findings; single-bidder contracts</w:t>
            </w:r>
          </w:p>
        </w:tc>
        <w:tc>
          <w:tcPr>
            <w:tcW w:type="dxa" w:w="37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BPK audit; open contracting; independent investment committee</w:t>
            </w:r>
          </w:p>
        </w:tc>
      </w:tr>
      <w:tr>
        <w:tc>
          <w:tcPr>
            <w:tcW w:type="dxa" w:w="2387"/>
          </w:tcPr>
          <w:p>
            <w:pPr>
              <w:spacing w:after="0"/>
            </w:pPr>
            <w:r/>
            <w:r>
              <w:rPr>
                <w:sz w:val="16"/>
              </w:rPr>
              <w:t>Environmental and social licence</w:t>
            </w:r>
          </w:p>
        </w:tc>
        <w:tc>
          <w:tcPr>
            <w:tcW w:type="dxa" w:w="528"/>
          </w:tcPr>
          <w:p>
            <w:pPr>
              <w:spacing w:after="0"/>
            </w:pPr>
            <w:r/>
            <w:r>
              <w:rPr>
                <w:sz w:val="16"/>
              </w:rPr>
              <w:t>S2, S3</w:t>
            </w:r>
          </w:p>
        </w:tc>
        <w:tc>
          <w:tcPr>
            <w:tcW w:type="dxa" w:w="2953"/>
          </w:tcPr>
          <w:p>
            <w:pPr>
              <w:spacing w:after="0"/>
            </w:pPr>
            <w:r/>
            <w:r>
              <w:rPr>
                <w:sz w:val="16"/>
              </w:rPr>
              <w:t>Local conflicts; emissions</w:t>
            </w:r>
          </w:p>
        </w:tc>
        <w:tc>
          <w:tcPr>
            <w:tcW w:type="dxa" w:w="3770"/>
          </w:tcPr>
          <w:p>
            <w:pPr>
              <w:spacing w:after="0"/>
            </w:pPr>
            <w:r/>
            <w:r>
              <w:rPr>
                <w:sz w:val="16"/>
              </w:rPr>
              <w:t>Environmental and social standards; benefit sharing with regions</w:t>
            </w:r>
          </w:p>
        </w:tc>
      </w:tr>
      <w:tr>
        <w:tc>
          <w:tcPr>
            <w:tcW w:type="dxa" w:w="238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Skills shortage</w:t>
            </w:r>
          </w:p>
        </w:tc>
        <w:tc>
          <w:tcPr>
            <w:tcW w:type="dxa" w:w="5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S3</w:t>
            </w:r>
          </w:p>
        </w:tc>
        <w:tc>
          <w:tcPr>
            <w:tcW w:type="dxa" w:w="29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Vacancies in technical jobs</w:t>
            </w:r>
          </w:p>
        </w:tc>
        <w:tc>
          <w:tcPr>
            <w:tcW w:type="dxa" w:w="37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Vocational programmes tied to projects; STEM university</w:t>
            </w:r>
          </w:p>
        </w:tc>
      </w:tr>
      <w:tr>
        <w:tc>
          <w:tcPr>
            <w:tcW w:type="dxa" w:w="2387"/>
          </w:tcPr>
          <w:p>
            <w:pPr>
              <w:spacing w:after="0"/>
            </w:pPr>
            <w:r/>
            <w:r>
              <w:rPr>
                <w:sz w:val="16"/>
              </w:rPr>
              <w:t>Defence import bill</w:t>
            </w:r>
          </w:p>
        </w:tc>
        <w:tc>
          <w:tcPr>
            <w:tcW w:type="dxa" w:w="528"/>
          </w:tcPr>
          <w:p>
            <w:pPr>
              <w:spacing w:after="0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2953"/>
          </w:tcPr>
          <w:p>
            <w:pPr>
              <w:spacing w:after="0"/>
            </w:pPr>
            <w:r/>
            <w:r>
              <w:rPr>
                <w:sz w:val="16"/>
              </w:rPr>
              <w:t>Defence imports above US$9 bn a year</w:t>
            </w:r>
          </w:p>
        </w:tc>
        <w:tc>
          <w:tcPr>
            <w:tcW w:type="dxa" w:w="3770"/>
          </w:tcPr>
          <w:p>
            <w:pPr>
              <w:spacing w:after="0"/>
            </w:pPr>
            <w:r/>
            <w:r>
              <w:rPr>
                <w:sz w:val="16"/>
              </w:rPr>
              <w:t>Domestic-content targets; DHE SDA loans instead of foreign loans; phase deliveries</w:t>
            </w:r>
          </w:p>
        </w:tc>
      </w:tr>
      <w:tr>
        <w:tc>
          <w:tcPr>
            <w:tcW w:type="dxa" w:w="238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revenue shortfall</w:t>
            </w:r>
          </w:p>
        </w:tc>
        <w:tc>
          <w:tcPr>
            <w:tcW w:type="dxa" w:w="52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295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PNBP below Rp 250 T</w:t>
            </w:r>
          </w:p>
        </w:tc>
        <w:tc>
          <w:tcPr>
            <w:tcW w:type="dxa" w:w="377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Reserve window; stage-gated tranches; budget fallback for public goods</w:t>
            </w:r>
          </w:p>
        </w:tc>
      </w:tr>
    </w:tbl>
    <w:p>
      <w:pPr>
        <w:spacing w:after="40"/>
      </w:pPr>
    </w:p>
    <w:p>
      <w:pPr>
        <w:pStyle w:val="Heading2"/>
      </w:pPr>
      <w:r>
        <w:t>Table A.1. All projects by cluster and segment (Rp trillion)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93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331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72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Investment</w:t>
            </w:r>
          </w:p>
        </w:tc>
        <w:tc>
          <w:tcPr>
            <w:tcW w:type="dxa" w:w="72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Equity</w:t>
            </w:r>
          </w:p>
        </w:tc>
        <w:tc>
          <w:tcPr>
            <w:tcW w:type="dxa" w:w="933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Timeline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4,914.3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1,032.0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PLTS 100 GW (solar)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231.4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48.6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Fishing-village food security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83.8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17.6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Biodiesel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75.4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15.8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Al, Fe, Ni, Mn metals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73.3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15.4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2029–2031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CPE (assumed petrochemical)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71.2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15.0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CDME (coal to DME)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46.3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9.7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Refinery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40.9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Silica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8.9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1.9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Legacy waste – landfill mining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Legacy waste – RDF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Project Tarsius Ph.1 (rare earths)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0.5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2029–2032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Copper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2.0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0.4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Project Anoa (rare earths)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Resource processing &amp; energy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0.4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0.1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10 smart cities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225.0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47.3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2028–2032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Affordable housing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219.4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46.1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500 schools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178.0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37.4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Centralised water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112.2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23.6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STEM university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71.0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14.9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Decentralised waste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4.6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Giant Sea Wall *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Giant Sea Wall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1,200.0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252.0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2027–2040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modernisation ‡ *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platforms &amp; MRO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2,125.0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446.3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2027–2034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Shipyard &amp; ship components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Defence &amp; maritime industry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2028–2032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EV Power Pack (maritime)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&amp; maritime industry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0.6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Textile ecosystem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89.0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18.7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MOBNAS &amp; MOLINAS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25.0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5.3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2027–2029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Biosimilar &amp; pharma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Manufacturing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8.9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1.9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Electric stoves (kompor listrik) (TBC)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High-speed rail (kereta cepat) (TBC)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Trans-Sumatra toll road (TBC)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Infrastructure &amp; social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480.3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100.9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AI and IT programme *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Digital infrastructure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200.0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42.0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2027–2032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National Data Centre *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Digital infrastructure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50.0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10.5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Quantum technology development *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Deep tech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20.0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4.2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Semiconductors *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Deep tech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15.0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2027–2030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National space programme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Deep tech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5.4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2027–2031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Drone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Deep tech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0.6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 Corridor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 park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186.9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39.2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IMX (purpose to be confirmed) (TBC)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Digital infrastructure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Finance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1.0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0.2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sz w:val="16"/>
              </w:rPr>
              <w:t>E-commerce (B2G/B2B MSME platform)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sz w:val="16"/>
              </w:rPr>
              <w:t>Financial &amp; commercial platforms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sz w:val="16"/>
              </w:rPr>
              <w:t>2028–2031</w:t>
            </w:r>
          </w:p>
        </w:tc>
      </w:tr>
      <w:tr>
        <w:tc>
          <w:tcPr>
            <w:tcW w:type="dxa" w:w="393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ERP Merah Putih (TBC)</w:t>
            </w:r>
          </w:p>
        </w:tc>
        <w:tc>
          <w:tcPr>
            <w:tcW w:type="dxa" w:w="3316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Financial &amp; commercial platforms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725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  <w:tc>
          <w:tcPr>
            <w:tcW w:type="dxa" w:w="933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n.a.</w:t>
            </w:r>
          </w:p>
        </w:tc>
      </w:tr>
      <w:tr>
        <w:tc>
          <w:tcPr>
            <w:tcW w:type="dxa" w:w="39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Total (34 costed + 5 TBC)</w:t>
            </w:r>
          </w:p>
        </w:tc>
        <w:tc>
          <w:tcPr>
            <w:tcW w:type="dxa" w:w="3316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5,395.5</w:t>
            </w:r>
          </w:p>
        </w:tc>
        <w:tc>
          <w:tcPr>
            <w:tcW w:type="dxa" w:w="72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1,133.1</w:t>
            </w:r>
          </w:p>
        </w:tc>
        <w:tc>
          <w:tcPr>
            <w:tcW w:type="dxa" w:w="93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2027–2040</w:t>
            </w:r>
          </w:p>
        </w:tc>
      </w:tr>
    </w:tbl>
    <w:p>
      <w:pPr>
        <w:spacing w:after="40"/>
      </w:pPr>
    </w:p>
    <w:p>
      <w:pPr>
        <w:pStyle w:val="Heading2"/>
      </w:pPr>
      <w:r>
        <w:t>Table C.1. Open 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0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Point</w:t>
            </w:r>
          </w:p>
        </w:tc>
        <w:tc>
          <w:tcPr>
            <w:tcW w:type="dxa" w:w="521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347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081"/>
          </w:tcPr>
          <w:p>
            <w:pPr>
              <w:spacing w:after="0"/>
            </w:pPr>
            <w:r/>
            <w:r>
              <w:rPr>
                <w:sz w:val="16"/>
              </w:rPr>
              <w:t>Is the Rp 2,125 T defence programme additional?</w:t>
            </w:r>
          </w:p>
        </w:tc>
        <w:tc>
          <w:tcPr>
            <w:tcW w:type="dxa" w:w="5210"/>
          </w:tcPr>
          <w:p>
            <w:pPr>
              <w:spacing w:after="0"/>
            </w:pPr>
            <w:r/>
            <w:r>
              <w:rPr>
                <w:sz w:val="16"/>
              </w:rPr>
              <w:t>About Rp 266 T a year against a 2026 Kemhan budget of Rp 187.1 T (alutsista Rp 84.5 T). If part replaces existing alutsista spending, the macroeconomic effect and the funding need are smaller</w:t>
            </w:r>
          </w:p>
        </w:tc>
      </w:tr>
      <w:tr>
        <w:tc>
          <w:tcPr>
            <w:tcW w:type="dxa" w:w="3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40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Defence financing and domestic content</w:t>
            </w:r>
          </w:p>
        </w:tc>
        <w:tc>
          <w:tcPr>
            <w:tcW w:type="dxa" w:w="52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How much is built at PT PAL and other domestic yards; which items are imported; whether foreign loans are used. Domestic content is the largest lever in the model (Section 8.5)</w:t>
            </w:r>
          </w:p>
        </w:tc>
      </w:tr>
      <w:tr>
        <w:tc>
          <w:tcPr>
            <w:tcW w:type="dxa" w:w="347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081"/>
          </w:tcPr>
          <w:p>
            <w:pPr>
              <w:spacing w:after="0"/>
            </w:pPr>
            <w:r/>
            <w:r>
              <w:rPr>
                <w:sz w:val="16"/>
              </w:rPr>
              <w:t>Timelines of the October figures</w:t>
            </w:r>
          </w:p>
        </w:tc>
        <w:tc>
          <w:tcPr>
            <w:tcW w:type="dxa" w:w="5210"/>
          </w:tcPr>
          <w:p>
            <w:pPr>
              <w:spacing w:after="0"/>
            </w:pPr>
            <w:r/>
            <w:r>
              <w:rPr>
                <w:sz w:val="16"/>
              </w:rPr>
              <w:t>Defence 2027–2034 and the sea wall 2027–2040 are assumptions; a shorter sea-wall schedule raises growth but brings the funding need forward</w:t>
            </w:r>
          </w:p>
        </w:tc>
      </w:tr>
      <w:tr>
        <w:tc>
          <w:tcPr>
            <w:tcW w:type="dxa" w:w="3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40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IMX</w:t>
            </w:r>
          </w:p>
        </w:tc>
        <w:tc>
          <w:tcPr>
            <w:tcW w:type="dxa" w:w="52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Purpose, cost and owner; placed in Technology provisionally</w:t>
            </w:r>
          </w:p>
        </w:tc>
      </w:tr>
      <w:tr>
        <w:tc>
          <w:tcPr>
            <w:tcW w:type="dxa" w:w="347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4081"/>
          </w:tcPr>
          <w:p>
            <w:pPr>
              <w:spacing w:after="0"/>
            </w:pPr>
            <w:r/>
            <w:r>
              <w:rPr>
                <w:sz w:val="16"/>
              </w:rPr>
              <w:t>AI and IT programme (Rp 200 T)</w:t>
            </w:r>
          </w:p>
        </w:tc>
        <w:tc>
          <w:tcPr>
            <w:tcW w:type="dxa" w:w="5210"/>
          </w:tcPr>
          <w:p>
            <w:pPr>
              <w:spacing w:after="0"/>
            </w:pPr>
            <w:r/>
            <w:r>
              <w:rPr>
                <w:sz w:val="16"/>
              </w:rPr>
              <w:t>Composition by hardware, software, skills and public systems; who operates and who uses it</w:t>
            </w:r>
          </w:p>
        </w:tc>
      </w:tr>
      <w:tr>
        <w:tc>
          <w:tcPr>
            <w:tcW w:type="dxa" w:w="3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40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Funding assumptions</w:t>
            </w:r>
          </w:p>
        </w:tc>
        <w:tc>
          <w:tcPr>
            <w:tcW w:type="dxa" w:w="52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Windfall share, coal export duty, royalty revision (postponed in May 2026), resource-SOE dividends and DHE SDA loans of US$8 bn a year are illustrative and need MoF, Bank Indonesia and Danantara confirmation</w:t>
            </w:r>
          </w:p>
        </w:tc>
      </w:tr>
      <w:tr>
        <w:tc>
          <w:tcPr>
            <w:tcW w:type="dxa" w:w="347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4081"/>
          </w:tcPr>
          <w:p>
            <w:pPr>
              <w:spacing w:after="0"/>
            </w:pPr>
            <w:r/>
            <w:r>
              <w:rPr>
                <w:sz w:val="16"/>
              </w:rPr>
              <w:t>RKAP total and equity</w:t>
            </w:r>
          </w:p>
        </w:tc>
        <w:tc>
          <w:tcPr>
            <w:tcW w:type="dxa" w:w="5210"/>
          </w:tcPr>
          <w:p>
            <w:pPr>
              <w:spacing w:after="0"/>
            </w:pPr>
            <w:r/>
            <w:r>
              <w:rPr>
                <w:sz w:val="16"/>
              </w:rPr>
              <w:t>The RKAP text gives Rp 1,994.5 T and Rp 398.8 T of equity, while the tables sum to Rp 2,091.5 T and Rp 419.1 T; the difference is the earlier sea-wall figure</w:t>
            </w:r>
          </w:p>
        </w:tc>
      </w:tr>
      <w:tr>
        <w:tc>
          <w:tcPr>
            <w:tcW w:type="dxa" w:w="3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0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Coal-to-DME scope</w:t>
            </w:r>
          </w:p>
        </w:tc>
        <w:tc>
          <w:tcPr>
            <w:tcW w:type="dxa" w:w="52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RKAP Rp 46.3 T versus press reports of Rp 164 T for Danantara's revived DME programme</w:t>
            </w:r>
          </w:p>
        </w:tc>
      </w:tr>
      <w:tr>
        <w:tc>
          <w:tcPr>
            <w:tcW w:type="dxa" w:w="347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4081"/>
          </w:tcPr>
          <w:p>
            <w:pPr>
              <w:spacing w:after="0"/>
            </w:pPr>
            <w:r/>
            <w:r>
              <w:rPr>
                <w:sz w:val="16"/>
              </w:rPr>
              <w:t>PLTS 100 GW</w:t>
            </w:r>
          </w:p>
        </w:tc>
        <w:tc>
          <w:tcPr>
            <w:tcW w:type="dxa" w:w="5210"/>
          </w:tcPr>
          <w:p>
            <w:pPr>
              <w:spacing w:after="0"/>
            </w:pPr>
            <w:r/>
            <w:r>
              <w:rPr>
                <w:sz w:val="16"/>
              </w:rPr>
              <w:t>Far above the RUPTL 2025–2034 (17.1 GW of new solar); which offtake and grid plan applies?</w:t>
            </w:r>
          </w:p>
        </w:tc>
      </w:tr>
      <w:tr>
        <w:tc>
          <w:tcPr>
            <w:tcW w:type="dxa" w:w="3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40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CPE (Rp 71.2 T)</w:t>
            </w:r>
          </w:p>
        </w:tc>
        <w:tc>
          <w:tcPr>
            <w:tcW w:type="dxa" w:w="52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Not described in the RKAP; assumed petrochemical</w:t>
            </w:r>
          </w:p>
        </w:tc>
      </w:tr>
      <w:tr>
        <w:tc>
          <w:tcPr>
            <w:tcW w:type="dxa" w:w="347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4081"/>
          </w:tcPr>
          <w:p>
            <w:pPr>
              <w:spacing w:after="0"/>
            </w:pPr>
            <w:r/>
            <w:r>
              <w:rPr>
                <w:sz w:val="16"/>
              </w:rPr>
              <w:t>Other uncosted projects</w:t>
            </w:r>
          </w:p>
        </w:tc>
        <w:tc>
          <w:tcPr>
            <w:tcW w:type="dxa" w:w="5210"/>
          </w:tcPr>
          <w:p>
            <w:pPr>
              <w:spacing w:after="0"/>
            </w:pPr>
            <w:r/>
            <w:r>
              <w:rPr>
                <w:sz w:val="16"/>
              </w:rPr>
              <w:t>ERP Merah Putih, electric stoves, high-speed rail and the Trans-Sumatra toll road: costs and timelines</w:t>
            </w:r>
          </w:p>
        </w:tc>
      </w:tr>
      <w:tr>
        <w:tc>
          <w:tcPr>
            <w:tcW w:type="dxa" w:w="347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408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Domestic-content parameters</w:t>
            </w:r>
          </w:p>
        </w:tc>
        <w:tc>
          <w:tcPr>
            <w:tcW w:type="dxa" w:w="5210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Assumptions pending the import matrix of the BPS Input-Output Table 2020</w:t>
            </w:r>
          </w:p>
        </w:tc>
      </w:tr>
    </w:tbl>
    <w:p>
      <w:pPr>
        <w:spacing w:after="40"/>
      </w:pPr>
    </w:p>
    <w:p>
      <w:pPr>
        <w:pStyle w:val="Heading2"/>
      </w:pPr>
      <w:r>
        <w:t>Table D.1. Key publications and findings by cluster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3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35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Key finding used in this paper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Industry: resources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Antara (2024)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Nickel exports rose from US$3.3 bn (2017–18) to US$33.5 bn (2023); mineral downstream investment Rp 181.4 T in H1 2024</w:t>
            </w:r>
          </w:p>
        </w:tc>
      </w:tr>
      <w:tr>
        <w:tc>
          <w:tcPr>
            <w:tcW w:type="dxa" w:w="17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Industry: resources</w:t>
            </w:r>
          </w:p>
        </w:tc>
        <w:tc>
          <w:tcPr>
            <w:tcW w:type="dxa" w:w="35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CSIS (2025)</w:t>
            </w:r>
          </w:p>
        </w:tc>
        <w:tc>
          <w:tcPr>
            <w:tcW w:type="dxa" w:w="43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Indonesia 58% of world nickel (2024); Chinese firms about 75% of refining capacity; 82% of exports to China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Industry: resources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Kee &amp; Xie, World Bank (2025)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Ore export ban raised domestic value added by 5.6% in iron/steel-using industries, 1.1% overall; productivity fell</w:t>
            </w:r>
          </w:p>
        </w:tc>
      </w:tr>
      <w:tr>
        <w:tc>
          <w:tcPr>
            <w:tcW w:type="dxa" w:w="17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Industry: resources</w:t>
            </w:r>
          </w:p>
        </w:tc>
        <w:tc>
          <w:tcPr>
            <w:tcW w:type="dxa" w:w="35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IMF (2023)</w:t>
            </w:r>
          </w:p>
        </w:tc>
        <w:tc>
          <w:tcPr>
            <w:tcW w:type="dxa" w:w="43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Article IV: consider phasing out export restrictions; do not extend them to other commodities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Industry: resources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CREA &amp; CELIOS (2024)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Health costs of nickel processing US$2.6 bn a year; 6.1 GW of captive coal power for smelters</w:t>
            </w:r>
          </w:p>
        </w:tc>
      </w:tr>
      <w:tr>
        <w:tc>
          <w:tcPr>
            <w:tcW w:type="dxa" w:w="17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Industry: resources</w:t>
            </w:r>
          </w:p>
        </w:tc>
        <w:tc>
          <w:tcPr>
            <w:tcW w:type="dxa" w:w="35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Petromindo (2023); Indonesia Business Post (2025)</w:t>
            </w:r>
          </w:p>
        </w:tc>
        <w:tc>
          <w:tcPr>
            <w:tcW w:type="dxa" w:w="43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Air Products quit the US$2.1 bn DME project; revived DME programme reported at Rp 164 T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Industry: resources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JETP (2023); RUPTL 2025–2034; IESR (2024)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US$97.3 bn plan for 44% renewables by 2030; 17.1 GW new solar planned; about 700 MW installed</w:t>
            </w:r>
          </w:p>
        </w:tc>
      </w:tr>
      <w:tr>
        <w:tc>
          <w:tcPr>
            <w:tcW w:type="dxa" w:w="17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Industry: infrastructure</w:t>
            </w:r>
          </w:p>
        </w:tc>
        <w:tc>
          <w:tcPr>
            <w:tcW w:type="dxa" w:w="35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IMF (2026)</w:t>
            </w:r>
          </w:p>
        </w:tc>
        <w:tc>
          <w:tcPr>
            <w:tcW w:type="dxa" w:w="43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Public-investment multiplier about 0.5 (year 1), 1.2 (5 years), 2.0 (long run); 0.7/2.6 with better efficiency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Industry: infrastructure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Kemenko Perekonomian (2024)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190 national strategic projects worth Rp 1,515 T completed in 2016–2023</w:t>
            </w:r>
          </w:p>
        </w:tc>
      </w:tr>
      <w:tr>
        <w:tc>
          <w:tcPr>
            <w:tcW w:type="dxa" w:w="17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Industry: infrastructure</w:t>
            </w:r>
          </w:p>
        </w:tc>
        <w:tc>
          <w:tcPr>
            <w:tcW w:type="dxa" w:w="35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Annisa &amp; Kingsley (2025); Jakarta Post (2026)</w:t>
            </w:r>
          </w:p>
        </w:tc>
        <w:tc>
          <w:tcPr>
            <w:tcW w:type="dxa" w:w="43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Whoosh cost US$7.27 bn incl. US$1.2 bn overrun; Indonesian consortium lost Rp 4.2 T in 2024; MoF takes over from Danantara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Industry: infrastructure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Kompas (2024)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Rp 131.1 T of state capital to Hutama Karya for the Trans-Sumatra toll road, 2015–2024</w:t>
            </w:r>
          </w:p>
        </w:tc>
      </w:tr>
      <w:tr>
        <w:tc>
          <w:tcPr>
            <w:tcW w:type="dxa" w:w="17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Industry: infrastructure</w:t>
            </w:r>
          </w:p>
        </w:tc>
        <w:tc>
          <w:tcPr>
            <w:tcW w:type="dxa" w:w="35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PKP / Susenas; Bisnis (2026)</w:t>
            </w:r>
          </w:p>
        </w:tc>
        <w:tc>
          <w:tcPr>
            <w:tcW w:type="dxa" w:w="43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Housing backlog 9.9 million units (2023); data-centre capacity 637 MW, about 1.6 GW by 2027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Industry: defence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CNBC Indonesia (2026); ASPI (2026)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Kemhan 2026 Rp 187.1 T (about 0.8% of GDP); alutsista modernisation Rp 84.5 T, of which Rp 46.5 T foreign loans</w:t>
            </w:r>
          </w:p>
        </w:tc>
      </w:tr>
      <w:tr>
        <w:tc>
          <w:tcPr>
            <w:tcW w:type="dxa" w:w="17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Industry: defence</w:t>
            </w:r>
          </w:p>
        </w:tc>
        <w:tc>
          <w:tcPr>
            <w:tcW w:type="dxa" w:w="35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Kemhan; Law 16/2012</w:t>
            </w:r>
          </w:p>
        </w:tc>
        <w:tc>
          <w:tcPr>
            <w:tcW w:type="dxa" w:w="43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Local content and/or offset at least 35%, rising 10% every five years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Industry: defence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Triantama (2026)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DEFEND ID arms revenue US$1.1 bn (2024), SIPRI Top 100 #96; local content 43%; 9% domestic inter-tier transactions</w:t>
            </w:r>
          </w:p>
        </w:tc>
      </w:tr>
      <w:tr>
        <w:tc>
          <w:tcPr>
            <w:tcW w:type="dxa" w:w="17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Industry: defence</w:t>
            </w:r>
          </w:p>
        </w:tc>
        <w:tc>
          <w:tcPr>
            <w:tcW w:type="dxa" w:w="35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Dunne &amp; Tian (2013)</w:t>
            </w:r>
          </w:p>
        </w:tc>
        <w:tc>
          <w:tcPr>
            <w:tcW w:type="dxa" w:w="43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Survey of about 170 studies: more recent evidence of a negative effect of military spending on growth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Industry: defence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Naval News (2024); Antara (2025)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Two Scorpène Evolved submarines to be built at PT PAL with technology transfer; 342 shipyards, 1 m DWT new-build capacity</w:t>
            </w:r>
          </w:p>
        </w:tc>
      </w:tr>
      <w:tr>
        <w:tc>
          <w:tcPr>
            <w:tcW w:type="dxa" w:w="17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Industry: manufacturing</w:t>
            </w:r>
          </w:p>
        </w:tc>
        <w:tc>
          <w:tcPr>
            <w:tcW w:type="dxa" w:w="35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USDA/Databoks; APSyFI; BenarNews</w:t>
            </w:r>
          </w:p>
        </w:tc>
        <w:tc>
          <w:tcPr>
            <w:tcW w:type="dxa" w:w="43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Cotton almost fully imported; mills at 30–50% utilisation; Sritex bankruptcy and 60 firms closed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Industry: manufacturing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GPFI (2025); WHO (2026); BPOM Reg. 8/2024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70–90% of APIs imported; 66 trials in 2024; local manufacturing required within 5 years for imported drugs</w:t>
            </w:r>
          </w:p>
        </w:tc>
      </w:tr>
      <w:tr>
        <w:tc>
          <w:tcPr>
            <w:tcW w:type="dxa" w:w="1739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Technology</w:t>
            </w:r>
          </w:p>
        </w:tc>
        <w:tc>
          <w:tcPr>
            <w:tcW w:type="dxa" w:w="3551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Kemenperin (2026); WSTS (2026); BCG</w:t>
            </w:r>
          </w:p>
        </w:tc>
        <w:tc>
          <w:tcPr>
            <w:tcW w:type="dxa" w:w="4348"/>
            <w:shd w:val="clear" w:color="auto" w:fill="EEF2F8"/>
          </w:tcPr>
          <w:p>
            <w:pPr>
              <w:spacing w:after="0"/>
            </w:pPr>
            <w:r/>
            <w:r>
              <w:rPr>
                <w:sz w:val="16"/>
              </w:rPr>
              <w:t>Semiconductor imports US$4.9 bn (Jan–Nov 2025); advanced fab US$35–43 bn; growth in discretes/analog 8–10%</w:t>
            </w:r>
          </w:p>
        </w:tc>
      </w:tr>
      <w:tr>
        <w:tc>
          <w:tcPr>
            <w:tcW w:type="dxa" w:w="1739"/>
          </w:tcPr>
          <w:p>
            <w:pPr>
              <w:spacing w:after="0"/>
            </w:pPr>
            <w:r/>
            <w:r>
              <w:rPr>
                <w:sz w:val="16"/>
              </w:rPr>
              <w:t>Finance</w:t>
            </w:r>
          </w:p>
        </w:tc>
        <w:tc>
          <w:tcPr>
            <w:tcW w:type="dxa" w:w="3551"/>
          </w:tcPr>
          <w:p>
            <w:pPr>
              <w:spacing w:after="0"/>
            </w:pPr>
            <w:r/>
            <w:r>
              <w:rPr>
                <w:sz w:val="16"/>
              </w:rPr>
              <w:t>Momentum Works; e-Conomy SEA 2025; Telkom; LKPP</w:t>
            </w:r>
          </w:p>
        </w:tc>
        <w:tc>
          <w:tcPr>
            <w:tcW w:type="dxa" w:w="4348"/>
          </w:tcPr>
          <w:p>
            <w:pPr>
              <w:spacing w:after="0"/>
            </w:pPr>
            <w:r/>
            <w:r>
              <w:rPr>
                <w:sz w:val="16"/>
              </w:rPr>
              <w:t>Shopee 54%, TikTok-Tokopedia 38%; PaDi UMKM Rp 7.5 T (2023); e-Katalog Rp 83 T, 44% MSMEs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 xml:space="preserve">Stabilise, Save, Invest and Grow — Data Book  ·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