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rFonts w:ascii="Arial" w:hAnsi="Arial"/>
          <w:b/>
          <w:color w:val="2251FF"/>
          <w:sz w:val="22"/>
        </w:rPr>
        <w:t>MAKALAH KOMITE PENGARAH</w:t>
      </w:r>
    </w:p>
    <w:p>
      <w:pPr>
        <w:spacing w:after="40"/>
      </w:pPr>
      <w:r>
        <w:rPr>
          <w:rFonts w:ascii="Arial" w:hAnsi="Arial"/>
          <w:b/>
          <w:color w:val="051C5C"/>
          <w:sz w:val="68"/>
        </w:rPr>
        <w:t>Manajemen Proyek</w:t>
      </w:r>
    </w:p>
    <w:p>
      <w:pPr>
        <w:spacing w:after="360"/>
      </w:pPr>
      <w:r>
        <w:rPr>
          <w:rFonts w:ascii="Arial" w:hAnsi="Arial"/>
          <w:b w:val="0"/>
          <w:color w:val="051C5C"/>
          <w:sz w:val="30"/>
        </w:rPr>
        <w:t>Kerangka, praktik, dan penerapannya pada proyek strategis nasional, BUMN Karya, dan platform kapabilitas industri Danantara</w:t>
      </w:r>
    </w:p>
    <w:tbl>
      <w:tblPr>
        <w:tblW w:type="auto" w:w="0"/>
        <w:tblLook w:firstColumn="1" w:firstRow="1" w:lastColumn="0" w:lastRow="0" w:noHBand="0" w:noVBand="1" w:val="04A0"/>
      </w:tblPr>
      <w:tblGrid>
        <w:gridCol w:w="9412"/>
      </w:tblGrid>
      <w:tr>
        <w:tc>
          <w:tcPr>
            <w:tcW w:type="dxa" w:w="9412"/>
            <w:shd w:val="clear" w:color="auto" w:fill="2251FF"/>
          </w:tcPr>
          <w:p>
            <w:pPr>
              <w:spacing w:before="160" w:after="160"/>
            </w:pPr>
            <w:r/>
            <w:r>
              <w:rPr>
                <w:rFonts w:ascii="Arial" w:hAnsi="Arial"/>
                <w:b/>
                <w:color w:val="FFFFFF"/>
                <w:sz w:val="24"/>
              </w:rPr>
              <w:t>Dari register yang tak terverifikasi menjadi sistem yang mengubah modal menjadi hasil terukur</w:t>
            </w:r>
          </w:p>
        </w:tc>
      </w:tr>
    </w:tbl>
    <w:p/>
    <w:p/>
    <w:p/>
    <w:p/>
    <w:p/>
    <w:p/>
    <w:p/>
    <w:p/>
    <w:p/>
    <w:p>
      <w:r>
        <w:rPr>
          <w:rFonts w:ascii="Arial" w:hAnsi="Arial"/>
          <w:b/>
          <w:sz w:val="24"/>
        </w:rPr>
        <w:t>Oktober 2026</w:t>
      </w:r>
    </w:p>
    <w:p>
      <w:r>
        <w:rPr>
          <w:rFonts w:ascii="Arial" w:hAnsi="Arial"/>
          <w:b w:val="0"/>
          <w:sz w:val="21"/>
        </w:rPr>
        <w:t>Disusun untuk organ tata kelola dan manajemen Danantara</w:t>
      </w:r>
    </w:p>
    <w:p>
      <w:r>
        <w:rPr>
          <w:rFonts w:ascii="Arial" w:hAnsi="Arial"/>
          <w:b w:val="0"/>
          <w:sz w:val="21"/>
        </w:rPr>
        <w:t>Draf untuk diskusi · Rahasia</w:t>
      </w:r>
    </w:p>
    <w:p>
      <w:r>
        <w:br w:type="page"/>
      </w:r>
    </w:p>
    <w:p>
      <w:r>
        <w:rPr>
          <w:rFonts w:ascii="Arial" w:hAnsi="Arial"/>
          <w:b/>
          <w:color w:val="051C5C"/>
          <w:sz w:val="26"/>
        </w:rPr>
        <w:t>Pemberitahuan penting</w:t>
      </w:r>
    </w:p>
    <w:p>
      <w:r>
        <w:rPr>
          <w:rFonts w:ascii="Arial" w:hAnsi="Arial"/>
          <w:b w:val="0"/>
          <w:sz w:val="20"/>
        </w:rPr>
        <w:t>Makalah ini adalah kajian analitis yang disusun untuk mendukung diskusi di antara pemangku kepentingan Danantara. Makalah ini merupakan draf untuk diskusi dan tidak mencerminkan keputusan, kebijakan, atau posisi Danantara, organ-organnya, maupun Pemerintah Republik Indonesia.</w:t>
      </w:r>
    </w:p>
    <w:p>
      <w:r>
        <w:rPr>
          <w:rFonts w:ascii="Arial" w:hAnsi="Arial"/>
          <w:b/>
          <w:sz w:val="20"/>
        </w:rPr>
        <w:t>Dasar penyusunan.</w:t>
      </w:r>
      <w:r>
        <w:rPr>
          <w:rFonts w:ascii="Arial" w:hAnsi="Arial"/>
          <w:b w:val="0"/>
          <w:sz w:val="20"/>
        </w:rPr>
        <w:t xml:space="preserve"> Bagian teori manajemen proyek disusun dari standar dan literatur yang diakui (Lampiran E). Bagian tentang Danantara disusun dari dokumen kerja internal dan terbatas yang tercantum pada Lampiran E; sebagian berklasifikasi rahasia atau terbatas (register 40 proyek, model pekerjaan RKAP DDMF). Versi untuk pihak eksternal perlu disunting.</w:t>
      </w:r>
    </w:p>
    <w:p>
      <w:r>
        <w:rPr>
          <w:rFonts w:ascii="Arial" w:hAnsi="Arial"/>
          <w:b/>
          <w:sz w:val="20"/>
        </w:rPr>
        <w:t>Sifat pekerjaan.</w:t>
      </w:r>
      <w:r>
        <w:rPr>
          <w:rFonts w:ascii="Arial" w:hAnsi="Arial"/>
          <w:b w:val="0"/>
          <w:sz w:val="20"/>
        </w:rPr>
        <w:t xml:space="preserve"> Makalah ini bukan audit, reviu, atau perikatan asurans lain; bukan penilaian (valuasi); bukan opini hukum, pajak, atau akuntansi; dan bukan pemeringkatan resmi. Rancangan, ambang, bobot, jadwal, dan struktur yang diusulkan merupakan rekomendasi untuk dipertimbangkan.</w:t>
      </w:r>
    </w:p>
    <w:p>
      <w:r>
        <w:rPr>
          <w:rFonts w:ascii="Arial" w:hAnsi="Arial"/>
          <w:b/>
          <w:sz w:val="20"/>
        </w:rPr>
        <w:t>Kelas bukti.</w:t>
      </w:r>
      <w:r>
        <w:rPr>
          <w:rFonts w:ascii="Arial" w:hAnsi="Arial"/>
          <w:b w:val="0"/>
          <w:sz w:val="20"/>
        </w:rPr>
        <w:t xml:space="preserve"> Angka diberi kelas A (diaudit), B (dilaporkan resmi), C (pengumuman, proyeksi, atau estimasi), D (ilustrasi atau asumsi), dan NR (tidak dapat dinilai). Angka kelas C dan D tidak boleh dibaca sebagai hasil yang telah terealisasi. Contoh hitung generik pada makalah ini ditandai ilustratif.</w:t>
      </w:r>
    </w:p>
    <w:p>
      <w:r>
        <w:rPr>
          <w:rFonts w:ascii="Arial" w:hAnsi="Arial"/>
          <w:b/>
          <w:sz w:val="20"/>
        </w:rPr>
        <w:t>Benturan kepentingan.</w:t>
      </w:r>
      <w:r>
        <w:rPr>
          <w:rFonts w:ascii="Arial" w:hAnsi="Arial"/>
          <w:b w:val="0"/>
          <w:sz w:val="20"/>
        </w:rPr>
        <w:t xml:space="preserve"> Sebagian dokumen sumber (PALCapital, DOCK-UP, dan sebagian proyek jangkar) berfokus pada industri maritim dan pertahanan serta PT PAL. Pembaca perlu menimbang contoh maritim dan pertahanan dengan memperhatikan hal tersebut.</w:t>
      </w:r>
    </w:p>
    <w:p>
      <w:r>
        <w:rPr>
          <w:rFonts w:ascii="Arial" w:hAnsi="Arial"/>
          <w:b/>
          <w:sz w:val="20"/>
        </w:rPr>
        <w:t>Independensi.</w:t>
      </w:r>
      <w:r>
        <w:rPr>
          <w:rFonts w:ascii="Arial" w:hAnsi="Arial"/>
          <w:b w:val="0"/>
          <w:sz w:val="20"/>
        </w:rPr>
        <w:t xml:space="preserve"> Dokumen ini tidak disusun oleh, tidak berafiliasi dengan, dan tidak didukung oleh firma jasa profesional atau lembaga standar mana pun yang namanya disebut sebagai rujukan.</w:t>
      </w:r>
    </w:p>
    <w:p>
      <w:r>
        <w:br w:type="page"/>
      </w:r>
    </w:p>
    <w:p>
      <w:r>
        <w:rPr>
          <w:rFonts w:ascii="Arial" w:hAnsi="Arial"/>
          <w:b/>
          <w:color w:val="051C5C"/>
          <w:sz w:val="32"/>
        </w:rPr>
        <w:t>Daftar isi</w:t>
      </w:r>
    </w:p>
    <w:p>
      <w:r>
        <w:fldChar w:fldCharType="begin"/>
        <w:instrText xml:space="preserve">TOC \o "1-2" \h \z \u</w:instrText>
        <w:fldChar w:fldCharType="separate"/>
        <w:t>Klik kanan dan pilih Perbarui Bidang untuk menampilkan daftar isi.</w:t>
        <w:fldChar w:fldCharType="end"/>
      </w:r>
    </w:p>
    <w:p>
      <w:r>
        <w:br w:type="page"/>
      </w:r>
    </w:p>
    <w:p>
      <w:pPr>
        <w:pStyle w:val="Heading1"/>
      </w:pPr>
      <w:r>
        <w:t>Ringkasan eksekutif</w:t>
      </w:r>
    </w:p>
    <w:tbl>
      <w:tblPr>
        <w:tblW w:type="auto" w:w="0"/>
        <w:jc w:val="center"/>
        <w:tblLook w:firstColumn="1" w:firstRow="1" w:lastColumn="0" w:lastRow="0" w:noHBand="0" w:noVBand="1" w:val="04A0"/>
      </w:tblPr>
      <w:tblGrid>
        <w:gridCol w:w="9412"/>
      </w:tblGrid>
      <w:tr>
        <w:tc>
          <w:tcPr>
            <w:tcW w:type="dxa" w:w="9412"/>
            <w:tcBorders>
              <w:left w:val="single" w:sz="36" w:color="2251FF"/>
            </w:tcBorders>
            <w:shd w:val="clear" w:color="auto" w:fill="E6ECFD"/>
          </w:tcPr>
          <w:p>
            <w:pPr>
              <w:spacing w:after="40"/>
            </w:pPr>
            <w:r/>
            <w:r>
              <w:rPr>
                <w:rFonts w:ascii="Arial" w:hAnsi="Arial"/>
                <w:b/>
                <w:color w:val="051C5C"/>
                <w:sz w:val="21"/>
              </w:rPr>
              <w:t>Pesan utama</w:t>
            </w:r>
          </w:p>
          <w:p>
            <w:pPr>
              <w:spacing w:after="40"/>
            </w:pPr>
            <w:r>
              <w:rPr>
                <w:rFonts w:ascii="Arial" w:hAnsi="Arial"/>
                <w:b w:val="0"/>
                <w:sz w:val="20"/>
              </w:rPr>
              <w:t>Danantara memiliki mandat, modal, dan gagasan yang kuat untuk mengubah proyek strategis menjadi kapabilitas industri. Yang belum tampak pada dokumen sumber adalah sistem manajemen proyek dan portofolio yang menyatukan gerbang, kendali biaya dan jadwal, risiko, pengadaan, pembiayaan, dan pengukuran hasil. Makalah ini menyajikan kerangka tersebut dan mengusulkan Sistem Manajemen Proyek Terpadu Danantara yang dapat diuji dalam 90 hari.</w:t>
            </w:r>
          </w:p>
        </w:tc>
      </w:tr>
    </w:tbl>
    <w:p>
      <w:pPr>
        <w:spacing w:after="40"/>
      </w:pPr>
    </w:p>
    <w:p>
      <w:pPr>
        <w:jc w:val="both"/>
      </w:pPr>
      <w:r>
        <w:rPr>
          <w:rFonts w:ascii="Arial" w:hAnsi="Arial"/>
          <w:b/>
        </w:rPr>
        <w:t>Mengapa manajemen proyek menentukan.</w:t>
      </w:r>
      <w:r>
        <w:rPr>
          <w:rFonts w:ascii="Arial" w:hAnsi="Arial"/>
          <w:b w:val="0"/>
        </w:rPr>
        <w:t xml:space="preserve"> Agenda industrialisasi Danantara dilaksanakan melalui proyek: portofolio 40 slot proyek strategis dengan nilai dinyatakan Rp2.091 triliun, ditambah proyek pemasok, pembiayaan, dan reformasi BUMN. Bukti dalam dokumen kerja menunjukkan lapisan manajemen proyek dan portofolio paling tipis: hanya 18 dari 40 slot yang bernama (Rp604,97 triliun, 28,9%); dua total berbeda Rp18,93 triliun; nol dari 40 proyek memiliki gerbang terverifikasi; dan skor tiga pilar 0/100 sebagai penalti data. Pada sisi pelaksana, estimasi kerugian 2025 empat BUMN Karya sekitar Rp28 triliun dan anggaran infrastruktur turun sekitar 45%.</w:t>
      </w:r>
    </w:p>
    <w:p>
      <w:pPr>
        <w:keepNext/>
        <w:spacing w:after="60"/>
      </w:pPr>
      <w:r>
        <w:rPr>
          <w:rFonts w:ascii="Arial" w:hAnsi="Arial"/>
          <w:b/>
          <w:color w:val="051C5C"/>
          <w:sz w:val="19"/>
        </w:rPr>
        <w:t xml:space="preserve">Tabel 1: </w:t>
      </w:r>
      <w:r>
        <w:rPr>
          <w:rFonts w:ascii="Arial" w:hAnsi="Arial"/>
          <w:color w:val="051C5C"/>
          <w:sz w:val="19"/>
        </w:rPr>
        <w:t>Temuan utama dan implikasinya</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485"/>
            <w:shd w:val="clear" w:color="auto" w:fill="2251FF"/>
            <w:vAlign w:val="center"/>
          </w:tcPr>
          <w:p>
            <w:pPr>
              <w:spacing w:after="20" w:before="20" w:line="252" w:lineRule="auto"/>
            </w:pPr>
            <w:r/>
            <w:r>
              <w:rPr>
                <w:rFonts w:ascii="Arial" w:hAnsi="Arial"/>
                <w:b/>
                <w:color w:val="FFFFFF"/>
                <w:sz w:val="17"/>
              </w:rPr>
              <w:t>#</w:t>
            </w:r>
          </w:p>
        </w:tc>
        <w:tc>
          <w:tcPr>
            <w:tcW w:type="dxa" w:w="4851"/>
            <w:shd w:val="clear" w:color="auto" w:fill="2251FF"/>
            <w:vAlign w:val="center"/>
          </w:tcPr>
          <w:p>
            <w:pPr>
              <w:spacing w:after="20" w:before="20" w:line="252" w:lineRule="auto"/>
            </w:pPr>
            <w:r/>
            <w:r>
              <w:rPr>
                <w:rFonts w:ascii="Arial" w:hAnsi="Arial"/>
                <w:b/>
                <w:color w:val="FFFFFF"/>
                <w:sz w:val="17"/>
              </w:rPr>
              <w:t>Temuan</w:t>
            </w:r>
          </w:p>
        </w:tc>
        <w:tc>
          <w:tcPr>
            <w:tcW w:type="dxa" w:w="4075"/>
            <w:shd w:val="clear" w:color="auto" w:fill="2251FF"/>
            <w:vAlign w:val="center"/>
          </w:tcPr>
          <w:p>
            <w:pPr>
              <w:spacing w:after="20" w:before="20" w:line="252" w:lineRule="auto"/>
            </w:pPr>
            <w:r/>
            <w:r>
              <w:rPr>
                <w:rFonts w:ascii="Arial" w:hAnsi="Arial"/>
                <w:b/>
                <w:color w:val="FFFFFF"/>
                <w:sz w:val="17"/>
              </w:rPr>
              <w:t>Implikasi</w:t>
            </w:r>
          </w:p>
        </w:tc>
      </w:tr>
      <w:tr>
        <w:trPr>
          <w:cantSplit/>
        </w:trPr>
        <w:tc>
          <w:tcPr>
            <w:tcW w:type="dxa" w:w="485"/>
            <w:vAlign w:val="center"/>
          </w:tcPr>
          <w:p>
            <w:pPr>
              <w:spacing w:after="20" w:before="20" w:line="252" w:lineRule="auto"/>
            </w:pPr>
            <w:r/>
            <w:r>
              <w:rPr>
                <w:rFonts w:ascii="Arial" w:hAnsi="Arial"/>
                <w:b/>
                <w:sz w:val="17"/>
              </w:rPr>
              <w:t>1</w:t>
            </w:r>
          </w:p>
        </w:tc>
        <w:tc>
          <w:tcPr>
            <w:tcW w:type="dxa" w:w="4851"/>
            <w:vAlign w:val="center"/>
          </w:tcPr>
          <w:p>
            <w:pPr>
              <w:spacing w:after="20" w:before="20" w:line="252" w:lineRule="auto"/>
            </w:pPr>
            <w:r/>
            <w:r>
              <w:rPr>
                <w:rFonts w:ascii="Arial" w:hAnsi="Arial"/>
                <w:b w:val="0"/>
                <w:sz w:val="17"/>
              </w:rPr>
              <w:t>Portofolio belum memiliki register terverifikasi, baseline, dan gerbang; angka klaster berbeda sangat jauh antar sumber</w:t>
            </w:r>
          </w:p>
        </w:tc>
        <w:tc>
          <w:tcPr>
            <w:tcW w:type="dxa" w:w="4075"/>
            <w:vAlign w:val="center"/>
          </w:tcPr>
          <w:p>
            <w:pPr>
              <w:spacing w:after="20" w:before="20" w:line="252" w:lineRule="auto"/>
            </w:pPr>
            <w:r/>
            <w:r>
              <w:rPr>
                <w:rFonts w:ascii="Arial" w:hAnsi="Arial"/>
                <w:b w:val="0"/>
                <w:sz w:val="17"/>
              </w:rPr>
              <w:t>Keputusan modal tidak dapat dibenarkan oleh bukti; rekonsiliasi dan penunjukan sponsor adalah langkah pertama (Hari 45)</w:t>
            </w:r>
          </w:p>
        </w:tc>
      </w:tr>
      <w:tr>
        <w:trPr>
          <w:cantSplit/>
        </w:trPr>
        <w:tc>
          <w:tcPr>
            <w:tcW w:type="dxa" w:w="485"/>
            <w:shd w:val="clear" w:color="auto" w:fill="E6ECFD"/>
            <w:vAlign w:val="center"/>
          </w:tcPr>
          <w:p>
            <w:pPr>
              <w:spacing w:after="20" w:before="20" w:line="252" w:lineRule="auto"/>
            </w:pPr>
            <w:r/>
            <w:r>
              <w:rPr>
                <w:rFonts w:ascii="Arial" w:hAnsi="Arial"/>
                <w:b/>
                <w:sz w:val="17"/>
              </w:rPr>
              <w:t>2</w:t>
            </w:r>
          </w:p>
        </w:tc>
        <w:tc>
          <w:tcPr>
            <w:tcW w:type="dxa" w:w="4851"/>
            <w:shd w:val="clear" w:color="auto" w:fill="E6ECFD"/>
            <w:vAlign w:val="center"/>
          </w:tcPr>
          <w:p>
            <w:pPr>
              <w:spacing w:after="20" w:before="20" w:line="252" w:lineRule="auto"/>
            </w:pPr>
            <w:r/>
            <w:r>
              <w:rPr>
                <w:rFonts w:ascii="Arial" w:hAnsi="Arial"/>
                <w:b w:val="0"/>
                <w:sz w:val="17"/>
              </w:rPr>
              <w:t>Elemen manajemen proyek tersebar tetapi belum terpadu: gerbang P0–P6, M0–M9, S1–S4, RASCI 24 aktivitas, rantai biaya EPC, register risiko 24 butir, tiga scorecard</w:t>
            </w:r>
          </w:p>
        </w:tc>
        <w:tc>
          <w:tcPr>
            <w:tcW w:type="dxa" w:w="4075"/>
            <w:shd w:val="clear" w:color="auto" w:fill="E6ECFD"/>
            <w:vAlign w:val="center"/>
          </w:tcPr>
          <w:p>
            <w:pPr>
              <w:spacing w:after="20" w:before="20" w:line="252" w:lineRule="auto"/>
            </w:pPr>
            <w:r/>
            <w:r>
              <w:rPr>
                <w:rFonts w:ascii="Arial" w:hAnsi="Arial"/>
                <w:b w:val="0"/>
                <w:sz w:val="17"/>
              </w:rPr>
              <w:t>Diperlukan satu sistem (DPMS) dengan artefak dan pengendalian tetap pada setiap gerbang</w:t>
            </w:r>
          </w:p>
        </w:tc>
      </w:tr>
      <w:tr>
        <w:trPr>
          <w:cantSplit/>
        </w:trPr>
        <w:tc>
          <w:tcPr>
            <w:tcW w:type="dxa" w:w="485"/>
            <w:vAlign w:val="center"/>
          </w:tcPr>
          <w:p>
            <w:pPr>
              <w:spacing w:after="20" w:before="20" w:line="252" w:lineRule="auto"/>
            </w:pPr>
            <w:r/>
            <w:r>
              <w:rPr>
                <w:rFonts w:ascii="Arial" w:hAnsi="Arial"/>
                <w:b/>
                <w:sz w:val="17"/>
              </w:rPr>
              <w:t>3</w:t>
            </w:r>
          </w:p>
        </w:tc>
        <w:tc>
          <w:tcPr>
            <w:tcW w:type="dxa" w:w="4851"/>
            <w:vAlign w:val="center"/>
          </w:tcPr>
          <w:p>
            <w:pPr>
              <w:spacing w:after="20" w:before="20" w:line="252" w:lineRule="auto"/>
            </w:pPr>
            <w:r/>
            <w:r>
              <w:rPr>
                <w:rFonts w:ascii="Arial" w:hAnsi="Arial"/>
                <w:b w:val="0"/>
                <w:sz w:val="17"/>
              </w:rPr>
              <w:t>Prinsip bahwa uang dan volume mengikuti bukti kesiapan terdapat pada DOCK-UP dan PALCapital; risiko terbesar adalah memperlakukannya sebagai kuota</w:t>
            </w:r>
          </w:p>
        </w:tc>
        <w:tc>
          <w:tcPr>
            <w:tcW w:type="dxa" w:w="4075"/>
            <w:vAlign w:val="center"/>
          </w:tcPr>
          <w:p>
            <w:pPr>
              <w:spacing w:after="20" w:before="20" w:line="252" w:lineRule="auto"/>
            </w:pPr>
            <w:r/>
            <w:r>
              <w:rPr>
                <w:rFonts w:ascii="Arial" w:hAnsi="Arial"/>
                <w:b w:val="0"/>
                <w:sz w:val="17"/>
              </w:rPr>
              <w:t>Wajibkan pelepasan pesanan dan dana per gerbang; asesor independen</w:t>
            </w:r>
          </w:p>
        </w:tc>
      </w:tr>
      <w:tr>
        <w:trPr>
          <w:cantSplit/>
        </w:trPr>
        <w:tc>
          <w:tcPr>
            <w:tcW w:type="dxa" w:w="485"/>
            <w:shd w:val="clear" w:color="auto" w:fill="E6ECFD"/>
            <w:vAlign w:val="center"/>
          </w:tcPr>
          <w:p>
            <w:pPr>
              <w:spacing w:after="20" w:before="20" w:line="252" w:lineRule="auto"/>
            </w:pPr>
            <w:r/>
            <w:r>
              <w:rPr>
                <w:rFonts w:ascii="Arial" w:hAnsi="Arial"/>
                <w:b/>
                <w:sz w:val="17"/>
              </w:rPr>
              <w:t>4</w:t>
            </w:r>
          </w:p>
        </w:tc>
        <w:tc>
          <w:tcPr>
            <w:tcW w:type="dxa" w:w="4851"/>
            <w:shd w:val="clear" w:color="auto" w:fill="E6ECFD"/>
            <w:vAlign w:val="center"/>
          </w:tcPr>
          <w:p>
            <w:pPr>
              <w:spacing w:after="20" w:before="20" w:line="252" w:lineRule="auto"/>
            </w:pPr>
            <w:r/>
            <w:r>
              <w:rPr>
                <w:rFonts w:ascii="Arial" w:hAnsi="Arial"/>
                <w:b w:val="0"/>
                <w:sz w:val="17"/>
              </w:rPr>
              <w:t>Kerugian BUMN Karya mencerminkan kegagalan seleksi proyek, estimasi, alokasi risiko, penagihan, dan insentif</w:t>
            </w:r>
          </w:p>
        </w:tc>
        <w:tc>
          <w:tcPr>
            <w:tcW w:type="dxa" w:w="4075"/>
            <w:shd w:val="clear" w:color="auto" w:fill="E6ECFD"/>
            <w:vAlign w:val="center"/>
          </w:tcPr>
          <w:p>
            <w:pPr>
              <w:spacing w:after="20" w:before="20" w:line="252" w:lineRule="auto"/>
            </w:pPr>
            <w:r/>
            <w:r>
              <w:rPr>
                <w:rFonts w:ascii="Arial" w:hAnsi="Arial"/>
                <w:b w:val="0"/>
                <w:sz w:val="17"/>
              </w:rPr>
              <w:t>Disiplin penawaran, rantai biaya EPC, perlindungan kas, dan insentif berbasis laba dan kas</w:t>
            </w:r>
          </w:p>
        </w:tc>
      </w:tr>
      <w:tr>
        <w:trPr>
          <w:cantSplit/>
        </w:trPr>
        <w:tc>
          <w:tcPr>
            <w:tcW w:type="dxa" w:w="485"/>
            <w:vAlign w:val="center"/>
          </w:tcPr>
          <w:p>
            <w:pPr>
              <w:spacing w:after="20" w:before="20" w:line="252" w:lineRule="auto"/>
            </w:pPr>
            <w:r/>
            <w:r>
              <w:rPr>
                <w:rFonts w:ascii="Arial" w:hAnsi="Arial"/>
                <w:b/>
                <w:sz w:val="17"/>
              </w:rPr>
              <w:t>5</w:t>
            </w:r>
          </w:p>
        </w:tc>
        <w:tc>
          <w:tcPr>
            <w:tcW w:type="dxa" w:w="4851"/>
            <w:vAlign w:val="center"/>
          </w:tcPr>
          <w:p>
            <w:pPr>
              <w:spacing w:after="20" w:before="20" w:line="252" w:lineRule="auto"/>
            </w:pPr>
            <w:r/>
            <w:r>
              <w:rPr>
                <w:rFonts w:ascii="Arial" w:hAnsi="Arial"/>
                <w:b w:val="0"/>
                <w:sz w:val="17"/>
              </w:rPr>
              <w:t>Dokumen sumber tidak memuat jalur kritis, EVM, atau prosedur perubahan; hanya alur kerja EPC yang memuatnya</w:t>
            </w:r>
          </w:p>
        </w:tc>
        <w:tc>
          <w:tcPr>
            <w:tcW w:type="dxa" w:w="4075"/>
            <w:vAlign w:val="center"/>
          </w:tcPr>
          <w:p>
            <w:pPr>
              <w:spacing w:after="20" w:before="20" w:line="252" w:lineRule="auto"/>
            </w:pPr>
            <w:r/>
            <w:r>
              <w:rPr>
                <w:rFonts w:ascii="Arial" w:hAnsi="Arial"/>
                <w:b w:val="0"/>
                <w:sz w:val="17"/>
              </w:rPr>
              <w:t>Standar minimum biaya dan jadwal perlu ditetapkan; kebijakan referensi pada standar internasional</w:t>
            </w:r>
          </w:p>
        </w:tc>
      </w:tr>
      <w:tr>
        <w:trPr>
          <w:cantSplit/>
        </w:trPr>
        <w:tc>
          <w:tcPr>
            <w:tcW w:type="dxa" w:w="485"/>
            <w:shd w:val="clear" w:color="auto" w:fill="E6ECFD"/>
            <w:vAlign w:val="center"/>
          </w:tcPr>
          <w:p>
            <w:pPr>
              <w:spacing w:after="20" w:before="20" w:line="252" w:lineRule="auto"/>
            </w:pPr>
            <w:r/>
            <w:r>
              <w:rPr>
                <w:rFonts w:ascii="Arial" w:hAnsi="Arial"/>
                <w:b/>
                <w:sz w:val="17"/>
              </w:rPr>
              <w:t>6</w:t>
            </w:r>
          </w:p>
        </w:tc>
        <w:tc>
          <w:tcPr>
            <w:tcW w:type="dxa" w:w="4851"/>
            <w:shd w:val="clear" w:color="auto" w:fill="E6ECFD"/>
            <w:vAlign w:val="center"/>
          </w:tcPr>
          <w:p>
            <w:pPr>
              <w:spacing w:after="20" w:before="20" w:line="252" w:lineRule="auto"/>
            </w:pPr>
            <w:r/>
            <w:r>
              <w:rPr>
                <w:rFonts w:ascii="Arial" w:hAnsi="Arial"/>
                <w:b w:val="0"/>
                <w:sz w:val="17"/>
              </w:rPr>
              <w:t>Rancangan AI multi-agen mengodekan disiplin proses (anggaran, PR, tiga arah, EVM) dan mensyaratkan data induk dan persetujuan manusia</w:t>
            </w:r>
          </w:p>
        </w:tc>
        <w:tc>
          <w:tcPr>
            <w:tcW w:type="dxa" w:w="4075"/>
            <w:shd w:val="clear" w:color="auto" w:fill="E6ECFD"/>
            <w:vAlign w:val="center"/>
          </w:tcPr>
          <w:p>
            <w:pPr>
              <w:spacing w:after="20" w:before="20" w:line="252" w:lineRule="auto"/>
            </w:pPr>
            <w:r/>
            <w:r>
              <w:rPr>
                <w:rFonts w:ascii="Arial" w:hAnsi="Arial"/>
                <w:b w:val="0"/>
                <w:sz w:val="17"/>
              </w:rPr>
              <w:t>Mulai dari data dan MVP tiga bulan; ukur manfaat bersih; ambang klasifikasi risiko ditetapkan dari baseline</w:t>
            </w:r>
          </w:p>
        </w:tc>
      </w:tr>
    </w:tbl>
    <w:p>
      <w:pPr>
        <w:spacing w:after="40"/>
      </w:pPr>
    </w:p>
    <w:p>
      <w:pPr>
        <w:jc w:val="both"/>
      </w:pPr>
      <w:r>
        <w:rPr>
          <w:rFonts w:ascii="Arial" w:hAnsi="Arial"/>
          <w:b/>
        </w:rPr>
        <w:t>Apa yang diusulkan.</w:t>
      </w:r>
      <w:r>
        <w:rPr>
          <w:rFonts w:ascii="Arial" w:hAnsi="Arial"/>
          <w:b w:val="0"/>
        </w:rPr>
        <w:t xml:space="preserve"> DPMS terdiri dari tujuh komponen: kebijakan dan standar, organisasi dan peran (unit Industri Strategis sebagai PMO portofolio), proses dan gerbang terpadu, artefak dan templat, data dan teknologi, kinerja dan pelaporan, serta kapabilitas dan budaya. Standar minimum meliputi identitas tunggal dan penunjukan sponsor serta project director sebelum P0, estimasi kelas 3 dan kontingensi berbasis risiko pada P3, baseline yang dibekukan pada P4, tiga pemeriksaan pada setiap permintaan pembelian, pencairan berbasis tonggak yang diverifikasi independen, kelas bukti pada setiap angka, dan pelepasan pesanan pemasok sesuai gerbang.</w:t>
      </w:r>
    </w:p>
    <w:p>
      <w:pPr>
        <w:keepNext/>
        <w:spacing w:after="60"/>
      </w:pPr>
      <w:r>
        <w:rPr>
          <w:rFonts w:ascii="Arial" w:hAnsi="Arial"/>
          <w:b/>
          <w:color w:val="051C5C"/>
          <w:sz w:val="19"/>
        </w:rPr>
        <w:t xml:space="preserve">Tabel 2: </w:t>
      </w:r>
      <w:r>
        <w:rPr>
          <w:rFonts w:ascii="Arial" w:hAnsi="Arial"/>
          <w:color w:val="051C5C"/>
          <w:sz w:val="19"/>
        </w:rPr>
        <w:t>Angka kunci (kelas bukti sesuai sumber)</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2250"/>
            <w:shd w:val="clear" w:color="auto" w:fill="2251FF"/>
            <w:vAlign w:val="center"/>
          </w:tcPr>
          <w:p>
            <w:pPr>
              <w:spacing w:after="20" w:before="20" w:line="252" w:lineRule="auto"/>
            </w:pPr>
            <w:r/>
            <w:r>
              <w:rPr>
                <w:rFonts w:ascii="Arial" w:hAnsi="Arial"/>
                <w:b/>
                <w:color w:val="FFFFFF"/>
                <w:sz w:val="17"/>
              </w:rPr>
              <w:t>Angka</w:t>
            </w:r>
          </w:p>
        </w:tc>
        <w:tc>
          <w:tcPr>
            <w:tcW w:type="dxa" w:w="6342"/>
            <w:shd w:val="clear" w:color="auto" w:fill="2251FF"/>
            <w:vAlign w:val="center"/>
          </w:tcPr>
          <w:p>
            <w:pPr>
              <w:spacing w:after="20" w:before="20" w:line="252" w:lineRule="auto"/>
            </w:pPr>
            <w:r/>
            <w:r>
              <w:rPr>
                <w:rFonts w:ascii="Arial" w:hAnsi="Arial"/>
                <w:b/>
                <w:color w:val="FFFFFF"/>
                <w:sz w:val="17"/>
              </w:rPr>
              <w:t>Makna</w:t>
            </w:r>
          </w:p>
        </w:tc>
        <w:tc>
          <w:tcPr>
            <w:tcW w:type="dxa" w:w="818"/>
            <w:shd w:val="clear" w:color="auto" w:fill="2251FF"/>
            <w:vAlign w:val="center"/>
          </w:tcPr>
          <w:p>
            <w:pPr>
              <w:spacing w:after="20" w:before="20" w:line="252" w:lineRule="auto"/>
            </w:pPr>
            <w:r/>
            <w:r>
              <w:rPr>
                <w:rFonts w:ascii="Arial" w:hAnsi="Arial"/>
                <w:b/>
                <w:color w:val="FFFFFF"/>
                <w:sz w:val="17"/>
              </w:rPr>
              <w:t>Kelas</w:t>
            </w:r>
          </w:p>
        </w:tc>
      </w:tr>
      <w:tr>
        <w:trPr>
          <w:cantSplit/>
        </w:trPr>
        <w:tc>
          <w:tcPr>
            <w:tcW w:type="dxa" w:w="2250"/>
            <w:vAlign w:val="center"/>
          </w:tcPr>
          <w:p>
            <w:pPr>
              <w:spacing w:after="20" w:before="20" w:line="252" w:lineRule="auto"/>
            </w:pPr>
            <w:r/>
            <w:r>
              <w:rPr>
                <w:rFonts w:ascii="Arial" w:hAnsi="Arial"/>
                <w:b/>
                <w:sz w:val="17"/>
              </w:rPr>
              <w:t>Rp2.091,46 T</w:t>
            </w:r>
          </w:p>
        </w:tc>
        <w:tc>
          <w:tcPr>
            <w:tcW w:type="dxa" w:w="6342"/>
            <w:vAlign w:val="center"/>
          </w:tcPr>
          <w:p>
            <w:pPr>
              <w:spacing w:after="20" w:before="20" w:line="252" w:lineRule="auto"/>
            </w:pPr>
            <w:r/>
            <w:r>
              <w:rPr>
                <w:rFonts w:ascii="Arial" w:hAnsi="Arial"/>
                <w:b w:val="0"/>
                <w:sz w:val="17"/>
              </w:rPr>
              <w:t>Nilai dinyatakan portofolio 40 slot (rincian Rp2.072,53 T; selisih Rp18,93 T)</w:t>
            </w:r>
          </w:p>
        </w:tc>
        <w:tc>
          <w:tcPr>
            <w:tcW w:type="dxa" w:w="818"/>
            <w:vAlign w:val="center"/>
          </w:tcPr>
          <w:p>
            <w:pPr>
              <w:spacing w:after="20" w:before="20" w:line="252" w:lineRule="auto"/>
            </w:pPr>
            <w:r/>
            <w:r>
              <w:rPr>
                <w:rFonts w:ascii="Arial" w:hAnsi="Arial"/>
                <w:b w:val="0"/>
                <w:sz w:val="17"/>
              </w:rPr>
              <w:t>C</w:t>
            </w:r>
          </w:p>
        </w:tc>
      </w:tr>
      <w:tr>
        <w:trPr>
          <w:cantSplit/>
        </w:trPr>
        <w:tc>
          <w:tcPr>
            <w:tcW w:type="dxa" w:w="2250"/>
            <w:shd w:val="clear" w:color="auto" w:fill="E6ECFD"/>
            <w:vAlign w:val="center"/>
          </w:tcPr>
          <w:p>
            <w:pPr>
              <w:spacing w:after="20" w:before="20" w:line="252" w:lineRule="auto"/>
            </w:pPr>
            <w:r/>
            <w:r>
              <w:rPr>
                <w:rFonts w:ascii="Arial" w:hAnsi="Arial"/>
                <w:b/>
                <w:sz w:val="17"/>
              </w:rPr>
              <w:t>18 dari 40</w:t>
            </w:r>
          </w:p>
        </w:tc>
        <w:tc>
          <w:tcPr>
            <w:tcW w:type="dxa" w:w="6342"/>
            <w:shd w:val="clear" w:color="auto" w:fill="E6ECFD"/>
            <w:vAlign w:val="center"/>
          </w:tcPr>
          <w:p>
            <w:pPr>
              <w:spacing w:after="20" w:before="20" w:line="252" w:lineRule="auto"/>
            </w:pPr>
            <w:r/>
            <w:r>
              <w:rPr>
                <w:rFonts w:ascii="Arial" w:hAnsi="Arial"/>
                <w:b w:val="0"/>
                <w:sz w:val="17"/>
              </w:rPr>
              <w:t>Slot bernama; Rp604,97 T (28,9%); 22 slot tanpa identitas</w:t>
            </w:r>
          </w:p>
        </w:tc>
        <w:tc>
          <w:tcPr>
            <w:tcW w:type="dxa" w:w="818"/>
            <w:shd w:val="clear" w:color="auto" w:fill="E6ECFD"/>
            <w:vAlign w:val="center"/>
          </w:tcPr>
          <w:p>
            <w:pPr>
              <w:spacing w:after="20" w:before="20" w:line="252" w:lineRule="auto"/>
            </w:pPr>
            <w:r/>
            <w:r>
              <w:rPr>
                <w:rFonts w:ascii="Arial" w:hAnsi="Arial"/>
                <w:b w:val="0"/>
                <w:sz w:val="17"/>
              </w:rPr>
              <w:t>C</w:t>
            </w:r>
          </w:p>
        </w:tc>
      </w:tr>
      <w:tr>
        <w:trPr>
          <w:cantSplit/>
        </w:trPr>
        <w:tc>
          <w:tcPr>
            <w:tcW w:type="dxa" w:w="2250"/>
            <w:vAlign w:val="center"/>
          </w:tcPr>
          <w:p>
            <w:pPr>
              <w:spacing w:after="20" w:before="20" w:line="252" w:lineRule="auto"/>
            </w:pPr>
            <w:r/>
            <w:r>
              <w:rPr>
                <w:rFonts w:ascii="Arial" w:hAnsi="Arial"/>
                <w:b/>
                <w:sz w:val="17"/>
              </w:rPr>
              <w:t>0 dari 40</w:t>
            </w:r>
          </w:p>
        </w:tc>
        <w:tc>
          <w:tcPr>
            <w:tcW w:type="dxa" w:w="6342"/>
            <w:vAlign w:val="center"/>
          </w:tcPr>
          <w:p>
            <w:pPr>
              <w:spacing w:after="20" w:before="20" w:line="252" w:lineRule="auto"/>
            </w:pPr>
            <w:r/>
            <w:r>
              <w:rPr>
                <w:rFonts w:ascii="Arial" w:hAnsi="Arial"/>
                <w:b w:val="0"/>
                <w:sz w:val="17"/>
              </w:rPr>
              <w:t>Proyek dengan gerbang terverifikasi; skor tiga pilar 0/100 (penalti data)</w:t>
            </w:r>
          </w:p>
        </w:tc>
        <w:tc>
          <w:tcPr>
            <w:tcW w:type="dxa" w:w="818"/>
            <w:vAlign w:val="center"/>
          </w:tcPr>
          <w:p>
            <w:pPr>
              <w:spacing w:after="20" w:before="20" w:line="252" w:lineRule="auto"/>
            </w:pPr>
            <w:r/>
            <w:r>
              <w:rPr>
                <w:rFonts w:ascii="Arial" w:hAnsi="Arial"/>
                <w:b w:val="0"/>
                <w:sz w:val="17"/>
              </w:rPr>
              <w:t>C</w:t>
            </w:r>
          </w:p>
        </w:tc>
      </w:tr>
      <w:tr>
        <w:trPr>
          <w:cantSplit/>
        </w:trPr>
        <w:tc>
          <w:tcPr>
            <w:tcW w:type="dxa" w:w="2250"/>
            <w:shd w:val="clear" w:color="auto" w:fill="E6ECFD"/>
            <w:vAlign w:val="center"/>
          </w:tcPr>
          <w:p>
            <w:pPr>
              <w:spacing w:after="20" w:before="20" w:line="252" w:lineRule="auto"/>
            </w:pPr>
            <w:r/>
            <w:r>
              <w:rPr>
                <w:rFonts w:ascii="Arial" w:hAnsi="Arial"/>
                <w:b/>
                <w:sz w:val="17"/>
              </w:rPr>
              <w:t>≈ Rp28 T</w:t>
            </w:r>
          </w:p>
        </w:tc>
        <w:tc>
          <w:tcPr>
            <w:tcW w:type="dxa" w:w="6342"/>
            <w:shd w:val="clear" w:color="auto" w:fill="E6ECFD"/>
            <w:vAlign w:val="center"/>
          </w:tcPr>
          <w:p>
            <w:pPr>
              <w:spacing w:after="20" w:before="20" w:line="252" w:lineRule="auto"/>
            </w:pPr>
            <w:r/>
            <w:r>
              <w:rPr>
                <w:rFonts w:ascii="Arial" w:hAnsi="Arial"/>
                <w:b w:val="0"/>
                <w:sz w:val="17"/>
              </w:rPr>
              <w:t>Estimasi kerugian 2025 WIKA, PP, Adhi Karya, Waskita; anggaran infrastruktur −45%</w:t>
            </w:r>
          </w:p>
        </w:tc>
        <w:tc>
          <w:tcPr>
            <w:tcW w:type="dxa" w:w="818"/>
            <w:shd w:val="clear" w:color="auto" w:fill="E6ECFD"/>
            <w:vAlign w:val="center"/>
          </w:tcPr>
          <w:p>
            <w:pPr>
              <w:spacing w:after="20" w:before="20" w:line="252" w:lineRule="auto"/>
            </w:pPr>
            <w:r/>
            <w:r>
              <w:rPr>
                <w:rFonts w:ascii="Arial" w:hAnsi="Arial"/>
                <w:b w:val="0"/>
                <w:sz w:val="17"/>
              </w:rPr>
              <w:t>C</w:t>
            </w:r>
          </w:p>
        </w:tc>
      </w:tr>
      <w:tr>
        <w:trPr>
          <w:cantSplit/>
        </w:trPr>
        <w:tc>
          <w:tcPr>
            <w:tcW w:type="dxa" w:w="2250"/>
            <w:vAlign w:val="center"/>
          </w:tcPr>
          <w:p>
            <w:pPr>
              <w:spacing w:after="20" w:before="20" w:line="252" w:lineRule="auto"/>
            </w:pPr>
            <w:r/>
            <w:r>
              <w:rPr>
                <w:rFonts w:ascii="Arial" w:hAnsi="Arial"/>
                <w:b/>
                <w:sz w:val="17"/>
              </w:rPr>
              <w:t>6,8%</w:t>
            </w:r>
          </w:p>
        </w:tc>
        <w:tc>
          <w:tcPr>
            <w:tcW w:type="dxa" w:w="6342"/>
            <w:vAlign w:val="center"/>
          </w:tcPr>
          <w:p>
            <w:pPr>
              <w:spacing w:after="20" w:before="20" w:line="252" w:lineRule="auto"/>
            </w:pPr>
            <w:r/>
            <w:r>
              <w:rPr>
                <w:rFonts w:ascii="Arial" w:hAnsi="Arial"/>
                <w:b w:val="0"/>
                <w:sz w:val="17"/>
              </w:rPr>
              <w:t>Porsi dua kanal pembiayaan baru dari Rp2.091 T (ilustrasi); sisa Rp1.371 T harus dimobilisasi</w:t>
            </w:r>
          </w:p>
        </w:tc>
        <w:tc>
          <w:tcPr>
            <w:tcW w:type="dxa" w:w="818"/>
            <w:vAlign w:val="center"/>
          </w:tcPr>
          <w:p>
            <w:pPr>
              <w:spacing w:after="20" w:before="20" w:line="252" w:lineRule="auto"/>
            </w:pPr>
            <w:r/>
            <w:r>
              <w:rPr>
                <w:rFonts w:ascii="Arial" w:hAnsi="Arial"/>
                <w:b w:val="0"/>
                <w:sz w:val="17"/>
              </w:rPr>
              <w:t>D</w:t>
            </w:r>
          </w:p>
        </w:tc>
      </w:tr>
      <w:tr>
        <w:trPr>
          <w:cantSplit/>
        </w:trPr>
        <w:tc>
          <w:tcPr>
            <w:tcW w:type="dxa" w:w="2250"/>
            <w:shd w:val="clear" w:color="auto" w:fill="E6ECFD"/>
            <w:vAlign w:val="center"/>
          </w:tcPr>
          <w:p>
            <w:pPr>
              <w:spacing w:after="20" w:before="20" w:line="252" w:lineRule="auto"/>
            </w:pPr>
            <w:r/>
            <w:r>
              <w:rPr>
                <w:rFonts w:ascii="Arial" w:hAnsi="Arial"/>
                <w:b/>
                <w:sz w:val="17"/>
              </w:rPr>
              <w:t>US$150 juta</w:t>
            </w:r>
          </w:p>
        </w:tc>
        <w:tc>
          <w:tcPr>
            <w:tcW w:type="dxa" w:w="6342"/>
            <w:shd w:val="clear" w:color="auto" w:fill="E6ECFD"/>
            <w:vAlign w:val="center"/>
          </w:tcPr>
          <w:p>
            <w:pPr>
              <w:spacing w:after="20" w:before="20" w:line="252" w:lineRule="auto"/>
            </w:pPr>
            <w:r/>
            <w:r>
              <w:rPr>
                <w:rFonts w:ascii="Arial" w:hAnsi="Arial"/>
                <w:b w:val="0"/>
                <w:sz w:val="17"/>
              </w:rPr>
              <w:t>Uji coba PAL-SUB-1 dengan empat tranche tonggak fisik (40, 45, 40, 25)</w:t>
            </w:r>
          </w:p>
        </w:tc>
        <w:tc>
          <w:tcPr>
            <w:tcW w:type="dxa" w:w="818"/>
            <w:shd w:val="clear" w:color="auto" w:fill="E6ECFD"/>
            <w:vAlign w:val="center"/>
          </w:tcPr>
          <w:p>
            <w:pPr>
              <w:spacing w:after="20" w:before="20" w:line="252" w:lineRule="auto"/>
            </w:pPr>
            <w:r/>
            <w:r>
              <w:rPr>
                <w:rFonts w:ascii="Arial" w:hAnsi="Arial"/>
                <w:b w:val="0"/>
                <w:sz w:val="17"/>
              </w:rPr>
              <w:t>C</w:t>
            </w:r>
          </w:p>
        </w:tc>
      </w:tr>
      <w:tr>
        <w:trPr>
          <w:cantSplit/>
        </w:trPr>
        <w:tc>
          <w:tcPr>
            <w:tcW w:type="dxa" w:w="2250"/>
            <w:vAlign w:val="center"/>
          </w:tcPr>
          <w:p>
            <w:pPr>
              <w:spacing w:after="20" w:before="20" w:line="252" w:lineRule="auto"/>
            </w:pPr>
            <w:r/>
            <w:r>
              <w:rPr>
                <w:rFonts w:ascii="Arial" w:hAnsi="Arial"/>
                <w:b/>
                <w:sz w:val="17"/>
              </w:rPr>
              <w:t>11,4 juta; 976 ribu</w:t>
            </w:r>
          </w:p>
        </w:tc>
        <w:tc>
          <w:tcPr>
            <w:tcW w:type="dxa" w:w="6342"/>
            <w:vAlign w:val="center"/>
          </w:tcPr>
          <w:p>
            <w:pPr>
              <w:spacing w:after="20" w:before="20" w:line="252" w:lineRule="auto"/>
            </w:pPr>
            <w:r/>
            <w:r>
              <w:rPr>
                <w:rFonts w:ascii="Arial" w:hAnsi="Arial"/>
                <w:b w:val="0"/>
                <w:sz w:val="17"/>
              </w:rPr>
              <w:t>Tahun-kerja konstruksi dan pekerjaan tetap yang didukung pipeline (bruto)</w:t>
            </w:r>
          </w:p>
        </w:tc>
        <w:tc>
          <w:tcPr>
            <w:tcW w:type="dxa" w:w="818"/>
            <w:vAlign w:val="center"/>
          </w:tcPr>
          <w:p>
            <w:pPr>
              <w:spacing w:after="20" w:before="20" w:line="252" w:lineRule="auto"/>
            </w:pPr>
            <w:r/>
            <w:r>
              <w:rPr>
                <w:rFonts w:ascii="Arial" w:hAnsi="Arial"/>
                <w:b w:val="0"/>
                <w:sz w:val="17"/>
              </w:rPr>
              <w:t>D</w:t>
            </w:r>
          </w:p>
        </w:tc>
      </w:tr>
      <w:tr>
        <w:trPr>
          <w:cantSplit/>
        </w:trPr>
        <w:tc>
          <w:tcPr>
            <w:tcW w:type="dxa" w:w="2250"/>
            <w:shd w:val="clear" w:color="auto" w:fill="E6ECFD"/>
            <w:vAlign w:val="center"/>
          </w:tcPr>
          <w:p>
            <w:pPr>
              <w:spacing w:after="20" w:before="20" w:line="252" w:lineRule="auto"/>
            </w:pPr>
            <w:r/>
            <w:r>
              <w:rPr>
                <w:rFonts w:ascii="Arial" w:hAnsi="Arial"/>
                <w:b/>
                <w:sz w:val="17"/>
              </w:rPr>
              <w:t>14 + 6–8; 6 agen</w:t>
            </w:r>
          </w:p>
        </w:tc>
        <w:tc>
          <w:tcPr>
            <w:tcW w:type="dxa" w:w="6342"/>
            <w:shd w:val="clear" w:color="auto" w:fill="E6ECFD"/>
            <w:vAlign w:val="center"/>
          </w:tcPr>
          <w:p>
            <w:pPr>
              <w:spacing w:after="20" w:before="20" w:line="252" w:lineRule="auto"/>
            </w:pPr>
            <w:r/>
            <w:r>
              <w:rPr>
                <w:rFonts w:ascii="Arial" w:hAnsi="Arial"/>
                <w:b w:val="0"/>
                <w:sz w:val="17"/>
              </w:rPr>
              <w:t>Tim MVP AI dan agen prioritas; tiga bulan; tanpa anggaran Rp dalam sumber</w:t>
            </w:r>
          </w:p>
        </w:tc>
        <w:tc>
          <w:tcPr>
            <w:tcW w:type="dxa" w:w="818"/>
            <w:shd w:val="clear" w:color="auto" w:fill="E6ECFD"/>
            <w:vAlign w:val="center"/>
          </w:tcPr>
          <w:p>
            <w:pPr>
              <w:spacing w:after="20" w:before="20" w:line="252" w:lineRule="auto"/>
            </w:pPr>
            <w:r/>
            <w:r>
              <w:rPr>
                <w:rFonts w:ascii="Arial" w:hAnsi="Arial"/>
                <w:b w:val="0"/>
                <w:sz w:val="17"/>
              </w:rPr>
              <w:t>C</w:t>
            </w:r>
          </w:p>
        </w:tc>
      </w:tr>
    </w:tbl>
    <w:p>
      <w:pPr>
        <w:spacing w:after="40"/>
      </w:pPr>
    </w:p>
    <w:p>
      <w:pPr>
        <w:jc w:val="both"/>
      </w:pPr>
      <w:r>
        <w:rPr>
          <w:rFonts w:ascii="Arial" w:hAnsi="Arial"/>
          <w:b/>
        </w:rPr>
        <w:t>Keputusan dan langkah pertama.</w:t>
      </w:r>
      <w:r>
        <w:rPr>
          <w:rFonts w:ascii="Arial" w:hAnsi="Arial"/>
          <w:b w:val="0"/>
        </w:rPr>
        <w:t xml:space="preserve"> Kami meminta pimpinan Danantara menyetujui prinsip DPMS dan uji 90 hari; mengesahkan register 40 proyek yang direkonsiliasi sebagai penyebut tunggal pada Hari 45; menunjuk sponsor dan project director; menetapkan gerbang DOCK-UP dan desain uji coba pada Hari 60; dan menetapkan tiga scorecard pada Hari 90. Dua belas rekomendasi lengkap dengan pemilik dan waktu disajikan pada Bab 19.</w:t>
      </w:r>
    </w:p>
    <w:p>
      <w:r>
        <w:br w:type="page"/>
      </w:r>
    </w:p>
    <w:p>
      <w:pPr>
        <w:pStyle w:val="Heading1"/>
      </w:pPr>
      <w:r>
        <w:t>1  Pendahuluan</w:t>
      </w:r>
    </w:p>
    <w:p>
      <w:pPr>
        <w:pStyle w:val="Heading2"/>
      </w:pPr>
      <w:r>
        <w:t>1.1  Latar belakang</w:t>
      </w:r>
    </w:p>
    <w:p>
      <w:pPr>
        <w:jc w:val="both"/>
      </w:pPr>
      <w:r>
        <w:rPr>
          <w:rFonts w:ascii="Arial" w:hAnsi="Arial"/>
          <w:b w:val="0"/>
        </w:rPr>
        <w:t>Proyek adalah cara organisasi mengubah strategi menjadi aset, kapabilitas, dan hasil. Kebijakan industri, pembiayaan, dan tata kelola yang paling baik sekalipun tidak akan menghasilkan apa-apa sampai seseorang mengelola ruang lingkup, biaya, jadwal, mutu, risiko, kontrak, dan pemangku kepentingan pada setiap proyek hingga selesai. Bagi Danantara, kebenaran sederhana ini bernilai sangat praktis. Danantara diharapkan memperkuat industri strategis nasional dan memberi kontribusi terukur pada indikator ekonomi dan sosial. Agenda itu dilaksanakan terutama melalui proyek: portofolio yang dinyatakan bernilai Rp2.091 triliun, terbagi atas 40 slot proyek strategis, ditambah proyek pengembangan pemasok, proyek pembiayaan, dan proyek reformasi BUMN [K, Bab 4.6].</w:t>
      </w:r>
    </w:p>
    <w:p>
      <w:pPr>
        <w:jc w:val="both"/>
      </w:pPr>
      <w:r>
        <w:rPr>
          <w:rFonts w:ascii="Arial" w:hAnsi="Arial"/>
          <w:b w:val="0"/>
        </w:rPr>
        <w:t>Namun bukti yang tersedia dalam seluruh dokumen kerja menunjukkan bahwa lapisan manajemen proyek dan portofolio itulah yang paling tipis. Kajian Komite Pengarah menemukan bahwa tidak tersedia register terintegrasi yang menghubungkan setiap proyek dengan pemimpin, tahap keputusan, dan hasilnya; bahwa hanya 18 dari 40 slot proyek yang memiliki nama; dan bahwa dua total portofolio berbeda Rp18,93 triliun [K, Bab 4.6; EVAL, Bagian 1]. Pada sisi pelaksana, empat BUMN Karya mencatat estimasi kerugian 2025 sekitar Rp28 triliun, dan anggaran infrastruktur turun dari sekitar Rp110,95 triliun menjadi Rp61,38 triliun (sekitar 45%) [PLAT, hlm. 3]. Penyebab yang disebut dokumen sumber adalah persoalan manajemen proyek klasik: ekspansi tanpa seleksi, margin yang tidak dilindungi, piutang yang tidak ditagih, risiko EPC dan turnkey yang ditanggung kontraktor, serta insentif yang mengukur penyelesaian proyek dan bukan profitabilitas.</w:t>
      </w:r>
    </w:p>
    <w:p>
      <w:pPr>
        <w:jc w:val="both"/>
      </w:pPr>
      <w:r>
        <w:rPr>
          <w:rFonts w:ascii="Arial" w:hAnsi="Arial"/>
          <w:b w:val="0"/>
        </w:rPr>
        <w:t>Makalah ini ditulis untuk mengisi celah tersebut. Makalah ini menyajikan manajemen proyek sebagai disiplin yang utuh, dari konsep dasar sampai praktik pengendalian biaya EPC dan pemanfaatan AI multi-agen, dan sepanjang jalan menautkan teori dengan bukti dari dokumen yang dikaji untuk Danantara.</w:t>
      </w:r>
    </w:p>
    <w:p>
      <w:pPr>
        <w:pStyle w:val="Heading2"/>
      </w:pPr>
      <w:r>
        <w:t>1.2  Tujuan dan pertanyaan yang dijawab</w:t>
      </w:r>
    </w:p>
    <w:p>
      <w:r>
        <w:rPr>
          <w:rFonts w:ascii="Arial" w:hAnsi="Arial"/>
          <w:b w:val="0"/>
        </w:rPr>
        <w:t>Tujuan makalah ini ada empat:</w:t>
      </w:r>
    </w:p>
    <w:p>
      <w:pPr>
        <w:pStyle w:val="ListNumber"/>
        <w:spacing w:after="40"/>
      </w:pPr>
      <w:r>
        <w:rPr>
          <w:rFonts w:ascii="Arial" w:hAnsi="Arial"/>
          <w:b w:val="0"/>
        </w:rPr>
        <w:t>menjelaskan kerangka manajemen proyek, program, dan portofolio secara lengkap dan dapat dipakai sebagai rujukan oleh pimpinan, PMO, dan manajer proyek;</w:t>
      </w:r>
    </w:p>
    <w:p>
      <w:pPr>
        <w:pStyle w:val="ListNumber"/>
        <w:spacing w:after="40"/>
      </w:pPr>
      <w:r>
        <w:rPr>
          <w:rFonts w:ascii="Arial" w:hAnsi="Arial"/>
          <w:b w:val="0"/>
        </w:rPr>
        <w:t>menunjukkan cara setiap area pengetahuan (lingkup, jadwal, biaya, risiko, pengadaan, mutu, pemangku kepentingan, manfaat) bekerja dalam proyek berskala besar, padat modal, dan berdimensi industri;</w:t>
      </w:r>
    </w:p>
    <w:p>
      <w:pPr>
        <w:pStyle w:val="ListNumber"/>
        <w:spacing w:after="40"/>
      </w:pPr>
      <w:r>
        <w:rPr>
          <w:rFonts w:ascii="Arial" w:hAnsi="Arial"/>
          <w:b w:val="0"/>
        </w:rPr>
        <w:t>mengevaluasi praktik dan rancangan yang tercantum dalam dokumen sumber Danantara terhadap kerangka tersebut, termasuk celah yang masih terbuka;</w:t>
      </w:r>
    </w:p>
    <w:p>
      <w:pPr>
        <w:pStyle w:val="ListNumber"/>
        <w:spacing w:after="120"/>
      </w:pPr>
      <w:r>
        <w:rPr>
          <w:rFonts w:ascii="Arial" w:hAnsi="Arial"/>
          <w:b w:val="0"/>
        </w:rPr>
        <w:t>mengusulkan sistem manajemen proyek terpadu untuk Danantara beserta peta jalan penerapannya.</w:t>
      </w:r>
    </w:p>
    <w:p>
      <w:r>
        <w:rPr>
          <w:rFonts w:ascii="Arial" w:hAnsi="Arial"/>
          <w:b w:val="0"/>
        </w:rPr>
        <w:t>Pertanyaan yang dijawab:</w:t>
      </w:r>
    </w:p>
    <w:p>
      <w:pPr>
        <w:keepNext/>
        <w:spacing w:after="60"/>
      </w:pPr>
      <w:r>
        <w:rPr>
          <w:rFonts w:ascii="Arial" w:hAnsi="Arial"/>
          <w:b/>
          <w:color w:val="051C5C"/>
          <w:sz w:val="19"/>
        </w:rPr>
        <w:t xml:space="preserve">Tabel 3: </w:t>
      </w:r>
      <w:r>
        <w:rPr>
          <w:rFonts w:ascii="Arial" w:hAnsi="Arial"/>
          <w:color w:val="051C5C"/>
          <w:sz w:val="19"/>
        </w:rPr>
        <w:t>Pertanyaan makalah dan bab yang menjawabnya</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576"/>
            <w:shd w:val="clear" w:color="auto" w:fill="2251FF"/>
            <w:vAlign w:val="center"/>
          </w:tcPr>
          <w:p>
            <w:pPr>
              <w:spacing w:after="20" w:before="20" w:line="252" w:lineRule="auto"/>
            </w:pPr>
            <w:r/>
            <w:r>
              <w:rPr>
                <w:rFonts w:ascii="Arial" w:hAnsi="Arial"/>
                <w:b/>
                <w:color w:val="FFFFFF"/>
                <w:sz w:val="19"/>
              </w:rPr>
              <w:t>#</w:t>
            </w:r>
          </w:p>
        </w:tc>
        <w:tc>
          <w:tcPr>
            <w:tcW w:type="dxa" w:w="7682"/>
            <w:shd w:val="clear" w:color="auto" w:fill="2251FF"/>
            <w:vAlign w:val="center"/>
          </w:tcPr>
          <w:p>
            <w:pPr>
              <w:spacing w:after="20" w:before="20" w:line="252" w:lineRule="auto"/>
            </w:pPr>
            <w:r/>
            <w:r>
              <w:rPr>
                <w:rFonts w:ascii="Arial" w:hAnsi="Arial"/>
                <w:b/>
                <w:color w:val="FFFFFF"/>
                <w:sz w:val="19"/>
              </w:rPr>
              <w:t>Pertanyaan</w:t>
            </w:r>
          </w:p>
        </w:tc>
        <w:tc>
          <w:tcPr>
            <w:tcW w:type="dxa" w:w="1152"/>
            <w:shd w:val="clear" w:color="auto" w:fill="2251FF"/>
            <w:vAlign w:val="center"/>
          </w:tcPr>
          <w:p>
            <w:pPr>
              <w:spacing w:after="20" w:before="20" w:line="252" w:lineRule="auto"/>
            </w:pPr>
            <w:r/>
            <w:r>
              <w:rPr>
                <w:rFonts w:ascii="Arial" w:hAnsi="Arial"/>
                <w:b/>
                <w:color w:val="FFFFFF"/>
                <w:sz w:val="19"/>
              </w:rPr>
              <w:t>Bab</w:t>
            </w:r>
          </w:p>
        </w:tc>
      </w:tr>
      <w:tr>
        <w:trPr>
          <w:cantSplit/>
        </w:trPr>
        <w:tc>
          <w:tcPr>
            <w:tcW w:type="dxa" w:w="576"/>
            <w:vAlign w:val="center"/>
          </w:tcPr>
          <w:p>
            <w:pPr>
              <w:spacing w:after="20" w:before="20" w:line="252" w:lineRule="auto"/>
            </w:pPr>
            <w:r/>
            <w:r>
              <w:rPr>
                <w:rFonts w:ascii="Arial" w:hAnsi="Arial"/>
                <w:b/>
                <w:sz w:val="19"/>
              </w:rPr>
              <w:t>1</w:t>
            </w:r>
          </w:p>
        </w:tc>
        <w:tc>
          <w:tcPr>
            <w:tcW w:type="dxa" w:w="7682"/>
            <w:vAlign w:val="center"/>
          </w:tcPr>
          <w:p>
            <w:pPr>
              <w:spacing w:after="20" w:before="20" w:line="252" w:lineRule="auto"/>
            </w:pPr>
            <w:r/>
            <w:r>
              <w:rPr>
                <w:rFonts w:ascii="Arial" w:hAnsi="Arial"/>
                <w:b w:val="0"/>
                <w:sz w:val="19"/>
              </w:rPr>
              <w:t>Apa itu proyek, program, dan portofolio, dan standar apa yang menjadi rujukan?</w:t>
            </w:r>
          </w:p>
        </w:tc>
        <w:tc>
          <w:tcPr>
            <w:tcW w:type="dxa" w:w="1152"/>
            <w:vAlign w:val="center"/>
          </w:tcPr>
          <w:p>
            <w:pPr>
              <w:spacing w:after="20" w:before="20" w:line="252" w:lineRule="auto"/>
            </w:pPr>
            <w:r/>
            <w:r>
              <w:rPr>
                <w:rFonts w:ascii="Arial" w:hAnsi="Arial"/>
                <w:b w:val="0"/>
                <w:sz w:val="19"/>
              </w:rPr>
              <w:t>2</w:t>
            </w:r>
          </w:p>
        </w:tc>
      </w:tr>
      <w:tr>
        <w:trPr>
          <w:cantSplit/>
        </w:trPr>
        <w:tc>
          <w:tcPr>
            <w:tcW w:type="dxa" w:w="576"/>
            <w:shd w:val="clear" w:color="auto" w:fill="E6ECFD"/>
            <w:vAlign w:val="center"/>
          </w:tcPr>
          <w:p>
            <w:pPr>
              <w:spacing w:after="20" w:before="20" w:line="252" w:lineRule="auto"/>
            </w:pPr>
            <w:r/>
            <w:r>
              <w:rPr>
                <w:rFonts w:ascii="Arial" w:hAnsi="Arial"/>
                <w:b/>
                <w:sz w:val="19"/>
              </w:rPr>
              <w:t>2</w:t>
            </w:r>
          </w:p>
        </w:tc>
        <w:tc>
          <w:tcPr>
            <w:tcW w:type="dxa" w:w="7682"/>
            <w:shd w:val="clear" w:color="auto" w:fill="E6ECFD"/>
            <w:vAlign w:val="center"/>
          </w:tcPr>
          <w:p>
            <w:pPr>
              <w:spacing w:after="20" w:before="20" w:line="252" w:lineRule="auto"/>
            </w:pPr>
            <w:r/>
            <w:r>
              <w:rPr>
                <w:rFonts w:ascii="Arial" w:hAnsi="Arial"/>
                <w:b w:val="0"/>
                <w:sz w:val="19"/>
              </w:rPr>
              <w:t>Bagaimana proyek strategis seharusnya diatur dan diputuskan (tata kelola, gerbang, PMO)?</w:t>
            </w:r>
          </w:p>
        </w:tc>
        <w:tc>
          <w:tcPr>
            <w:tcW w:type="dxa" w:w="1152"/>
            <w:shd w:val="clear" w:color="auto" w:fill="E6ECFD"/>
            <w:vAlign w:val="center"/>
          </w:tcPr>
          <w:p>
            <w:pPr>
              <w:spacing w:after="20" w:before="20" w:line="252" w:lineRule="auto"/>
            </w:pPr>
            <w:r/>
            <w:r>
              <w:rPr>
                <w:rFonts w:ascii="Arial" w:hAnsi="Arial"/>
                <w:b w:val="0"/>
                <w:sz w:val="19"/>
              </w:rPr>
              <w:t>3</w:t>
            </w:r>
          </w:p>
        </w:tc>
      </w:tr>
      <w:tr>
        <w:trPr>
          <w:cantSplit/>
        </w:trPr>
        <w:tc>
          <w:tcPr>
            <w:tcW w:type="dxa" w:w="576"/>
            <w:vAlign w:val="center"/>
          </w:tcPr>
          <w:p>
            <w:pPr>
              <w:spacing w:after="20" w:before="20" w:line="252" w:lineRule="auto"/>
            </w:pPr>
            <w:r/>
            <w:r>
              <w:rPr>
                <w:rFonts w:ascii="Arial" w:hAnsi="Arial"/>
                <w:b/>
                <w:sz w:val="19"/>
              </w:rPr>
              <w:t>3</w:t>
            </w:r>
          </w:p>
        </w:tc>
        <w:tc>
          <w:tcPr>
            <w:tcW w:type="dxa" w:w="7682"/>
            <w:vAlign w:val="center"/>
          </w:tcPr>
          <w:p>
            <w:pPr>
              <w:spacing w:after="20" w:before="20" w:line="252" w:lineRule="auto"/>
            </w:pPr>
            <w:r/>
            <w:r>
              <w:rPr>
                <w:rFonts w:ascii="Arial" w:hAnsi="Arial"/>
                <w:b w:val="0"/>
                <w:sz w:val="19"/>
              </w:rPr>
              <w:t>Bagaimana ruang lingkup dan kesiapan proyek ditetapkan sebelum modal dikomitmenkan?</w:t>
            </w:r>
          </w:p>
        </w:tc>
        <w:tc>
          <w:tcPr>
            <w:tcW w:type="dxa" w:w="1152"/>
            <w:vAlign w:val="center"/>
          </w:tcPr>
          <w:p>
            <w:pPr>
              <w:spacing w:after="20" w:before="20" w:line="252" w:lineRule="auto"/>
            </w:pPr>
            <w:r/>
            <w:r>
              <w:rPr>
                <w:rFonts w:ascii="Arial" w:hAnsi="Arial"/>
                <w:b w:val="0"/>
                <w:sz w:val="19"/>
              </w:rPr>
              <w:t>4</w:t>
            </w:r>
          </w:p>
        </w:tc>
      </w:tr>
      <w:tr>
        <w:trPr>
          <w:cantSplit/>
        </w:trPr>
        <w:tc>
          <w:tcPr>
            <w:tcW w:type="dxa" w:w="576"/>
            <w:shd w:val="clear" w:color="auto" w:fill="E6ECFD"/>
            <w:vAlign w:val="center"/>
          </w:tcPr>
          <w:p>
            <w:pPr>
              <w:spacing w:after="20" w:before="20" w:line="252" w:lineRule="auto"/>
            </w:pPr>
            <w:r/>
            <w:r>
              <w:rPr>
                <w:rFonts w:ascii="Arial" w:hAnsi="Arial"/>
                <w:b/>
                <w:sz w:val="19"/>
              </w:rPr>
              <w:t>4</w:t>
            </w:r>
          </w:p>
        </w:tc>
        <w:tc>
          <w:tcPr>
            <w:tcW w:type="dxa" w:w="7682"/>
            <w:shd w:val="clear" w:color="auto" w:fill="E6ECFD"/>
            <w:vAlign w:val="center"/>
          </w:tcPr>
          <w:p>
            <w:pPr>
              <w:spacing w:after="20" w:before="20" w:line="252" w:lineRule="auto"/>
            </w:pPr>
            <w:r/>
            <w:r>
              <w:rPr>
                <w:rFonts w:ascii="Arial" w:hAnsi="Arial"/>
                <w:b w:val="0"/>
                <w:sz w:val="19"/>
              </w:rPr>
              <w:t>Bagaimana jadwal, biaya, dan nilai dikendalikan sepanjang pelaksanaan?</w:t>
            </w:r>
          </w:p>
        </w:tc>
        <w:tc>
          <w:tcPr>
            <w:tcW w:type="dxa" w:w="1152"/>
            <w:shd w:val="clear" w:color="auto" w:fill="E6ECFD"/>
            <w:vAlign w:val="center"/>
          </w:tcPr>
          <w:p>
            <w:pPr>
              <w:spacing w:after="20" w:before="20" w:line="252" w:lineRule="auto"/>
            </w:pPr>
            <w:r/>
            <w:r>
              <w:rPr>
                <w:rFonts w:ascii="Arial" w:hAnsi="Arial"/>
                <w:b w:val="0"/>
                <w:sz w:val="19"/>
              </w:rPr>
              <w:t>5–6</w:t>
            </w:r>
          </w:p>
        </w:tc>
      </w:tr>
      <w:tr>
        <w:trPr>
          <w:cantSplit/>
        </w:trPr>
        <w:tc>
          <w:tcPr>
            <w:tcW w:type="dxa" w:w="576"/>
            <w:vAlign w:val="center"/>
          </w:tcPr>
          <w:p>
            <w:pPr>
              <w:spacing w:after="20" w:before="20" w:line="252" w:lineRule="auto"/>
            </w:pPr>
            <w:r/>
            <w:r>
              <w:rPr>
                <w:rFonts w:ascii="Arial" w:hAnsi="Arial"/>
                <w:b/>
                <w:sz w:val="19"/>
              </w:rPr>
              <w:t>5</w:t>
            </w:r>
          </w:p>
        </w:tc>
        <w:tc>
          <w:tcPr>
            <w:tcW w:type="dxa" w:w="7682"/>
            <w:vAlign w:val="center"/>
          </w:tcPr>
          <w:p>
            <w:pPr>
              <w:spacing w:after="20" w:before="20" w:line="252" w:lineRule="auto"/>
            </w:pPr>
            <w:r/>
            <w:r>
              <w:rPr>
                <w:rFonts w:ascii="Arial" w:hAnsi="Arial"/>
                <w:b w:val="0"/>
                <w:sz w:val="19"/>
              </w:rPr>
              <w:t>Bagaimana risiko, pengadaan, dan kontrak dikelola pada proyek EPC dan proyek industri?</w:t>
            </w:r>
          </w:p>
        </w:tc>
        <w:tc>
          <w:tcPr>
            <w:tcW w:type="dxa" w:w="1152"/>
            <w:vAlign w:val="center"/>
          </w:tcPr>
          <w:p>
            <w:pPr>
              <w:spacing w:after="20" w:before="20" w:line="252" w:lineRule="auto"/>
            </w:pPr>
            <w:r/>
            <w:r>
              <w:rPr>
                <w:rFonts w:ascii="Arial" w:hAnsi="Arial"/>
                <w:b w:val="0"/>
                <w:sz w:val="19"/>
              </w:rPr>
              <w:t>7–8</w:t>
            </w:r>
          </w:p>
        </w:tc>
      </w:tr>
      <w:tr>
        <w:trPr>
          <w:cantSplit/>
        </w:trPr>
        <w:tc>
          <w:tcPr>
            <w:tcW w:type="dxa" w:w="576"/>
            <w:shd w:val="clear" w:color="auto" w:fill="E6ECFD"/>
            <w:vAlign w:val="center"/>
          </w:tcPr>
          <w:p>
            <w:pPr>
              <w:spacing w:after="20" w:before="20" w:line="252" w:lineRule="auto"/>
            </w:pPr>
            <w:r/>
            <w:r>
              <w:rPr>
                <w:rFonts w:ascii="Arial" w:hAnsi="Arial"/>
                <w:b/>
                <w:sz w:val="19"/>
              </w:rPr>
              <w:t>6</w:t>
            </w:r>
          </w:p>
        </w:tc>
        <w:tc>
          <w:tcPr>
            <w:tcW w:type="dxa" w:w="7682"/>
            <w:shd w:val="clear" w:color="auto" w:fill="E6ECFD"/>
            <w:vAlign w:val="center"/>
          </w:tcPr>
          <w:p>
            <w:pPr>
              <w:spacing w:after="20" w:before="20" w:line="252" w:lineRule="auto"/>
            </w:pPr>
            <w:r/>
            <w:r>
              <w:rPr>
                <w:rFonts w:ascii="Arial" w:hAnsi="Arial"/>
                <w:b w:val="0"/>
                <w:sz w:val="19"/>
              </w:rPr>
              <w:t>Bagaimana mutu, komisioning, pemangku kepentingan, pembiayaan, dan manfaat dikelola?</w:t>
            </w:r>
          </w:p>
        </w:tc>
        <w:tc>
          <w:tcPr>
            <w:tcW w:type="dxa" w:w="1152"/>
            <w:shd w:val="clear" w:color="auto" w:fill="E6ECFD"/>
            <w:vAlign w:val="center"/>
          </w:tcPr>
          <w:p>
            <w:pPr>
              <w:spacing w:after="20" w:before="20" w:line="252" w:lineRule="auto"/>
            </w:pPr>
            <w:r/>
            <w:r>
              <w:rPr>
                <w:rFonts w:ascii="Arial" w:hAnsi="Arial"/>
                <w:b w:val="0"/>
                <w:sz w:val="19"/>
              </w:rPr>
              <w:t>9–12</w:t>
            </w:r>
          </w:p>
        </w:tc>
      </w:tr>
      <w:tr>
        <w:trPr>
          <w:cantSplit/>
        </w:trPr>
        <w:tc>
          <w:tcPr>
            <w:tcW w:type="dxa" w:w="576"/>
            <w:vAlign w:val="center"/>
          </w:tcPr>
          <w:p>
            <w:pPr>
              <w:spacing w:after="20" w:before="20" w:line="252" w:lineRule="auto"/>
            </w:pPr>
            <w:r/>
            <w:r>
              <w:rPr>
                <w:rFonts w:ascii="Arial" w:hAnsi="Arial"/>
                <w:b/>
                <w:sz w:val="19"/>
              </w:rPr>
              <w:t>7</w:t>
            </w:r>
          </w:p>
        </w:tc>
        <w:tc>
          <w:tcPr>
            <w:tcW w:type="dxa" w:w="7682"/>
            <w:vAlign w:val="center"/>
          </w:tcPr>
          <w:p>
            <w:pPr>
              <w:spacing w:after="20" w:before="20" w:line="252" w:lineRule="auto"/>
            </w:pPr>
            <w:r/>
            <w:r>
              <w:rPr>
                <w:rFonts w:ascii="Arial" w:hAnsi="Arial"/>
                <w:b w:val="0"/>
                <w:sz w:val="19"/>
              </w:rPr>
              <w:t>Bagaimana kinerja diukur, dan bagaimana data serta AI multi-agen membantu?</w:t>
            </w:r>
          </w:p>
        </w:tc>
        <w:tc>
          <w:tcPr>
            <w:tcW w:type="dxa" w:w="1152"/>
            <w:vAlign w:val="center"/>
          </w:tcPr>
          <w:p>
            <w:pPr>
              <w:spacing w:after="20" w:before="20" w:line="252" w:lineRule="auto"/>
            </w:pPr>
            <w:r/>
            <w:r>
              <w:rPr>
                <w:rFonts w:ascii="Arial" w:hAnsi="Arial"/>
                <w:b w:val="0"/>
                <w:sz w:val="19"/>
              </w:rPr>
              <w:t>13–14</w:t>
            </w:r>
          </w:p>
        </w:tc>
      </w:tr>
      <w:tr>
        <w:trPr>
          <w:cantSplit/>
        </w:trPr>
        <w:tc>
          <w:tcPr>
            <w:tcW w:type="dxa" w:w="576"/>
            <w:shd w:val="clear" w:color="auto" w:fill="E6ECFD"/>
            <w:vAlign w:val="center"/>
          </w:tcPr>
          <w:p>
            <w:pPr>
              <w:spacing w:after="20" w:before="20" w:line="252" w:lineRule="auto"/>
            </w:pPr>
            <w:r/>
            <w:r>
              <w:rPr>
                <w:rFonts w:ascii="Arial" w:hAnsi="Arial"/>
                <w:b/>
                <w:sz w:val="19"/>
              </w:rPr>
              <w:t>8</w:t>
            </w:r>
          </w:p>
        </w:tc>
        <w:tc>
          <w:tcPr>
            <w:tcW w:type="dxa" w:w="7682"/>
            <w:shd w:val="clear" w:color="auto" w:fill="E6ECFD"/>
            <w:vAlign w:val="center"/>
          </w:tcPr>
          <w:p>
            <w:pPr>
              <w:spacing w:after="20" w:before="20" w:line="252" w:lineRule="auto"/>
            </w:pPr>
            <w:r/>
            <w:r>
              <w:rPr>
                <w:rFonts w:ascii="Arial" w:hAnsi="Arial"/>
                <w:b w:val="0"/>
                <w:sz w:val="19"/>
              </w:rPr>
              <w:t>Apa yang dapat dipelajari dari BUMN Karya dan dari portofolio 40 proyek?</w:t>
            </w:r>
          </w:p>
        </w:tc>
        <w:tc>
          <w:tcPr>
            <w:tcW w:type="dxa" w:w="1152"/>
            <w:shd w:val="clear" w:color="auto" w:fill="E6ECFD"/>
            <w:vAlign w:val="center"/>
          </w:tcPr>
          <w:p>
            <w:pPr>
              <w:spacing w:after="20" w:before="20" w:line="252" w:lineRule="auto"/>
            </w:pPr>
            <w:r/>
            <w:r>
              <w:rPr>
                <w:rFonts w:ascii="Arial" w:hAnsi="Arial"/>
                <w:b w:val="0"/>
                <w:sz w:val="19"/>
              </w:rPr>
              <w:t>15–16</w:t>
            </w:r>
          </w:p>
        </w:tc>
      </w:tr>
      <w:tr>
        <w:trPr>
          <w:cantSplit/>
        </w:trPr>
        <w:tc>
          <w:tcPr>
            <w:tcW w:type="dxa" w:w="576"/>
            <w:vAlign w:val="center"/>
          </w:tcPr>
          <w:p>
            <w:pPr>
              <w:spacing w:after="20" w:before="20" w:line="252" w:lineRule="auto"/>
            </w:pPr>
            <w:r/>
            <w:r>
              <w:rPr>
                <w:rFonts w:ascii="Arial" w:hAnsi="Arial"/>
                <w:b/>
                <w:sz w:val="19"/>
              </w:rPr>
              <w:t>9</w:t>
            </w:r>
          </w:p>
        </w:tc>
        <w:tc>
          <w:tcPr>
            <w:tcW w:type="dxa" w:w="7682"/>
            <w:vAlign w:val="center"/>
          </w:tcPr>
          <w:p>
            <w:pPr>
              <w:spacing w:after="20" w:before="20" w:line="252" w:lineRule="auto"/>
            </w:pPr>
            <w:r/>
            <w:r>
              <w:rPr>
                <w:rFonts w:ascii="Arial" w:hAnsi="Arial"/>
                <w:b w:val="0"/>
                <w:sz w:val="19"/>
              </w:rPr>
              <w:t>Sistem apa yang diusulkan bagi Danantara, bagaimana menerapkannya, dan apa risikonya?</w:t>
            </w:r>
          </w:p>
        </w:tc>
        <w:tc>
          <w:tcPr>
            <w:tcW w:type="dxa" w:w="1152"/>
            <w:vAlign w:val="center"/>
          </w:tcPr>
          <w:p>
            <w:pPr>
              <w:spacing w:after="20" w:before="20" w:line="252" w:lineRule="auto"/>
            </w:pPr>
            <w:r/>
            <w:r>
              <w:rPr>
                <w:rFonts w:ascii="Arial" w:hAnsi="Arial"/>
                <w:b w:val="0"/>
                <w:sz w:val="19"/>
              </w:rPr>
              <w:t>17–19</w:t>
            </w:r>
          </w:p>
        </w:tc>
      </w:tr>
    </w:tbl>
    <w:p>
      <w:pPr>
        <w:spacing w:after="40"/>
      </w:pPr>
    </w:p>
    <w:p>
      <w:pPr>
        <w:pStyle w:val="Heading2"/>
      </w:pPr>
      <w:r>
        <w:t>1.3  Ruang lingkup dan batasan</w:t>
      </w:r>
    </w:p>
    <w:p>
      <w:pPr>
        <w:jc w:val="both"/>
      </w:pPr>
      <w:r>
        <w:rPr>
          <w:rFonts w:ascii="Arial" w:hAnsi="Arial"/>
          <w:b w:val="0"/>
        </w:rPr>
        <w:t>Makalah ini bersifat analitis dan konsultatif. Makalah ini bukan audit, bukan reviu kepatuhan, dan bukan opini hukum, teknis, atau akuntansi. Seluruh dokumen sumber tentang Danantara adalah draf kerja internal; temuan di dalamnya tidak boleh dibaca sebagai pernyataan faktual tentang praktik internal Danantara yang sesungguhnya. Evaluasi tata kelola dalam sumber mengakui bahwa tidak ada pemeriksaan berkas proyek yang dilakukan [EVAL, Bagian 1]. Pembahasan teori manajemen proyek mengikuti standar dan literatur yang diakui secara luas; angka dan contoh hitung yang bersifat ilustratif ditandai demikian.</w:t>
      </w:r>
    </w:p>
    <w:tbl>
      <w:tblPr>
        <w:tblW w:type="auto" w:w="0"/>
        <w:jc w:val="center"/>
        <w:tblLook w:firstColumn="1" w:firstRow="1" w:lastColumn="0" w:lastRow="0" w:noHBand="0" w:noVBand="1" w:val="04A0"/>
      </w:tblPr>
      <w:tblGrid>
        <w:gridCol w:w="9412"/>
      </w:tblGrid>
      <w:tr>
        <w:tc>
          <w:tcPr>
            <w:tcW w:type="dxa" w:w="9412"/>
            <w:tcBorders>
              <w:left w:val="single" w:sz="36" w:color="2251FF"/>
            </w:tcBorders>
            <w:shd w:val="clear" w:color="auto" w:fill="E6ECFD"/>
          </w:tcPr>
          <w:p>
            <w:pPr>
              <w:spacing w:after="40"/>
            </w:pPr>
            <w:r/>
            <w:r>
              <w:rPr>
                <w:rFonts w:ascii="Arial" w:hAnsi="Arial"/>
                <w:b/>
                <w:color w:val="051C5C"/>
                <w:sz w:val="21"/>
              </w:rPr>
              <w:t>Cara membaca label bukti</w:t>
            </w:r>
          </w:p>
          <w:p>
            <w:pPr>
              <w:spacing w:after="40"/>
            </w:pPr>
            <w:r>
              <w:rPr>
                <w:rFonts w:ascii="Arial" w:hAnsi="Arial"/>
                <w:b w:val="0"/>
                <w:sz w:val="20"/>
              </w:rPr>
              <w:t xml:space="preserve">Makalah ini memakai kelas bukti yang sama dengan Kajian Danantara: </w:t>
            </w:r>
            <w:r>
              <w:rPr>
                <w:rFonts w:ascii="Arial" w:hAnsi="Arial"/>
                <w:b/>
                <w:sz w:val="20"/>
              </w:rPr>
              <w:t>A</w:t>
            </w:r>
            <w:r>
              <w:rPr>
                <w:rFonts w:ascii="Arial" w:hAnsi="Arial"/>
                <w:b w:val="0"/>
                <w:sz w:val="20"/>
              </w:rPr>
              <w:t xml:space="preserve"> teraudit; </w:t>
            </w:r>
            <w:r>
              <w:rPr>
                <w:rFonts w:ascii="Arial" w:hAnsi="Arial"/>
                <w:b/>
                <w:sz w:val="20"/>
              </w:rPr>
              <w:t>B</w:t>
            </w:r>
            <w:r>
              <w:rPr>
                <w:rFonts w:ascii="Arial" w:hAnsi="Arial"/>
                <w:b w:val="0"/>
                <w:sz w:val="20"/>
              </w:rPr>
              <w:t xml:space="preserve"> dilaporkan resmi; </w:t>
            </w:r>
            <w:r>
              <w:rPr>
                <w:rFonts w:ascii="Arial" w:hAnsi="Arial"/>
                <w:b/>
                <w:sz w:val="20"/>
              </w:rPr>
              <w:t>C</w:t>
            </w:r>
            <w:r>
              <w:rPr>
                <w:rFonts w:ascii="Arial" w:hAnsi="Arial"/>
                <w:b w:val="0"/>
                <w:sz w:val="20"/>
              </w:rPr>
              <w:t xml:space="preserve"> pengumuman, proyeksi, atau estimasi; </w:t>
            </w:r>
            <w:r>
              <w:rPr>
                <w:rFonts w:ascii="Arial" w:hAnsi="Arial"/>
                <w:b/>
                <w:sz w:val="20"/>
              </w:rPr>
              <w:t>D</w:t>
            </w:r>
            <w:r>
              <w:rPr>
                <w:rFonts w:ascii="Arial" w:hAnsi="Arial"/>
                <w:b w:val="0"/>
                <w:sz w:val="20"/>
              </w:rPr>
              <w:t xml:space="preserve"> ilustrasi atau asumsi; </w:t>
            </w:r>
            <w:r>
              <w:rPr>
                <w:rFonts w:ascii="Arial" w:hAnsi="Arial"/>
                <w:b/>
                <w:sz w:val="20"/>
              </w:rPr>
              <w:t>NR</w:t>
            </w:r>
            <w:r>
              <w:rPr>
                <w:rFonts w:ascii="Arial" w:hAnsi="Arial"/>
                <w:b w:val="0"/>
                <w:sz w:val="20"/>
              </w:rPr>
              <w:t xml:space="preserve"> tidak dapat dinilai. Angka dari dokumen sumber Danantara pada umumnya kelas C atau D. Rujukan dalam kurung siku (misalnya [PLAT, hlm. 3]) menunjuk dokumen sumber pada Lampiran E.</w:t>
            </w:r>
          </w:p>
        </w:tc>
      </w:tr>
    </w:tbl>
    <w:p>
      <w:pPr>
        <w:spacing w:after="40"/>
      </w:pPr>
    </w:p>
    <w:p>
      <w:pPr>
        <w:pStyle w:val="Heading2"/>
      </w:pPr>
      <w:r>
        <w:t>1.4  Metode dan sumber</w:t>
      </w:r>
    </w:p>
    <w:p>
      <w:pPr>
        <w:jc w:val="both"/>
      </w:pPr>
      <w:r>
        <w:rPr>
          <w:rFonts w:ascii="Arial" w:hAnsi="Arial"/>
          <w:b w:val="0"/>
        </w:rPr>
        <w:t>Makalah disusun dari tiga lapisan. Lapisan pertama adalah teori dan standar manajemen proyek (PMBOK, PRINCE2, ISO 21500 dan ISO 21502, ISO 31000, praktik AACE dan CII, literatur proyek besar). Lapisan kedua adalah dokumen sumber Danantara yang dibaca penuh: Kajian Komite Pengarah (versi diperkaya 8 Oktober 2026), evaluasi 40 proyek dan arm industri strategis, studi kinerja, dokumen DOCK-UP, ringkasan eksekutif NRF, dokumen PALCapital, infografik platform kapabilitas industri, deck transformasi, register 40 proyek, model pekerjaan, cetak biru strategis, dan alur kerja anggaran EPC. Lapisan ketiga adalah analisis kami sendiri: rekonsiliasi angka, pemetaan celah, dan rancangan sistem. Daftar lengkap dokumen yang ditelaah ada pada Lampiran E.</w:t>
      </w:r>
    </w:p>
    <w:p>
      <w:pPr>
        <w:pStyle w:val="Heading2"/>
      </w:pPr>
      <w:r>
        <w:t>1.5  Sistematika</w:t>
      </w:r>
    </w:p>
    <w:p>
      <w:pPr>
        <w:jc w:val="both"/>
      </w:pPr>
      <w:r>
        <w:rPr>
          <w:rFonts w:ascii="Arial" w:hAnsi="Arial"/>
          <w:b w:val="0"/>
        </w:rPr>
        <w:t>Bab 2 meletakkan konsep dan standar. Bab 3 sampai 12 membahas area pengetahuan inti, dimulai dari tata kelola dan berakhir pada manajemen manfaat. Bab 13 dan 14 membahas pengukuran dan digitalisasi. Bab 15 dan 16 adalah dua studi kasus. Bab 17 sampai 19 merumuskan sistem terpadu, risiko penerapannya, kesimpulan, dan rekomendasi. Lampiran berisi glosarium, templat, rumus, matriks RASCI, daftar sumber, dan catatan ketidaksesuaian.</w:t>
      </w:r>
    </w:p>
    <w:p>
      <w:r>
        <w:br w:type="page"/>
      </w:r>
    </w:p>
    <w:p>
      <w:pPr>
        <w:pStyle w:val="Heading1"/>
      </w:pPr>
      <w:r>
        <w:t>2  Landasan konseptual dan standar</w:t>
      </w:r>
    </w:p>
    <w:p>
      <w:pPr>
        <w:pStyle w:val="Heading2"/>
      </w:pPr>
      <w:r>
        <w:t>2.1  Proyek, program, portofolio, dan operasi</w:t>
      </w:r>
    </w:p>
    <w:p>
      <w:pPr>
        <w:jc w:val="both"/>
      </w:pPr>
      <w:r>
        <w:rPr>
          <w:rFonts w:ascii="Arial" w:hAnsi="Arial"/>
          <w:b w:val="0"/>
        </w:rPr>
        <w:t>Proyek adalah upaya sementara untuk menghasilkan produk, layanan, atau hasil yang unik (PMI, 2021). Tiga unsur menentukan sifatnya: awal dan akhir yang jelas, keluaran yang khas, dan sumber daya terbatas yang dikelola untuk mencapai tujuan tertentu. Operasi, sebaliknya, berulang dan berkelanjutan. Garis pemisah ini penting bagi Danantara karena banyak kegiatan yang disebut proyek, seperti pengelolaan aset BUMN dan penerbitan surat utang, sebenarnya adalah operasi atau transaksi; sementara pembangunan pabrik pengolahan, tanggul laut, atau kapal selam adalah proyek dalam arti sesungguhnya.</w:t>
      </w:r>
    </w:p>
    <w:p>
      <w:pPr>
        <w:keepNext/>
        <w:spacing w:after="60"/>
      </w:pPr>
      <w:r>
        <w:rPr>
          <w:rFonts w:ascii="Arial" w:hAnsi="Arial"/>
          <w:b/>
          <w:color w:val="051C5C"/>
          <w:sz w:val="19"/>
        </w:rPr>
        <w:t xml:space="preserve">Tabel 4: </w:t>
      </w:r>
      <w:r>
        <w:rPr>
          <w:rFonts w:ascii="Arial" w:hAnsi="Arial"/>
          <w:color w:val="051C5C"/>
          <w:sz w:val="19"/>
        </w:rPr>
        <w:t>Proyek, program, dan portofolio</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2353"/>
        <w:gridCol w:w="2353"/>
        <w:gridCol w:w="2353"/>
        <w:gridCol w:w="2353"/>
      </w:tblGrid>
      <w:tr>
        <w:trPr>
          <w:cantSplit/>
          <w:tblHeader/>
        </w:trPr>
        <w:tc>
          <w:tcPr>
            <w:tcW w:type="dxa" w:w="1283"/>
            <w:shd w:val="clear" w:color="auto" w:fill="2251FF"/>
            <w:vAlign w:val="center"/>
          </w:tcPr>
          <w:p>
            <w:pPr>
              <w:spacing w:after="20" w:before="20" w:line="252" w:lineRule="auto"/>
            </w:pPr>
            <w:r/>
            <w:r>
              <w:rPr>
                <w:rFonts w:ascii="Arial" w:hAnsi="Arial"/>
                <w:b/>
                <w:color w:val="FFFFFF"/>
                <w:sz w:val="17"/>
              </w:rPr>
              <w:t>Aspek</w:t>
            </w:r>
          </w:p>
        </w:tc>
        <w:tc>
          <w:tcPr>
            <w:tcW w:type="dxa" w:w="2567"/>
            <w:shd w:val="clear" w:color="auto" w:fill="2251FF"/>
            <w:vAlign w:val="center"/>
          </w:tcPr>
          <w:p>
            <w:pPr>
              <w:spacing w:after="20" w:before="20" w:line="252" w:lineRule="auto"/>
            </w:pPr>
            <w:r/>
            <w:r>
              <w:rPr>
                <w:rFonts w:ascii="Arial" w:hAnsi="Arial"/>
                <w:b/>
                <w:color w:val="FFFFFF"/>
                <w:sz w:val="17"/>
              </w:rPr>
              <w:t>Proyek</w:t>
            </w:r>
          </w:p>
        </w:tc>
        <w:tc>
          <w:tcPr>
            <w:tcW w:type="dxa" w:w="2781"/>
            <w:shd w:val="clear" w:color="auto" w:fill="2251FF"/>
            <w:vAlign w:val="center"/>
          </w:tcPr>
          <w:p>
            <w:pPr>
              <w:spacing w:after="20" w:before="20" w:line="252" w:lineRule="auto"/>
            </w:pPr>
            <w:r/>
            <w:r>
              <w:rPr>
                <w:rFonts w:ascii="Arial" w:hAnsi="Arial"/>
                <w:b/>
                <w:color w:val="FFFFFF"/>
                <w:sz w:val="17"/>
              </w:rPr>
              <w:t>Program</w:t>
            </w:r>
          </w:p>
        </w:tc>
        <w:tc>
          <w:tcPr>
            <w:tcW w:type="dxa" w:w="2781"/>
            <w:shd w:val="clear" w:color="auto" w:fill="2251FF"/>
            <w:vAlign w:val="center"/>
          </w:tcPr>
          <w:p>
            <w:pPr>
              <w:spacing w:after="20" w:before="20" w:line="252" w:lineRule="auto"/>
            </w:pPr>
            <w:r/>
            <w:r>
              <w:rPr>
                <w:rFonts w:ascii="Arial" w:hAnsi="Arial"/>
                <w:b/>
                <w:color w:val="FFFFFF"/>
                <w:sz w:val="17"/>
              </w:rPr>
              <w:t>Portofolio</w:t>
            </w:r>
          </w:p>
        </w:tc>
      </w:tr>
      <w:tr>
        <w:trPr>
          <w:cantSplit/>
        </w:trPr>
        <w:tc>
          <w:tcPr>
            <w:tcW w:type="dxa" w:w="1283"/>
            <w:vAlign w:val="center"/>
          </w:tcPr>
          <w:p>
            <w:pPr>
              <w:spacing w:after="20" w:before="20" w:line="252" w:lineRule="auto"/>
            </w:pPr>
            <w:r/>
            <w:r>
              <w:rPr>
                <w:rFonts w:ascii="Arial" w:hAnsi="Arial"/>
                <w:b/>
                <w:sz w:val="17"/>
              </w:rPr>
              <w:t>Fokus</w:t>
            </w:r>
          </w:p>
        </w:tc>
        <w:tc>
          <w:tcPr>
            <w:tcW w:type="dxa" w:w="2567"/>
            <w:vAlign w:val="center"/>
          </w:tcPr>
          <w:p>
            <w:pPr>
              <w:spacing w:after="20" w:before="20" w:line="252" w:lineRule="auto"/>
            </w:pPr>
            <w:r/>
            <w:r>
              <w:rPr>
                <w:rFonts w:ascii="Arial" w:hAnsi="Arial"/>
                <w:b w:val="0"/>
                <w:sz w:val="17"/>
              </w:rPr>
              <w:t>Menghasilkan keluaran dalam lingkup, biaya, dan waktu</w:t>
            </w:r>
          </w:p>
        </w:tc>
        <w:tc>
          <w:tcPr>
            <w:tcW w:type="dxa" w:w="2781"/>
            <w:vAlign w:val="center"/>
          </w:tcPr>
          <w:p>
            <w:pPr>
              <w:spacing w:after="20" w:before="20" w:line="252" w:lineRule="auto"/>
            </w:pPr>
            <w:r/>
            <w:r>
              <w:rPr>
                <w:rFonts w:ascii="Arial" w:hAnsi="Arial"/>
                <w:b w:val="0"/>
                <w:sz w:val="17"/>
              </w:rPr>
              <w:t>Mengoordinasikan beberapa proyek untuk manfaat yang tidak tercapai bila dikelola terpisah</w:t>
            </w:r>
          </w:p>
        </w:tc>
        <w:tc>
          <w:tcPr>
            <w:tcW w:type="dxa" w:w="2781"/>
            <w:vAlign w:val="center"/>
          </w:tcPr>
          <w:p>
            <w:pPr>
              <w:spacing w:after="20" w:before="20" w:line="252" w:lineRule="auto"/>
            </w:pPr>
            <w:r/>
            <w:r>
              <w:rPr>
                <w:rFonts w:ascii="Arial" w:hAnsi="Arial"/>
                <w:b w:val="0"/>
                <w:sz w:val="17"/>
              </w:rPr>
              <w:t>Memilih, memprioritaskan, dan menyeimbangkan investasi lintas proyek dan program</w:t>
            </w:r>
          </w:p>
        </w:tc>
      </w:tr>
      <w:tr>
        <w:trPr>
          <w:cantSplit/>
        </w:trPr>
        <w:tc>
          <w:tcPr>
            <w:tcW w:type="dxa" w:w="1283"/>
            <w:shd w:val="clear" w:color="auto" w:fill="E6ECFD"/>
            <w:vAlign w:val="center"/>
          </w:tcPr>
          <w:p>
            <w:pPr>
              <w:spacing w:after="20" w:before="20" w:line="252" w:lineRule="auto"/>
            </w:pPr>
            <w:r/>
            <w:r>
              <w:rPr>
                <w:rFonts w:ascii="Arial" w:hAnsi="Arial"/>
                <w:b/>
                <w:sz w:val="17"/>
              </w:rPr>
              <w:t>Pertanyaan utama</w:t>
            </w:r>
          </w:p>
        </w:tc>
        <w:tc>
          <w:tcPr>
            <w:tcW w:type="dxa" w:w="2567"/>
            <w:shd w:val="clear" w:color="auto" w:fill="E6ECFD"/>
            <w:vAlign w:val="center"/>
          </w:tcPr>
          <w:p>
            <w:pPr>
              <w:spacing w:after="20" w:before="20" w:line="252" w:lineRule="auto"/>
            </w:pPr>
            <w:r/>
            <w:r>
              <w:rPr>
                <w:rFonts w:ascii="Arial" w:hAnsi="Arial"/>
                <w:b w:val="0"/>
                <w:sz w:val="17"/>
              </w:rPr>
              <w:t>Apakah kita membangun dengan benar?</w:t>
            </w:r>
          </w:p>
        </w:tc>
        <w:tc>
          <w:tcPr>
            <w:tcW w:type="dxa" w:w="2781"/>
            <w:shd w:val="clear" w:color="auto" w:fill="E6ECFD"/>
            <w:vAlign w:val="center"/>
          </w:tcPr>
          <w:p>
            <w:pPr>
              <w:spacing w:after="20" w:before="20" w:line="252" w:lineRule="auto"/>
            </w:pPr>
            <w:r/>
            <w:r>
              <w:rPr>
                <w:rFonts w:ascii="Arial" w:hAnsi="Arial"/>
                <w:b w:val="0"/>
                <w:sz w:val="17"/>
              </w:rPr>
              <w:t>Apakah kita mencapai manfaat yang direncanakan?</w:t>
            </w:r>
          </w:p>
        </w:tc>
        <w:tc>
          <w:tcPr>
            <w:tcW w:type="dxa" w:w="2781"/>
            <w:shd w:val="clear" w:color="auto" w:fill="E6ECFD"/>
            <w:vAlign w:val="center"/>
          </w:tcPr>
          <w:p>
            <w:pPr>
              <w:spacing w:after="20" w:before="20" w:line="252" w:lineRule="auto"/>
            </w:pPr>
            <w:r/>
            <w:r>
              <w:rPr>
                <w:rFonts w:ascii="Arial" w:hAnsi="Arial"/>
                <w:b w:val="0"/>
                <w:sz w:val="17"/>
              </w:rPr>
              <w:t>Apakah kita membangun hal yang benar, dan dengan urutan yang tepat?</w:t>
            </w:r>
          </w:p>
        </w:tc>
      </w:tr>
      <w:tr>
        <w:trPr>
          <w:cantSplit/>
        </w:trPr>
        <w:tc>
          <w:tcPr>
            <w:tcW w:type="dxa" w:w="1283"/>
            <w:vAlign w:val="center"/>
          </w:tcPr>
          <w:p>
            <w:pPr>
              <w:spacing w:after="20" w:before="20" w:line="252" w:lineRule="auto"/>
            </w:pPr>
            <w:r/>
            <w:r>
              <w:rPr>
                <w:rFonts w:ascii="Arial" w:hAnsi="Arial"/>
                <w:b/>
                <w:sz w:val="17"/>
              </w:rPr>
              <w:t>Pengukuran</w:t>
            </w:r>
          </w:p>
        </w:tc>
        <w:tc>
          <w:tcPr>
            <w:tcW w:type="dxa" w:w="2567"/>
            <w:vAlign w:val="center"/>
          </w:tcPr>
          <w:p>
            <w:pPr>
              <w:spacing w:after="20" w:before="20" w:line="252" w:lineRule="auto"/>
            </w:pPr>
            <w:r/>
            <w:r>
              <w:rPr>
                <w:rFonts w:ascii="Arial" w:hAnsi="Arial"/>
                <w:b w:val="0"/>
                <w:sz w:val="17"/>
              </w:rPr>
              <w:t>Biaya, jadwal, mutu, kepuasan pemangku kepentingan</w:t>
            </w:r>
          </w:p>
        </w:tc>
        <w:tc>
          <w:tcPr>
            <w:tcW w:type="dxa" w:w="2781"/>
            <w:vAlign w:val="center"/>
          </w:tcPr>
          <w:p>
            <w:pPr>
              <w:spacing w:after="20" w:before="20" w:line="252" w:lineRule="auto"/>
            </w:pPr>
            <w:r/>
            <w:r>
              <w:rPr>
                <w:rFonts w:ascii="Arial" w:hAnsi="Arial"/>
                <w:b w:val="0"/>
                <w:sz w:val="17"/>
              </w:rPr>
              <w:t>Realisasi manfaat, integrasi antarproyek</w:t>
            </w:r>
          </w:p>
        </w:tc>
        <w:tc>
          <w:tcPr>
            <w:tcW w:type="dxa" w:w="2781"/>
            <w:vAlign w:val="center"/>
          </w:tcPr>
          <w:p>
            <w:pPr>
              <w:spacing w:after="20" w:before="20" w:line="252" w:lineRule="auto"/>
            </w:pPr>
            <w:r/>
            <w:r>
              <w:rPr>
                <w:rFonts w:ascii="Arial" w:hAnsi="Arial"/>
                <w:b w:val="0"/>
                <w:sz w:val="17"/>
              </w:rPr>
              <w:t>Nilai keseluruhan, risiko agregat, kesesuaian dengan strategi</w:t>
            </w:r>
          </w:p>
        </w:tc>
      </w:tr>
      <w:tr>
        <w:trPr>
          <w:cantSplit/>
        </w:trPr>
        <w:tc>
          <w:tcPr>
            <w:tcW w:type="dxa" w:w="1283"/>
            <w:shd w:val="clear" w:color="auto" w:fill="E6ECFD"/>
            <w:vAlign w:val="center"/>
          </w:tcPr>
          <w:p>
            <w:pPr>
              <w:spacing w:after="20" w:before="20" w:line="252" w:lineRule="auto"/>
            </w:pPr>
            <w:r/>
            <w:r>
              <w:rPr>
                <w:rFonts w:ascii="Arial" w:hAnsi="Arial"/>
                <w:b/>
                <w:sz w:val="17"/>
              </w:rPr>
              <w:t>Contoh di Danantara</w:t>
            </w:r>
          </w:p>
        </w:tc>
        <w:tc>
          <w:tcPr>
            <w:tcW w:type="dxa" w:w="2567"/>
            <w:shd w:val="clear" w:color="auto" w:fill="E6ECFD"/>
            <w:vAlign w:val="center"/>
          </w:tcPr>
          <w:p>
            <w:pPr>
              <w:spacing w:after="20" w:before="20" w:line="252" w:lineRule="auto"/>
            </w:pPr>
            <w:r/>
            <w:r>
              <w:rPr>
                <w:rFonts w:ascii="Arial" w:hAnsi="Arial"/>
                <w:b w:val="0"/>
                <w:sz w:val="17"/>
              </w:rPr>
              <w:t>Pembangunan PSEL Bogor Raya 1; satu kapal selam PT PAL</w:t>
            </w:r>
          </w:p>
        </w:tc>
        <w:tc>
          <w:tcPr>
            <w:tcW w:type="dxa" w:w="2781"/>
            <w:shd w:val="clear" w:color="auto" w:fill="E6ECFD"/>
            <w:vAlign w:val="center"/>
          </w:tcPr>
          <w:p>
            <w:pPr>
              <w:spacing w:after="20" w:before="20" w:line="252" w:lineRule="auto"/>
            </w:pPr>
            <w:r/>
            <w:r>
              <w:rPr>
                <w:rFonts w:ascii="Arial" w:hAnsi="Arial"/>
                <w:b w:val="0"/>
                <w:sz w:val="17"/>
              </w:rPr>
              <w:t>Platform industri maritim (galangan, komponen, MRO, pemasok DOCK-UP)</w:t>
            </w:r>
          </w:p>
        </w:tc>
        <w:tc>
          <w:tcPr>
            <w:tcW w:type="dxa" w:w="2781"/>
            <w:shd w:val="clear" w:color="auto" w:fill="E6ECFD"/>
            <w:vAlign w:val="center"/>
          </w:tcPr>
          <w:p>
            <w:pPr>
              <w:spacing w:after="20" w:before="20" w:line="252" w:lineRule="auto"/>
            </w:pPr>
            <w:r/>
            <w:r>
              <w:rPr>
                <w:rFonts w:ascii="Arial" w:hAnsi="Arial"/>
                <w:b w:val="0"/>
                <w:sz w:val="17"/>
              </w:rPr>
              <w:t>Lima portofolio dan 40 proyek strategis</w:t>
            </w:r>
          </w:p>
        </w:tc>
      </w:tr>
      <w:tr>
        <w:trPr>
          <w:cantSplit/>
        </w:trPr>
        <w:tc>
          <w:tcPr>
            <w:tcW w:type="dxa" w:w="1283"/>
            <w:vAlign w:val="center"/>
          </w:tcPr>
          <w:p>
            <w:pPr>
              <w:spacing w:after="20" w:before="20" w:line="252" w:lineRule="auto"/>
            </w:pPr>
            <w:r/>
            <w:r>
              <w:rPr>
                <w:rFonts w:ascii="Arial" w:hAnsi="Arial"/>
                <w:b/>
                <w:sz w:val="17"/>
              </w:rPr>
              <w:t>Pemilik utama</w:t>
            </w:r>
          </w:p>
        </w:tc>
        <w:tc>
          <w:tcPr>
            <w:tcW w:type="dxa" w:w="2567"/>
            <w:vAlign w:val="center"/>
          </w:tcPr>
          <w:p>
            <w:pPr>
              <w:spacing w:after="20" w:before="20" w:line="252" w:lineRule="auto"/>
            </w:pPr>
            <w:r/>
            <w:r>
              <w:rPr>
                <w:rFonts w:ascii="Arial" w:hAnsi="Arial"/>
                <w:b w:val="0"/>
                <w:sz w:val="17"/>
              </w:rPr>
              <w:t>Manajer proyek (project director)</w:t>
            </w:r>
          </w:p>
        </w:tc>
        <w:tc>
          <w:tcPr>
            <w:tcW w:type="dxa" w:w="2781"/>
            <w:vAlign w:val="center"/>
          </w:tcPr>
          <w:p>
            <w:pPr>
              <w:spacing w:after="20" w:before="20" w:line="252" w:lineRule="auto"/>
            </w:pPr>
            <w:r/>
            <w:r>
              <w:rPr>
                <w:rFonts w:ascii="Arial" w:hAnsi="Arial"/>
                <w:b w:val="0"/>
                <w:sz w:val="17"/>
              </w:rPr>
              <w:t>Manajer program / sponsor program</w:t>
            </w:r>
          </w:p>
        </w:tc>
        <w:tc>
          <w:tcPr>
            <w:tcW w:type="dxa" w:w="2781"/>
            <w:vAlign w:val="center"/>
          </w:tcPr>
          <w:p>
            <w:pPr>
              <w:spacing w:after="20" w:before="20" w:line="252" w:lineRule="auto"/>
            </w:pPr>
            <w:r/>
            <w:r>
              <w:rPr>
                <w:rFonts w:ascii="Arial" w:hAnsi="Arial"/>
                <w:b w:val="0"/>
                <w:sz w:val="17"/>
              </w:rPr>
              <w:t>Komite portofolio / pimpinan eksekutif</w:t>
            </w:r>
          </w:p>
        </w:tc>
      </w:tr>
    </w:tbl>
    <w:p>
      <w:pPr>
        <w:spacing w:after="160"/>
      </w:pPr>
      <w:r>
        <w:rPr>
          <w:rFonts w:ascii="Arial" w:hAnsi="Arial"/>
          <w:b w:val="0"/>
          <w:i/>
          <w:color w:val="051C5C"/>
          <w:sz w:val="17"/>
        </w:rPr>
        <w:t>Sumber: diolah dari PMI (2021) dan ISO 21502:2020; contoh dari [K, Bab 5.4; PLAT, hlm. 2].</w:t>
      </w:r>
    </w:p>
    <w:p>
      <w:pPr>
        <w:jc w:val="both"/>
      </w:pPr>
      <w:r>
        <w:rPr>
          <w:rFonts w:ascii="Arial" w:hAnsi="Arial"/>
          <w:b w:val="0"/>
        </w:rPr>
        <w:t>Perbedaan ini membantu menjelaskan temuan Kajian bahwa kesenjangan Danantara "bukan kekurangan jabatan, melainkan tidak adanya lapisan pengelolaan portofolio yang memiliki register, mengintegrasikan lintas arm, menyelesaikan hambatan dan mengukur hasil" [EVAL, Bagian 5]. Danantara memiliki banyak proyek dan memiliki fungsi di tingkat korporasi; yang belum tampak adalah lapisan yang menjawab pertanyaan portofolio secara sistematis.</w:t>
      </w:r>
    </w:p>
    <w:p>
      <w:pPr>
        <w:pStyle w:val="Heading2"/>
      </w:pPr>
      <w:r>
        <w:t>2.2  Siklus hidup proyek dan siklus hidup produk</w:t>
      </w:r>
    </w:p>
    <w:p>
      <w:pPr>
        <w:jc w:val="both"/>
      </w:pPr>
      <w:r>
        <w:rPr>
          <w:rFonts w:ascii="Arial" w:hAnsi="Arial"/>
          <w:b w:val="0"/>
        </w:rPr>
        <w:t>Setiap proyek bergerak melalui fase: gagasan dan seleksi, pengembangan konsep dan studi kelayakan, desain dan kesiapan investasi, keputusan modal, pelaksanaan (pengadaan, konstruksi, instalasi), komisioning dan serah terima, operasi, dan evaluasi. Dalam proyek industri dan energi, tahap awal disebut Front-End Loading (FEL) atau pengembangan front-end: FEL 1 (pemilihan konsep), FEL 2 (pra-kelayakan atau pra-FEED), dan FEL 3 (FEED dan kesiapan pembiayaan). Kajian CII dan benchmarking industri menunjukkan hubungan kuat antara kualitas definisi proyek sebelum keputusan investasi akhir (FID) dan hasil biaya serta jadwal pada tahap pelaksanaan (Gibson dan Hamilton, 1994; Merrow, 2011).</w:t>
      </w:r>
    </w:p>
    <w:p>
      <w:pPr>
        <w:keepNext/>
        <w:jc w:val="center"/>
      </w:pPr>
      <w:r>
        <w:drawing>
          <wp:inline xmlns:a="http://schemas.openxmlformats.org/drawingml/2006/main" xmlns:pic="http://schemas.openxmlformats.org/drawingml/2006/picture">
            <wp:extent cx="5580000" cy="3491270"/>
            <wp:docPr id="1" name="Picture 1"/>
            <wp:cNvGraphicFramePr>
              <a:graphicFrameLocks noChangeAspect="1"/>
            </wp:cNvGraphicFramePr>
            <a:graphic>
              <a:graphicData uri="http://schemas.openxmlformats.org/drawingml/2006/picture">
                <pic:pic>
                  <pic:nvPicPr>
                    <pic:cNvPr id="0" name="f_lifecycle.png"/>
                    <pic:cNvPicPr/>
                  </pic:nvPicPr>
                  <pic:blipFill>
                    <a:blip r:embed="rId10"/>
                    <a:stretch>
                      <a:fillRect/>
                    </a:stretch>
                  </pic:blipFill>
                  <pic:spPr>
                    <a:xfrm>
                      <a:off x="0" y="0"/>
                      <a:ext cx="5580000" cy="3491270"/>
                    </a:xfrm>
                    <a:prstGeom prst="rect"/>
                  </pic:spPr>
                </pic:pic>
              </a:graphicData>
            </a:graphic>
          </wp:inline>
        </w:drawing>
      </w:r>
    </w:p>
    <w:p>
      <w:pPr>
        <w:keepNext w:val="0"/>
        <w:spacing w:after="60"/>
      </w:pPr>
      <w:r>
        <w:rPr>
          <w:rFonts w:ascii="Arial" w:hAnsi="Arial"/>
          <w:b/>
          <w:color w:val="051C5C"/>
          <w:sz w:val="19"/>
        </w:rPr>
        <w:t xml:space="preserve">Gambar 1: </w:t>
      </w:r>
      <w:r>
        <w:rPr>
          <w:rFonts w:ascii="Arial" w:hAnsi="Arial"/>
          <w:color w:val="051C5C"/>
          <w:sz w:val="19"/>
        </w:rPr>
        <w:t>Siklus hidup proyek strategis, gerbang keputusan, dan kemampuan memengaruhi hasil</w:t>
      </w:r>
    </w:p>
    <w:p>
      <w:pPr>
        <w:spacing w:after="160"/>
      </w:pPr>
      <w:r>
        <w:rPr>
          <w:rFonts w:ascii="Arial" w:hAnsi="Arial"/>
          <w:b w:val="0"/>
          <w:i/>
          <w:color w:val="051C5C"/>
          <w:sz w:val="17"/>
        </w:rPr>
        <w:t>Sumber: konsep siklus hidup dan kurva pengaruh dari PMI (2021) dan CII; pemetaan gerbang P0–P6 dan M0–M9 dari [K, Bab 7.4–7.7].</w:t>
      </w:r>
    </w:p>
    <w:p>
      <w:pPr>
        <w:jc w:val="both"/>
      </w:pPr>
      <w:r>
        <w:rPr>
          <w:rFonts w:ascii="Arial" w:hAnsi="Arial"/>
          <w:b w:val="0"/>
        </w:rPr>
        <w:t>Gambar di atas memuat dua pesan. Pertama, kemampuan memengaruhi biaya dan hasil paling besar pada tahap awal, sementara biaya perubahan meningkat tajam setelah keputusan modal. Karena itu, uang dan perhatian pada tahap definisi hampir selalu lebih murah daripada uang yang dipakai untuk memperbaiki proyek yang sudah dibangun. Kedua, gerbang keputusan menjadi titik di mana organisasi secara sengaja memilih untuk melanjutkan, memperbaiki, menunda, atau menghentikan, sebelum tahap berikutnya dibiayai.</w:t>
      </w:r>
    </w:p>
    <w:p>
      <w:pPr>
        <w:pStyle w:val="Heading2"/>
      </w:pPr>
      <w:r>
        <w:t>2.3  Kerangka dan standar utama</w:t>
      </w:r>
    </w:p>
    <w:p>
      <w:pPr>
        <w:keepNext/>
        <w:spacing w:after="60"/>
      </w:pPr>
      <w:r>
        <w:rPr>
          <w:rFonts w:ascii="Arial" w:hAnsi="Arial"/>
          <w:b/>
          <w:color w:val="051C5C"/>
          <w:sz w:val="19"/>
        </w:rPr>
        <w:t xml:space="preserve">Tabel 5: </w:t>
      </w:r>
      <w:r>
        <w:rPr>
          <w:rFonts w:ascii="Arial" w:hAnsi="Arial"/>
          <w:color w:val="051C5C"/>
          <w:sz w:val="19"/>
        </w:rPr>
        <w:t>Kerangka dan standar manajemen proyek yang menjadi rujukan</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2510"/>
            <w:shd w:val="clear" w:color="auto" w:fill="2251FF"/>
            <w:vAlign w:val="center"/>
          </w:tcPr>
          <w:p>
            <w:pPr>
              <w:spacing w:after="20" w:before="20" w:line="252" w:lineRule="auto"/>
            </w:pPr>
            <w:r/>
            <w:r>
              <w:rPr>
                <w:rFonts w:ascii="Arial" w:hAnsi="Arial"/>
                <w:b/>
                <w:color w:val="FFFFFF"/>
                <w:sz w:val="17"/>
              </w:rPr>
              <w:t>Kerangka / standar</w:t>
            </w:r>
          </w:p>
        </w:tc>
        <w:tc>
          <w:tcPr>
            <w:tcW w:type="dxa" w:w="3764"/>
            <w:shd w:val="clear" w:color="auto" w:fill="2251FF"/>
            <w:vAlign w:val="center"/>
          </w:tcPr>
          <w:p>
            <w:pPr>
              <w:spacing w:after="20" w:before="20" w:line="252" w:lineRule="auto"/>
            </w:pPr>
            <w:r/>
            <w:r>
              <w:rPr>
                <w:rFonts w:ascii="Arial" w:hAnsi="Arial"/>
                <w:b/>
                <w:color w:val="FFFFFF"/>
                <w:sz w:val="17"/>
              </w:rPr>
              <w:t>Ciri utama</w:t>
            </w:r>
          </w:p>
        </w:tc>
        <w:tc>
          <w:tcPr>
            <w:tcW w:type="dxa" w:w="3137"/>
            <w:shd w:val="clear" w:color="auto" w:fill="2251FF"/>
            <w:vAlign w:val="center"/>
          </w:tcPr>
          <w:p>
            <w:pPr>
              <w:spacing w:after="20" w:before="20" w:line="252" w:lineRule="auto"/>
            </w:pPr>
            <w:r/>
            <w:r>
              <w:rPr>
                <w:rFonts w:ascii="Arial" w:hAnsi="Arial"/>
                <w:b/>
                <w:color w:val="FFFFFF"/>
                <w:sz w:val="17"/>
              </w:rPr>
              <w:t>Relevansi untuk Danantara</w:t>
            </w:r>
          </w:p>
        </w:tc>
      </w:tr>
      <w:tr>
        <w:trPr>
          <w:cantSplit/>
        </w:trPr>
        <w:tc>
          <w:tcPr>
            <w:tcW w:type="dxa" w:w="2510"/>
            <w:vAlign w:val="center"/>
          </w:tcPr>
          <w:p>
            <w:pPr>
              <w:spacing w:after="20" w:before="20" w:line="252" w:lineRule="auto"/>
            </w:pPr>
            <w:r/>
            <w:r>
              <w:rPr>
                <w:rFonts w:ascii="Arial" w:hAnsi="Arial"/>
                <w:b/>
                <w:sz w:val="17"/>
              </w:rPr>
              <w:t>PMBOK Guide, edisi ke-7 (PMI, 2021) dan The Standard for Project Management</w:t>
            </w:r>
          </w:p>
        </w:tc>
        <w:tc>
          <w:tcPr>
            <w:tcW w:type="dxa" w:w="3764"/>
            <w:vAlign w:val="center"/>
          </w:tcPr>
          <w:p>
            <w:pPr>
              <w:spacing w:after="20" w:before="20" w:line="252" w:lineRule="auto"/>
            </w:pPr>
            <w:r/>
            <w:r>
              <w:rPr>
                <w:rFonts w:ascii="Arial" w:hAnsi="Arial"/>
                <w:b w:val="0"/>
                <w:sz w:val="17"/>
              </w:rPr>
              <w:t>Dua belas prinsip, delapan domain kinerja (pemangku kepentingan, tim, pendekatan pengembangan dan siklus hidup, perencanaan, pekerjaan proyek, pengiriman, pengukuran, ketidakpastian); berorientasi hasil dan nilai</w:t>
            </w:r>
          </w:p>
        </w:tc>
        <w:tc>
          <w:tcPr>
            <w:tcW w:type="dxa" w:w="3137"/>
            <w:vAlign w:val="center"/>
          </w:tcPr>
          <w:p>
            <w:pPr>
              <w:spacing w:after="20" w:before="20" w:line="252" w:lineRule="auto"/>
            </w:pPr>
            <w:r/>
            <w:r>
              <w:rPr>
                <w:rFonts w:ascii="Arial" w:hAnsi="Arial"/>
                <w:b w:val="0"/>
                <w:sz w:val="17"/>
              </w:rPr>
              <w:t>Bahasa umum dan domain kinerja untuk PMO; tidak preskriptif tentang metode</w:t>
            </w:r>
          </w:p>
        </w:tc>
      </w:tr>
      <w:tr>
        <w:trPr>
          <w:cantSplit/>
        </w:trPr>
        <w:tc>
          <w:tcPr>
            <w:tcW w:type="dxa" w:w="2510"/>
            <w:shd w:val="clear" w:color="auto" w:fill="E6ECFD"/>
            <w:vAlign w:val="center"/>
          </w:tcPr>
          <w:p>
            <w:pPr>
              <w:spacing w:after="20" w:before="20" w:line="252" w:lineRule="auto"/>
            </w:pPr>
            <w:r/>
            <w:r>
              <w:rPr>
                <w:rFonts w:ascii="Arial" w:hAnsi="Arial"/>
                <w:b/>
                <w:sz w:val="17"/>
              </w:rPr>
              <w:t>PRINCE2, edisi ke-7 (AXELOS, 2023)</w:t>
            </w:r>
          </w:p>
        </w:tc>
        <w:tc>
          <w:tcPr>
            <w:tcW w:type="dxa" w:w="3764"/>
            <w:shd w:val="clear" w:color="auto" w:fill="E6ECFD"/>
            <w:vAlign w:val="center"/>
          </w:tcPr>
          <w:p>
            <w:pPr>
              <w:spacing w:after="20" w:before="20" w:line="252" w:lineRule="auto"/>
            </w:pPr>
            <w:r/>
            <w:r>
              <w:rPr>
                <w:rFonts w:ascii="Arial" w:hAnsi="Arial"/>
                <w:b w:val="0"/>
                <w:sz w:val="17"/>
              </w:rPr>
              <w:t>Tujuh prinsip, tema, dan proses; tata kelola berbasis business case, tahap yang dikelola, manajemen berdasarkan pengecualian</w:t>
            </w:r>
          </w:p>
        </w:tc>
        <w:tc>
          <w:tcPr>
            <w:tcW w:type="dxa" w:w="3137"/>
            <w:shd w:val="clear" w:color="auto" w:fill="E6ECFD"/>
            <w:vAlign w:val="center"/>
          </w:tcPr>
          <w:p>
            <w:pPr>
              <w:spacing w:after="20" w:before="20" w:line="252" w:lineRule="auto"/>
            </w:pPr>
            <w:r/>
            <w:r>
              <w:rPr>
                <w:rFonts w:ascii="Arial" w:hAnsi="Arial"/>
                <w:b w:val="0"/>
                <w:sz w:val="17"/>
              </w:rPr>
              <w:t>Cocok untuk gerbang tahap dan peran Project Board di BUMN</w:t>
            </w:r>
          </w:p>
        </w:tc>
      </w:tr>
      <w:tr>
        <w:trPr>
          <w:cantSplit/>
        </w:trPr>
        <w:tc>
          <w:tcPr>
            <w:tcW w:type="dxa" w:w="2510"/>
            <w:vAlign w:val="center"/>
          </w:tcPr>
          <w:p>
            <w:pPr>
              <w:spacing w:after="20" w:before="20" w:line="252" w:lineRule="auto"/>
            </w:pPr>
            <w:r/>
            <w:r>
              <w:rPr>
                <w:rFonts w:ascii="Arial" w:hAnsi="Arial"/>
                <w:b/>
                <w:sz w:val="17"/>
              </w:rPr>
              <w:t>ISO 21500:2021 dan ISO 21502:2020</w:t>
            </w:r>
          </w:p>
        </w:tc>
        <w:tc>
          <w:tcPr>
            <w:tcW w:type="dxa" w:w="3764"/>
            <w:vAlign w:val="center"/>
          </w:tcPr>
          <w:p>
            <w:pPr>
              <w:spacing w:after="20" w:before="20" w:line="252" w:lineRule="auto"/>
            </w:pPr>
            <w:r/>
            <w:r>
              <w:rPr>
                <w:rFonts w:ascii="Arial" w:hAnsi="Arial"/>
                <w:b w:val="0"/>
                <w:sz w:val="17"/>
              </w:rPr>
              <w:t>Panduan internasional untuk manajemen proyek, program, dan portofolio; ISO 21504 untuk portofolio</w:t>
            </w:r>
          </w:p>
        </w:tc>
        <w:tc>
          <w:tcPr>
            <w:tcW w:type="dxa" w:w="3137"/>
            <w:vAlign w:val="center"/>
          </w:tcPr>
          <w:p>
            <w:pPr>
              <w:spacing w:after="20" w:before="20" w:line="252" w:lineRule="auto"/>
            </w:pPr>
            <w:r/>
            <w:r>
              <w:rPr>
                <w:rFonts w:ascii="Arial" w:hAnsi="Arial"/>
                <w:b w:val="0"/>
                <w:sz w:val="17"/>
              </w:rPr>
              <w:t>Rujukan netral untuk piagam PMO dan kebijakan portofolio</w:t>
            </w:r>
          </w:p>
        </w:tc>
      </w:tr>
      <w:tr>
        <w:trPr>
          <w:cantSplit/>
        </w:trPr>
        <w:tc>
          <w:tcPr>
            <w:tcW w:type="dxa" w:w="2510"/>
            <w:shd w:val="clear" w:color="auto" w:fill="E6ECFD"/>
            <w:vAlign w:val="center"/>
          </w:tcPr>
          <w:p>
            <w:pPr>
              <w:spacing w:after="20" w:before="20" w:line="252" w:lineRule="auto"/>
            </w:pPr>
            <w:r/>
            <w:r>
              <w:rPr>
                <w:rFonts w:ascii="Arial" w:hAnsi="Arial"/>
                <w:b/>
                <w:sz w:val="17"/>
              </w:rPr>
              <w:t>IPMA ICB4 (2015)</w:t>
            </w:r>
          </w:p>
        </w:tc>
        <w:tc>
          <w:tcPr>
            <w:tcW w:type="dxa" w:w="3764"/>
            <w:shd w:val="clear" w:color="auto" w:fill="E6ECFD"/>
            <w:vAlign w:val="center"/>
          </w:tcPr>
          <w:p>
            <w:pPr>
              <w:spacing w:after="20" w:before="20" w:line="252" w:lineRule="auto"/>
            </w:pPr>
            <w:r/>
            <w:r>
              <w:rPr>
                <w:rFonts w:ascii="Arial" w:hAnsi="Arial"/>
                <w:b w:val="0"/>
                <w:sz w:val="17"/>
              </w:rPr>
              <w:t>Kompetensi individu: perspektif, orang, praktik</w:t>
            </w:r>
          </w:p>
        </w:tc>
        <w:tc>
          <w:tcPr>
            <w:tcW w:type="dxa" w:w="3137"/>
            <w:shd w:val="clear" w:color="auto" w:fill="E6ECFD"/>
            <w:vAlign w:val="center"/>
          </w:tcPr>
          <w:p>
            <w:pPr>
              <w:spacing w:after="20" w:before="20" w:line="252" w:lineRule="auto"/>
            </w:pPr>
            <w:r/>
            <w:r>
              <w:rPr>
                <w:rFonts w:ascii="Arial" w:hAnsi="Arial"/>
                <w:b w:val="0"/>
                <w:sz w:val="17"/>
              </w:rPr>
              <w:t>Kerangka sertifikasi manajer proyek dan pemimpin klaster</w:t>
            </w:r>
          </w:p>
        </w:tc>
      </w:tr>
      <w:tr>
        <w:trPr>
          <w:cantSplit/>
        </w:trPr>
        <w:tc>
          <w:tcPr>
            <w:tcW w:type="dxa" w:w="2510"/>
            <w:vAlign w:val="center"/>
          </w:tcPr>
          <w:p>
            <w:pPr>
              <w:spacing w:after="20" w:before="20" w:line="252" w:lineRule="auto"/>
            </w:pPr>
            <w:r/>
            <w:r>
              <w:rPr>
                <w:rFonts w:ascii="Arial" w:hAnsi="Arial"/>
                <w:b/>
                <w:sz w:val="17"/>
              </w:rPr>
              <w:t>ISO 31000:2018 dan COSO ERM</w:t>
            </w:r>
          </w:p>
        </w:tc>
        <w:tc>
          <w:tcPr>
            <w:tcW w:type="dxa" w:w="3764"/>
            <w:vAlign w:val="center"/>
          </w:tcPr>
          <w:p>
            <w:pPr>
              <w:spacing w:after="20" w:before="20" w:line="252" w:lineRule="auto"/>
            </w:pPr>
            <w:r/>
            <w:r>
              <w:rPr>
                <w:rFonts w:ascii="Arial" w:hAnsi="Arial"/>
                <w:b w:val="0"/>
                <w:sz w:val="17"/>
              </w:rPr>
              <w:t>Prinsip, kerangka, dan proses manajemen risiko</w:t>
            </w:r>
          </w:p>
        </w:tc>
        <w:tc>
          <w:tcPr>
            <w:tcW w:type="dxa" w:w="3137"/>
            <w:vAlign w:val="center"/>
          </w:tcPr>
          <w:p>
            <w:pPr>
              <w:spacing w:after="20" w:before="20" w:line="252" w:lineRule="auto"/>
            </w:pPr>
            <w:r/>
            <w:r>
              <w:rPr>
                <w:rFonts w:ascii="Arial" w:hAnsi="Arial"/>
                <w:b w:val="0"/>
                <w:sz w:val="17"/>
              </w:rPr>
              <w:t>Dasar register risiko dan selera risiko tingkat portofolio</w:t>
            </w:r>
          </w:p>
        </w:tc>
      </w:tr>
      <w:tr>
        <w:trPr>
          <w:cantSplit/>
        </w:trPr>
        <w:tc>
          <w:tcPr>
            <w:tcW w:type="dxa" w:w="2510"/>
            <w:shd w:val="clear" w:color="auto" w:fill="E6ECFD"/>
            <w:vAlign w:val="center"/>
          </w:tcPr>
          <w:p>
            <w:pPr>
              <w:spacing w:after="20" w:before="20" w:line="252" w:lineRule="auto"/>
            </w:pPr>
            <w:r/>
            <w:r>
              <w:rPr>
                <w:rFonts w:ascii="Arial" w:hAnsi="Arial"/>
                <w:b/>
                <w:sz w:val="17"/>
              </w:rPr>
              <w:t>Praktik AACE International (mis. RP 17R-97 dan 18R-97)</w:t>
            </w:r>
          </w:p>
        </w:tc>
        <w:tc>
          <w:tcPr>
            <w:tcW w:type="dxa" w:w="3764"/>
            <w:shd w:val="clear" w:color="auto" w:fill="E6ECFD"/>
            <w:vAlign w:val="center"/>
          </w:tcPr>
          <w:p>
            <w:pPr>
              <w:spacing w:after="20" w:before="20" w:line="252" w:lineRule="auto"/>
            </w:pPr>
            <w:r/>
            <w:r>
              <w:rPr>
                <w:rFonts w:ascii="Arial" w:hAnsi="Arial"/>
                <w:b w:val="0"/>
                <w:sz w:val="17"/>
              </w:rPr>
              <w:t>Klasifikasi estimasi biaya (kelas 5 sampai 1) dan hubungannya dengan kematangan definisi proyek</w:t>
            </w:r>
          </w:p>
        </w:tc>
        <w:tc>
          <w:tcPr>
            <w:tcW w:type="dxa" w:w="3137"/>
            <w:shd w:val="clear" w:color="auto" w:fill="E6ECFD"/>
            <w:vAlign w:val="center"/>
          </w:tcPr>
          <w:p>
            <w:pPr>
              <w:spacing w:after="20" w:before="20" w:line="252" w:lineRule="auto"/>
            </w:pPr>
            <w:r/>
            <w:r>
              <w:rPr>
                <w:rFonts w:ascii="Arial" w:hAnsi="Arial"/>
                <w:b w:val="0"/>
                <w:sz w:val="17"/>
              </w:rPr>
              <w:t>Dasar disiplin estimasi pada gerbang P2–P3</w:t>
            </w:r>
          </w:p>
        </w:tc>
      </w:tr>
      <w:tr>
        <w:trPr>
          <w:cantSplit/>
        </w:trPr>
        <w:tc>
          <w:tcPr>
            <w:tcW w:type="dxa" w:w="2510"/>
            <w:vAlign w:val="center"/>
          </w:tcPr>
          <w:p>
            <w:pPr>
              <w:spacing w:after="20" w:before="20" w:line="252" w:lineRule="auto"/>
            </w:pPr>
            <w:r/>
            <w:r>
              <w:rPr>
                <w:rFonts w:ascii="Arial" w:hAnsi="Arial"/>
                <w:b/>
                <w:sz w:val="17"/>
              </w:rPr>
              <w:t>CII: Front End Planning dan Project Definition Rating Index</w:t>
            </w:r>
          </w:p>
        </w:tc>
        <w:tc>
          <w:tcPr>
            <w:tcW w:type="dxa" w:w="3764"/>
            <w:vAlign w:val="center"/>
          </w:tcPr>
          <w:p>
            <w:pPr>
              <w:spacing w:after="20" w:before="20" w:line="252" w:lineRule="auto"/>
            </w:pPr>
            <w:r/>
            <w:r>
              <w:rPr>
                <w:rFonts w:ascii="Arial" w:hAnsi="Arial"/>
                <w:b w:val="0"/>
                <w:sz w:val="17"/>
              </w:rPr>
              <w:t>Indeks kesiapan definisi proyek sebelum FID</w:t>
            </w:r>
          </w:p>
        </w:tc>
        <w:tc>
          <w:tcPr>
            <w:tcW w:type="dxa" w:w="3137"/>
            <w:vAlign w:val="center"/>
          </w:tcPr>
          <w:p>
            <w:pPr>
              <w:spacing w:after="20" w:before="20" w:line="252" w:lineRule="auto"/>
            </w:pPr>
            <w:r/>
            <w:r>
              <w:rPr>
                <w:rFonts w:ascii="Arial" w:hAnsi="Arial"/>
                <w:b w:val="0"/>
                <w:sz w:val="17"/>
              </w:rPr>
              <w:t>Alat uji kesiapan investasi</w:t>
            </w:r>
          </w:p>
        </w:tc>
      </w:tr>
      <w:tr>
        <w:trPr>
          <w:cantSplit/>
        </w:trPr>
        <w:tc>
          <w:tcPr>
            <w:tcW w:type="dxa" w:w="2510"/>
            <w:shd w:val="clear" w:color="auto" w:fill="E6ECFD"/>
            <w:vAlign w:val="center"/>
          </w:tcPr>
          <w:p>
            <w:pPr>
              <w:spacing w:after="20" w:before="20" w:line="252" w:lineRule="auto"/>
            </w:pPr>
            <w:r/>
            <w:r>
              <w:rPr>
                <w:rFonts w:ascii="Arial" w:hAnsi="Arial"/>
                <w:b/>
                <w:sz w:val="17"/>
              </w:rPr>
              <w:t>FIDIC (Red, Yellow, Silver Book)</w:t>
            </w:r>
          </w:p>
        </w:tc>
        <w:tc>
          <w:tcPr>
            <w:tcW w:type="dxa" w:w="3764"/>
            <w:shd w:val="clear" w:color="auto" w:fill="E6ECFD"/>
            <w:vAlign w:val="center"/>
          </w:tcPr>
          <w:p>
            <w:pPr>
              <w:spacing w:after="20" w:before="20" w:line="252" w:lineRule="auto"/>
            </w:pPr>
            <w:r/>
            <w:r>
              <w:rPr>
                <w:rFonts w:ascii="Arial" w:hAnsi="Arial"/>
                <w:b w:val="0"/>
                <w:sz w:val="17"/>
              </w:rPr>
              <w:t>Bentuk kontrak konstruksi dan EPC/turnkey dengan alokasi risiko yang berbeda</w:t>
            </w:r>
          </w:p>
        </w:tc>
        <w:tc>
          <w:tcPr>
            <w:tcW w:type="dxa" w:w="3137"/>
            <w:shd w:val="clear" w:color="auto" w:fill="E6ECFD"/>
            <w:vAlign w:val="center"/>
          </w:tcPr>
          <w:p>
            <w:pPr>
              <w:spacing w:after="20" w:before="20" w:line="252" w:lineRule="auto"/>
            </w:pPr>
            <w:r/>
            <w:r>
              <w:rPr>
                <w:rFonts w:ascii="Arial" w:hAnsi="Arial"/>
                <w:b w:val="0"/>
                <w:sz w:val="17"/>
              </w:rPr>
              <w:t>Rujukan alokasi risiko pada kontrak proyek jangkar</w:t>
            </w:r>
          </w:p>
        </w:tc>
      </w:tr>
      <w:tr>
        <w:trPr>
          <w:cantSplit/>
        </w:trPr>
        <w:tc>
          <w:tcPr>
            <w:tcW w:type="dxa" w:w="2510"/>
            <w:vAlign w:val="center"/>
          </w:tcPr>
          <w:p>
            <w:pPr>
              <w:spacing w:after="20" w:before="20" w:line="252" w:lineRule="auto"/>
            </w:pPr>
            <w:r/>
            <w:r>
              <w:rPr>
                <w:rFonts w:ascii="Arial" w:hAnsi="Arial"/>
                <w:b/>
                <w:sz w:val="17"/>
              </w:rPr>
              <w:t>PMI/ANSI Standard for Earned Value Management (2019)</w:t>
            </w:r>
          </w:p>
        </w:tc>
        <w:tc>
          <w:tcPr>
            <w:tcW w:type="dxa" w:w="3764"/>
            <w:vAlign w:val="center"/>
          </w:tcPr>
          <w:p>
            <w:pPr>
              <w:spacing w:after="20" w:before="20" w:line="252" w:lineRule="auto"/>
            </w:pPr>
            <w:r/>
            <w:r>
              <w:rPr>
                <w:rFonts w:ascii="Arial" w:hAnsi="Arial"/>
                <w:b w:val="0"/>
                <w:sz w:val="17"/>
              </w:rPr>
              <w:t>Metode terukur untuk kinerja biaya dan jadwal</w:t>
            </w:r>
          </w:p>
        </w:tc>
        <w:tc>
          <w:tcPr>
            <w:tcW w:type="dxa" w:w="3137"/>
            <w:vAlign w:val="center"/>
          </w:tcPr>
          <w:p>
            <w:pPr>
              <w:spacing w:after="20" w:before="20" w:line="252" w:lineRule="auto"/>
            </w:pPr>
            <w:r/>
            <w:r>
              <w:rPr>
                <w:rFonts w:ascii="Arial" w:hAnsi="Arial"/>
                <w:b w:val="0"/>
                <w:sz w:val="17"/>
              </w:rPr>
              <w:t>Rumus CPI, SPI, EAC pada Bab 6</w:t>
            </w:r>
          </w:p>
        </w:tc>
      </w:tr>
      <w:tr>
        <w:trPr>
          <w:cantSplit/>
        </w:trPr>
        <w:tc>
          <w:tcPr>
            <w:tcW w:type="dxa" w:w="2510"/>
            <w:shd w:val="clear" w:color="auto" w:fill="E6ECFD"/>
            <w:vAlign w:val="center"/>
          </w:tcPr>
          <w:p>
            <w:pPr>
              <w:spacing w:after="20" w:before="20" w:line="252" w:lineRule="auto"/>
            </w:pPr>
            <w:r/>
            <w:r>
              <w:rPr>
                <w:rFonts w:ascii="Arial" w:hAnsi="Arial"/>
                <w:b/>
                <w:sz w:val="17"/>
              </w:rPr>
              <w:t>Praktik agile dan hybrid (Agile Practice Guide, PMI dan Agile Alliance, 2017)</w:t>
            </w:r>
          </w:p>
        </w:tc>
        <w:tc>
          <w:tcPr>
            <w:tcW w:type="dxa" w:w="3764"/>
            <w:shd w:val="clear" w:color="auto" w:fill="E6ECFD"/>
            <w:vAlign w:val="center"/>
          </w:tcPr>
          <w:p>
            <w:pPr>
              <w:spacing w:after="20" w:before="20" w:line="252" w:lineRule="auto"/>
            </w:pPr>
            <w:r/>
            <w:r>
              <w:rPr>
                <w:rFonts w:ascii="Arial" w:hAnsi="Arial"/>
                <w:b w:val="0"/>
                <w:sz w:val="17"/>
              </w:rPr>
              <w:t>Iterasi, umpan balik cepat, backlog</w:t>
            </w:r>
          </w:p>
        </w:tc>
        <w:tc>
          <w:tcPr>
            <w:tcW w:type="dxa" w:w="3137"/>
            <w:shd w:val="clear" w:color="auto" w:fill="E6ECFD"/>
            <w:vAlign w:val="center"/>
          </w:tcPr>
          <w:p>
            <w:pPr>
              <w:spacing w:after="20" w:before="20" w:line="252" w:lineRule="auto"/>
            </w:pPr>
            <w:r/>
            <w:r>
              <w:rPr>
                <w:rFonts w:ascii="Arial" w:hAnsi="Arial"/>
                <w:b w:val="0"/>
                <w:sz w:val="17"/>
              </w:rPr>
              <w:t>Berguna untuk proyek perangkat lunak dan AI, bukan untuk konstruksi fisik</w:t>
            </w:r>
          </w:p>
        </w:tc>
      </w:tr>
    </w:tbl>
    <w:p>
      <w:pPr>
        <w:spacing w:after="160"/>
      </w:pPr>
      <w:r>
        <w:rPr>
          <w:rFonts w:ascii="Arial" w:hAnsi="Arial"/>
          <w:b w:val="0"/>
          <w:i/>
          <w:color w:val="051C5C"/>
          <w:sz w:val="17"/>
        </w:rPr>
        <w:t>Sumber: dokumen standar yang disebut; penilaian relevansi adalah analisis penulis.</w:t>
      </w:r>
    </w:p>
    <w:p>
      <w:pPr>
        <w:jc w:val="both"/>
      </w:pPr>
      <w:r>
        <w:rPr>
          <w:rFonts w:ascii="Arial" w:hAnsi="Arial"/>
          <w:b w:val="0"/>
        </w:rPr>
        <w:t xml:space="preserve">Tidak ada satu kerangka yang cukup. PMBOK menyediakan perbendaharaan istilah dan domain, PRINCE2 menyediakan mekanisme tata kelola yang eksplisit, standar ISO menyediakan netralitas lintas sektor, dan praktik AACE serta CII menyediakan disiplin spesifik untuk proyek modal. Danantara sebaiknya tidak memilih satu merek, melainkan menetapkan </w:t>
      </w:r>
      <w:r>
        <w:rPr>
          <w:rFonts w:ascii="Arial" w:hAnsi="Arial"/>
          <w:b/>
        </w:rPr>
        <w:t>kebijakan manajemen proyek Danantara</w:t>
      </w:r>
      <w:r>
        <w:rPr>
          <w:rFonts w:ascii="Arial" w:hAnsi="Arial"/>
          <w:b w:val="0"/>
        </w:rPr>
        <w:t xml:space="preserve"> yang merujuk pada standar tersebut dan menetapkan ambang, artefak, dan peran minimum yang berlaku bagi seluruh proyek.</w:t>
      </w:r>
    </w:p>
    <w:p>
      <w:pPr>
        <w:pStyle w:val="Heading2"/>
      </w:pPr>
      <w:r>
        <w:t>2.4  Karakter khusus proyek yang dihadapi Danantara</w:t>
      </w:r>
    </w:p>
    <w:p>
      <w:r>
        <w:rPr>
          <w:rFonts w:ascii="Arial" w:hAnsi="Arial"/>
          <w:b w:val="0"/>
        </w:rPr>
        <w:t>Proyek yang dikelola atau dibiayai Danantara memiliki lima ciri yang membuat manajemen proyek standar belum cukup:</w:t>
      </w:r>
    </w:p>
    <w:p>
      <w:pPr>
        <w:pStyle w:val="ListBullet"/>
        <w:spacing w:after="40"/>
      </w:pPr>
      <w:r>
        <w:rPr>
          <w:rFonts w:ascii="Arial" w:hAnsi="Arial"/>
          <w:b/>
        </w:rPr>
        <w:t>Skala dan durasi.</w:t>
      </w:r>
      <w:r>
        <w:rPr>
          <w:rFonts w:ascii="Arial" w:hAnsi="Arial"/>
          <w:b w:val="0"/>
        </w:rPr>
        <w:t xml:space="preserve"> Siklus pembangunan kapal selam dan fregat 60 sampai 96 bulan [PAL, hlm. 2]; PSEL Bogor Raya 1 ditargetkan beroperasi pertengahan 2028 [K, Bab 3.4]. Proyek berskala besar secara historis mengalami pembengkakan biaya dan keterlambatan secara sistematis (Flyvbjerg, 2003; 2014).</w:t>
      </w:r>
    </w:p>
    <w:p>
      <w:pPr>
        <w:pStyle w:val="ListBullet"/>
        <w:spacing w:after="40"/>
      </w:pPr>
      <w:r>
        <w:rPr>
          <w:rFonts w:ascii="Arial" w:hAnsi="Arial"/>
          <w:b/>
        </w:rPr>
        <w:t>Tujuan ganda.</w:t>
      </w:r>
      <w:r>
        <w:rPr>
          <w:rFonts w:ascii="Arial" w:hAnsi="Arial"/>
          <w:b w:val="0"/>
        </w:rPr>
        <w:t xml:space="preserve"> Selain imbal hasil finansial, proyek diharapkan membangun kapabilitas industri, menyerap pemasok lokal, dan memberi manfaat ekonomi dan sosial; ini menambah dimensi kesiapan pemasok dan manfaat yang jarang ada pada proyek komersial murni.</w:t>
      </w:r>
    </w:p>
    <w:p>
      <w:pPr>
        <w:pStyle w:val="ListBullet"/>
        <w:spacing w:after="40"/>
      </w:pPr>
      <w:r>
        <w:rPr>
          <w:rFonts w:ascii="Arial" w:hAnsi="Arial"/>
          <w:b/>
        </w:rPr>
        <w:t>Banyak pemilik dan banyak lapisan otoritas.</w:t>
      </w:r>
      <w:r>
        <w:rPr>
          <w:rFonts w:ascii="Arial" w:hAnsi="Arial"/>
          <w:b w:val="0"/>
        </w:rPr>
        <w:t xml:space="preserve"> Keputusan modal Badan Pelaksana, keputusan perusahaan sesuai anggaran dasar, persetujuan Dewan Pengawas dan Presiden, serta kewenangan kementerian membentuk lapisan keputusan yang berbeda [EVAL, Bagian 12].</w:t>
      </w:r>
    </w:p>
    <w:p>
      <w:pPr>
        <w:pStyle w:val="ListBullet"/>
        <w:spacing w:after="40"/>
      </w:pPr>
      <w:r>
        <w:rPr>
          <w:rFonts w:ascii="Arial" w:hAnsi="Arial"/>
          <w:b/>
        </w:rPr>
        <w:t>Kandungan impor dan ketergantungan teknologi.</w:t>
      </w:r>
      <w:r>
        <w:rPr>
          <w:rFonts w:ascii="Arial" w:hAnsi="Arial"/>
          <w:b w:val="0"/>
        </w:rPr>
        <w:t xml:space="preserve"> PT PAL melaporkan sekitar 75% material diimpor [PAL, hlm. 2]; hal ini menghubungkan manajemen pengadaan dengan kebijakan lokalisasi.</w:t>
      </w:r>
    </w:p>
    <w:p>
      <w:pPr>
        <w:pStyle w:val="ListBullet"/>
        <w:spacing w:after="120"/>
      </w:pPr>
      <w:r>
        <w:rPr>
          <w:rFonts w:ascii="Arial" w:hAnsi="Arial"/>
          <w:b/>
        </w:rPr>
        <w:t>Kualitas data yang belum matang.</w:t>
      </w:r>
      <w:r>
        <w:rPr>
          <w:rFonts w:ascii="Arial" w:hAnsi="Arial"/>
          <w:b w:val="0"/>
        </w:rPr>
        <w:t xml:space="preserve"> Register 40 proyek belum menjadi dasar keputusan (hanya 18 slot bernama; dua total berbeda Rp18,93 triliun) [K, Bab 4.6].</w:t>
      </w:r>
    </w:p>
    <w:p>
      <w:pPr>
        <w:pStyle w:val="Heading2"/>
      </w:pPr>
      <w:r>
        <w:t>2.5  Prinsip yang dipegang makalah ini</w:t>
      </w:r>
    </w:p>
    <w:p>
      <w:pPr>
        <w:pStyle w:val="ListNumber"/>
        <w:spacing w:after="40"/>
      </w:pPr>
      <w:r>
        <w:rPr>
          <w:rFonts w:ascii="Arial" w:hAnsi="Arial"/>
          <w:b/>
        </w:rPr>
        <w:t>Uang dan volume mengikuti bukti kesiapan, bukan janji.</w:t>
      </w:r>
      <w:r>
        <w:rPr>
          <w:rFonts w:ascii="Arial" w:hAnsi="Arial"/>
          <w:b w:val="0"/>
        </w:rPr>
        <w:t xml:space="preserve"> Prinsip ini muncul di DOCK-UP ("kesiapan, bukan janji atau komitmen, yang membuka langkah berikutnya") dan di PALCapital (tranche dicairkan hanya setelah bukti fisik) [DOCK, hlm. 5; PAL, hlm. 8].</w:t>
      </w:r>
    </w:p>
    <w:p>
      <w:pPr>
        <w:pStyle w:val="ListNumber"/>
        <w:spacing w:after="40"/>
      </w:pPr>
      <w:r>
        <w:rPr>
          <w:rFonts w:ascii="Arial" w:hAnsi="Arial"/>
          <w:b/>
        </w:rPr>
        <w:t>Satu register, satu penyebut.</w:t>
      </w:r>
      <w:r>
        <w:rPr>
          <w:rFonts w:ascii="Arial" w:hAnsi="Arial"/>
          <w:b w:val="0"/>
        </w:rPr>
        <w:t xml:space="preserve"> Setiap proyek, kontrak, pemasok, dan instrumen pembiayaan memiliki satu identitas.</w:t>
      </w:r>
    </w:p>
    <w:p>
      <w:pPr>
        <w:pStyle w:val="ListNumber"/>
        <w:spacing w:after="40"/>
      </w:pPr>
      <w:r>
        <w:rPr>
          <w:rFonts w:ascii="Arial" w:hAnsi="Arial"/>
          <w:b/>
        </w:rPr>
        <w:t>Satu pemimpin hasil per proyek.</w:t>
      </w:r>
      <w:r>
        <w:rPr>
          <w:rFonts w:ascii="Arial" w:hAnsi="Arial"/>
          <w:b w:val="0"/>
        </w:rPr>
        <w:t xml:space="preserve"> Satu pemilik akuntabel untuk setiap keputusan dan aktivitas (RASCI dengan satu A).</w:t>
      </w:r>
    </w:p>
    <w:p>
      <w:pPr>
        <w:pStyle w:val="ListNumber"/>
        <w:spacing w:after="40"/>
      </w:pPr>
      <w:r>
        <w:rPr>
          <w:rFonts w:ascii="Arial" w:hAnsi="Arial"/>
          <w:b/>
        </w:rPr>
        <w:t>Yang diukur adalah hasil tambahan, bukan keluaran bruto.</w:t>
      </w:r>
    </w:p>
    <w:p>
      <w:pPr>
        <w:pStyle w:val="ListNumber"/>
        <w:spacing w:after="40"/>
      </w:pPr>
      <w:r>
        <w:rPr>
          <w:rFonts w:ascii="Arial" w:hAnsi="Arial"/>
          <w:b/>
        </w:rPr>
        <w:t>Promotor dipisahkan dari penilai.</w:t>
      </w:r>
      <w:r>
        <w:rPr>
          <w:rFonts w:ascii="Arial" w:hAnsi="Arial"/>
          <w:b w:val="0"/>
        </w:rPr>
        <w:t xml:space="preserve"> Fungsi risiko, hukum, dan audit independen dari pengusul proyek.</w:t>
      </w:r>
    </w:p>
    <w:p>
      <w:pPr>
        <w:pStyle w:val="ListNumber"/>
        <w:spacing w:after="120"/>
      </w:pPr>
      <w:r>
        <w:rPr>
          <w:rFonts w:ascii="Arial" w:hAnsi="Arial"/>
          <w:b/>
        </w:rPr>
        <w:t>Proteksi bersifat sementara dan perubahan dikendalikan.</w:t>
      </w:r>
      <w:r>
        <w:rPr>
          <w:rFonts w:ascii="Arial" w:hAnsi="Arial"/>
          <w:b w:val="0"/>
        </w:rPr>
        <w:t xml:space="preserve"> Setiap perubahan lingkup, biaya, atau jadwal melalui prosedur dan tercatat.</w:t>
      </w:r>
    </w:p>
    <w:p>
      <w:r>
        <w:br w:type="page"/>
      </w:r>
    </w:p>
    <w:p>
      <w:pPr>
        <w:pStyle w:val="Heading1"/>
      </w:pPr>
      <w:r>
        <w:t>3  Tata kelola proyek dan portofolio</w:t>
      </w:r>
    </w:p>
    <w:p>
      <w:pPr>
        <w:pStyle w:val="Heading2"/>
      </w:pPr>
      <w:r>
        <w:t>3.1  Mengapa tata kelola menentukan</w:t>
      </w:r>
    </w:p>
    <w:p>
      <w:pPr>
        <w:jc w:val="both"/>
      </w:pPr>
      <w:r>
        <w:rPr>
          <w:rFonts w:ascii="Arial" w:hAnsi="Arial"/>
          <w:b w:val="0"/>
        </w:rPr>
        <w:t>Tata kelola proyek adalah sistem yang menetapkan siapa yang berwenang memutuskan apa, berdasarkan bukti apa, dan dengan akuntabilitas kepada siapa. Penelitian tentang proyek besar menempatkan tata kelola, terutama kejelasan tujuan, kualitas keputusan pada tahap awal, dan independensi penilai, sebagai penentu utama hasil (Müller, 2009; Flyvbjerg, 2014). Kegagalan proyek jarang berasal dari kekurangan alat penjadwalan; ia berasal dari keputusan awal yang optimistis, akuntabilitas yang kabur, dan pelaporan yang menutupi masalah.</w:t>
      </w:r>
    </w:p>
    <w:p>
      <w:pPr>
        <w:jc w:val="both"/>
      </w:pPr>
      <w:r>
        <w:rPr>
          <w:rFonts w:ascii="Arial" w:hAnsi="Arial"/>
          <w:b w:val="0"/>
        </w:rPr>
        <w:t>Dokumen sumber Danantara menunjukkan bahwa fondasi organ sudah tersedia (pemisahan Dewan Pengawas dan Badan Pelaksana, keputusan Badan pada Kepala, kewajiban portofolio risiko pada Pasal 14 PP 10/2025), tetapi efektivitasnya belum terverifikasi [EVAL, Bagian 3]. Hal ini sejalan dengan pelajaran umum: struktur formal tidak sama dengan sistem yang bekerja.</w:t>
      </w:r>
    </w:p>
    <w:p>
      <w:pPr>
        <w:pStyle w:val="Heading2"/>
      </w:pPr>
      <w:r>
        <w:t>3.2  Tiga tingkat tata kelola</w:t>
      </w:r>
    </w:p>
    <w:p>
      <w:pPr>
        <w:keepNext/>
        <w:jc w:val="center"/>
      </w:pPr>
      <w:r>
        <w:drawing>
          <wp:inline xmlns:a="http://schemas.openxmlformats.org/drawingml/2006/main" xmlns:pic="http://schemas.openxmlformats.org/drawingml/2006/picture">
            <wp:extent cx="5580000" cy="3556320"/>
            <wp:docPr id="2" name="Picture 2"/>
            <wp:cNvGraphicFramePr>
              <a:graphicFrameLocks noChangeAspect="1"/>
            </wp:cNvGraphicFramePr>
            <a:graphic>
              <a:graphicData uri="http://schemas.openxmlformats.org/drawingml/2006/picture">
                <pic:pic>
                  <pic:nvPicPr>
                    <pic:cNvPr id="0" name="f_governance.png"/>
                    <pic:cNvPicPr/>
                  </pic:nvPicPr>
                  <pic:blipFill>
                    <a:blip r:embed="rId11"/>
                    <a:stretch>
                      <a:fillRect/>
                    </a:stretch>
                  </pic:blipFill>
                  <pic:spPr>
                    <a:xfrm>
                      <a:off x="0" y="0"/>
                      <a:ext cx="5580000" cy="3556320"/>
                    </a:xfrm>
                    <a:prstGeom prst="rect"/>
                  </pic:spPr>
                </pic:pic>
              </a:graphicData>
            </a:graphic>
          </wp:inline>
        </w:drawing>
      </w:r>
    </w:p>
    <w:p>
      <w:pPr>
        <w:keepNext w:val="0"/>
        <w:spacing w:after="60"/>
      </w:pPr>
      <w:r>
        <w:rPr>
          <w:rFonts w:ascii="Arial" w:hAnsi="Arial"/>
          <w:b/>
          <w:color w:val="051C5C"/>
          <w:sz w:val="19"/>
        </w:rPr>
        <w:t xml:space="preserve">Gambar 2: </w:t>
      </w:r>
      <w:r>
        <w:rPr>
          <w:rFonts w:ascii="Arial" w:hAnsi="Arial"/>
          <w:color w:val="051C5C"/>
          <w:sz w:val="19"/>
        </w:rPr>
        <w:t>Tiga tingkat tata kelola: portofolio, program, dan proyek, dengan fungsi jaminan independen</w:t>
      </w:r>
    </w:p>
    <w:p>
      <w:pPr>
        <w:spacing w:after="160"/>
      </w:pPr>
      <w:r>
        <w:rPr>
          <w:rFonts w:ascii="Arial" w:hAnsi="Arial"/>
          <w:b w:val="0"/>
          <w:i/>
          <w:color w:val="051C5C"/>
          <w:sz w:val="17"/>
        </w:rPr>
        <w:t>Sumber: kerangka penulis, diolah dari PRINCE2 (AXELOS, 2023), ISO 21504 dan struktur dalam [EVAL, Bagian 8–10; K, Bab 13].</w:t>
      </w:r>
    </w:p>
    <w:p>
      <w:pPr>
        <w:keepNext/>
        <w:spacing w:after="60"/>
      </w:pPr>
      <w:r>
        <w:rPr>
          <w:rFonts w:ascii="Arial" w:hAnsi="Arial"/>
          <w:b/>
          <w:color w:val="051C5C"/>
          <w:sz w:val="19"/>
        </w:rPr>
        <w:t xml:space="preserve">Tabel 6: </w:t>
      </w:r>
      <w:r>
        <w:rPr>
          <w:rFonts w:ascii="Arial" w:hAnsi="Arial"/>
          <w:color w:val="051C5C"/>
          <w:sz w:val="19"/>
        </w:rPr>
        <w:t>Peran pada tiga tingkat tata kelola dan padanannya di Danantara</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2353"/>
        <w:gridCol w:w="2353"/>
        <w:gridCol w:w="2353"/>
        <w:gridCol w:w="2353"/>
      </w:tblGrid>
      <w:tr>
        <w:trPr>
          <w:cantSplit/>
          <w:tblHeader/>
        </w:trPr>
        <w:tc>
          <w:tcPr>
            <w:tcW w:type="dxa" w:w="1188"/>
            <w:shd w:val="clear" w:color="auto" w:fill="2251FF"/>
            <w:vAlign w:val="center"/>
          </w:tcPr>
          <w:p>
            <w:pPr>
              <w:spacing w:after="20" w:before="20" w:line="252" w:lineRule="auto"/>
            </w:pPr>
            <w:r/>
            <w:r>
              <w:rPr>
                <w:rFonts w:ascii="Arial" w:hAnsi="Arial"/>
                <w:b/>
                <w:color w:val="FFFFFF"/>
                <w:sz w:val="17"/>
              </w:rPr>
              <w:t>Tingkat</w:t>
            </w:r>
          </w:p>
        </w:tc>
        <w:tc>
          <w:tcPr>
            <w:tcW w:type="dxa" w:w="2924"/>
            <w:shd w:val="clear" w:color="auto" w:fill="2251FF"/>
            <w:vAlign w:val="center"/>
          </w:tcPr>
          <w:p>
            <w:pPr>
              <w:spacing w:after="20" w:before="20" w:line="252" w:lineRule="auto"/>
            </w:pPr>
            <w:r/>
            <w:r>
              <w:rPr>
                <w:rFonts w:ascii="Arial" w:hAnsi="Arial"/>
                <w:b/>
                <w:color w:val="FFFFFF"/>
                <w:sz w:val="17"/>
              </w:rPr>
              <w:t>Pertanyaan keputusan</w:t>
            </w:r>
          </w:p>
        </w:tc>
        <w:tc>
          <w:tcPr>
            <w:tcW w:type="dxa" w:w="2924"/>
            <w:shd w:val="clear" w:color="auto" w:fill="2251FF"/>
            <w:vAlign w:val="center"/>
          </w:tcPr>
          <w:p>
            <w:pPr>
              <w:spacing w:after="20" w:before="20" w:line="252" w:lineRule="auto"/>
            </w:pPr>
            <w:r/>
            <w:r>
              <w:rPr>
                <w:rFonts w:ascii="Arial" w:hAnsi="Arial"/>
                <w:b/>
                <w:color w:val="FFFFFF"/>
                <w:sz w:val="17"/>
              </w:rPr>
              <w:t>Pemegang peran (usulan)</w:t>
            </w:r>
          </w:p>
        </w:tc>
        <w:tc>
          <w:tcPr>
            <w:tcW w:type="dxa" w:w="2376"/>
            <w:shd w:val="clear" w:color="auto" w:fill="2251FF"/>
            <w:vAlign w:val="center"/>
          </w:tcPr>
          <w:p>
            <w:pPr>
              <w:spacing w:after="20" w:before="20" w:line="252" w:lineRule="auto"/>
            </w:pPr>
            <w:r/>
            <w:r>
              <w:rPr>
                <w:rFonts w:ascii="Arial" w:hAnsi="Arial"/>
                <w:b/>
                <w:color w:val="FFFFFF"/>
                <w:sz w:val="17"/>
              </w:rPr>
              <w:t>Keluaran</w:t>
            </w:r>
          </w:p>
        </w:tc>
      </w:tr>
      <w:tr>
        <w:trPr>
          <w:cantSplit/>
        </w:trPr>
        <w:tc>
          <w:tcPr>
            <w:tcW w:type="dxa" w:w="1188"/>
            <w:vAlign w:val="center"/>
          </w:tcPr>
          <w:p>
            <w:pPr>
              <w:spacing w:after="20" w:before="20" w:line="252" w:lineRule="auto"/>
            </w:pPr>
            <w:r/>
            <w:r>
              <w:rPr>
                <w:rFonts w:ascii="Arial" w:hAnsi="Arial"/>
                <w:b/>
                <w:sz w:val="17"/>
              </w:rPr>
              <w:t>Portofolio</w:t>
            </w:r>
          </w:p>
        </w:tc>
        <w:tc>
          <w:tcPr>
            <w:tcW w:type="dxa" w:w="2924"/>
            <w:vAlign w:val="center"/>
          </w:tcPr>
          <w:p>
            <w:pPr>
              <w:spacing w:after="20" w:before="20" w:line="252" w:lineRule="auto"/>
            </w:pPr>
            <w:r/>
            <w:r>
              <w:rPr>
                <w:rFonts w:ascii="Arial" w:hAnsi="Arial"/>
                <w:b w:val="0"/>
                <w:sz w:val="17"/>
              </w:rPr>
              <w:t>Proyek mana yang masuk, ditunda, atau dihentikan? Berapa modal dan kapasitas yang tersedia?</w:t>
            </w:r>
          </w:p>
        </w:tc>
        <w:tc>
          <w:tcPr>
            <w:tcW w:type="dxa" w:w="2924"/>
            <w:vAlign w:val="center"/>
          </w:tcPr>
          <w:p>
            <w:pPr>
              <w:spacing w:after="20" w:before="20" w:line="252" w:lineRule="auto"/>
            </w:pPr>
            <w:r/>
            <w:r>
              <w:rPr>
                <w:rFonts w:ascii="Arial" w:hAnsi="Arial"/>
                <w:b w:val="0"/>
                <w:sz w:val="17"/>
              </w:rPr>
              <w:t>Kepala Badan Pelaksana; unit Industri Strategis (NITO) menyiapkan; Dewan Pengawas sesuai kewenangan</w:t>
            </w:r>
          </w:p>
        </w:tc>
        <w:tc>
          <w:tcPr>
            <w:tcW w:type="dxa" w:w="2376"/>
            <w:vAlign w:val="center"/>
          </w:tcPr>
          <w:p>
            <w:pPr>
              <w:spacing w:after="20" w:before="20" w:line="252" w:lineRule="auto"/>
            </w:pPr>
            <w:r/>
            <w:r>
              <w:rPr>
                <w:rFonts w:ascii="Arial" w:hAnsi="Arial"/>
                <w:b w:val="0"/>
                <w:sz w:val="17"/>
              </w:rPr>
              <w:t>Prioritas portofolio; register 40 proyek; keputusan gerbang</w:t>
            </w:r>
          </w:p>
        </w:tc>
      </w:tr>
      <w:tr>
        <w:trPr>
          <w:cantSplit/>
        </w:trPr>
        <w:tc>
          <w:tcPr>
            <w:tcW w:type="dxa" w:w="1188"/>
            <w:shd w:val="clear" w:color="auto" w:fill="E6ECFD"/>
            <w:vAlign w:val="center"/>
          </w:tcPr>
          <w:p>
            <w:pPr>
              <w:spacing w:after="20" w:before="20" w:line="252" w:lineRule="auto"/>
            </w:pPr>
            <w:r/>
            <w:r>
              <w:rPr>
                <w:rFonts w:ascii="Arial" w:hAnsi="Arial"/>
                <w:b/>
                <w:sz w:val="17"/>
              </w:rPr>
              <w:t>Program / klaster</w:t>
            </w:r>
          </w:p>
        </w:tc>
        <w:tc>
          <w:tcPr>
            <w:tcW w:type="dxa" w:w="2924"/>
            <w:shd w:val="clear" w:color="auto" w:fill="E6ECFD"/>
            <w:vAlign w:val="center"/>
          </w:tcPr>
          <w:p>
            <w:pPr>
              <w:spacing w:after="20" w:before="20" w:line="252" w:lineRule="auto"/>
            </w:pPr>
            <w:r/>
            <w:r>
              <w:rPr>
                <w:rFonts w:ascii="Arial" w:hAnsi="Arial"/>
                <w:b w:val="0"/>
                <w:sz w:val="17"/>
              </w:rPr>
              <w:t>Apakah paket proyek sebuah klaster (mineral, energi dan infrastruktur, pertahanan dan maritim, manufaktur lain) mencapai manfaat?</w:t>
            </w:r>
          </w:p>
        </w:tc>
        <w:tc>
          <w:tcPr>
            <w:tcW w:type="dxa" w:w="2924"/>
            <w:shd w:val="clear" w:color="auto" w:fill="E6ECFD"/>
            <w:vAlign w:val="center"/>
          </w:tcPr>
          <w:p>
            <w:pPr>
              <w:spacing w:after="20" w:before="20" w:line="252" w:lineRule="auto"/>
            </w:pPr>
            <w:r/>
            <w:r>
              <w:rPr>
                <w:rFonts w:ascii="Arial" w:hAnsi="Arial"/>
                <w:b w:val="0"/>
                <w:sz w:val="17"/>
              </w:rPr>
              <w:t>Pemimpin klaster (empat); MD Pengembangan Industri Strategis</w:t>
            </w:r>
          </w:p>
        </w:tc>
        <w:tc>
          <w:tcPr>
            <w:tcW w:type="dxa" w:w="2376"/>
            <w:shd w:val="clear" w:color="auto" w:fill="E6ECFD"/>
            <w:vAlign w:val="center"/>
          </w:tcPr>
          <w:p>
            <w:pPr>
              <w:spacing w:after="20" w:before="20" w:line="252" w:lineRule="auto"/>
            </w:pPr>
            <w:r/>
            <w:r>
              <w:rPr>
                <w:rFonts w:ascii="Arial" w:hAnsi="Arial"/>
                <w:b w:val="0"/>
                <w:sz w:val="17"/>
              </w:rPr>
              <w:t>Peta jalan klaster; rencana lokalisasi; keterkaitan antarproyek</w:t>
            </w:r>
          </w:p>
        </w:tc>
      </w:tr>
      <w:tr>
        <w:trPr>
          <w:cantSplit/>
        </w:trPr>
        <w:tc>
          <w:tcPr>
            <w:tcW w:type="dxa" w:w="1188"/>
            <w:vAlign w:val="center"/>
          </w:tcPr>
          <w:p>
            <w:pPr>
              <w:spacing w:after="20" w:before="20" w:line="252" w:lineRule="auto"/>
            </w:pPr>
            <w:r/>
            <w:r>
              <w:rPr>
                <w:rFonts w:ascii="Arial" w:hAnsi="Arial"/>
                <w:b/>
                <w:sz w:val="17"/>
              </w:rPr>
              <w:t>Proyek</w:t>
            </w:r>
          </w:p>
        </w:tc>
        <w:tc>
          <w:tcPr>
            <w:tcW w:type="dxa" w:w="2924"/>
            <w:vAlign w:val="center"/>
          </w:tcPr>
          <w:p>
            <w:pPr>
              <w:spacing w:after="20" w:before="20" w:line="252" w:lineRule="auto"/>
            </w:pPr>
            <w:r/>
            <w:r>
              <w:rPr>
                <w:rFonts w:ascii="Arial" w:hAnsi="Arial"/>
                <w:b w:val="0"/>
                <w:sz w:val="17"/>
              </w:rPr>
              <w:t>Apakah proyek dibangun sesuai lingkup, biaya, jadwal, dan mutu?</w:t>
            </w:r>
          </w:p>
        </w:tc>
        <w:tc>
          <w:tcPr>
            <w:tcW w:type="dxa" w:w="2924"/>
            <w:vAlign w:val="center"/>
          </w:tcPr>
          <w:p>
            <w:pPr>
              <w:spacing w:after="20" w:before="20" w:line="252" w:lineRule="auto"/>
            </w:pPr>
            <w:r/>
            <w:r>
              <w:rPr>
                <w:rFonts w:ascii="Arial" w:hAnsi="Arial"/>
                <w:b w:val="0"/>
                <w:sz w:val="17"/>
              </w:rPr>
              <w:t>Project director pada perusahaan pelaksana; sponsor korporasi; MD Rekayasa memberi kajian</w:t>
            </w:r>
          </w:p>
        </w:tc>
        <w:tc>
          <w:tcPr>
            <w:tcW w:type="dxa" w:w="2376"/>
            <w:vAlign w:val="center"/>
          </w:tcPr>
          <w:p>
            <w:pPr>
              <w:spacing w:after="20" w:before="20" w:line="252" w:lineRule="auto"/>
            </w:pPr>
            <w:r/>
            <w:r>
              <w:rPr>
                <w:rFonts w:ascii="Arial" w:hAnsi="Arial"/>
                <w:b w:val="0"/>
                <w:sz w:val="17"/>
              </w:rPr>
              <w:t>Rencana pelaksanaan; laporan kemajuan; permintaan perubahan</w:t>
            </w:r>
          </w:p>
        </w:tc>
      </w:tr>
      <w:tr>
        <w:trPr>
          <w:cantSplit/>
        </w:trPr>
        <w:tc>
          <w:tcPr>
            <w:tcW w:type="dxa" w:w="1188"/>
            <w:shd w:val="clear" w:color="auto" w:fill="E6ECFD"/>
            <w:vAlign w:val="center"/>
          </w:tcPr>
          <w:p>
            <w:pPr>
              <w:spacing w:after="20" w:before="20" w:line="252" w:lineRule="auto"/>
            </w:pPr>
            <w:r/>
            <w:r>
              <w:rPr>
                <w:rFonts w:ascii="Arial" w:hAnsi="Arial"/>
                <w:b/>
                <w:sz w:val="17"/>
              </w:rPr>
              <w:t>Jaminan independen</w:t>
            </w:r>
          </w:p>
        </w:tc>
        <w:tc>
          <w:tcPr>
            <w:tcW w:type="dxa" w:w="2924"/>
            <w:shd w:val="clear" w:color="auto" w:fill="E6ECFD"/>
            <w:vAlign w:val="center"/>
          </w:tcPr>
          <w:p>
            <w:pPr>
              <w:spacing w:after="20" w:before="20" w:line="252" w:lineRule="auto"/>
            </w:pPr>
            <w:r/>
            <w:r>
              <w:rPr>
                <w:rFonts w:ascii="Arial" w:hAnsi="Arial"/>
                <w:b w:val="0"/>
                <w:sz w:val="17"/>
              </w:rPr>
              <w:t>Apakah pengendalian bekerja dan opini risiko tidak ditekan?</w:t>
            </w:r>
          </w:p>
        </w:tc>
        <w:tc>
          <w:tcPr>
            <w:tcW w:type="dxa" w:w="2924"/>
            <w:shd w:val="clear" w:color="auto" w:fill="E6ECFD"/>
            <w:vAlign w:val="center"/>
          </w:tcPr>
          <w:p>
            <w:pPr>
              <w:spacing w:after="20" w:before="20" w:line="252" w:lineRule="auto"/>
            </w:pPr>
            <w:r/>
            <w:r>
              <w:rPr>
                <w:rFonts w:ascii="Arial" w:hAnsi="Arial"/>
                <w:b w:val="0"/>
                <w:sz w:val="17"/>
              </w:rPr>
              <w:t>Fungsi Risiko, Hukum, Audit Internal; tidak melapor kepada pengusul</w:t>
            </w:r>
          </w:p>
        </w:tc>
        <w:tc>
          <w:tcPr>
            <w:tcW w:type="dxa" w:w="2376"/>
            <w:shd w:val="clear" w:color="auto" w:fill="E6ECFD"/>
            <w:vAlign w:val="center"/>
          </w:tcPr>
          <w:p>
            <w:pPr>
              <w:spacing w:after="20" w:before="20" w:line="252" w:lineRule="auto"/>
            </w:pPr>
            <w:r/>
            <w:r>
              <w:rPr>
                <w:rFonts w:ascii="Arial" w:hAnsi="Arial"/>
                <w:b w:val="0"/>
                <w:sz w:val="17"/>
              </w:rPr>
              <w:t>Opini risiko, hasil audit proses, catatan perbedaan pendapat</w:t>
            </w:r>
          </w:p>
        </w:tc>
      </w:tr>
    </w:tbl>
    <w:p>
      <w:pPr>
        <w:spacing w:after="160"/>
      </w:pPr>
      <w:r>
        <w:rPr>
          <w:rFonts w:ascii="Arial" w:hAnsi="Arial"/>
          <w:b w:val="0"/>
          <w:i/>
          <w:color w:val="051C5C"/>
          <w:sz w:val="17"/>
        </w:rPr>
        <w:t>Sumber: [EVAL, Bagian 8–10; K, Bab 13.3–13.5].</w:t>
      </w:r>
    </w:p>
    <w:p>
      <w:pPr>
        <w:pStyle w:val="Heading2"/>
      </w:pPr>
      <w:r>
        <w:t>3.3  Pemisahan peran yang tidak boleh dikompromikan</w:t>
      </w:r>
    </w:p>
    <w:p>
      <w:pPr>
        <w:jc w:val="both"/>
      </w:pPr>
      <w:r>
        <w:rPr>
          <w:rFonts w:ascii="Arial" w:hAnsi="Arial"/>
          <w:b w:val="0"/>
        </w:rPr>
        <w:t xml:space="preserve">Tiga pemisahan menjadi prasyarat tata kelola proyek yang dapat dipercaya. </w:t>
      </w:r>
      <w:r>
        <w:rPr>
          <w:rFonts w:ascii="Arial" w:hAnsi="Arial"/>
          <w:b/>
        </w:rPr>
        <w:t>Pertama</w:t>
      </w:r>
      <w:r>
        <w:rPr>
          <w:rFonts w:ascii="Arial" w:hAnsi="Arial"/>
          <w:b w:val="0"/>
        </w:rPr>
        <w:t xml:space="preserve">, promotor proyek dipisahkan dari penilai risiko, hukum, dan audit; fungsi penilai tidak melapor secara substantif kepada pengusul [EVAL, Bagian 10]. </w:t>
      </w:r>
      <w:r>
        <w:rPr>
          <w:rFonts w:ascii="Arial" w:hAnsi="Arial"/>
          <w:b/>
        </w:rPr>
        <w:t>Kedua</w:t>
      </w:r>
      <w:r>
        <w:rPr>
          <w:rFonts w:ascii="Arial" w:hAnsi="Arial"/>
          <w:b w:val="0"/>
        </w:rPr>
        <w:t xml:space="preserve">, kewenangan tanda tangan dipisahkan dari persetujuan bisnis; penandatangan kontrak dan pemberi otorisasi pembayaran diperiksa secara terpisah [EVAL, Bagian 3, 13]. </w:t>
      </w:r>
      <w:r>
        <w:rPr>
          <w:rFonts w:ascii="Arial" w:hAnsi="Arial"/>
          <w:b/>
        </w:rPr>
        <w:t>Ketiga</w:t>
      </w:r>
      <w:r>
        <w:rPr>
          <w:rFonts w:ascii="Arial" w:hAnsi="Arial"/>
          <w:b w:val="0"/>
        </w:rPr>
        <w:t>, auditor tidak menjadi pemilik investasi atau pelaksana konstruksi yang kelak diaudit [EVAL, Bagian 15]. Kajian juga mencatat bahwa COO, CIO, dan CTO Badan Pelaksana sekaligus memimpin DAM, DIM, dan DDMF, sehingga timbul kapasitas ganda yang harus dikelola melalui dokumen keputusan terpisah dan aturan benturan kepentingan [K, Bab 3.2].</w:t>
      </w:r>
    </w:p>
    <w:p>
      <w:pPr>
        <w:pStyle w:val="Heading2"/>
      </w:pPr>
      <w:r>
        <w:t>3.4  Gerbang tahap (stage gate)</w:t>
      </w:r>
    </w:p>
    <w:p>
      <w:pPr>
        <w:jc w:val="both"/>
      </w:pPr>
      <w:r>
        <w:rPr>
          <w:rFonts w:ascii="Arial" w:hAnsi="Arial"/>
          <w:b w:val="0"/>
        </w:rPr>
        <w:t>Gerbang tahap, yang dipopulerkan Cooper (1990) untuk pengembangan produk dan kemudian dipakai luas pada proyek modal, adalah titik keputusan formal di antara tahap. Setiap gerbang memiliki kriteria masuk yang jelas, keluaran yang diperiksa, pemutus yang berwenang, dan empat kemungkinan keputusan: lanjut, lanjut dengan syarat, tahan atau perbaiki, atau hentikan. Kajian Danantara mendefinisikan gerbang sebagai "keputusan untuk melanjutkan, memperbaiki, menunda atau menghentikan tahap pekerjaan, sesuai kewenangan" dan mengusulkan tujuh gerbang proyek (diberi label P0–P6 untuk menghindari kerancuan dengan gerbang pemasok DOCK-UP) [EVAL, Bagian 11; K, Bab 7.4].</w:t>
      </w:r>
    </w:p>
    <w:p>
      <w:pPr>
        <w:keepNext/>
        <w:spacing w:after="60"/>
      </w:pPr>
      <w:r>
        <w:rPr>
          <w:rFonts w:ascii="Arial" w:hAnsi="Arial"/>
          <w:b/>
          <w:color w:val="051C5C"/>
          <w:sz w:val="19"/>
        </w:rPr>
        <w:t xml:space="preserve">Tabel 7: </w:t>
      </w:r>
      <w:r>
        <w:rPr>
          <w:rFonts w:ascii="Arial" w:hAnsi="Arial"/>
          <w:color w:val="051C5C"/>
          <w:sz w:val="19"/>
        </w:rPr>
        <w:t>Gerbang proyek P0–P6 dan bukti untuk melanjutkan</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1765"/>
            <w:shd w:val="clear" w:color="auto" w:fill="2251FF"/>
            <w:vAlign w:val="center"/>
          </w:tcPr>
          <w:p>
            <w:pPr>
              <w:spacing w:after="20" w:before="20" w:line="252" w:lineRule="auto"/>
            </w:pPr>
            <w:r/>
            <w:r>
              <w:rPr>
                <w:rFonts w:ascii="Arial" w:hAnsi="Arial"/>
                <w:b/>
                <w:color w:val="FFFFFF"/>
                <w:sz w:val="17"/>
              </w:rPr>
              <w:t>Gerbang</w:t>
            </w:r>
          </w:p>
        </w:tc>
        <w:tc>
          <w:tcPr>
            <w:tcW w:type="dxa" w:w="5098"/>
            <w:shd w:val="clear" w:color="auto" w:fill="2251FF"/>
            <w:vAlign w:val="center"/>
          </w:tcPr>
          <w:p>
            <w:pPr>
              <w:spacing w:after="20" w:before="20" w:line="252" w:lineRule="auto"/>
            </w:pPr>
            <w:r/>
            <w:r>
              <w:rPr>
                <w:rFonts w:ascii="Arial" w:hAnsi="Arial"/>
                <w:b/>
                <w:color w:val="FFFFFF"/>
                <w:sz w:val="17"/>
              </w:rPr>
              <w:t>Bukti untuk melanjutkan</w:t>
            </w:r>
          </w:p>
        </w:tc>
        <w:tc>
          <w:tcPr>
            <w:tcW w:type="dxa" w:w="2549"/>
            <w:shd w:val="clear" w:color="auto" w:fill="2251FF"/>
            <w:vAlign w:val="center"/>
          </w:tcPr>
          <w:p>
            <w:pPr>
              <w:spacing w:after="20" w:before="20" w:line="252" w:lineRule="auto"/>
            </w:pPr>
            <w:r/>
            <w:r>
              <w:rPr>
                <w:rFonts w:ascii="Arial" w:hAnsi="Arial"/>
                <w:b/>
                <w:color w:val="FFFFFF"/>
                <w:sz w:val="17"/>
              </w:rPr>
              <w:t>Pemilik keluaran</w:t>
            </w:r>
          </w:p>
        </w:tc>
      </w:tr>
      <w:tr>
        <w:trPr>
          <w:cantSplit/>
        </w:trPr>
        <w:tc>
          <w:tcPr>
            <w:tcW w:type="dxa" w:w="1765"/>
            <w:vAlign w:val="center"/>
          </w:tcPr>
          <w:p>
            <w:pPr>
              <w:spacing w:after="20" w:before="20" w:line="252" w:lineRule="auto"/>
            </w:pPr>
            <w:r/>
            <w:r>
              <w:rPr>
                <w:rFonts w:ascii="Arial" w:hAnsi="Arial"/>
                <w:b/>
                <w:sz w:val="17"/>
              </w:rPr>
              <w:t>P0 Validasi mandat</w:t>
            </w:r>
          </w:p>
        </w:tc>
        <w:tc>
          <w:tcPr>
            <w:tcW w:type="dxa" w:w="5098"/>
            <w:vAlign w:val="center"/>
          </w:tcPr>
          <w:p>
            <w:pPr>
              <w:spacing w:after="20" w:before="20" w:line="252" w:lineRule="auto"/>
            </w:pPr>
            <w:r/>
            <w:r>
              <w:rPr>
                <w:rFonts w:ascii="Arial" w:hAnsi="Arial"/>
                <w:b w:val="0"/>
                <w:sz w:val="17"/>
              </w:rPr>
              <w:t>Identitas proyek, dasar penugasan, sponsor, batas lingkup, data biaya, jalur keputusan</w:t>
            </w:r>
          </w:p>
        </w:tc>
        <w:tc>
          <w:tcPr>
            <w:tcW w:type="dxa" w:w="2549"/>
            <w:vAlign w:val="center"/>
          </w:tcPr>
          <w:p>
            <w:pPr>
              <w:spacing w:after="20" w:before="20" w:line="252" w:lineRule="auto"/>
            </w:pPr>
            <w:r/>
            <w:r>
              <w:rPr>
                <w:rFonts w:ascii="Arial" w:hAnsi="Arial"/>
                <w:b w:val="0"/>
                <w:sz w:val="17"/>
              </w:rPr>
              <w:t>MD Portofolio; sponsor mengonfirmasi data</w:t>
            </w:r>
          </w:p>
        </w:tc>
      </w:tr>
      <w:tr>
        <w:trPr>
          <w:cantSplit/>
        </w:trPr>
        <w:tc>
          <w:tcPr>
            <w:tcW w:type="dxa" w:w="1765"/>
            <w:shd w:val="clear" w:color="auto" w:fill="E6ECFD"/>
            <w:vAlign w:val="center"/>
          </w:tcPr>
          <w:p>
            <w:pPr>
              <w:spacing w:after="20" w:before="20" w:line="252" w:lineRule="auto"/>
            </w:pPr>
            <w:r/>
            <w:r>
              <w:rPr>
                <w:rFonts w:ascii="Arial" w:hAnsi="Arial"/>
                <w:b/>
                <w:sz w:val="17"/>
              </w:rPr>
              <w:t>P1 Prioritas dan opsi</w:t>
            </w:r>
          </w:p>
        </w:tc>
        <w:tc>
          <w:tcPr>
            <w:tcW w:type="dxa" w:w="5098"/>
            <w:shd w:val="clear" w:color="auto" w:fill="E6ECFD"/>
            <w:vAlign w:val="center"/>
          </w:tcPr>
          <w:p>
            <w:pPr>
              <w:spacing w:after="20" w:before="20" w:line="252" w:lineRule="auto"/>
            </w:pPr>
            <w:r/>
            <w:r>
              <w:rPr>
                <w:rFonts w:ascii="Arial" w:hAnsi="Arial"/>
                <w:b w:val="0"/>
                <w:sz w:val="17"/>
              </w:rPr>
              <w:t>Kajian finansial dan kajian dampak nasional; alternatif termasuk tidak membangun; keterkaitan antarproyek; rencana lokalisasi awal</w:t>
            </w:r>
          </w:p>
        </w:tc>
        <w:tc>
          <w:tcPr>
            <w:tcW w:type="dxa" w:w="2549"/>
            <w:shd w:val="clear" w:color="auto" w:fill="E6ECFD"/>
            <w:vAlign w:val="center"/>
          </w:tcPr>
          <w:p>
            <w:pPr>
              <w:spacing w:after="20" w:before="20" w:line="252" w:lineRule="auto"/>
            </w:pPr>
            <w:r/>
            <w:r>
              <w:rPr>
                <w:rFonts w:ascii="Arial" w:hAnsi="Arial"/>
                <w:b w:val="0"/>
                <w:sz w:val="17"/>
              </w:rPr>
              <w:t>MD Pengembangan Industri bersama sponsor</w:t>
            </w:r>
          </w:p>
        </w:tc>
      </w:tr>
      <w:tr>
        <w:trPr>
          <w:cantSplit/>
        </w:trPr>
        <w:tc>
          <w:tcPr>
            <w:tcW w:type="dxa" w:w="1765"/>
            <w:vAlign w:val="center"/>
          </w:tcPr>
          <w:p>
            <w:pPr>
              <w:spacing w:after="20" w:before="20" w:line="252" w:lineRule="auto"/>
            </w:pPr>
            <w:r/>
            <w:r>
              <w:rPr>
                <w:rFonts w:ascii="Arial" w:hAnsi="Arial"/>
                <w:b/>
                <w:sz w:val="17"/>
              </w:rPr>
              <w:t>P2 Kesiapan investasi</w:t>
            </w:r>
          </w:p>
        </w:tc>
        <w:tc>
          <w:tcPr>
            <w:tcW w:type="dxa" w:w="5098"/>
            <w:vAlign w:val="center"/>
          </w:tcPr>
          <w:p>
            <w:pPr>
              <w:spacing w:after="20" w:before="20" w:line="252" w:lineRule="auto"/>
            </w:pPr>
            <w:r/>
            <w:r>
              <w:rPr>
                <w:rFonts w:ascii="Arial" w:hAnsi="Arial"/>
                <w:b w:val="0"/>
                <w:sz w:val="17"/>
              </w:rPr>
              <w:t>Kajian teknis, lahan, perizinan, HKI, lingkungan dan sosial, pasar, offtake, risiko, biaya, sumber modal; peta pemasok dan target gerbang</w:t>
            </w:r>
          </w:p>
        </w:tc>
        <w:tc>
          <w:tcPr>
            <w:tcW w:type="dxa" w:w="2549"/>
            <w:vAlign w:val="center"/>
          </w:tcPr>
          <w:p>
            <w:pPr>
              <w:spacing w:after="20" w:before="20" w:line="252" w:lineRule="auto"/>
            </w:pPr>
            <w:r/>
            <w:r>
              <w:rPr>
                <w:rFonts w:ascii="Arial" w:hAnsi="Arial"/>
                <w:b w:val="0"/>
                <w:sz w:val="17"/>
              </w:rPr>
              <w:t>Sponsor; fungsi teknis, risiko, hukum, dan investor menelaah</w:t>
            </w:r>
          </w:p>
        </w:tc>
      </w:tr>
      <w:tr>
        <w:trPr>
          <w:cantSplit/>
        </w:trPr>
        <w:tc>
          <w:tcPr>
            <w:tcW w:type="dxa" w:w="1765"/>
            <w:shd w:val="clear" w:color="auto" w:fill="E6ECFD"/>
            <w:vAlign w:val="center"/>
          </w:tcPr>
          <w:p>
            <w:pPr>
              <w:spacing w:after="20" w:before="20" w:line="252" w:lineRule="auto"/>
            </w:pPr>
            <w:r/>
            <w:r>
              <w:rPr>
                <w:rFonts w:ascii="Arial" w:hAnsi="Arial"/>
                <w:b/>
                <w:sz w:val="17"/>
              </w:rPr>
              <w:t>P3 Keputusan modal</w:t>
            </w:r>
          </w:p>
        </w:tc>
        <w:tc>
          <w:tcPr>
            <w:tcW w:type="dxa" w:w="5098"/>
            <w:shd w:val="clear" w:color="auto" w:fill="E6ECFD"/>
            <w:vAlign w:val="center"/>
          </w:tcPr>
          <w:p>
            <w:pPr>
              <w:spacing w:after="20" w:before="20" w:line="252" w:lineRule="auto"/>
            </w:pPr>
            <w:r/>
            <w:r>
              <w:rPr>
                <w:rFonts w:ascii="Arial" w:hAnsi="Arial"/>
                <w:b w:val="0"/>
                <w:sz w:val="17"/>
              </w:rPr>
              <w:t>Rekomendasi komite; perbedaan pendapat; benturan kepentingan; persetujuan yang dicadangkan; syarat investasi dan kontrak</w:t>
            </w:r>
          </w:p>
        </w:tc>
        <w:tc>
          <w:tcPr>
            <w:tcW w:type="dxa" w:w="2549"/>
            <w:shd w:val="clear" w:color="auto" w:fill="E6ECFD"/>
            <w:vAlign w:val="center"/>
          </w:tcPr>
          <w:p>
            <w:pPr>
              <w:spacing w:after="20" w:before="20" w:line="252" w:lineRule="auto"/>
            </w:pPr>
            <w:r/>
            <w:r>
              <w:rPr>
                <w:rFonts w:ascii="Arial" w:hAnsi="Arial"/>
                <w:b w:val="0"/>
                <w:sz w:val="17"/>
              </w:rPr>
              <w:t>Kepala (untuk Badan); organ perusahaan (untuk perusahaan)</w:t>
            </w:r>
          </w:p>
        </w:tc>
      </w:tr>
      <w:tr>
        <w:trPr>
          <w:cantSplit/>
        </w:trPr>
        <w:tc>
          <w:tcPr>
            <w:tcW w:type="dxa" w:w="1765"/>
            <w:vAlign w:val="center"/>
          </w:tcPr>
          <w:p>
            <w:pPr>
              <w:spacing w:after="20" w:before="20" w:line="252" w:lineRule="auto"/>
            </w:pPr>
            <w:r/>
            <w:r>
              <w:rPr>
                <w:rFonts w:ascii="Arial" w:hAnsi="Arial"/>
                <w:b/>
                <w:sz w:val="17"/>
              </w:rPr>
              <w:t>P4 Financial close dan konstruksi</w:t>
            </w:r>
          </w:p>
        </w:tc>
        <w:tc>
          <w:tcPr>
            <w:tcW w:type="dxa" w:w="5098"/>
            <w:vAlign w:val="center"/>
          </w:tcPr>
          <w:p>
            <w:pPr>
              <w:spacing w:after="20" w:before="20" w:line="252" w:lineRule="auto"/>
            </w:pPr>
            <w:r/>
            <w:r>
              <w:rPr>
                <w:rFonts w:ascii="Arial" w:hAnsi="Arial"/>
                <w:b w:val="0"/>
                <w:sz w:val="17"/>
              </w:rPr>
              <w:t>Pendanaan mengikat; syarat pendahuluan (CP) terpenuhi; kontrak berlaku efektif; izin; jadwal dasar; pengendalian perubahan</w:t>
            </w:r>
          </w:p>
        </w:tc>
        <w:tc>
          <w:tcPr>
            <w:tcW w:type="dxa" w:w="2549"/>
            <w:vAlign w:val="center"/>
          </w:tcPr>
          <w:p>
            <w:pPr>
              <w:spacing w:after="20" w:before="20" w:line="252" w:lineRule="auto"/>
            </w:pPr>
            <w:r/>
            <w:r>
              <w:rPr>
                <w:rFonts w:ascii="Arial" w:hAnsi="Arial"/>
                <w:b w:val="0"/>
                <w:sz w:val="17"/>
              </w:rPr>
              <w:t>Organ perusahaan pelaksana dan project director</w:t>
            </w:r>
          </w:p>
        </w:tc>
      </w:tr>
      <w:tr>
        <w:trPr>
          <w:cantSplit/>
        </w:trPr>
        <w:tc>
          <w:tcPr>
            <w:tcW w:type="dxa" w:w="1765"/>
            <w:shd w:val="clear" w:color="auto" w:fill="E6ECFD"/>
            <w:vAlign w:val="center"/>
          </w:tcPr>
          <w:p>
            <w:pPr>
              <w:spacing w:after="20" w:before="20" w:line="252" w:lineRule="auto"/>
            </w:pPr>
            <w:r/>
            <w:r>
              <w:rPr>
                <w:rFonts w:ascii="Arial" w:hAnsi="Arial"/>
                <w:b/>
                <w:sz w:val="17"/>
              </w:rPr>
              <w:t>P5 Komisioning dan operasi</w:t>
            </w:r>
          </w:p>
        </w:tc>
        <w:tc>
          <w:tcPr>
            <w:tcW w:type="dxa" w:w="5098"/>
            <w:shd w:val="clear" w:color="auto" w:fill="E6ECFD"/>
            <w:vAlign w:val="center"/>
          </w:tcPr>
          <w:p>
            <w:pPr>
              <w:spacing w:after="20" w:before="20" w:line="252" w:lineRule="auto"/>
            </w:pPr>
            <w:r/>
            <w:r>
              <w:rPr>
                <w:rFonts w:ascii="Arial" w:hAnsi="Arial"/>
                <w:b w:val="0"/>
                <w:sz w:val="17"/>
              </w:rPr>
              <w:t>Uji kinerja, keselamatan, penerimaan aset, operator, kesiapan rantai pasok, sertifikasi</w:t>
            </w:r>
          </w:p>
        </w:tc>
        <w:tc>
          <w:tcPr>
            <w:tcW w:type="dxa" w:w="2549"/>
            <w:shd w:val="clear" w:color="auto" w:fill="E6ECFD"/>
            <w:vAlign w:val="center"/>
          </w:tcPr>
          <w:p>
            <w:pPr>
              <w:spacing w:after="20" w:before="20" w:line="252" w:lineRule="auto"/>
            </w:pPr>
            <w:r/>
            <w:r>
              <w:rPr>
                <w:rFonts w:ascii="Arial" w:hAnsi="Arial"/>
                <w:b w:val="0"/>
                <w:sz w:val="17"/>
              </w:rPr>
              <w:t>Perusahaan pelaksana dengan tim proyek dan operasi</w:t>
            </w:r>
          </w:p>
        </w:tc>
      </w:tr>
      <w:tr>
        <w:trPr>
          <w:cantSplit/>
        </w:trPr>
        <w:tc>
          <w:tcPr>
            <w:tcW w:type="dxa" w:w="1765"/>
            <w:vAlign w:val="center"/>
          </w:tcPr>
          <w:p>
            <w:pPr>
              <w:spacing w:after="20" w:before="20" w:line="252" w:lineRule="auto"/>
            </w:pPr>
            <w:r/>
            <w:r>
              <w:rPr>
                <w:rFonts w:ascii="Arial" w:hAnsi="Arial"/>
                <w:b/>
                <w:sz w:val="17"/>
              </w:rPr>
              <w:t>P6 Evaluasi hasil</w:t>
            </w:r>
          </w:p>
        </w:tc>
        <w:tc>
          <w:tcPr>
            <w:tcW w:type="dxa" w:w="5098"/>
            <w:vAlign w:val="center"/>
          </w:tcPr>
          <w:p>
            <w:pPr>
              <w:spacing w:after="20" w:before="20" w:line="252" w:lineRule="auto"/>
            </w:pPr>
            <w:r/>
            <w:r>
              <w:rPr>
                <w:rFonts w:ascii="Arial" w:hAnsi="Arial"/>
                <w:b w:val="0"/>
                <w:sz w:val="17"/>
              </w:rPr>
              <w:t>Biaya akhir, manfaat aktual, kapasitas, teknologi, emisi; tindakan korektif atau keluar</w:t>
            </w:r>
          </w:p>
        </w:tc>
        <w:tc>
          <w:tcPr>
            <w:tcW w:type="dxa" w:w="2549"/>
            <w:vAlign w:val="center"/>
          </w:tcPr>
          <w:p>
            <w:pPr>
              <w:spacing w:after="20" w:before="20" w:line="252" w:lineRule="auto"/>
            </w:pPr>
            <w:r/>
            <w:r>
              <w:rPr>
                <w:rFonts w:ascii="Arial" w:hAnsi="Arial"/>
                <w:b w:val="0"/>
                <w:sz w:val="17"/>
              </w:rPr>
              <w:t>Sponsor; MD Portofolio mengonsolidasi; audit memberi jaminan</w:t>
            </w:r>
          </w:p>
        </w:tc>
      </w:tr>
    </w:tbl>
    <w:p>
      <w:pPr>
        <w:spacing w:after="160"/>
      </w:pPr>
      <w:r>
        <w:rPr>
          <w:rFonts w:ascii="Arial" w:hAnsi="Arial"/>
          <w:b w:val="0"/>
          <w:i/>
          <w:color w:val="051C5C"/>
          <w:sz w:val="17"/>
        </w:rPr>
        <w:t>Sumber: [EVAL, Bagian 11; K, Bab 7.4]; label P0–P6 adalah pelabelan ulang dalam Kajian dari G0–G6 pada sumber EVAL.</w:t>
      </w:r>
    </w:p>
    <w:p>
      <w:pPr>
        <w:jc w:val="both"/>
      </w:pPr>
      <w:r>
        <w:rPr>
          <w:rFonts w:ascii="Arial" w:hAnsi="Arial"/>
          <w:b w:val="0"/>
        </w:rPr>
        <w:t>Beberapa catatan penting. Langkah koordinasi dapat berjalan paralel; keputusan investasi menunggu bukti dan persetujuan wajib. Keterlambatan dalam penyelesaian hambatan "tidak pernah menimbulkan persetujuan otomatis". Dan gerbang proyek harus terkait dengan gerbang pemasok DOCK-UP (S1–S4) sehingga pesanan dan pembiayaan pemasok mengikuti kesiapan yang sama [K, Bab 7.4].</w:t>
      </w:r>
    </w:p>
    <w:tbl>
      <w:tblPr>
        <w:tblW w:type="auto" w:w="0"/>
        <w:jc w:val="center"/>
        <w:tblLook w:firstColumn="1" w:firstRow="1" w:lastColumn="0" w:lastRow="0" w:noHBand="0" w:noVBand="1" w:val="04A0"/>
      </w:tblPr>
      <w:tblGrid>
        <w:gridCol w:w="9412"/>
      </w:tblGrid>
      <w:tr>
        <w:tc>
          <w:tcPr>
            <w:tcW w:type="dxa" w:w="9412"/>
            <w:tcBorders>
              <w:left w:val="single" w:sz="36" w:color="2251FF"/>
            </w:tcBorders>
            <w:shd w:val="clear" w:color="auto" w:fill="E6ECFD"/>
          </w:tcPr>
          <w:p>
            <w:pPr>
              <w:spacing w:after="40"/>
            </w:pPr>
            <w:r/>
            <w:r>
              <w:rPr>
                <w:rFonts w:ascii="Arial" w:hAnsi="Arial"/>
                <w:b/>
                <w:color w:val="051C5C"/>
                <w:sz w:val="21"/>
              </w:rPr>
              <w:t>Standar waktu penyelesaian hambatan (usulan)</w:t>
            </w:r>
          </w:p>
          <w:p>
            <w:pPr>
              <w:spacing w:after="40"/>
            </w:pPr>
            <w:r>
              <w:rPr>
                <w:rFonts w:ascii="Arial" w:hAnsi="Arial"/>
                <w:b w:val="0"/>
                <w:sz w:val="20"/>
              </w:rPr>
              <w:t>Triase dalam 2 hari kerja; rencana penanganan dalam 5 hari; kajian lengkap dalam 15 hari sejak dokumen lengkap; masalah lintas arm yang belum selesai dalam 10 hari dieskalasi kepada Kepala. Angka ini target internal, bukan tenggat hukum. Laporan harus memisahkan waktu kajian aktif dari waktu menunggu sponsor, vendor, regulator, atau pemberi dana [EVAL, Bagian 11].</w:t>
            </w:r>
          </w:p>
        </w:tc>
      </w:tr>
    </w:tbl>
    <w:p>
      <w:pPr>
        <w:spacing w:after="40"/>
      </w:pPr>
    </w:p>
    <w:p>
      <w:pPr>
        <w:pStyle w:val="Heading2"/>
      </w:pPr>
      <w:r>
        <w:t>3.5  Kantor manajemen proyek: dari konsep NITO ke PMO yang bekerja</w:t>
      </w:r>
    </w:p>
    <w:p>
      <w:pPr>
        <w:jc w:val="both"/>
      </w:pPr>
      <w:r>
        <w:rPr>
          <w:rFonts w:ascii="Arial" w:hAnsi="Arial"/>
          <w:b w:val="0"/>
        </w:rPr>
        <w:t>Kantor Manajemen Proyek (Project Management Office, PMO) dapat berperan sebagai pendukung (menyediakan templat dan pelatihan), pengendali (memastikan kepatuhan pada metode), atau pengarah (mengelola proyek secara langsung). Infografik platform mengusulkan Danantara National Industrial Transformation Office (NITO) dengan delapan fungsi: strategi dan peta jalan industri, pengembangan proyek (pre-FEED, FEED, FID), teknologi dan HKI, pengembangan rantai pasok, integrasi permintaan BUMN, pembiayaan industri, kantor kinerja, dan asurans independen [PLAT, hlm. 2]. Kajian menerapkannya sebagai unit Industri Strategis dan Pelaksanaan Proyek pada Badan Pelaksana (Opsi B), tanpa kewenangan persetujuan umum, dengan tiga Managing Director dan empat pemimpin klaster, pada awalnya melalui penugasan [K, Bab 13].</w:t>
      </w:r>
    </w:p>
    <w:p>
      <w:pPr>
        <w:keepNext/>
        <w:spacing w:after="60"/>
      </w:pPr>
      <w:r>
        <w:rPr>
          <w:rFonts w:ascii="Arial" w:hAnsi="Arial"/>
          <w:b/>
          <w:color w:val="051C5C"/>
          <w:sz w:val="19"/>
        </w:rPr>
        <w:t xml:space="preserve">Tabel 8: </w:t>
      </w:r>
      <w:r>
        <w:rPr>
          <w:rFonts w:ascii="Arial" w:hAnsi="Arial"/>
          <w:color w:val="051C5C"/>
          <w:sz w:val="19"/>
        </w:rPr>
        <w:t>Fungsi NITO menurut tiga model PMO</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1882"/>
        <w:gridCol w:w="1882"/>
        <w:gridCol w:w="1882"/>
        <w:gridCol w:w="1882"/>
        <w:gridCol w:w="1882"/>
      </w:tblGrid>
      <w:tr>
        <w:trPr>
          <w:cantSplit/>
          <w:tblHeader/>
        </w:trPr>
        <w:tc>
          <w:tcPr>
            <w:tcW w:type="dxa" w:w="3105"/>
            <w:shd w:val="clear" w:color="auto" w:fill="2251FF"/>
            <w:vAlign w:val="center"/>
          </w:tcPr>
          <w:p>
            <w:pPr>
              <w:spacing w:after="20" w:before="20" w:line="252" w:lineRule="auto"/>
            </w:pPr>
            <w:r/>
            <w:r>
              <w:rPr>
                <w:rFonts w:ascii="Arial" w:hAnsi="Arial"/>
                <w:b/>
                <w:color w:val="FFFFFF"/>
                <w:sz w:val="17"/>
              </w:rPr>
              <w:t>Fungsi</w:t>
            </w:r>
          </w:p>
        </w:tc>
        <w:tc>
          <w:tcPr>
            <w:tcW w:type="dxa" w:w="1261"/>
            <w:shd w:val="clear" w:color="auto" w:fill="2251FF"/>
            <w:vAlign w:val="center"/>
          </w:tcPr>
          <w:p>
            <w:pPr>
              <w:spacing w:after="20" w:before="20" w:line="252" w:lineRule="auto"/>
            </w:pPr>
            <w:r/>
            <w:r>
              <w:rPr>
                <w:rFonts w:ascii="Arial" w:hAnsi="Arial"/>
                <w:b/>
                <w:color w:val="FFFFFF"/>
                <w:sz w:val="17"/>
              </w:rPr>
              <w:t>PMO pendukung</w:t>
            </w:r>
          </w:p>
        </w:tc>
        <w:tc>
          <w:tcPr>
            <w:tcW w:type="dxa" w:w="1358"/>
            <w:shd w:val="clear" w:color="auto" w:fill="2251FF"/>
            <w:vAlign w:val="center"/>
          </w:tcPr>
          <w:p>
            <w:pPr>
              <w:spacing w:after="20" w:before="20" w:line="252" w:lineRule="auto"/>
            </w:pPr>
            <w:r/>
            <w:r>
              <w:rPr>
                <w:rFonts w:ascii="Arial" w:hAnsi="Arial"/>
                <w:b/>
                <w:color w:val="FFFFFF"/>
                <w:sz w:val="17"/>
              </w:rPr>
              <w:t>PMO pengendali</w:t>
            </w:r>
          </w:p>
        </w:tc>
        <w:tc>
          <w:tcPr>
            <w:tcW w:type="dxa" w:w="1067"/>
            <w:shd w:val="clear" w:color="auto" w:fill="2251FF"/>
            <w:vAlign w:val="center"/>
          </w:tcPr>
          <w:p>
            <w:pPr>
              <w:spacing w:after="20" w:before="20" w:line="252" w:lineRule="auto"/>
            </w:pPr>
            <w:r/>
            <w:r>
              <w:rPr>
                <w:rFonts w:ascii="Arial" w:hAnsi="Arial"/>
                <w:b/>
                <w:color w:val="FFFFFF"/>
                <w:sz w:val="17"/>
              </w:rPr>
              <w:t>Pengarah</w:t>
            </w:r>
          </w:p>
        </w:tc>
        <w:tc>
          <w:tcPr>
            <w:tcW w:type="dxa" w:w="2620"/>
            <w:shd w:val="clear" w:color="auto" w:fill="2251FF"/>
            <w:vAlign w:val="center"/>
          </w:tcPr>
          <w:p>
            <w:pPr>
              <w:spacing w:after="20" w:before="20" w:line="252" w:lineRule="auto"/>
            </w:pPr>
            <w:r/>
            <w:r>
              <w:rPr>
                <w:rFonts w:ascii="Arial" w:hAnsi="Arial"/>
                <w:b/>
                <w:color w:val="FFFFFF"/>
                <w:sz w:val="17"/>
              </w:rPr>
              <w:t>Penempatan yang diusulkan</w:t>
            </w:r>
          </w:p>
        </w:tc>
      </w:tr>
      <w:tr>
        <w:trPr>
          <w:cantSplit/>
        </w:trPr>
        <w:tc>
          <w:tcPr>
            <w:tcW w:type="dxa" w:w="3105"/>
            <w:vAlign w:val="center"/>
          </w:tcPr>
          <w:p>
            <w:pPr>
              <w:spacing w:after="20" w:before="20" w:line="252" w:lineRule="auto"/>
            </w:pPr>
            <w:r/>
            <w:r>
              <w:rPr>
                <w:rFonts w:ascii="Arial" w:hAnsi="Arial"/>
                <w:b/>
                <w:sz w:val="17"/>
              </w:rPr>
              <w:t>Register 40 proyek dan jadwal terpadu</w:t>
            </w:r>
          </w:p>
        </w:tc>
        <w:tc>
          <w:tcPr>
            <w:tcW w:type="dxa" w:w="1261"/>
            <w:vAlign w:val="center"/>
          </w:tcPr>
          <w:p>
            <w:pPr>
              <w:spacing w:after="20" w:before="20" w:line="252" w:lineRule="auto"/>
            </w:pPr>
            <w:r/>
            <w:r>
              <w:rPr>
                <w:rFonts w:ascii="Arial" w:hAnsi="Arial"/>
                <w:b w:val="0"/>
                <w:sz w:val="17"/>
              </w:rPr>
              <w:t>—</w:t>
            </w:r>
          </w:p>
        </w:tc>
        <w:tc>
          <w:tcPr>
            <w:tcW w:type="dxa" w:w="1358"/>
            <w:vAlign w:val="center"/>
          </w:tcPr>
          <w:p>
            <w:pPr>
              <w:spacing w:after="20" w:before="20" w:line="252" w:lineRule="auto"/>
            </w:pPr>
            <w:r/>
            <w:r>
              <w:rPr>
                <w:rFonts w:ascii="Arial" w:hAnsi="Arial"/>
                <w:b w:val="0"/>
                <w:sz w:val="17"/>
              </w:rPr>
              <w:t>Utama</w:t>
            </w:r>
          </w:p>
        </w:tc>
        <w:tc>
          <w:tcPr>
            <w:tcW w:type="dxa" w:w="1067"/>
            <w:vAlign w:val="center"/>
          </w:tcPr>
          <w:p>
            <w:pPr>
              <w:spacing w:after="20" w:before="20" w:line="252" w:lineRule="auto"/>
            </w:pPr>
            <w:r/>
            <w:r>
              <w:rPr>
                <w:rFonts w:ascii="Arial" w:hAnsi="Arial"/>
                <w:b w:val="0"/>
                <w:sz w:val="17"/>
              </w:rPr>
              <w:t>—</w:t>
            </w:r>
          </w:p>
        </w:tc>
        <w:tc>
          <w:tcPr>
            <w:tcW w:type="dxa" w:w="2620"/>
            <w:vAlign w:val="center"/>
          </w:tcPr>
          <w:p>
            <w:pPr>
              <w:spacing w:after="20" w:before="20" w:line="252" w:lineRule="auto"/>
            </w:pPr>
            <w:r/>
            <w:r>
              <w:rPr>
                <w:rFonts w:ascii="Arial" w:hAnsi="Arial"/>
                <w:b w:val="0"/>
                <w:sz w:val="17"/>
              </w:rPr>
              <w:t>MD Portofolio dan Pelaksanaan Proyek</w:t>
            </w:r>
          </w:p>
        </w:tc>
      </w:tr>
      <w:tr>
        <w:trPr>
          <w:cantSplit/>
        </w:trPr>
        <w:tc>
          <w:tcPr>
            <w:tcW w:type="dxa" w:w="3105"/>
            <w:shd w:val="clear" w:color="auto" w:fill="E6ECFD"/>
            <w:vAlign w:val="center"/>
          </w:tcPr>
          <w:p>
            <w:pPr>
              <w:spacing w:after="20" w:before="20" w:line="252" w:lineRule="auto"/>
            </w:pPr>
            <w:r/>
            <w:r>
              <w:rPr>
                <w:rFonts w:ascii="Arial" w:hAnsi="Arial"/>
                <w:b/>
                <w:sz w:val="17"/>
              </w:rPr>
              <w:t>Penyelesaian hambatan lintas lini</w:t>
            </w:r>
          </w:p>
        </w:tc>
        <w:tc>
          <w:tcPr>
            <w:tcW w:type="dxa" w:w="1261"/>
            <w:shd w:val="clear" w:color="auto" w:fill="E6ECFD"/>
            <w:vAlign w:val="center"/>
          </w:tcPr>
          <w:p>
            <w:pPr>
              <w:spacing w:after="20" w:before="20" w:line="252" w:lineRule="auto"/>
            </w:pPr>
            <w:r/>
            <w:r>
              <w:rPr>
                <w:rFonts w:ascii="Arial" w:hAnsi="Arial"/>
                <w:b w:val="0"/>
                <w:sz w:val="17"/>
              </w:rPr>
              <w:t>—</w:t>
            </w:r>
          </w:p>
        </w:tc>
        <w:tc>
          <w:tcPr>
            <w:tcW w:type="dxa" w:w="1358"/>
            <w:shd w:val="clear" w:color="auto" w:fill="E6ECFD"/>
            <w:vAlign w:val="center"/>
          </w:tcPr>
          <w:p>
            <w:pPr>
              <w:spacing w:after="20" w:before="20" w:line="252" w:lineRule="auto"/>
            </w:pPr>
            <w:r/>
            <w:r>
              <w:rPr>
                <w:rFonts w:ascii="Arial" w:hAnsi="Arial"/>
                <w:b w:val="0"/>
                <w:sz w:val="17"/>
              </w:rPr>
              <w:t>Utama</w:t>
            </w:r>
          </w:p>
        </w:tc>
        <w:tc>
          <w:tcPr>
            <w:tcW w:type="dxa" w:w="1067"/>
            <w:shd w:val="clear" w:color="auto" w:fill="E6ECFD"/>
            <w:vAlign w:val="center"/>
          </w:tcPr>
          <w:p>
            <w:pPr>
              <w:spacing w:after="20" w:before="20" w:line="252" w:lineRule="auto"/>
            </w:pPr>
            <w:r/>
            <w:r>
              <w:rPr>
                <w:rFonts w:ascii="Arial" w:hAnsi="Arial"/>
                <w:b w:val="0"/>
                <w:sz w:val="17"/>
              </w:rPr>
              <w:t>Terbatas</w:t>
            </w:r>
          </w:p>
        </w:tc>
        <w:tc>
          <w:tcPr>
            <w:tcW w:type="dxa" w:w="2620"/>
            <w:shd w:val="clear" w:color="auto" w:fill="E6ECFD"/>
            <w:vAlign w:val="center"/>
          </w:tcPr>
          <w:p>
            <w:pPr>
              <w:spacing w:after="20" w:before="20" w:line="252" w:lineRule="auto"/>
            </w:pPr>
            <w:r/>
            <w:r>
              <w:rPr>
                <w:rFonts w:ascii="Arial" w:hAnsi="Arial"/>
                <w:b w:val="0"/>
                <w:sz w:val="17"/>
              </w:rPr>
              <w:t>Kepala unit; eskalasi ke Kepala</w:t>
            </w:r>
          </w:p>
        </w:tc>
      </w:tr>
      <w:tr>
        <w:trPr>
          <w:cantSplit/>
        </w:trPr>
        <w:tc>
          <w:tcPr>
            <w:tcW w:type="dxa" w:w="3105"/>
            <w:vAlign w:val="center"/>
          </w:tcPr>
          <w:p>
            <w:pPr>
              <w:spacing w:after="20" w:before="20" w:line="252" w:lineRule="auto"/>
            </w:pPr>
            <w:r/>
            <w:r>
              <w:rPr>
                <w:rFonts w:ascii="Arial" w:hAnsi="Arial"/>
                <w:b/>
                <w:sz w:val="17"/>
              </w:rPr>
              <w:t>Kajian kesiapan rekayasa, kontrak, komisioning</w:t>
            </w:r>
          </w:p>
        </w:tc>
        <w:tc>
          <w:tcPr>
            <w:tcW w:type="dxa" w:w="1261"/>
            <w:vAlign w:val="center"/>
          </w:tcPr>
          <w:p>
            <w:pPr>
              <w:spacing w:after="20" w:before="20" w:line="252" w:lineRule="auto"/>
            </w:pPr>
            <w:r/>
            <w:r>
              <w:rPr>
                <w:rFonts w:ascii="Arial" w:hAnsi="Arial"/>
                <w:b w:val="0"/>
                <w:sz w:val="17"/>
              </w:rPr>
              <w:t>Utama</w:t>
            </w:r>
          </w:p>
        </w:tc>
        <w:tc>
          <w:tcPr>
            <w:tcW w:type="dxa" w:w="1358"/>
            <w:vAlign w:val="center"/>
          </w:tcPr>
          <w:p>
            <w:pPr>
              <w:spacing w:after="20" w:before="20" w:line="252" w:lineRule="auto"/>
            </w:pPr>
            <w:r/>
            <w:r>
              <w:rPr>
                <w:rFonts w:ascii="Arial" w:hAnsi="Arial"/>
                <w:b w:val="0"/>
                <w:sz w:val="17"/>
              </w:rPr>
              <w:t>Pendukung</w:t>
            </w:r>
          </w:p>
        </w:tc>
        <w:tc>
          <w:tcPr>
            <w:tcW w:type="dxa" w:w="1067"/>
            <w:vAlign w:val="center"/>
          </w:tcPr>
          <w:p>
            <w:pPr>
              <w:spacing w:after="20" w:before="20" w:line="252" w:lineRule="auto"/>
            </w:pPr>
            <w:r/>
            <w:r>
              <w:rPr>
                <w:rFonts w:ascii="Arial" w:hAnsi="Arial"/>
                <w:b w:val="0"/>
                <w:sz w:val="17"/>
              </w:rPr>
              <w:t>—</w:t>
            </w:r>
          </w:p>
        </w:tc>
        <w:tc>
          <w:tcPr>
            <w:tcW w:type="dxa" w:w="2620"/>
            <w:vAlign w:val="center"/>
          </w:tcPr>
          <w:p>
            <w:pPr>
              <w:spacing w:after="20" w:before="20" w:line="252" w:lineRule="auto"/>
            </w:pPr>
            <w:r/>
            <w:r>
              <w:rPr>
                <w:rFonts w:ascii="Arial" w:hAnsi="Arial"/>
                <w:b w:val="0"/>
                <w:sz w:val="17"/>
              </w:rPr>
              <w:t>MD Rekayasa dan Pelaksanaan</w:t>
            </w:r>
          </w:p>
        </w:tc>
      </w:tr>
      <w:tr>
        <w:trPr>
          <w:cantSplit/>
        </w:trPr>
        <w:tc>
          <w:tcPr>
            <w:tcW w:type="dxa" w:w="3105"/>
            <w:shd w:val="clear" w:color="auto" w:fill="E6ECFD"/>
            <w:vAlign w:val="center"/>
          </w:tcPr>
          <w:p>
            <w:pPr>
              <w:spacing w:after="20" w:before="20" w:line="252" w:lineRule="auto"/>
            </w:pPr>
            <w:r/>
            <w:r>
              <w:rPr>
                <w:rFonts w:ascii="Arial" w:hAnsi="Arial"/>
                <w:b/>
                <w:sz w:val="17"/>
              </w:rPr>
              <w:t>Kantor DOCK-UP dan register kesiapan</w:t>
            </w:r>
          </w:p>
        </w:tc>
        <w:tc>
          <w:tcPr>
            <w:tcW w:type="dxa" w:w="1261"/>
            <w:shd w:val="clear" w:color="auto" w:fill="E6ECFD"/>
            <w:vAlign w:val="center"/>
          </w:tcPr>
          <w:p>
            <w:pPr>
              <w:spacing w:after="20" w:before="20" w:line="252" w:lineRule="auto"/>
            </w:pPr>
            <w:r/>
            <w:r>
              <w:rPr>
                <w:rFonts w:ascii="Arial" w:hAnsi="Arial"/>
                <w:b w:val="0"/>
                <w:sz w:val="17"/>
              </w:rPr>
              <w:t>—</w:t>
            </w:r>
          </w:p>
        </w:tc>
        <w:tc>
          <w:tcPr>
            <w:tcW w:type="dxa" w:w="1358"/>
            <w:shd w:val="clear" w:color="auto" w:fill="E6ECFD"/>
            <w:vAlign w:val="center"/>
          </w:tcPr>
          <w:p>
            <w:pPr>
              <w:spacing w:after="20" w:before="20" w:line="252" w:lineRule="auto"/>
            </w:pPr>
            <w:r/>
            <w:r>
              <w:rPr>
                <w:rFonts w:ascii="Arial" w:hAnsi="Arial"/>
                <w:b w:val="0"/>
                <w:sz w:val="17"/>
              </w:rPr>
              <w:t>—</w:t>
            </w:r>
          </w:p>
        </w:tc>
        <w:tc>
          <w:tcPr>
            <w:tcW w:type="dxa" w:w="1067"/>
            <w:shd w:val="clear" w:color="auto" w:fill="E6ECFD"/>
            <w:vAlign w:val="center"/>
          </w:tcPr>
          <w:p>
            <w:pPr>
              <w:spacing w:after="20" w:before="20" w:line="252" w:lineRule="auto"/>
            </w:pPr>
            <w:r/>
            <w:r>
              <w:rPr>
                <w:rFonts w:ascii="Arial" w:hAnsi="Arial"/>
                <w:b w:val="0"/>
                <w:sz w:val="17"/>
              </w:rPr>
              <w:t>Utama</w:t>
            </w:r>
          </w:p>
        </w:tc>
        <w:tc>
          <w:tcPr>
            <w:tcW w:type="dxa" w:w="2620"/>
            <w:shd w:val="clear" w:color="auto" w:fill="E6ECFD"/>
            <w:vAlign w:val="center"/>
          </w:tcPr>
          <w:p>
            <w:pPr>
              <w:spacing w:after="20" w:before="20" w:line="252" w:lineRule="auto"/>
            </w:pPr>
            <w:r/>
            <w:r>
              <w:rPr>
                <w:rFonts w:ascii="Arial" w:hAnsi="Arial"/>
                <w:b w:val="0"/>
                <w:sz w:val="17"/>
              </w:rPr>
              <w:t>MD Pengembangan Industri Strategis</w:t>
            </w:r>
          </w:p>
        </w:tc>
      </w:tr>
      <w:tr>
        <w:trPr>
          <w:cantSplit/>
        </w:trPr>
        <w:tc>
          <w:tcPr>
            <w:tcW w:type="dxa" w:w="3105"/>
            <w:vAlign w:val="center"/>
          </w:tcPr>
          <w:p>
            <w:pPr>
              <w:spacing w:after="20" w:before="20" w:line="252" w:lineRule="auto"/>
            </w:pPr>
            <w:r/>
            <w:r>
              <w:rPr>
                <w:rFonts w:ascii="Arial" w:hAnsi="Arial"/>
                <w:b/>
                <w:sz w:val="17"/>
              </w:rPr>
              <w:t>Kantor kinerja (scorecard, manfaat)</w:t>
            </w:r>
          </w:p>
        </w:tc>
        <w:tc>
          <w:tcPr>
            <w:tcW w:type="dxa" w:w="1261"/>
            <w:vAlign w:val="center"/>
          </w:tcPr>
          <w:p>
            <w:pPr>
              <w:spacing w:after="20" w:before="20" w:line="252" w:lineRule="auto"/>
            </w:pPr>
            <w:r/>
            <w:r>
              <w:rPr>
                <w:rFonts w:ascii="Arial" w:hAnsi="Arial"/>
                <w:b w:val="0"/>
                <w:sz w:val="17"/>
              </w:rPr>
              <w:t>—</w:t>
            </w:r>
          </w:p>
        </w:tc>
        <w:tc>
          <w:tcPr>
            <w:tcW w:type="dxa" w:w="1358"/>
            <w:vAlign w:val="center"/>
          </w:tcPr>
          <w:p>
            <w:pPr>
              <w:spacing w:after="20" w:before="20" w:line="252" w:lineRule="auto"/>
            </w:pPr>
            <w:r/>
            <w:r>
              <w:rPr>
                <w:rFonts w:ascii="Arial" w:hAnsi="Arial"/>
                <w:b w:val="0"/>
                <w:sz w:val="17"/>
              </w:rPr>
              <w:t>Utama</w:t>
            </w:r>
          </w:p>
        </w:tc>
        <w:tc>
          <w:tcPr>
            <w:tcW w:type="dxa" w:w="1067"/>
            <w:vAlign w:val="center"/>
          </w:tcPr>
          <w:p>
            <w:pPr>
              <w:spacing w:after="20" w:before="20" w:line="252" w:lineRule="auto"/>
            </w:pPr>
            <w:r/>
            <w:r>
              <w:rPr>
                <w:rFonts w:ascii="Arial" w:hAnsi="Arial"/>
                <w:b w:val="0"/>
                <w:sz w:val="17"/>
              </w:rPr>
              <w:t>—</w:t>
            </w:r>
          </w:p>
        </w:tc>
        <w:tc>
          <w:tcPr>
            <w:tcW w:type="dxa" w:w="2620"/>
            <w:vAlign w:val="center"/>
          </w:tcPr>
          <w:p>
            <w:pPr>
              <w:spacing w:after="20" w:before="20" w:line="252" w:lineRule="auto"/>
            </w:pPr>
            <w:r/>
            <w:r>
              <w:rPr>
                <w:rFonts w:ascii="Arial" w:hAnsi="Arial"/>
                <w:b w:val="0"/>
                <w:sz w:val="17"/>
              </w:rPr>
              <w:t>MD Portofolio</w:t>
            </w:r>
          </w:p>
        </w:tc>
      </w:tr>
      <w:tr>
        <w:trPr>
          <w:cantSplit/>
        </w:trPr>
        <w:tc>
          <w:tcPr>
            <w:tcW w:type="dxa" w:w="3105"/>
            <w:shd w:val="clear" w:color="auto" w:fill="E6ECFD"/>
            <w:vAlign w:val="center"/>
          </w:tcPr>
          <w:p>
            <w:pPr>
              <w:spacing w:after="20" w:before="20" w:line="252" w:lineRule="auto"/>
            </w:pPr>
            <w:r/>
            <w:r>
              <w:rPr>
                <w:rFonts w:ascii="Arial" w:hAnsi="Arial"/>
                <w:b/>
                <w:sz w:val="17"/>
              </w:rPr>
              <w:t>Asurans independen</w:t>
            </w:r>
          </w:p>
        </w:tc>
        <w:tc>
          <w:tcPr>
            <w:tcW w:type="dxa" w:w="1261"/>
            <w:shd w:val="clear" w:color="auto" w:fill="E6ECFD"/>
            <w:vAlign w:val="center"/>
          </w:tcPr>
          <w:p>
            <w:pPr>
              <w:spacing w:after="20" w:before="20" w:line="252" w:lineRule="auto"/>
            </w:pPr>
            <w:r/>
            <w:r>
              <w:rPr>
                <w:rFonts w:ascii="Arial" w:hAnsi="Arial"/>
                <w:b w:val="0"/>
                <w:sz w:val="17"/>
              </w:rPr>
              <w:t>—</w:t>
            </w:r>
          </w:p>
        </w:tc>
        <w:tc>
          <w:tcPr>
            <w:tcW w:type="dxa" w:w="1358"/>
            <w:shd w:val="clear" w:color="auto" w:fill="E6ECFD"/>
            <w:vAlign w:val="center"/>
          </w:tcPr>
          <w:p>
            <w:pPr>
              <w:spacing w:after="20" w:before="20" w:line="252" w:lineRule="auto"/>
            </w:pPr>
            <w:r/>
            <w:r>
              <w:rPr>
                <w:rFonts w:ascii="Arial" w:hAnsi="Arial"/>
                <w:b w:val="0"/>
                <w:sz w:val="17"/>
              </w:rPr>
              <w:t>—</w:t>
            </w:r>
          </w:p>
        </w:tc>
        <w:tc>
          <w:tcPr>
            <w:tcW w:type="dxa" w:w="1067"/>
            <w:shd w:val="clear" w:color="auto" w:fill="E6ECFD"/>
            <w:vAlign w:val="center"/>
          </w:tcPr>
          <w:p>
            <w:pPr>
              <w:spacing w:after="20" w:before="20" w:line="252" w:lineRule="auto"/>
            </w:pPr>
            <w:r/>
            <w:r>
              <w:rPr>
                <w:rFonts w:ascii="Arial" w:hAnsi="Arial"/>
                <w:b w:val="0"/>
                <w:sz w:val="17"/>
              </w:rPr>
              <w:t>—</w:t>
            </w:r>
          </w:p>
        </w:tc>
        <w:tc>
          <w:tcPr>
            <w:tcW w:type="dxa" w:w="2620"/>
            <w:shd w:val="clear" w:color="auto" w:fill="E6ECFD"/>
            <w:vAlign w:val="center"/>
          </w:tcPr>
          <w:p>
            <w:pPr>
              <w:spacing w:after="20" w:before="20" w:line="252" w:lineRule="auto"/>
            </w:pPr>
            <w:r/>
            <w:r>
              <w:rPr>
                <w:rFonts w:ascii="Arial" w:hAnsi="Arial"/>
                <w:b w:val="0"/>
                <w:sz w:val="17"/>
              </w:rPr>
              <w:t>Di luar unit: Risiko, Hukum, Audit Internal</w:t>
            </w:r>
          </w:p>
        </w:tc>
      </w:tr>
    </w:tbl>
    <w:p>
      <w:pPr>
        <w:spacing w:after="160"/>
      </w:pPr>
      <w:r>
        <w:rPr>
          <w:rFonts w:ascii="Arial" w:hAnsi="Arial"/>
          <w:b w:val="0"/>
          <w:i/>
          <w:color w:val="051C5C"/>
          <w:sz w:val="17"/>
        </w:rPr>
        <w:t>Sumber: klasifikasi model PMO dari PMI (2021, domain tata kelola); isi dari [EVAL, Bagian 8–10]. Pemetaan ke model adalah analisis penulis.</w:t>
      </w:r>
    </w:p>
    <w:tbl>
      <w:tblPr>
        <w:tblW w:type="auto" w:w="0"/>
        <w:jc w:val="center"/>
        <w:tblLook w:firstColumn="1" w:firstRow="1" w:lastColumn="0" w:lastRow="0" w:noHBand="0" w:noVBand="1" w:val="04A0"/>
      </w:tblPr>
      <w:tblGrid>
        <w:gridCol w:w="9412"/>
      </w:tblGrid>
      <w:tr>
        <w:tc>
          <w:tcPr>
            <w:tcW w:type="dxa" w:w="9412"/>
            <w:tcBorders>
              <w:left w:val="single" w:sz="36" w:color="2251FF"/>
            </w:tcBorders>
            <w:shd w:val="clear" w:color="auto" w:fill="E6ECFD"/>
          </w:tcPr>
          <w:p>
            <w:pPr>
              <w:spacing w:after="40"/>
            </w:pPr>
            <w:r/>
            <w:r>
              <w:rPr>
                <w:rFonts w:ascii="Arial" w:hAnsi="Arial"/>
                <w:b/>
                <w:color w:val="051C5C"/>
                <w:sz w:val="21"/>
              </w:rPr>
              <w:t>Aturan kapasitas</w:t>
            </w:r>
          </w:p>
          <w:p>
            <w:pPr>
              <w:spacing w:after="40"/>
            </w:pPr>
            <w:r>
              <w:rPr>
                <w:rFonts w:ascii="Arial" w:hAnsi="Arial"/>
                <w:b w:val="0"/>
                <w:sz w:val="20"/>
              </w:rPr>
              <w:t>"Jangan menugaskan satu pimpinan mengelola langsung 40 proyek sebagai pelaksana harian." Jumlah staf mengikuti jumlah dan tahap proyek aktif, dan kapasitas kontrak, rekayasa, model finansial, hukum, serta komisioning harus diuji sebelum menambah jabatan [EVAL, Bagian 9].</w:t>
            </w:r>
          </w:p>
        </w:tc>
      </w:tr>
    </w:tbl>
    <w:p>
      <w:pPr>
        <w:spacing w:after="40"/>
      </w:pPr>
    </w:p>
    <w:p>
      <w:pPr>
        <w:pStyle w:val="Heading2"/>
      </w:pPr>
      <w:r>
        <w:t>3.6  Hak keputusan dan RASCI</w:t>
      </w:r>
    </w:p>
    <w:p>
      <w:pPr>
        <w:jc w:val="both"/>
      </w:pPr>
      <w:r>
        <w:rPr>
          <w:rFonts w:ascii="Arial" w:hAnsi="Arial"/>
          <w:b w:val="0"/>
        </w:rPr>
        <w:t>Matriks RASCI (Responsible, Accountable, Support, Consulted, Informed) menjadikan hak keputusan eksplisit. Aturan baku adalah tepat satu A untuk setiap aktivitas. Rancangan Kajian memuat 24 aktivitas inti dengan tepat satu A pada setiap baris, dan menegaskan bahwa kode peran tidak berarti satu orang memegang semua kapasitas, bahwa persetujuan Presiden dan Dewan Pengawas dicatat sebagai aktivitas tersendiri, dan bahwa sponsor, project director, dan organ perusahaan yang sah ditetapkan namanya untuk setiap proyek sebelum gerbang pertama [EVAL, Bagian 13–15]. Matriks lengkap disalin pada Lampiran D.</w:t>
      </w:r>
    </w:p>
    <w:p>
      <w:pPr>
        <w:keepNext/>
        <w:spacing w:after="60"/>
      </w:pPr>
      <w:r>
        <w:rPr>
          <w:rFonts w:ascii="Arial" w:hAnsi="Arial"/>
          <w:b/>
          <w:color w:val="051C5C"/>
          <w:sz w:val="19"/>
        </w:rPr>
        <w:t xml:space="preserve">Tabel 9: </w:t>
      </w:r>
      <w:r>
        <w:rPr>
          <w:rFonts w:ascii="Arial" w:hAnsi="Arial"/>
          <w:color w:val="051C5C"/>
          <w:sz w:val="19"/>
        </w:rPr>
        <w:t>Contoh aktivitas RASCI untuk fase pelaksanaan</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1569"/>
        <w:gridCol w:w="1569"/>
        <w:gridCol w:w="1569"/>
        <w:gridCol w:w="1569"/>
        <w:gridCol w:w="1569"/>
        <w:gridCol w:w="1569"/>
      </w:tblGrid>
      <w:tr>
        <w:trPr>
          <w:cantSplit/>
          <w:tblHeader/>
        </w:trPr>
        <w:tc>
          <w:tcPr>
            <w:tcW w:type="dxa" w:w="2245"/>
            <w:shd w:val="clear" w:color="auto" w:fill="2251FF"/>
            <w:vAlign w:val="center"/>
          </w:tcPr>
          <w:p>
            <w:pPr>
              <w:spacing w:after="20" w:before="20" w:line="252" w:lineRule="auto"/>
            </w:pPr>
            <w:r/>
            <w:r>
              <w:rPr>
                <w:rFonts w:ascii="Arial" w:hAnsi="Arial"/>
                <w:b/>
                <w:color w:val="FFFFFF"/>
                <w:sz w:val="16"/>
              </w:rPr>
              <w:t>Aktivitas</w:t>
            </w:r>
          </w:p>
        </w:tc>
        <w:tc>
          <w:tcPr>
            <w:tcW w:type="dxa" w:w="1295"/>
            <w:shd w:val="clear" w:color="auto" w:fill="2251FF"/>
            <w:vAlign w:val="center"/>
          </w:tcPr>
          <w:p>
            <w:pPr>
              <w:spacing w:after="20" w:before="20" w:line="252" w:lineRule="auto"/>
            </w:pPr>
            <w:r/>
            <w:r>
              <w:rPr>
                <w:rFonts w:ascii="Arial" w:hAnsi="Arial"/>
                <w:b/>
                <w:color w:val="FFFFFF"/>
                <w:sz w:val="16"/>
              </w:rPr>
              <w:t>A</w:t>
            </w:r>
          </w:p>
        </w:tc>
        <w:tc>
          <w:tcPr>
            <w:tcW w:type="dxa" w:w="1554"/>
            <w:shd w:val="clear" w:color="auto" w:fill="2251FF"/>
            <w:vAlign w:val="center"/>
          </w:tcPr>
          <w:p>
            <w:pPr>
              <w:spacing w:after="20" w:before="20" w:line="252" w:lineRule="auto"/>
            </w:pPr>
            <w:r/>
            <w:r>
              <w:rPr>
                <w:rFonts w:ascii="Arial" w:hAnsi="Arial"/>
                <w:b/>
                <w:color w:val="FFFFFF"/>
                <w:sz w:val="16"/>
              </w:rPr>
              <w:t>R</w:t>
            </w:r>
          </w:p>
        </w:tc>
        <w:tc>
          <w:tcPr>
            <w:tcW w:type="dxa" w:w="1209"/>
            <w:shd w:val="clear" w:color="auto" w:fill="2251FF"/>
            <w:vAlign w:val="center"/>
          </w:tcPr>
          <w:p>
            <w:pPr>
              <w:spacing w:after="20" w:before="20" w:line="252" w:lineRule="auto"/>
            </w:pPr>
            <w:r/>
            <w:r>
              <w:rPr>
                <w:rFonts w:ascii="Arial" w:hAnsi="Arial"/>
                <w:b/>
                <w:color w:val="FFFFFF"/>
                <w:sz w:val="16"/>
              </w:rPr>
              <w:t>S</w:t>
            </w:r>
          </w:p>
        </w:tc>
        <w:tc>
          <w:tcPr>
            <w:tcW w:type="dxa" w:w="1899"/>
            <w:shd w:val="clear" w:color="auto" w:fill="2251FF"/>
            <w:vAlign w:val="center"/>
          </w:tcPr>
          <w:p>
            <w:pPr>
              <w:spacing w:after="20" w:before="20" w:line="252" w:lineRule="auto"/>
            </w:pPr>
            <w:r/>
            <w:r>
              <w:rPr>
                <w:rFonts w:ascii="Arial" w:hAnsi="Arial"/>
                <w:b/>
                <w:color w:val="FFFFFF"/>
                <w:sz w:val="16"/>
              </w:rPr>
              <w:t>C</w:t>
            </w:r>
          </w:p>
        </w:tc>
        <w:tc>
          <w:tcPr>
            <w:tcW w:type="dxa" w:w="1209"/>
            <w:shd w:val="clear" w:color="auto" w:fill="2251FF"/>
            <w:vAlign w:val="center"/>
          </w:tcPr>
          <w:p>
            <w:pPr>
              <w:spacing w:after="20" w:before="20" w:line="252" w:lineRule="auto"/>
            </w:pPr>
            <w:r/>
            <w:r>
              <w:rPr>
                <w:rFonts w:ascii="Arial" w:hAnsi="Arial"/>
                <w:b/>
                <w:color w:val="FFFFFF"/>
                <w:sz w:val="16"/>
              </w:rPr>
              <w:t>I</w:t>
            </w:r>
          </w:p>
        </w:tc>
      </w:tr>
      <w:tr>
        <w:trPr>
          <w:cantSplit/>
        </w:trPr>
        <w:tc>
          <w:tcPr>
            <w:tcW w:type="dxa" w:w="2245"/>
            <w:vAlign w:val="center"/>
          </w:tcPr>
          <w:p>
            <w:pPr>
              <w:spacing w:after="20" w:before="20" w:line="252" w:lineRule="auto"/>
            </w:pPr>
            <w:r/>
            <w:r>
              <w:rPr>
                <w:rFonts w:ascii="Arial" w:hAnsi="Arial"/>
                <w:b/>
                <w:sz w:val="16"/>
              </w:rPr>
              <w:t>S15 Pelaksanaan konstruksi</w:t>
            </w:r>
          </w:p>
        </w:tc>
        <w:tc>
          <w:tcPr>
            <w:tcW w:type="dxa" w:w="1295"/>
            <w:vAlign w:val="center"/>
          </w:tcPr>
          <w:p>
            <w:pPr>
              <w:spacing w:after="20" w:before="20" w:line="252" w:lineRule="auto"/>
            </w:pPr>
            <w:r/>
            <w:r>
              <w:rPr>
                <w:rFonts w:ascii="Arial" w:hAnsi="Arial"/>
                <w:b w:val="0"/>
                <w:sz w:val="16"/>
              </w:rPr>
              <w:t>Project director</w:t>
            </w:r>
          </w:p>
        </w:tc>
        <w:tc>
          <w:tcPr>
            <w:tcW w:type="dxa" w:w="1554"/>
            <w:vAlign w:val="center"/>
          </w:tcPr>
          <w:p>
            <w:pPr>
              <w:spacing w:after="20" w:before="20" w:line="252" w:lineRule="auto"/>
            </w:pPr>
            <w:r/>
            <w:r>
              <w:rPr>
                <w:rFonts w:ascii="Arial" w:hAnsi="Arial"/>
                <w:b w:val="0"/>
                <w:sz w:val="16"/>
              </w:rPr>
              <w:t>Project director, MD Rekayasa</w:t>
            </w:r>
          </w:p>
        </w:tc>
        <w:tc>
          <w:tcPr>
            <w:tcW w:type="dxa" w:w="1209"/>
            <w:vAlign w:val="center"/>
          </w:tcPr>
          <w:p>
            <w:pPr>
              <w:spacing w:after="20" w:before="20" w:line="252" w:lineRule="auto"/>
            </w:pPr>
            <w:r/>
            <w:r>
              <w:rPr>
                <w:rFonts w:ascii="Arial" w:hAnsi="Arial"/>
                <w:b w:val="0"/>
                <w:sz w:val="16"/>
              </w:rPr>
              <w:t>MD Portofolio</w:t>
            </w:r>
          </w:p>
        </w:tc>
        <w:tc>
          <w:tcPr>
            <w:tcW w:type="dxa" w:w="1899"/>
            <w:vAlign w:val="center"/>
          </w:tcPr>
          <w:p>
            <w:pPr>
              <w:spacing w:after="20" w:before="20" w:line="252" w:lineRule="auto"/>
            </w:pPr>
            <w:r/>
            <w:r>
              <w:rPr>
                <w:rFonts w:ascii="Arial" w:hAnsi="Arial"/>
                <w:b w:val="0"/>
                <w:sz w:val="16"/>
              </w:rPr>
              <w:t>Sponsor, Risiko, Hukum, Keuangan</w:t>
            </w:r>
          </w:p>
        </w:tc>
        <w:tc>
          <w:tcPr>
            <w:tcW w:type="dxa" w:w="1209"/>
            <w:vAlign w:val="center"/>
          </w:tcPr>
          <w:p>
            <w:pPr>
              <w:spacing w:after="20" w:before="20" w:line="252" w:lineRule="auto"/>
            </w:pPr>
            <w:r/>
            <w:r>
              <w:rPr>
                <w:rFonts w:ascii="Arial" w:hAnsi="Arial"/>
                <w:b w:val="0"/>
                <w:sz w:val="16"/>
              </w:rPr>
              <w:t>Pimpinan unit</w:t>
            </w:r>
          </w:p>
        </w:tc>
      </w:tr>
      <w:tr>
        <w:trPr>
          <w:cantSplit/>
        </w:trPr>
        <w:tc>
          <w:tcPr>
            <w:tcW w:type="dxa" w:w="2245"/>
            <w:shd w:val="clear" w:color="auto" w:fill="E6ECFD"/>
            <w:vAlign w:val="center"/>
          </w:tcPr>
          <w:p>
            <w:pPr>
              <w:spacing w:after="20" w:before="20" w:line="252" w:lineRule="auto"/>
            </w:pPr>
            <w:r/>
            <w:r>
              <w:rPr>
                <w:rFonts w:ascii="Arial" w:hAnsi="Arial"/>
                <w:b/>
                <w:sz w:val="16"/>
              </w:rPr>
              <w:t>S16 Perubahan kontrak atau biaya material</w:t>
            </w:r>
          </w:p>
        </w:tc>
        <w:tc>
          <w:tcPr>
            <w:tcW w:type="dxa" w:w="1295"/>
            <w:shd w:val="clear" w:color="auto" w:fill="E6ECFD"/>
            <w:vAlign w:val="center"/>
          </w:tcPr>
          <w:p>
            <w:pPr>
              <w:spacing w:after="20" w:before="20" w:line="252" w:lineRule="auto"/>
            </w:pPr>
            <w:r/>
            <w:r>
              <w:rPr>
                <w:rFonts w:ascii="Arial" w:hAnsi="Arial"/>
                <w:b w:val="0"/>
                <w:sz w:val="16"/>
              </w:rPr>
              <w:t>Organ perusahaan sah</w:t>
            </w:r>
          </w:p>
        </w:tc>
        <w:tc>
          <w:tcPr>
            <w:tcW w:type="dxa" w:w="1554"/>
            <w:shd w:val="clear" w:color="auto" w:fill="E6ECFD"/>
            <w:vAlign w:val="center"/>
          </w:tcPr>
          <w:p>
            <w:pPr>
              <w:spacing w:after="20" w:before="20" w:line="252" w:lineRule="auto"/>
            </w:pPr>
            <w:r/>
            <w:r>
              <w:rPr>
                <w:rFonts w:ascii="Arial" w:hAnsi="Arial"/>
                <w:b w:val="0"/>
                <w:sz w:val="16"/>
              </w:rPr>
              <w:t>Sponsor, project director</w:t>
            </w:r>
          </w:p>
        </w:tc>
        <w:tc>
          <w:tcPr>
            <w:tcW w:type="dxa" w:w="1209"/>
            <w:shd w:val="clear" w:color="auto" w:fill="E6ECFD"/>
            <w:vAlign w:val="center"/>
          </w:tcPr>
          <w:p>
            <w:pPr>
              <w:spacing w:after="20" w:before="20" w:line="252" w:lineRule="auto"/>
            </w:pPr>
            <w:r/>
            <w:r>
              <w:rPr>
                <w:rFonts w:ascii="Arial" w:hAnsi="Arial"/>
                <w:b w:val="0"/>
                <w:sz w:val="16"/>
              </w:rPr>
              <w:t>MD Rekayasa, Keuangan</w:t>
            </w:r>
          </w:p>
        </w:tc>
        <w:tc>
          <w:tcPr>
            <w:tcW w:type="dxa" w:w="1899"/>
            <w:shd w:val="clear" w:color="auto" w:fill="E6ECFD"/>
            <w:vAlign w:val="center"/>
          </w:tcPr>
          <w:p>
            <w:pPr>
              <w:spacing w:after="20" w:before="20" w:line="252" w:lineRule="auto"/>
            </w:pPr>
            <w:r/>
            <w:r>
              <w:rPr>
                <w:rFonts w:ascii="Arial" w:hAnsi="Arial"/>
                <w:b w:val="0"/>
                <w:sz w:val="16"/>
              </w:rPr>
              <w:t>Risiko, Hukum, CIO, DDMF, pimpinan unit</w:t>
            </w:r>
          </w:p>
        </w:tc>
        <w:tc>
          <w:tcPr>
            <w:tcW w:type="dxa" w:w="1209"/>
            <w:shd w:val="clear" w:color="auto" w:fill="E6ECFD"/>
            <w:vAlign w:val="center"/>
          </w:tcPr>
          <w:p>
            <w:pPr>
              <w:spacing w:after="20" w:before="20" w:line="252" w:lineRule="auto"/>
            </w:pPr>
            <w:r/>
            <w:r>
              <w:rPr>
                <w:rFonts w:ascii="Arial" w:hAnsi="Arial"/>
                <w:b w:val="0"/>
                <w:sz w:val="16"/>
              </w:rPr>
              <w:t>Kepala, MD Portofolio</w:t>
            </w:r>
          </w:p>
        </w:tc>
      </w:tr>
      <w:tr>
        <w:trPr>
          <w:cantSplit/>
        </w:trPr>
        <w:tc>
          <w:tcPr>
            <w:tcW w:type="dxa" w:w="2245"/>
            <w:vAlign w:val="center"/>
          </w:tcPr>
          <w:p>
            <w:pPr>
              <w:spacing w:after="20" w:before="20" w:line="252" w:lineRule="auto"/>
            </w:pPr>
            <w:r/>
            <w:r>
              <w:rPr>
                <w:rFonts w:ascii="Arial" w:hAnsi="Arial"/>
                <w:b/>
                <w:sz w:val="16"/>
              </w:rPr>
              <w:t>S19 Penerimaan komisioning</w:t>
            </w:r>
          </w:p>
        </w:tc>
        <w:tc>
          <w:tcPr>
            <w:tcW w:type="dxa" w:w="1295"/>
            <w:vAlign w:val="center"/>
          </w:tcPr>
          <w:p>
            <w:pPr>
              <w:spacing w:after="20" w:before="20" w:line="252" w:lineRule="auto"/>
            </w:pPr>
            <w:r/>
            <w:r>
              <w:rPr>
                <w:rFonts w:ascii="Arial" w:hAnsi="Arial"/>
                <w:b w:val="0"/>
                <w:sz w:val="16"/>
              </w:rPr>
              <w:t>Organ perusahaan sah</w:t>
            </w:r>
          </w:p>
        </w:tc>
        <w:tc>
          <w:tcPr>
            <w:tcW w:type="dxa" w:w="1554"/>
            <w:vAlign w:val="center"/>
          </w:tcPr>
          <w:p>
            <w:pPr>
              <w:spacing w:after="20" w:before="20" w:line="252" w:lineRule="auto"/>
            </w:pPr>
            <w:r/>
            <w:r>
              <w:rPr>
                <w:rFonts w:ascii="Arial" w:hAnsi="Arial"/>
                <w:b w:val="0"/>
                <w:sz w:val="16"/>
              </w:rPr>
              <w:t>Sponsor, project director</w:t>
            </w:r>
          </w:p>
        </w:tc>
        <w:tc>
          <w:tcPr>
            <w:tcW w:type="dxa" w:w="1209"/>
            <w:vAlign w:val="center"/>
          </w:tcPr>
          <w:p>
            <w:pPr>
              <w:spacing w:after="20" w:before="20" w:line="252" w:lineRule="auto"/>
            </w:pPr>
            <w:r/>
            <w:r>
              <w:rPr>
                <w:rFonts w:ascii="Arial" w:hAnsi="Arial"/>
                <w:b w:val="0"/>
                <w:sz w:val="16"/>
              </w:rPr>
              <w:t>MD Rekayasa</w:t>
            </w:r>
          </w:p>
        </w:tc>
        <w:tc>
          <w:tcPr>
            <w:tcW w:type="dxa" w:w="1899"/>
            <w:vAlign w:val="center"/>
          </w:tcPr>
          <w:p>
            <w:pPr>
              <w:spacing w:after="20" w:before="20" w:line="252" w:lineRule="auto"/>
            </w:pPr>
            <w:r/>
            <w:r>
              <w:rPr>
                <w:rFonts w:ascii="Arial" w:hAnsi="Arial"/>
                <w:b w:val="0"/>
                <w:sz w:val="16"/>
              </w:rPr>
              <w:t>Risiko, Hukum</w:t>
            </w:r>
          </w:p>
        </w:tc>
        <w:tc>
          <w:tcPr>
            <w:tcW w:type="dxa" w:w="1209"/>
            <w:vAlign w:val="center"/>
          </w:tcPr>
          <w:p>
            <w:pPr>
              <w:spacing w:after="20" w:before="20" w:line="252" w:lineRule="auto"/>
            </w:pPr>
            <w:r/>
            <w:r>
              <w:rPr>
                <w:rFonts w:ascii="Arial" w:hAnsi="Arial"/>
                <w:b w:val="0"/>
                <w:sz w:val="16"/>
              </w:rPr>
              <w:t>Pimpinan unit</w:t>
            </w:r>
          </w:p>
        </w:tc>
      </w:tr>
      <w:tr>
        <w:trPr>
          <w:cantSplit/>
        </w:trPr>
        <w:tc>
          <w:tcPr>
            <w:tcW w:type="dxa" w:w="2245"/>
            <w:shd w:val="clear" w:color="auto" w:fill="E6ECFD"/>
            <w:vAlign w:val="center"/>
          </w:tcPr>
          <w:p>
            <w:pPr>
              <w:spacing w:after="20" w:before="20" w:line="252" w:lineRule="auto"/>
            </w:pPr>
            <w:r/>
            <w:r>
              <w:rPr>
                <w:rFonts w:ascii="Arial" w:hAnsi="Arial"/>
                <w:b/>
                <w:sz w:val="16"/>
              </w:rPr>
              <w:t>S22 Audit proses dan temuan independen</w:t>
            </w:r>
          </w:p>
        </w:tc>
        <w:tc>
          <w:tcPr>
            <w:tcW w:type="dxa" w:w="1295"/>
            <w:shd w:val="clear" w:color="auto" w:fill="E6ECFD"/>
            <w:vAlign w:val="center"/>
          </w:tcPr>
          <w:p>
            <w:pPr>
              <w:spacing w:after="20" w:before="20" w:line="252" w:lineRule="auto"/>
            </w:pPr>
            <w:r/>
            <w:r>
              <w:rPr>
                <w:rFonts w:ascii="Arial" w:hAnsi="Arial"/>
                <w:b w:val="0"/>
                <w:sz w:val="16"/>
              </w:rPr>
              <w:t>Audit Internal</w:t>
            </w:r>
          </w:p>
        </w:tc>
        <w:tc>
          <w:tcPr>
            <w:tcW w:type="dxa" w:w="1554"/>
            <w:shd w:val="clear" w:color="auto" w:fill="E6ECFD"/>
            <w:vAlign w:val="center"/>
          </w:tcPr>
          <w:p>
            <w:pPr>
              <w:spacing w:after="20" w:before="20" w:line="252" w:lineRule="auto"/>
            </w:pPr>
            <w:r/>
            <w:r>
              <w:rPr>
                <w:rFonts w:ascii="Arial" w:hAnsi="Arial"/>
                <w:b w:val="0"/>
                <w:sz w:val="16"/>
              </w:rPr>
              <w:t>Audit Internal</w:t>
            </w:r>
          </w:p>
        </w:tc>
        <w:tc>
          <w:tcPr>
            <w:tcW w:type="dxa" w:w="1209"/>
            <w:shd w:val="clear" w:color="auto" w:fill="E6ECFD"/>
            <w:vAlign w:val="center"/>
          </w:tcPr>
          <w:p>
            <w:pPr>
              <w:spacing w:after="20" w:before="20" w:line="252" w:lineRule="auto"/>
            </w:pPr>
            <w:r/>
            <w:r>
              <w:rPr>
                <w:rFonts w:ascii="Arial" w:hAnsi="Arial"/>
                <w:b w:val="0"/>
                <w:sz w:val="16"/>
              </w:rPr>
              <w:t>—</w:t>
            </w:r>
          </w:p>
        </w:tc>
        <w:tc>
          <w:tcPr>
            <w:tcW w:type="dxa" w:w="1899"/>
            <w:shd w:val="clear" w:color="auto" w:fill="E6ECFD"/>
            <w:vAlign w:val="center"/>
          </w:tcPr>
          <w:p>
            <w:pPr>
              <w:spacing w:after="20" w:before="20" w:line="252" w:lineRule="auto"/>
            </w:pPr>
            <w:r/>
            <w:r>
              <w:rPr>
                <w:rFonts w:ascii="Arial" w:hAnsi="Arial"/>
                <w:b w:val="0"/>
                <w:sz w:val="16"/>
              </w:rPr>
              <w:t>Risiko, Hukum</w:t>
            </w:r>
          </w:p>
        </w:tc>
        <w:tc>
          <w:tcPr>
            <w:tcW w:type="dxa" w:w="1209"/>
            <w:shd w:val="clear" w:color="auto" w:fill="E6ECFD"/>
            <w:vAlign w:val="center"/>
          </w:tcPr>
          <w:p>
            <w:pPr>
              <w:spacing w:after="20" w:before="20" w:line="252" w:lineRule="auto"/>
            </w:pPr>
            <w:r/>
            <w:r>
              <w:rPr>
                <w:rFonts w:ascii="Arial" w:hAnsi="Arial"/>
                <w:b w:val="0"/>
                <w:sz w:val="16"/>
              </w:rPr>
              <w:t>Kepala, Dewan</w:t>
            </w:r>
          </w:p>
        </w:tc>
      </w:tr>
    </w:tbl>
    <w:p>
      <w:pPr>
        <w:spacing w:after="160"/>
      </w:pPr>
      <w:r>
        <w:rPr>
          <w:rFonts w:ascii="Arial" w:hAnsi="Arial"/>
          <w:b w:val="0"/>
          <w:i/>
          <w:color w:val="051C5C"/>
          <w:sz w:val="17"/>
        </w:rPr>
        <w:t>Sumber: [EVAL, Bagian 14–15], diringkas.</w:t>
      </w:r>
    </w:p>
    <w:p>
      <w:pPr>
        <w:pStyle w:val="Heading2"/>
      </w:pPr>
      <w:r>
        <w:t>3.7  Pelajaran dari lembaga sejenis</w:t>
      </w:r>
    </w:p>
    <w:p>
      <w:pPr>
        <w:keepNext/>
        <w:spacing w:after="60"/>
      </w:pPr>
      <w:r>
        <w:rPr>
          <w:rFonts w:ascii="Arial" w:hAnsi="Arial"/>
          <w:b/>
          <w:color w:val="051C5C"/>
          <w:sz w:val="19"/>
        </w:rPr>
        <w:t xml:space="preserve">Tabel 10: </w:t>
      </w:r>
      <w:r>
        <w:rPr>
          <w:rFonts w:ascii="Arial" w:hAnsi="Arial"/>
          <w:color w:val="051C5C"/>
          <w:sz w:val="19"/>
        </w:rPr>
        <w:t>Praktik tata kelola lembaga sejenis dan adaptasinya</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1765"/>
            <w:shd w:val="clear" w:color="auto" w:fill="2251FF"/>
            <w:vAlign w:val="center"/>
          </w:tcPr>
          <w:p>
            <w:pPr>
              <w:spacing w:after="20" w:before="20" w:line="252" w:lineRule="auto"/>
            </w:pPr>
            <w:r/>
            <w:r>
              <w:rPr>
                <w:rFonts w:ascii="Arial" w:hAnsi="Arial"/>
                <w:b/>
                <w:color w:val="FFFFFF"/>
                <w:sz w:val="17"/>
              </w:rPr>
              <w:t>Lembaga</w:t>
            </w:r>
          </w:p>
        </w:tc>
        <w:tc>
          <w:tcPr>
            <w:tcW w:type="dxa" w:w="4117"/>
            <w:shd w:val="clear" w:color="auto" w:fill="2251FF"/>
            <w:vAlign w:val="center"/>
          </w:tcPr>
          <w:p>
            <w:pPr>
              <w:spacing w:after="20" w:before="20" w:line="252" w:lineRule="auto"/>
            </w:pPr>
            <w:r/>
            <w:r>
              <w:rPr>
                <w:rFonts w:ascii="Arial" w:hAnsi="Arial"/>
                <w:b/>
                <w:color w:val="FFFFFF"/>
                <w:sz w:val="17"/>
              </w:rPr>
              <w:t>Praktik</w:t>
            </w:r>
          </w:p>
        </w:tc>
        <w:tc>
          <w:tcPr>
            <w:tcW w:type="dxa" w:w="3529"/>
            <w:shd w:val="clear" w:color="auto" w:fill="2251FF"/>
            <w:vAlign w:val="center"/>
          </w:tcPr>
          <w:p>
            <w:pPr>
              <w:spacing w:after="20" w:before="20" w:line="252" w:lineRule="auto"/>
            </w:pPr>
            <w:r/>
            <w:r>
              <w:rPr>
                <w:rFonts w:ascii="Arial" w:hAnsi="Arial"/>
                <w:b/>
                <w:color w:val="FFFFFF"/>
                <w:sz w:val="17"/>
              </w:rPr>
              <w:t>Adaptasi</w:t>
            </w:r>
          </w:p>
        </w:tc>
      </w:tr>
      <w:tr>
        <w:trPr>
          <w:cantSplit/>
        </w:trPr>
        <w:tc>
          <w:tcPr>
            <w:tcW w:type="dxa" w:w="1765"/>
            <w:vAlign w:val="center"/>
          </w:tcPr>
          <w:p>
            <w:pPr>
              <w:spacing w:after="20" w:before="20" w:line="252" w:lineRule="auto"/>
            </w:pPr>
            <w:r/>
            <w:r>
              <w:rPr>
                <w:rFonts w:ascii="Arial" w:hAnsi="Arial"/>
                <w:b/>
                <w:sz w:val="17"/>
              </w:rPr>
              <w:t>China: SASAC, SDIC</w:t>
            </w:r>
          </w:p>
        </w:tc>
        <w:tc>
          <w:tcPr>
            <w:tcW w:type="dxa" w:w="4117"/>
            <w:vAlign w:val="center"/>
          </w:tcPr>
          <w:p>
            <w:pPr>
              <w:spacing w:after="20" w:before="20" w:line="252" w:lineRule="auto"/>
            </w:pPr>
            <w:r/>
            <w:r>
              <w:rPr>
                <w:rFonts w:ascii="Arial" w:hAnsi="Arial"/>
                <w:b w:val="0"/>
                <w:sz w:val="17"/>
              </w:rPr>
              <w:t>Perusahaan sebagai subjek keputusan investasi dan akuntabilitas; rencana investasi, daftar larangan dan pengawasan khusus, evaluasi pascainvestasi</w:t>
            </w:r>
          </w:p>
        </w:tc>
        <w:tc>
          <w:tcPr>
            <w:tcW w:type="dxa" w:w="3529"/>
            <w:vAlign w:val="center"/>
          </w:tcPr>
          <w:p>
            <w:pPr>
              <w:spacing w:after="20" w:before="20" w:line="252" w:lineRule="auto"/>
            </w:pPr>
            <w:r/>
            <w:r>
              <w:rPr>
                <w:rFonts w:ascii="Arial" w:hAnsi="Arial"/>
                <w:b w:val="0"/>
                <w:sz w:val="17"/>
              </w:rPr>
              <w:t>Disiplin investasi dan evaluasi pascainvestasi (gerbang P6)</w:t>
            </w:r>
          </w:p>
        </w:tc>
      </w:tr>
      <w:tr>
        <w:trPr>
          <w:cantSplit/>
        </w:trPr>
        <w:tc>
          <w:tcPr>
            <w:tcW w:type="dxa" w:w="1765"/>
            <w:shd w:val="clear" w:color="auto" w:fill="E6ECFD"/>
            <w:vAlign w:val="center"/>
          </w:tcPr>
          <w:p>
            <w:pPr>
              <w:spacing w:after="20" w:before="20" w:line="252" w:lineRule="auto"/>
            </w:pPr>
            <w:r/>
            <w:r>
              <w:rPr>
                <w:rFonts w:ascii="Arial" w:hAnsi="Arial"/>
                <w:b/>
                <w:sz w:val="17"/>
              </w:rPr>
              <w:t>Vietnam: CMSC, SCIC</w:t>
            </w:r>
          </w:p>
        </w:tc>
        <w:tc>
          <w:tcPr>
            <w:tcW w:type="dxa" w:w="4117"/>
            <w:shd w:val="clear" w:color="auto" w:fill="E6ECFD"/>
            <w:vAlign w:val="center"/>
          </w:tcPr>
          <w:p>
            <w:pPr>
              <w:spacing w:after="20" w:before="20" w:line="252" w:lineRule="auto"/>
            </w:pPr>
            <w:r/>
            <w:r>
              <w:rPr>
                <w:rFonts w:ascii="Arial" w:hAnsi="Arial"/>
                <w:b w:val="0"/>
                <w:sz w:val="17"/>
              </w:rPr>
              <w:t>CMSC dibentuk 2018 untuk 19 perusahaan dan dibubarkan efektif 21 Maret 2025</w:t>
            </w:r>
          </w:p>
        </w:tc>
        <w:tc>
          <w:tcPr>
            <w:tcW w:type="dxa" w:w="3529"/>
            <w:shd w:val="clear" w:color="auto" w:fill="E6ECFD"/>
            <w:vAlign w:val="center"/>
          </w:tcPr>
          <w:p>
            <w:pPr>
              <w:spacing w:after="20" w:before="20" w:line="252" w:lineRule="auto"/>
            </w:pPr>
            <w:r/>
            <w:r>
              <w:rPr>
                <w:rFonts w:ascii="Arial" w:hAnsi="Arial"/>
                <w:b w:val="0"/>
                <w:sz w:val="17"/>
              </w:rPr>
              <w:t>Setiap reorganisasi perlu daftar kewenangan, arsip proyek, kontrak, aset, dan kewajiban yang berpindah</w:t>
            </w:r>
          </w:p>
        </w:tc>
      </w:tr>
      <w:tr>
        <w:trPr>
          <w:cantSplit/>
        </w:trPr>
        <w:tc>
          <w:tcPr>
            <w:tcW w:type="dxa" w:w="1765"/>
            <w:vAlign w:val="center"/>
          </w:tcPr>
          <w:p>
            <w:pPr>
              <w:spacing w:after="20" w:before="20" w:line="252" w:lineRule="auto"/>
            </w:pPr>
            <w:r/>
            <w:r>
              <w:rPr>
                <w:rFonts w:ascii="Arial" w:hAnsi="Arial"/>
                <w:b/>
                <w:sz w:val="17"/>
              </w:rPr>
              <w:t>India: PRAGATI, NIIF</w:t>
            </w:r>
          </w:p>
        </w:tc>
        <w:tc>
          <w:tcPr>
            <w:tcW w:type="dxa" w:w="4117"/>
            <w:vAlign w:val="center"/>
          </w:tcPr>
          <w:p>
            <w:pPr>
              <w:spacing w:after="20" w:before="20" w:line="252" w:lineRule="auto"/>
            </w:pPr>
            <w:r/>
            <w:r>
              <w:rPr>
                <w:rFonts w:ascii="Arial" w:hAnsi="Arial"/>
                <w:b w:val="0"/>
                <w:sz w:val="17"/>
              </w:rPr>
              <w:t>Pemantauan berbasis teknologi dengan kepemimpinan puncak untuk menyelesaikan hambatan lintas lembaga</w:t>
            </w:r>
          </w:p>
        </w:tc>
        <w:tc>
          <w:tcPr>
            <w:tcW w:type="dxa" w:w="3529"/>
            <w:vAlign w:val="center"/>
          </w:tcPr>
          <w:p>
            <w:pPr>
              <w:spacing w:after="20" w:before="20" w:line="252" w:lineRule="auto"/>
            </w:pPr>
            <w:r/>
            <w:r>
              <w:rPr>
                <w:rFonts w:ascii="Arial" w:hAnsi="Arial"/>
                <w:b w:val="0"/>
                <w:sz w:val="17"/>
              </w:rPr>
              <w:t>Forum penyelesaian hambatan dipisah dari pengujian investasi</w:t>
            </w:r>
          </w:p>
        </w:tc>
      </w:tr>
      <w:tr>
        <w:trPr>
          <w:cantSplit/>
        </w:trPr>
        <w:tc>
          <w:tcPr>
            <w:tcW w:type="dxa" w:w="1765"/>
            <w:shd w:val="clear" w:color="auto" w:fill="E6ECFD"/>
            <w:vAlign w:val="center"/>
          </w:tcPr>
          <w:p>
            <w:pPr>
              <w:spacing w:after="20" w:before="20" w:line="252" w:lineRule="auto"/>
            </w:pPr>
            <w:r/>
            <w:r>
              <w:rPr>
                <w:rFonts w:ascii="Arial" w:hAnsi="Arial"/>
                <w:b/>
                <w:sz w:val="17"/>
              </w:rPr>
              <w:t>Malaysia: Khazanah, NIMP 2030</w:t>
            </w:r>
          </w:p>
        </w:tc>
        <w:tc>
          <w:tcPr>
            <w:tcW w:type="dxa" w:w="4117"/>
            <w:shd w:val="clear" w:color="auto" w:fill="E6ECFD"/>
            <w:vAlign w:val="center"/>
          </w:tcPr>
          <w:p>
            <w:pPr>
              <w:spacing w:after="20" w:before="20" w:line="252" w:lineRule="auto"/>
            </w:pPr>
            <w:r/>
            <w:r>
              <w:rPr>
                <w:rFonts w:ascii="Arial" w:hAnsi="Arial"/>
                <w:b w:val="0"/>
                <w:sz w:val="17"/>
              </w:rPr>
              <w:t>Piagam dewan, daftar hal yang dicadangkan, batas kewenangan, kerangka risiko; unit pengelolaan pelaksanaan</w:t>
            </w:r>
          </w:p>
        </w:tc>
        <w:tc>
          <w:tcPr>
            <w:tcW w:type="dxa" w:w="3529"/>
            <w:shd w:val="clear" w:color="auto" w:fill="E6ECFD"/>
            <w:vAlign w:val="center"/>
          </w:tcPr>
          <w:p>
            <w:pPr>
              <w:spacing w:after="20" w:before="20" w:line="252" w:lineRule="auto"/>
            </w:pPr>
            <w:r/>
            <w:r>
              <w:rPr>
                <w:rFonts w:ascii="Arial" w:hAnsi="Arial"/>
                <w:b w:val="0"/>
                <w:sz w:val="17"/>
              </w:rPr>
              <w:t>Mandat berbeda per arm; dasbor pelaksanaan</w:t>
            </w:r>
          </w:p>
        </w:tc>
      </w:tr>
    </w:tbl>
    <w:p>
      <w:pPr>
        <w:spacing w:after="160"/>
      </w:pPr>
      <w:r>
        <w:rPr>
          <w:rFonts w:ascii="Arial" w:hAnsi="Arial"/>
          <w:b w:val="0"/>
          <w:i/>
          <w:color w:val="051C5C"/>
          <w:sz w:val="17"/>
        </w:rPr>
        <w:t>Sumber: [EVAL, Bagian 4–5; K, Bab 13.9]. Catatan: sumber EVAL memuat dua tanggal untuk pembubaran CMSC (21 dan 23 Maret 2025) pada bagian berbeda.</w:t>
      </w:r>
    </w:p>
    <w:p>
      <w:pPr>
        <w:jc w:val="both"/>
      </w:pPr>
      <w:r>
        <w:rPr>
          <w:rFonts w:ascii="Arial" w:hAnsi="Arial"/>
          <w:b w:val="0"/>
        </w:rPr>
        <w:t>Kesimpulan Kajian atas perbandingan ini ialah memadukan disiplin investasi China dan Malaysia, mekanisme eskalasi India, dan urutan transisi Vietnam, dengan pengingat bahwa usulan membentuk sebuah unit berbeda dari bukti bahwa unit itu berhasil. Karena itu Kajian menyarankan uji 90 hari dengan kriteria yang disepakati sebelum menetapkan struktur permanen [K, Bab 13.8; EVAL, Bagian 16].</w:t>
      </w:r>
    </w:p>
    <w:p>
      <w:r>
        <w:br w:type="page"/>
      </w:r>
    </w:p>
    <w:p>
      <w:pPr>
        <w:pStyle w:val="Heading1"/>
      </w:pPr>
      <w:r>
        <w:t>4  Inisiasi, lingkup, dan kesiapan proyek</w:t>
      </w:r>
    </w:p>
    <w:p>
      <w:pPr>
        <w:pStyle w:val="Heading2"/>
      </w:pPr>
      <w:r>
        <w:t>4.1  Dari gagasan ke mandat</w:t>
      </w:r>
    </w:p>
    <w:p>
      <w:pPr>
        <w:jc w:val="both"/>
      </w:pPr>
      <w:r>
        <w:rPr>
          <w:rFonts w:ascii="Arial" w:hAnsi="Arial"/>
          <w:b w:val="0"/>
        </w:rPr>
        <w:t xml:space="preserve">Setiap proyek dimulai dari alasan: masalah yang hendak dipecahkan atau peluang yang hendak ditangkap. Disiplin pada tahap ini menentukan sebagian besar hasil, karena keputusan terbaik untuk menghentikan proyek yang lemah adalah keputusan yang diambil sebelum modal dikomitmenkan. Dokumen inisiasi minimum terdiri dari lima artefak: </w:t>
      </w:r>
      <w:r>
        <w:rPr>
          <w:rFonts w:ascii="Arial" w:hAnsi="Arial"/>
          <w:b/>
        </w:rPr>
        <w:t>kasus bisnis</w:t>
      </w:r>
      <w:r>
        <w:rPr>
          <w:rFonts w:ascii="Arial" w:hAnsi="Arial"/>
          <w:b w:val="0"/>
        </w:rPr>
        <w:t xml:space="preserve"> (business case), </w:t>
      </w:r>
      <w:r>
        <w:rPr>
          <w:rFonts w:ascii="Arial" w:hAnsi="Arial"/>
          <w:b/>
        </w:rPr>
        <w:t>piagam proyek</w:t>
      </w:r>
      <w:r>
        <w:rPr>
          <w:rFonts w:ascii="Arial" w:hAnsi="Arial"/>
          <w:b w:val="0"/>
        </w:rPr>
        <w:t xml:space="preserve"> (project charter), </w:t>
      </w:r>
      <w:r>
        <w:rPr>
          <w:rFonts w:ascii="Arial" w:hAnsi="Arial"/>
          <w:b/>
        </w:rPr>
        <w:t>daftar pemangku kepentingan</w:t>
      </w:r>
      <w:r>
        <w:rPr>
          <w:rFonts w:ascii="Arial" w:hAnsi="Arial"/>
          <w:b w:val="0"/>
        </w:rPr>
        <w:t xml:space="preserve">, </w:t>
      </w:r>
      <w:r>
        <w:rPr>
          <w:rFonts w:ascii="Arial" w:hAnsi="Arial"/>
          <w:b/>
        </w:rPr>
        <w:t>register asumsi dan risiko awal</w:t>
      </w:r>
      <w:r>
        <w:rPr>
          <w:rFonts w:ascii="Arial" w:hAnsi="Arial"/>
          <w:b w:val="0"/>
        </w:rPr>
        <w:t xml:space="preserve">, dan </w:t>
      </w:r>
      <w:r>
        <w:rPr>
          <w:rFonts w:ascii="Arial" w:hAnsi="Arial"/>
          <w:b/>
        </w:rPr>
        <w:t>rencana kesiapan</w:t>
      </w:r>
      <w:r>
        <w:rPr>
          <w:rFonts w:ascii="Arial" w:hAnsi="Arial"/>
          <w:b w:val="0"/>
        </w:rPr>
        <w:t xml:space="preserve"> menuju gerbang berikut.</w:t>
      </w:r>
    </w:p>
    <w:p>
      <w:pPr>
        <w:jc w:val="both"/>
      </w:pPr>
      <w:r>
        <w:rPr>
          <w:rFonts w:ascii="Arial" w:hAnsi="Arial"/>
          <w:b w:val="0"/>
        </w:rPr>
        <w:t>Pada tingkat portofolio, gerbang P0 (validasi mandat) menuntut identitas proyek, dasar penugasan, sponsor, batas lingkup, data biaya, dan jalur keputusan [EVAL, Bagian 11]. Kajian Danantara menambahkan persyaratan register minimum yang kaya: identitas, dasar mandat, lokasi, sponsor dan perusahaan pelaksana, batas lingkup, biaya total dan porsi Danantara, sumber dana, jadwal, tahap keputusan, teknologi dan HKI, pasar atau offtake, izin, lahan, risiko utama, pemimpin proyek, dan persetujuan terbuka, dengan versi dan alasan untuk setiap perubahan [K, Bab 4.6; EVAL, Bagian 1].</w:t>
      </w:r>
    </w:p>
    <w:p>
      <w:pPr>
        <w:pStyle w:val="Heading2"/>
      </w:pPr>
      <w:r>
        <w:t>4.2  Kasus bisnis: dua pertanyaan, bukan satu</w:t>
      </w:r>
    </w:p>
    <w:p>
      <w:pPr>
        <w:jc w:val="both"/>
      </w:pPr>
      <w:r>
        <w:rPr>
          <w:rFonts w:ascii="Arial" w:hAnsi="Arial"/>
          <w:b w:val="0"/>
        </w:rPr>
        <w:t>Proyek yang dibiayai atau diprakarsai negara perlu menjawab dua pertanyaan yang berbeda: apakah proyek layak secara finansial bagi investor (NPV dan IRR finansial), dan apakah proyek layak secara ekonomi bagi bangsa (NPV dan IRR ekonomi, yang memasukkan manfaat dan biaya eksternal). Keduanya tidak boleh dicampur. Kajian Danantara memberi contoh hitung yang jelas.</w:t>
      </w:r>
    </w:p>
    <w:p>
      <w:pPr>
        <w:keepNext/>
        <w:spacing w:after="60"/>
      </w:pPr>
      <w:r>
        <w:rPr>
          <w:rFonts w:ascii="Arial" w:hAnsi="Arial"/>
          <w:b/>
          <w:color w:val="051C5C"/>
          <w:sz w:val="19"/>
        </w:rPr>
        <w:t xml:space="preserve">Tabel 11: </w:t>
      </w:r>
      <w:r>
        <w:rPr>
          <w:rFonts w:ascii="Arial" w:hAnsi="Arial"/>
          <w:color w:val="051C5C"/>
          <w:sz w:val="19"/>
        </w:rPr>
        <w:t>Contoh kasus bisnis finansial versus ekonomi (ilustratif, kelas D)</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2941"/>
            <w:shd w:val="clear" w:color="auto" w:fill="2251FF"/>
            <w:vAlign w:val="center"/>
          </w:tcPr>
          <w:p>
            <w:pPr>
              <w:spacing w:after="20" w:before="20" w:line="252" w:lineRule="auto"/>
            </w:pPr>
            <w:r/>
            <w:r>
              <w:rPr>
                <w:rFonts w:ascii="Arial" w:hAnsi="Arial"/>
                <w:b/>
                <w:color w:val="FFFFFF"/>
                <w:sz w:val="17"/>
              </w:rPr>
              <w:t>Ukuran</w:t>
            </w:r>
          </w:p>
        </w:tc>
        <w:tc>
          <w:tcPr>
            <w:tcW w:type="dxa" w:w="2353"/>
            <w:shd w:val="clear" w:color="auto" w:fill="2251FF"/>
            <w:vAlign w:val="center"/>
          </w:tcPr>
          <w:p>
            <w:pPr>
              <w:spacing w:after="20" w:before="20" w:line="252" w:lineRule="auto"/>
            </w:pPr>
            <w:r/>
            <w:r>
              <w:rPr>
                <w:rFonts w:ascii="Arial" w:hAnsi="Arial"/>
                <w:b/>
                <w:color w:val="FFFFFF"/>
                <w:sz w:val="17"/>
              </w:rPr>
              <w:t>Hasil</w:t>
            </w:r>
          </w:p>
        </w:tc>
        <w:tc>
          <w:tcPr>
            <w:tcW w:type="dxa" w:w="4117"/>
            <w:shd w:val="clear" w:color="auto" w:fill="2251FF"/>
            <w:vAlign w:val="center"/>
          </w:tcPr>
          <w:p>
            <w:pPr>
              <w:spacing w:after="20" w:before="20" w:line="252" w:lineRule="auto"/>
            </w:pPr>
            <w:r/>
            <w:r>
              <w:rPr>
                <w:rFonts w:ascii="Arial" w:hAnsi="Arial"/>
                <w:b/>
                <w:color w:val="FFFFFF"/>
                <w:sz w:val="17"/>
              </w:rPr>
              <w:t>Tafsir</w:t>
            </w:r>
          </w:p>
        </w:tc>
      </w:tr>
      <w:tr>
        <w:trPr>
          <w:cantSplit/>
        </w:trPr>
        <w:tc>
          <w:tcPr>
            <w:tcW w:type="dxa" w:w="2941"/>
            <w:vAlign w:val="center"/>
          </w:tcPr>
          <w:p>
            <w:pPr>
              <w:spacing w:after="20" w:before="20" w:line="252" w:lineRule="auto"/>
            </w:pPr>
            <w:r/>
            <w:r>
              <w:rPr>
                <w:rFonts w:ascii="Arial" w:hAnsi="Arial"/>
                <w:b/>
                <w:sz w:val="17"/>
              </w:rPr>
              <w:t>Belanja modal</w:t>
            </w:r>
          </w:p>
        </w:tc>
        <w:tc>
          <w:tcPr>
            <w:tcW w:type="dxa" w:w="2353"/>
            <w:vAlign w:val="center"/>
          </w:tcPr>
          <w:p>
            <w:pPr>
              <w:spacing w:after="20" w:before="20" w:line="252" w:lineRule="auto"/>
            </w:pPr>
            <w:r/>
            <w:r>
              <w:rPr>
                <w:rFonts w:ascii="Arial" w:hAnsi="Arial"/>
                <w:b w:val="0"/>
                <w:sz w:val="17"/>
              </w:rPr>
              <w:t>Rp100 miliar</w:t>
            </w:r>
          </w:p>
        </w:tc>
        <w:tc>
          <w:tcPr>
            <w:tcW w:type="dxa" w:w="4117"/>
            <w:vAlign w:val="center"/>
          </w:tcPr>
          <w:p>
            <w:pPr>
              <w:spacing w:after="20" w:before="20" w:line="252" w:lineRule="auto"/>
            </w:pPr>
            <w:r/>
            <w:r>
              <w:rPr>
                <w:rFonts w:ascii="Arial" w:hAnsi="Arial"/>
                <w:b w:val="0"/>
                <w:sz w:val="17"/>
              </w:rPr>
              <w:t>Satu kali, tahun 0</w:t>
            </w:r>
          </w:p>
        </w:tc>
      </w:tr>
      <w:tr>
        <w:trPr>
          <w:cantSplit/>
        </w:trPr>
        <w:tc>
          <w:tcPr>
            <w:tcW w:type="dxa" w:w="2941"/>
            <w:shd w:val="clear" w:color="auto" w:fill="E6ECFD"/>
            <w:vAlign w:val="center"/>
          </w:tcPr>
          <w:p>
            <w:pPr>
              <w:spacing w:after="20" w:before="20" w:line="252" w:lineRule="auto"/>
            </w:pPr>
            <w:r/>
            <w:r>
              <w:rPr>
                <w:rFonts w:ascii="Arial" w:hAnsi="Arial"/>
                <w:b/>
                <w:sz w:val="17"/>
              </w:rPr>
              <w:t>Arus kas operasi tahunan investor</w:t>
            </w:r>
          </w:p>
        </w:tc>
        <w:tc>
          <w:tcPr>
            <w:tcW w:type="dxa" w:w="2353"/>
            <w:shd w:val="clear" w:color="auto" w:fill="E6ECFD"/>
            <w:vAlign w:val="center"/>
          </w:tcPr>
          <w:p>
            <w:pPr>
              <w:spacing w:after="20" w:before="20" w:line="252" w:lineRule="auto"/>
            </w:pPr>
            <w:r/>
            <w:r>
              <w:rPr>
                <w:rFonts w:ascii="Arial" w:hAnsi="Arial"/>
                <w:b w:val="0"/>
                <w:sz w:val="17"/>
              </w:rPr>
              <w:t>Rp15 miliar selama 10 tahun</w:t>
            </w:r>
          </w:p>
        </w:tc>
        <w:tc>
          <w:tcPr>
            <w:tcW w:type="dxa" w:w="4117"/>
            <w:shd w:val="clear" w:color="auto" w:fill="E6ECFD"/>
            <w:vAlign w:val="center"/>
          </w:tcPr>
          <w:p>
            <w:pPr>
              <w:spacing w:after="20" w:before="20" w:line="252" w:lineRule="auto"/>
            </w:pPr>
            <w:r/>
            <w:r>
              <w:rPr>
                <w:rFonts w:ascii="Arial" w:hAnsi="Arial"/>
                <w:b w:val="0"/>
                <w:sz w:val="17"/>
              </w:rPr>
              <w:t>Dasar NPV finansial</w:t>
            </w:r>
          </w:p>
        </w:tc>
      </w:tr>
      <w:tr>
        <w:trPr>
          <w:cantSplit/>
        </w:trPr>
        <w:tc>
          <w:tcPr>
            <w:tcW w:type="dxa" w:w="2941"/>
            <w:vAlign w:val="center"/>
          </w:tcPr>
          <w:p>
            <w:pPr>
              <w:spacing w:after="20" w:before="20" w:line="252" w:lineRule="auto"/>
            </w:pPr>
            <w:r/>
            <w:r>
              <w:rPr>
                <w:rFonts w:ascii="Arial" w:hAnsi="Arial"/>
                <w:b/>
                <w:sz w:val="17"/>
              </w:rPr>
              <w:t>Manfaat eksternal tahunan</w:t>
            </w:r>
          </w:p>
        </w:tc>
        <w:tc>
          <w:tcPr>
            <w:tcW w:type="dxa" w:w="2353"/>
            <w:vAlign w:val="center"/>
          </w:tcPr>
          <w:p>
            <w:pPr>
              <w:spacing w:after="20" w:before="20" w:line="252" w:lineRule="auto"/>
            </w:pPr>
            <w:r/>
            <w:r>
              <w:rPr>
                <w:rFonts w:ascii="Arial" w:hAnsi="Arial"/>
                <w:b w:val="0"/>
                <w:sz w:val="17"/>
              </w:rPr>
              <w:t>Rp6 miliar selama 10 tahun</w:t>
            </w:r>
          </w:p>
        </w:tc>
        <w:tc>
          <w:tcPr>
            <w:tcW w:type="dxa" w:w="4117"/>
            <w:vAlign w:val="center"/>
          </w:tcPr>
          <w:p>
            <w:pPr>
              <w:spacing w:after="20" w:before="20" w:line="252" w:lineRule="auto"/>
            </w:pPr>
            <w:r/>
            <w:r>
              <w:rPr>
                <w:rFonts w:ascii="Arial" w:hAnsi="Arial"/>
                <w:b w:val="0"/>
                <w:sz w:val="17"/>
              </w:rPr>
              <w:t>Tambahan untuk NPV ekonomi (total manfaat Rp21 miliar per tahun)</w:t>
            </w:r>
          </w:p>
        </w:tc>
      </w:tr>
      <w:tr>
        <w:trPr>
          <w:cantSplit/>
        </w:trPr>
        <w:tc>
          <w:tcPr>
            <w:tcW w:type="dxa" w:w="2941"/>
            <w:shd w:val="clear" w:color="auto" w:fill="E6ECFD"/>
            <w:vAlign w:val="center"/>
          </w:tcPr>
          <w:p>
            <w:pPr>
              <w:spacing w:after="20" w:before="20" w:line="252" w:lineRule="auto"/>
            </w:pPr>
            <w:r/>
            <w:r>
              <w:rPr>
                <w:rFonts w:ascii="Arial" w:hAnsi="Arial"/>
                <w:b/>
                <w:sz w:val="17"/>
              </w:rPr>
              <w:t>NPV finansial pada 12%</w:t>
            </w:r>
          </w:p>
        </w:tc>
        <w:tc>
          <w:tcPr>
            <w:tcW w:type="dxa" w:w="2353"/>
            <w:shd w:val="clear" w:color="auto" w:fill="E6ECFD"/>
            <w:vAlign w:val="center"/>
          </w:tcPr>
          <w:p>
            <w:pPr>
              <w:spacing w:after="20" w:before="20" w:line="252" w:lineRule="auto"/>
            </w:pPr>
            <w:r/>
            <w:r>
              <w:rPr>
                <w:rFonts w:ascii="Arial" w:hAnsi="Arial"/>
                <w:b w:val="0"/>
                <w:sz w:val="17"/>
              </w:rPr>
              <w:t>−Rp15,25 miliar</w:t>
            </w:r>
          </w:p>
        </w:tc>
        <w:tc>
          <w:tcPr>
            <w:tcW w:type="dxa" w:w="4117"/>
            <w:shd w:val="clear" w:color="auto" w:fill="E6ECFD"/>
            <w:vAlign w:val="center"/>
          </w:tcPr>
          <w:p>
            <w:pPr>
              <w:spacing w:after="20" w:before="20" w:line="252" w:lineRule="auto"/>
            </w:pPr>
            <w:r/>
            <w:r>
              <w:rPr>
                <w:rFonts w:ascii="Arial" w:hAnsi="Arial"/>
                <w:b w:val="0"/>
                <w:sz w:val="17"/>
              </w:rPr>
              <w:t>Di bawah ambang komersial; IRR finansial 8,14%</w:t>
            </w:r>
          </w:p>
        </w:tc>
      </w:tr>
      <w:tr>
        <w:trPr>
          <w:cantSplit/>
        </w:trPr>
        <w:tc>
          <w:tcPr>
            <w:tcW w:type="dxa" w:w="2941"/>
            <w:vAlign w:val="center"/>
          </w:tcPr>
          <w:p>
            <w:pPr>
              <w:spacing w:after="20" w:before="20" w:line="252" w:lineRule="auto"/>
            </w:pPr>
            <w:r/>
            <w:r>
              <w:rPr>
                <w:rFonts w:ascii="Arial" w:hAnsi="Arial"/>
                <w:b/>
                <w:sz w:val="17"/>
              </w:rPr>
              <w:t>NPV ekonomi pada 9%</w:t>
            </w:r>
          </w:p>
        </w:tc>
        <w:tc>
          <w:tcPr>
            <w:tcW w:type="dxa" w:w="2353"/>
            <w:vAlign w:val="center"/>
          </w:tcPr>
          <w:p>
            <w:pPr>
              <w:spacing w:after="20" w:before="20" w:line="252" w:lineRule="auto"/>
            </w:pPr>
            <w:r/>
            <w:r>
              <w:rPr>
                <w:rFonts w:ascii="Arial" w:hAnsi="Arial"/>
                <w:b w:val="0"/>
                <w:sz w:val="17"/>
              </w:rPr>
              <w:t>+Rp34,77 miliar</w:t>
            </w:r>
          </w:p>
        </w:tc>
        <w:tc>
          <w:tcPr>
            <w:tcW w:type="dxa" w:w="4117"/>
            <w:vAlign w:val="center"/>
          </w:tcPr>
          <w:p>
            <w:pPr>
              <w:spacing w:after="20" w:before="20" w:line="252" w:lineRule="auto"/>
            </w:pPr>
            <w:r/>
            <w:r>
              <w:rPr>
                <w:rFonts w:ascii="Arial" w:hAnsi="Arial"/>
                <w:b w:val="0"/>
                <w:sz w:val="17"/>
              </w:rPr>
              <w:t>Positif hanya jika manfaat eksternal dapat dipertanggungjawabkan; IRR ekonomi 16,40%</w:t>
            </w:r>
          </w:p>
        </w:tc>
      </w:tr>
      <w:tr>
        <w:trPr>
          <w:cantSplit/>
        </w:trPr>
        <w:tc>
          <w:tcPr>
            <w:tcW w:type="dxa" w:w="2941"/>
            <w:shd w:val="clear" w:color="auto" w:fill="E6ECFD"/>
            <w:vAlign w:val="center"/>
          </w:tcPr>
          <w:p>
            <w:pPr>
              <w:spacing w:after="20" w:before="20" w:line="252" w:lineRule="auto"/>
            </w:pPr>
            <w:r/>
            <w:r>
              <w:rPr>
                <w:rFonts w:ascii="Arial" w:hAnsi="Arial"/>
                <w:b/>
                <w:sz w:val="17"/>
              </w:rPr>
              <w:t>Hibah kesenjangan kelayakan (VGF)</w:t>
            </w:r>
          </w:p>
        </w:tc>
        <w:tc>
          <w:tcPr>
            <w:tcW w:type="dxa" w:w="2353"/>
            <w:shd w:val="clear" w:color="auto" w:fill="E6ECFD"/>
            <w:vAlign w:val="center"/>
          </w:tcPr>
          <w:p>
            <w:pPr>
              <w:spacing w:after="20" w:before="20" w:line="252" w:lineRule="auto"/>
            </w:pPr>
            <w:r/>
            <w:r>
              <w:rPr>
                <w:rFonts w:ascii="Arial" w:hAnsi="Arial"/>
                <w:b w:val="0"/>
                <w:sz w:val="17"/>
              </w:rPr>
              <w:t>Rp15,25 miliar</w:t>
            </w:r>
          </w:p>
        </w:tc>
        <w:tc>
          <w:tcPr>
            <w:tcW w:type="dxa" w:w="4117"/>
            <w:shd w:val="clear" w:color="auto" w:fill="E6ECFD"/>
            <w:vAlign w:val="center"/>
          </w:tcPr>
          <w:p>
            <w:pPr>
              <w:spacing w:after="20" w:before="20" w:line="252" w:lineRule="auto"/>
            </w:pPr>
            <w:r/>
            <w:r>
              <w:rPr>
                <w:rFonts w:ascii="Arial" w:hAnsi="Arial"/>
                <w:b w:val="0"/>
                <w:sz w:val="17"/>
              </w:rPr>
              <w:t>Membuat NPV investor nol; ini biaya publik dan transfer, bukan penciptaan manfaat</w:t>
            </w:r>
          </w:p>
        </w:tc>
      </w:tr>
    </w:tbl>
    <w:p>
      <w:pPr>
        <w:spacing w:after="160"/>
      </w:pPr>
      <w:r>
        <w:rPr>
          <w:rFonts w:ascii="Arial" w:hAnsi="Arial"/>
          <w:b w:val="0"/>
          <w:i/>
          <w:color w:val="051C5C"/>
          <w:sz w:val="17"/>
        </w:rPr>
        <w:t>Sumber: contoh perhitungan D2 yang dimuat dalam [K, Bab 10.5 dan Lampiran C]; faktor anuitas 10 tahun: 5,6502 pada 12% dan 6,4177 pada 9%. Ambang 9% adalah acuan umum ADB, bukan hurdle resmi Danantara.</w:t>
      </w:r>
    </w:p>
    <w:tbl>
      <w:tblPr>
        <w:tblW w:type="auto" w:w="0"/>
        <w:jc w:val="center"/>
        <w:tblLook w:firstColumn="1" w:firstRow="1" w:lastColumn="0" w:lastRow="0" w:noHBand="0" w:noVBand="1" w:val="04A0"/>
      </w:tblPr>
      <w:tblGrid>
        <w:gridCol w:w="9412"/>
      </w:tblGrid>
      <w:tr>
        <w:tc>
          <w:tcPr>
            <w:tcW w:type="dxa" w:w="9412"/>
            <w:tcBorders>
              <w:left w:val="single" w:sz="36" w:color="2251FF"/>
            </w:tcBorders>
            <w:shd w:val="clear" w:color="auto" w:fill="E6ECFD"/>
          </w:tcPr>
          <w:p>
            <w:pPr>
              <w:spacing w:after="40"/>
            </w:pPr>
            <w:r/>
            <w:r>
              <w:rPr>
                <w:rFonts w:ascii="Arial" w:hAnsi="Arial"/>
                <w:b/>
                <w:color w:val="051C5C"/>
                <w:sz w:val="21"/>
              </w:rPr>
              <w:t>Aturan keputusan yang diturunkan</w:t>
            </w:r>
          </w:p>
          <w:p>
            <w:pPr>
              <w:spacing w:after="40"/>
            </w:pPr>
            <w:r>
              <w:rPr>
                <w:rFonts w:ascii="Arial" w:hAnsi="Arial"/>
                <w:b w:val="0"/>
                <w:sz w:val="20"/>
              </w:rPr>
              <w:t>Jika NPV finansial ≥ 0 dan NPV ekonomi &gt; 0: dahulukan pendanaan komersial. Jika NPV ekonomi &gt; 0 tetapi NPV finansial &lt; 0: uji dukungan minimum yang paling murah. Jika NPV ekonomi ≤ 0: desain ulang proyek; dukungan tidak memperbaiki nilai ekonomi. Hasil ekonomi positif tidak boleh disajikan sebagai laba investor, dan hibah memperbaiki kasus investor tanpa menciptakan manfaat ekonomi [K, Bab 10.5; EXEC, slide 14].</w:t>
            </w:r>
          </w:p>
        </w:tc>
      </w:tr>
    </w:tbl>
    <w:p>
      <w:pPr>
        <w:spacing w:after="40"/>
      </w:pPr>
    </w:p>
    <w:p>
      <w:pPr>
        <w:pStyle w:val="Heading2"/>
      </w:pPr>
      <w:r>
        <w:t>4.3  Piagam proyek dan penetapan sponsor</w:t>
      </w:r>
    </w:p>
    <w:p>
      <w:pPr>
        <w:jc w:val="both"/>
      </w:pPr>
      <w:r>
        <w:rPr>
          <w:rFonts w:ascii="Arial" w:hAnsi="Arial"/>
          <w:b w:val="0"/>
        </w:rPr>
        <w:t>Piagam proyek memberi otorisasi resmi kepada manajer proyek dan menetapkan tujuan terukur, batas lingkup, anggaran dan jadwal tingkat tinggi, asumsi dan kendala, pemangku kepentingan utama, kriteria keberhasilan, serta kewenangan manajer proyek. Dalam kerangka Danantara, setiap proyek memerlukan tiga penunjukan sebelum gerbang pertama: sponsor korporasi, project director pada perusahaan pelaksana, dan organ perusahaan yang sah (kode SP, PJ, dan OG pada RASCI) [EVAL, Bagian 13]. Register 40 proyek menunjukkan betapa pentingnya hal ini: pada register kerja, seluruh 18 slot bernama berstatus "gerbang saat ini belum terverifikasi" dan 22 slot tanpa nama berstatus "tidak diketahui", sehingga nol dari 40 proyek memiliki gerbang terverifikasi [VERO, Projects 40]. Selain itu, "kemampuan operator yang disebut tidak membuktikan penunjukan proyek" [VERO, Portfolio summary].</w:t>
      </w:r>
    </w:p>
    <w:p>
      <w:pPr>
        <w:pStyle w:val="Heading2"/>
      </w:pPr>
      <w:r>
        <w:t>4.4  Menetapkan lingkup: PBS, WBS, dan batas</w:t>
      </w:r>
    </w:p>
    <w:p>
      <w:pPr>
        <w:jc w:val="both"/>
      </w:pPr>
      <w:r>
        <w:rPr>
          <w:rFonts w:ascii="Arial" w:hAnsi="Arial"/>
          <w:b w:val="0"/>
        </w:rPr>
        <w:t xml:space="preserve">Lingkup proyek adalah seluruh pekerjaan yang diperlukan, dan hanya pekerjaan yang diperlukan, untuk menghasilkan keluaran. Alat utama untuk mendefinisikannya adalah struktur rincian: </w:t>
      </w:r>
      <w:r>
        <w:rPr>
          <w:rFonts w:ascii="Arial" w:hAnsi="Arial"/>
          <w:b/>
        </w:rPr>
        <w:t>Product Breakdown Structure (PBS)</w:t>
      </w:r>
      <w:r>
        <w:rPr>
          <w:rFonts w:ascii="Arial" w:hAnsi="Arial"/>
          <w:b w:val="0"/>
        </w:rPr>
        <w:t xml:space="preserve"> yang menguraikan apa yang dibangun, </w:t>
      </w:r>
      <w:r>
        <w:rPr>
          <w:rFonts w:ascii="Arial" w:hAnsi="Arial"/>
          <w:b/>
        </w:rPr>
        <w:t>Work Breakdown Structure (WBS)</w:t>
      </w:r>
      <w:r>
        <w:rPr>
          <w:rFonts w:ascii="Arial" w:hAnsi="Arial"/>
          <w:b w:val="0"/>
        </w:rPr>
        <w:t xml:space="preserve"> yang menguraikan pekerjaan dan siapa yang bertanggung jawab, </w:t>
      </w:r>
      <w:r>
        <w:rPr>
          <w:rFonts w:ascii="Arial" w:hAnsi="Arial"/>
          <w:b/>
        </w:rPr>
        <w:t>Cost Breakdown Structure (CBS)</w:t>
      </w:r>
      <w:r>
        <w:rPr>
          <w:rFonts w:ascii="Arial" w:hAnsi="Arial"/>
          <w:b w:val="0"/>
        </w:rPr>
        <w:t xml:space="preserve"> yang mengklasifikasikan biaya, dan </w:t>
      </w:r>
      <w:r>
        <w:rPr>
          <w:rFonts w:ascii="Arial" w:hAnsi="Arial"/>
          <w:b/>
        </w:rPr>
        <w:t>Organization Breakdown Structure (OBS)</w:t>
      </w:r>
      <w:r>
        <w:rPr>
          <w:rFonts w:ascii="Arial" w:hAnsi="Arial"/>
          <w:b w:val="0"/>
        </w:rPr>
        <w:t xml:space="preserve"> yang menetapkan pemilik. Persimpangan WBS dan OBS membentuk </w:t>
      </w:r>
      <w:r>
        <w:rPr>
          <w:rFonts w:ascii="Arial" w:hAnsi="Arial"/>
          <w:b/>
        </w:rPr>
        <w:t>akun kendali</w:t>
      </w:r>
      <w:r>
        <w:rPr>
          <w:rFonts w:ascii="Arial" w:hAnsi="Arial"/>
          <w:b w:val="0"/>
        </w:rPr>
        <w:t xml:space="preserve"> (control account), tingkat di mana anggaran, jadwal, dan kemajuan dikelola dan dilaporkan; tingkat terendah WBS adalah </w:t>
      </w:r>
      <w:r>
        <w:rPr>
          <w:rFonts w:ascii="Arial" w:hAnsi="Arial"/>
          <w:b/>
        </w:rPr>
        <w:t>paket kerja</w:t>
      </w:r>
      <w:r>
        <w:rPr>
          <w:rFonts w:ascii="Arial" w:hAnsi="Arial"/>
          <w:b w:val="0"/>
        </w:rPr>
        <w:t xml:space="preserve"> yang memiliki anggaran, tanggal, dan metode pengukuran kemajuan [EPC, §3].</w:t>
      </w:r>
    </w:p>
    <w:p>
      <w:pPr>
        <w:keepNext/>
        <w:jc w:val="center"/>
      </w:pPr>
      <w:r>
        <w:drawing>
          <wp:inline xmlns:a="http://schemas.openxmlformats.org/drawingml/2006/main" xmlns:pic="http://schemas.openxmlformats.org/drawingml/2006/picture">
            <wp:extent cx="5580000" cy="3084512"/>
            <wp:docPr id="3" name="Picture 3"/>
            <wp:cNvGraphicFramePr>
              <a:graphicFrameLocks noChangeAspect="1"/>
            </wp:cNvGraphicFramePr>
            <a:graphic>
              <a:graphicData uri="http://schemas.openxmlformats.org/drawingml/2006/picture">
                <pic:pic>
                  <pic:nvPicPr>
                    <pic:cNvPr id="0" name="f_wbs.png"/>
                    <pic:cNvPicPr/>
                  </pic:nvPicPr>
                  <pic:blipFill>
                    <a:blip r:embed="rId12"/>
                    <a:stretch>
                      <a:fillRect/>
                    </a:stretch>
                  </pic:blipFill>
                  <pic:spPr>
                    <a:xfrm>
                      <a:off x="0" y="0"/>
                      <a:ext cx="5580000" cy="3084512"/>
                    </a:xfrm>
                    <a:prstGeom prst="rect"/>
                  </pic:spPr>
                </pic:pic>
              </a:graphicData>
            </a:graphic>
          </wp:inline>
        </w:drawing>
      </w:r>
    </w:p>
    <w:p>
      <w:pPr>
        <w:keepNext w:val="0"/>
        <w:spacing w:after="60"/>
      </w:pPr>
      <w:r>
        <w:rPr>
          <w:rFonts w:ascii="Arial" w:hAnsi="Arial"/>
          <w:b/>
          <w:color w:val="051C5C"/>
          <w:sz w:val="19"/>
        </w:rPr>
        <w:t xml:space="preserve">Gambar 3: </w:t>
      </w:r>
      <w:r>
        <w:rPr>
          <w:rFonts w:ascii="Arial" w:hAnsi="Arial"/>
          <w:color w:val="051C5C"/>
          <w:sz w:val="19"/>
        </w:rPr>
        <w:t>Struktur kode terpadu: PBS dan WBS bertemu pada akun kendali dan biaya</w:t>
      </w:r>
    </w:p>
    <w:p>
      <w:pPr>
        <w:spacing w:after="160"/>
      </w:pPr>
      <w:r>
        <w:rPr>
          <w:rFonts w:ascii="Arial" w:hAnsi="Arial"/>
          <w:b w:val="0"/>
          <w:i/>
          <w:color w:val="051C5C"/>
          <w:sz w:val="17"/>
        </w:rPr>
        <w:t>Sumber: diolah dari [EPC, §3 dan §4.1]; contoh kode `C.U200.PIP / U200-P-101 / MAT` dari sumber yang sama.</w:t>
      </w:r>
    </w:p>
    <w:p>
      <w:pPr>
        <w:jc w:val="both"/>
      </w:pPr>
      <w:r>
        <w:rPr>
          <w:rFonts w:ascii="Arial" w:hAnsi="Arial"/>
          <w:b w:val="0"/>
        </w:rPr>
        <w:t xml:space="preserve">Aturan praktis yang sangat penting dari alur kerja anggaran EPC: </w:t>
      </w:r>
      <w:r>
        <w:rPr>
          <w:rFonts w:ascii="Arial" w:hAnsi="Arial"/>
          <w:b/>
        </w:rPr>
        <w:t>tidak ada baris permintaan pembelian (PR) tanpa elemen WBS dan butir PBS</w:t>
      </w:r>
      <w:r>
        <w:rPr>
          <w:rFonts w:ascii="Arial" w:hAnsi="Arial"/>
          <w:b w:val="0"/>
        </w:rPr>
        <w:t>. Baris yang tidak memiliki butir pada daftar kuantitas material (MTO) menandakan celah lingkup atau estimasi [EPC, §4.1]. Dengan demikian struktur rincian bukan sekadar dokumen perencanaan, melainkan tulang punggung kendali yang kodenya berjalan tanpa berubah dari anggaran ke PR, PO, penerimaan barang, faktur, dan laporan biaya.</w:t>
      </w:r>
    </w:p>
    <w:p>
      <w:pPr>
        <w:pStyle w:val="Heading2"/>
      </w:pPr>
      <w:r>
        <w:t>4.5  Kesiapan sebelum modal: FEL, PDRI, dan klasifikasi estimasi</w:t>
      </w:r>
    </w:p>
    <w:p>
      <w:pPr>
        <w:jc w:val="both"/>
      </w:pPr>
      <w:r>
        <w:rPr>
          <w:rFonts w:ascii="Arial" w:hAnsi="Arial"/>
          <w:b w:val="0"/>
        </w:rPr>
        <w:t>Prinsip tata kelola proyek modal yang paling terbukti adalah mengerjakan pekerjaan definisi lebih awal. CII Front End Planning menguraikan fase pra-FID dan Project Definition Rating Index (PDRI) memberi skor tingkat kelengkapan definisi; semakin lengkap definisi sebelum FID, semakin kecil deviasi biaya dan jadwal pada pelaksanaan (Gibson dan Hamilton, 1994; CII). Register kerja Danantara mengusulkan sepuluh gerbang industri M0–M9 yang bertumpu pada FEL CII, kematangan estimasi AACE, dan praktik kesiapan teknologi (TRL): M1–M3 sama dengan FEL 1–3, M4 adalah FID dan penutupan keuangan, M5 EPC dan industrialisasi, M6 penyelesaian mekanis, M7 komisioning dan penerimaan kinerja, M8 rilis komersial atau regulasi, dan M9 ramp-up serta realisasi manfaat [VERO, Milestones; K, Bab 7.7].</w:t>
      </w:r>
    </w:p>
    <w:p>
      <w:pPr>
        <w:keepNext/>
        <w:jc w:val="center"/>
      </w:pPr>
      <w:r>
        <w:drawing>
          <wp:inline xmlns:a="http://schemas.openxmlformats.org/drawingml/2006/main" xmlns:pic="http://schemas.openxmlformats.org/drawingml/2006/picture">
            <wp:extent cx="5580000" cy="3094790"/>
            <wp:docPr id="4" name="Picture 4"/>
            <wp:cNvGraphicFramePr>
              <a:graphicFrameLocks noChangeAspect="1"/>
            </wp:cNvGraphicFramePr>
            <a:graphic>
              <a:graphicData uri="http://schemas.openxmlformats.org/drawingml/2006/picture">
                <pic:pic>
                  <pic:nvPicPr>
                    <pic:cNvPr id="0" name="f_aace.png"/>
                    <pic:cNvPicPr/>
                  </pic:nvPicPr>
                  <pic:blipFill>
                    <a:blip r:embed="rId13"/>
                    <a:stretch>
                      <a:fillRect/>
                    </a:stretch>
                  </pic:blipFill>
                  <pic:spPr>
                    <a:xfrm>
                      <a:off x="0" y="0"/>
                      <a:ext cx="5580000" cy="3094790"/>
                    </a:xfrm>
                    <a:prstGeom prst="rect"/>
                  </pic:spPr>
                </pic:pic>
              </a:graphicData>
            </a:graphic>
          </wp:inline>
        </w:drawing>
      </w:r>
    </w:p>
    <w:p>
      <w:pPr>
        <w:keepNext w:val="0"/>
        <w:spacing w:after="60"/>
      </w:pPr>
      <w:r>
        <w:rPr>
          <w:rFonts w:ascii="Arial" w:hAnsi="Arial"/>
          <w:b/>
          <w:color w:val="051C5C"/>
          <w:sz w:val="19"/>
        </w:rPr>
        <w:t xml:space="preserve">Gambar 4: </w:t>
      </w:r>
      <w:r>
        <w:rPr>
          <w:rFonts w:ascii="Arial" w:hAnsi="Arial"/>
          <w:color w:val="051C5C"/>
          <w:sz w:val="19"/>
        </w:rPr>
        <w:t>Kematangan definisi proyek dan rentang akurasi estimasi biaya (kelas AACE)</w:t>
      </w:r>
    </w:p>
    <w:p>
      <w:pPr>
        <w:spacing w:after="160"/>
      </w:pPr>
      <w:r>
        <w:rPr>
          <w:rFonts w:ascii="Arial" w:hAnsi="Arial"/>
          <w:b w:val="0"/>
          <w:i/>
          <w:color w:val="051C5C"/>
          <w:sz w:val="17"/>
        </w:rPr>
        <w:t>Sumber: klasifikasi estimasi AACE International RP 17R-97 dan 18R-97 (rentang tipikal untuk industri proses); pemetaan ke gerbang M adalah analisis penulis.</w:t>
      </w:r>
    </w:p>
    <w:p>
      <w:pPr>
        <w:keepNext/>
        <w:spacing w:after="60"/>
      </w:pPr>
      <w:r>
        <w:rPr>
          <w:rFonts w:ascii="Arial" w:hAnsi="Arial"/>
          <w:b/>
          <w:color w:val="051C5C"/>
          <w:sz w:val="19"/>
        </w:rPr>
        <w:t xml:space="preserve">Tabel 12: </w:t>
      </w:r>
      <w:r>
        <w:rPr>
          <w:rFonts w:ascii="Arial" w:hAnsi="Arial"/>
          <w:color w:val="051C5C"/>
          <w:sz w:val="19"/>
        </w:rPr>
        <w:t>Kelas estimasi AACE, kematangan definisi, dan penggunaan pada gerbang</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1882"/>
        <w:gridCol w:w="1882"/>
        <w:gridCol w:w="1882"/>
        <w:gridCol w:w="1882"/>
        <w:gridCol w:w="1882"/>
      </w:tblGrid>
      <w:tr>
        <w:trPr>
          <w:cantSplit/>
          <w:tblHeader/>
        </w:trPr>
        <w:tc>
          <w:tcPr>
            <w:tcW w:type="dxa" w:w="818"/>
            <w:shd w:val="clear" w:color="auto" w:fill="2251FF"/>
            <w:vAlign w:val="center"/>
          </w:tcPr>
          <w:p>
            <w:pPr>
              <w:spacing w:after="20" w:before="20" w:line="252" w:lineRule="auto"/>
            </w:pPr>
            <w:r/>
            <w:r>
              <w:rPr>
                <w:rFonts w:ascii="Arial" w:hAnsi="Arial"/>
                <w:b/>
                <w:color w:val="FFFFFF"/>
                <w:sz w:val="17"/>
              </w:rPr>
              <w:t>Kelas</w:t>
            </w:r>
          </w:p>
        </w:tc>
        <w:tc>
          <w:tcPr>
            <w:tcW w:type="dxa" w:w="1637"/>
            <w:shd w:val="clear" w:color="auto" w:fill="2251FF"/>
            <w:vAlign w:val="center"/>
          </w:tcPr>
          <w:p>
            <w:pPr>
              <w:spacing w:after="20" w:before="20" w:line="252" w:lineRule="auto"/>
            </w:pPr>
            <w:r/>
            <w:r>
              <w:rPr>
                <w:rFonts w:ascii="Arial" w:hAnsi="Arial"/>
                <w:b/>
                <w:color w:val="FFFFFF"/>
                <w:sz w:val="17"/>
              </w:rPr>
              <w:t>Kematangan definisi</w:t>
            </w:r>
          </w:p>
        </w:tc>
        <w:tc>
          <w:tcPr>
            <w:tcW w:type="dxa" w:w="2660"/>
            <w:shd w:val="clear" w:color="auto" w:fill="2251FF"/>
            <w:vAlign w:val="center"/>
          </w:tcPr>
          <w:p>
            <w:pPr>
              <w:spacing w:after="20" w:before="20" w:line="252" w:lineRule="auto"/>
            </w:pPr>
            <w:r/>
            <w:r>
              <w:rPr>
                <w:rFonts w:ascii="Arial" w:hAnsi="Arial"/>
                <w:b/>
                <w:color w:val="FFFFFF"/>
                <w:sz w:val="17"/>
              </w:rPr>
              <w:t>Rentang akurasi tipikal</w:t>
            </w:r>
          </w:p>
        </w:tc>
        <w:tc>
          <w:tcPr>
            <w:tcW w:type="dxa" w:w="2660"/>
            <w:shd w:val="clear" w:color="auto" w:fill="2251FF"/>
            <w:vAlign w:val="center"/>
          </w:tcPr>
          <w:p>
            <w:pPr>
              <w:spacing w:after="20" w:before="20" w:line="252" w:lineRule="auto"/>
            </w:pPr>
            <w:r/>
            <w:r>
              <w:rPr>
                <w:rFonts w:ascii="Arial" w:hAnsi="Arial"/>
                <w:b/>
                <w:color w:val="FFFFFF"/>
                <w:sz w:val="17"/>
              </w:rPr>
              <w:t>Penggunaan</w:t>
            </w:r>
          </w:p>
        </w:tc>
        <w:tc>
          <w:tcPr>
            <w:tcW w:type="dxa" w:w="1637"/>
            <w:shd w:val="clear" w:color="auto" w:fill="2251FF"/>
            <w:vAlign w:val="center"/>
          </w:tcPr>
          <w:p>
            <w:pPr>
              <w:spacing w:after="20" w:before="20" w:line="252" w:lineRule="auto"/>
            </w:pPr>
            <w:r/>
            <w:r>
              <w:rPr>
                <w:rFonts w:ascii="Arial" w:hAnsi="Arial"/>
                <w:b/>
                <w:color w:val="FFFFFF"/>
                <w:sz w:val="17"/>
              </w:rPr>
              <w:t>Gerbang padanan</w:t>
            </w:r>
          </w:p>
        </w:tc>
      </w:tr>
      <w:tr>
        <w:trPr>
          <w:cantSplit/>
        </w:trPr>
        <w:tc>
          <w:tcPr>
            <w:tcW w:type="dxa" w:w="818"/>
            <w:vAlign w:val="center"/>
          </w:tcPr>
          <w:p>
            <w:pPr>
              <w:spacing w:after="20" w:before="20" w:line="252" w:lineRule="auto"/>
            </w:pPr>
            <w:r/>
            <w:r>
              <w:rPr>
                <w:rFonts w:ascii="Arial" w:hAnsi="Arial"/>
                <w:b/>
                <w:sz w:val="17"/>
              </w:rPr>
              <w:t>5</w:t>
            </w:r>
          </w:p>
        </w:tc>
        <w:tc>
          <w:tcPr>
            <w:tcW w:type="dxa" w:w="1637"/>
            <w:vAlign w:val="center"/>
          </w:tcPr>
          <w:p>
            <w:pPr>
              <w:spacing w:after="20" w:before="20" w:line="252" w:lineRule="auto"/>
            </w:pPr>
            <w:r/>
            <w:r>
              <w:rPr>
                <w:rFonts w:ascii="Arial" w:hAnsi="Arial"/>
                <w:b w:val="0"/>
                <w:sz w:val="17"/>
              </w:rPr>
              <w:t>0–2%</w:t>
            </w:r>
          </w:p>
        </w:tc>
        <w:tc>
          <w:tcPr>
            <w:tcW w:type="dxa" w:w="2660"/>
            <w:vAlign w:val="center"/>
          </w:tcPr>
          <w:p>
            <w:pPr>
              <w:spacing w:after="20" w:before="20" w:line="252" w:lineRule="auto"/>
            </w:pPr>
            <w:r/>
            <w:r>
              <w:rPr>
                <w:rFonts w:ascii="Arial" w:hAnsi="Arial"/>
                <w:b w:val="0"/>
                <w:sz w:val="17"/>
              </w:rPr>
              <w:t>−20% s.d. −50% / +30% s.d. +100%</w:t>
            </w:r>
          </w:p>
        </w:tc>
        <w:tc>
          <w:tcPr>
            <w:tcW w:type="dxa" w:w="2660"/>
            <w:vAlign w:val="center"/>
          </w:tcPr>
          <w:p>
            <w:pPr>
              <w:spacing w:after="20" w:before="20" w:line="252" w:lineRule="auto"/>
            </w:pPr>
            <w:r/>
            <w:r>
              <w:rPr>
                <w:rFonts w:ascii="Arial" w:hAnsi="Arial"/>
                <w:b w:val="0"/>
                <w:sz w:val="17"/>
              </w:rPr>
              <w:t>Penapisan konsep</w:t>
            </w:r>
          </w:p>
        </w:tc>
        <w:tc>
          <w:tcPr>
            <w:tcW w:type="dxa" w:w="1637"/>
            <w:vAlign w:val="center"/>
          </w:tcPr>
          <w:p>
            <w:pPr>
              <w:spacing w:after="20" w:before="20" w:line="252" w:lineRule="auto"/>
            </w:pPr>
            <w:r/>
            <w:r>
              <w:rPr>
                <w:rFonts w:ascii="Arial" w:hAnsi="Arial"/>
                <w:b w:val="0"/>
                <w:sz w:val="17"/>
              </w:rPr>
              <w:t>M1 / P1</w:t>
            </w:r>
          </w:p>
        </w:tc>
      </w:tr>
      <w:tr>
        <w:trPr>
          <w:cantSplit/>
        </w:trPr>
        <w:tc>
          <w:tcPr>
            <w:tcW w:type="dxa" w:w="818"/>
            <w:shd w:val="clear" w:color="auto" w:fill="E6ECFD"/>
            <w:vAlign w:val="center"/>
          </w:tcPr>
          <w:p>
            <w:pPr>
              <w:spacing w:after="20" w:before="20" w:line="252" w:lineRule="auto"/>
            </w:pPr>
            <w:r/>
            <w:r>
              <w:rPr>
                <w:rFonts w:ascii="Arial" w:hAnsi="Arial"/>
                <w:b/>
                <w:sz w:val="17"/>
              </w:rPr>
              <w:t>4</w:t>
            </w:r>
          </w:p>
        </w:tc>
        <w:tc>
          <w:tcPr>
            <w:tcW w:type="dxa" w:w="1637"/>
            <w:shd w:val="clear" w:color="auto" w:fill="E6ECFD"/>
            <w:vAlign w:val="center"/>
          </w:tcPr>
          <w:p>
            <w:pPr>
              <w:spacing w:after="20" w:before="20" w:line="252" w:lineRule="auto"/>
            </w:pPr>
            <w:r/>
            <w:r>
              <w:rPr>
                <w:rFonts w:ascii="Arial" w:hAnsi="Arial"/>
                <w:b w:val="0"/>
                <w:sz w:val="17"/>
              </w:rPr>
              <w:t>1–15%</w:t>
            </w:r>
          </w:p>
        </w:tc>
        <w:tc>
          <w:tcPr>
            <w:tcW w:type="dxa" w:w="2660"/>
            <w:shd w:val="clear" w:color="auto" w:fill="E6ECFD"/>
            <w:vAlign w:val="center"/>
          </w:tcPr>
          <w:p>
            <w:pPr>
              <w:spacing w:after="20" w:before="20" w:line="252" w:lineRule="auto"/>
            </w:pPr>
            <w:r/>
            <w:r>
              <w:rPr>
                <w:rFonts w:ascii="Arial" w:hAnsi="Arial"/>
                <w:b w:val="0"/>
                <w:sz w:val="17"/>
              </w:rPr>
              <w:t>−15% s.d. −30% / +20% s.d. +50%</w:t>
            </w:r>
          </w:p>
        </w:tc>
        <w:tc>
          <w:tcPr>
            <w:tcW w:type="dxa" w:w="2660"/>
            <w:shd w:val="clear" w:color="auto" w:fill="E6ECFD"/>
            <w:vAlign w:val="center"/>
          </w:tcPr>
          <w:p>
            <w:pPr>
              <w:spacing w:after="20" w:before="20" w:line="252" w:lineRule="auto"/>
            </w:pPr>
            <w:r/>
            <w:r>
              <w:rPr>
                <w:rFonts w:ascii="Arial" w:hAnsi="Arial"/>
                <w:b w:val="0"/>
                <w:sz w:val="17"/>
              </w:rPr>
              <w:t>Studi kelayakan, alokasi anggaran awal</w:t>
            </w:r>
          </w:p>
        </w:tc>
        <w:tc>
          <w:tcPr>
            <w:tcW w:type="dxa" w:w="1637"/>
            <w:shd w:val="clear" w:color="auto" w:fill="E6ECFD"/>
            <w:vAlign w:val="center"/>
          </w:tcPr>
          <w:p>
            <w:pPr>
              <w:spacing w:after="20" w:before="20" w:line="252" w:lineRule="auto"/>
            </w:pPr>
            <w:r/>
            <w:r>
              <w:rPr>
                <w:rFonts w:ascii="Arial" w:hAnsi="Arial"/>
                <w:b w:val="0"/>
                <w:sz w:val="17"/>
              </w:rPr>
              <w:t>M2 / P2</w:t>
            </w:r>
          </w:p>
        </w:tc>
      </w:tr>
      <w:tr>
        <w:trPr>
          <w:cantSplit/>
        </w:trPr>
        <w:tc>
          <w:tcPr>
            <w:tcW w:type="dxa" w:w="818"/>
            <w:vAlign w:val="center"/>
          </w:tcPr>
          <w:p>
            <w:pPr>
              <w:spacing w:after="20" w:before="20" w:line="252" w:lineRule="auto"/>
            </w:pPr>
            <w:r/>
            <w:r>
              <w:rPr>
                <w:rFonts w:ascii="Arial" w:hAnsi="Arial"/>
                <w:b/>
                <w:sz w:val="17"/>
              </w:rPr>
              <w:t>3</w:t>
            </w:r>
          </w:p>
        </w:tc>
        <w:tc>
          <w:tcPr>
            <w:tcW w:type="dxa" w:w="1637"/>
            <w:vAlign w:val="center"/>
          </w:tcPr>
          <w:p>
            <w:pPr>
              <w:spacing w:after="20" w:before="20" w:line="252" w:lineRule="auto"/>
            </w:pPr>
            <w:r/>
            <w:r>
              <w:rPr>
                <w:rFonts w:ascii="Arial" w:hAnsi="Arial"/>
                <w:b w:val="0"/>
                <w:sz w:val="17"/>
              </w:rPr>
              <w:t>10–40%</w:t>
            </w:r>
          </w:p>
        </w:tc>
        <w:tc>
          <w:tcPr>
            <w:tcW w:type="dxa" w:w="2660"/>
            <w:vAlign w:val="center"/>
          </w:tcPr>
          <w:p>
            <w:pPr>
              <w:spacing w:after="20" w:before="20" w:line="252" w:lineRule="auto"/>
            </w:pPr>
            <w:r/>
            <w:r>
              <w:rPr>
                <w:rFonts w:ascii="Arial" w:hAnsi="Arial"/>
                <w:b w:val="0"/>
                <w:sz w:val="17"/>
              </w:rPr>
              <w:t>−10% s.d. −20% / +10% s.d. +30%</w:t>
            </w:r>
          </w:p>
        </w:tc>
        <w:tc>
          <w:tcPr>
            <w:tcW w:type="dxa" w:w="2660"/>
            <w:vAlign w:val="center"/>
          </w:tcPr>
          <w:p>
            <w:pPr>
              <w:spacing w:after="20" w:before="20" w:line="252" w:lineRule="auto"/>
            </w:pPr>
            <w:r/>
            <w:r>
              <w:rPr>
                <w:rFonts w:ascii="Arial" w:hAnsi="Arial"/>
                <w:b w:val="0"/>
                <w:sz w:val="17"/>
              </w:rPr>
              <w:t>Otorisasi anggaran, kontrol awal</w:t>
            </w:r>
          </w:p>
        </w:tc>
        <w:tc>
          <w:tcPr>
            <w:tcW w:type="dxa" w:w="1637"/>
            <w:vAlign w:val="center"/>
          </w:tcPr>
          <w:p>
            <w:pPr>
              <w:spacing w:after="20" w:before="20" w:line="252" w:lineRule="auto"/>
            </w:pPr>
            <w:r/>
            <w:r>
              <w:rPr>
                <w:rFonts w:ascii="Arial" w:hAnsi="Arial"/>
                <w:b w:val="0"/>
                <w:sz w:val="17"/>
              </w:rPr>
              <w:t>M3 / P2–P3</w:t>
            </w:r>
          </w:p>
        </w:tc>
      </w:tr>
      <w:tr>
        <w:trPr>
          <w:cantSplit/>
        </w:trPr>
        <w:tc>
          <w:tcPr>
            <w:tcW w:type="dxa" w:w="818"/>
            <w:shd w:val="clear" w:color="auto" w:fill="E6ECFD"/>
            <w:vAlign w:val="center"/>
          </w:tcPr>
          <w:p>
            <w:pPr>
              <w:spacing w:after="20" w:before="20" w:line="252" w:lineRule="auto"/>
            </w:pPr>
            <w:r/>
            <w:r>
              <w:rPr>
                <w:rFonts w:ascii="Arial" w:hAnsi="Arial"/>
                <w:b/>
                <w:sz w:val="17"/>
              </w:rPr>
              <w:t>2</w:t>
            </w:r>
          </w:p>
        </w:tc>
        <w:tc>
          <w:tcPr>
            <w:tcW w:type="dxa" w:w="1637"/>
            <w:shd w:val="clear" w:color="auto" w:fill="E6ECFD"/>
            <w:vAlign w:val="center"/>
          </w:tcPr>
          <w:p>
            <w:pPr>
              <w:spacing w:after="20" w:before="20" w:line="252" w:lineRule="auto"/>
            </w:pPr>
            <w:r/>
            <w:r>
              <w:rPr>
                <w:rFonts w:ascii="Arial" w:hAnsi="Arial"/>
                <w:b w:val="0"/>
                <w:sz w:val="17"/>
              </w:rPr>
              <w:t>30–75%</w:t>
            </w:r>
          </w:p>
        </w:tc>
        <w:tc>
          <w:tcPr>
            <w:tcW w:type="dxa" w:w="2660"/>
            <w:shd w:val="clear" w:color="auto" w:fill="E6ECFD"/>
            <w:vAlign w:val="center"/>
          </w:tcPr>
          <w:p>
            <w:pPr>
              <w:spacing w:after="20" w:before="20" w:line="252" w:lineRule="auto"/>
            </w:pPr>
            <w:r/>
            <w:r>
              <w:rPr>
                <w:rFonts w:ascii="Arial" w:hAnsi="Arial"/>
                <w:b w:val="0"/>
                <w:sz w:val="17"/>
              </w:rPr>
              <w:t>−5% s.d. −15% / +5% s.d. +20%</w:t>
            </w:r>
          </w:p>
        </w:tc>
        <w:tc>
          <w:tcPr>
            <w:tcW w:type="dxa" w:w="2660"/>
            <w:shd w:val="clear" w:color="auto" w:fill="E6ECFD"/>
            <w:vAlign w:val="center"/>
          </w:tcPr>
          <w:p>
            <w:pPr>
              <w:spacing w:after="20" w:before="20" w:line="252" w:lineRule="auto"/>
            </w:pPr>
            <w:r/>
            <w:r>
              <w:rPr>
                <w:rFonts w:ascii="Arial" w:hAnsi="Arial"/>
                <w:b w:val="0"/>
                <w:sz w:val="17"/>
              </w:rPr>
              <w:t>Anggaran kendali, tender</w:t>
            </w:r>
          </w:p>
        </w:tc>
        <w:tc>
          <w:tcPr>
            <w:tcW w:type="dxa" w:w="1637"/>
            <w:shd w:val="clear" w:color="auto" w:fill="E6ECFD"/>
            <w:vAlign w:val="center"/>
          </w:tcPr>
          <w:p>
            <w:pPr>
              <w:spacing w:after="20" w:before="20" w:line="252" w:lineRule="auto"/>
            </w:pPr>
            <w:r/>
            <w:r>
              <w:rPr>
                <w:rFonts w:ascii="Arial" w:hAnsi="Arial"/>
                <w:b w:val="0"/>
                <w:sz w:val="17"/>
              </w:rPr>
              <w:t>M4 / P3–P4</w:t>
            </w:r>
          </w:p>
        </w:tc>
      </w:tr>
      <w:tr>
        <w:trPr>
          <w:cantSplit/>
        </w:trPr>
        <w:tc>
          <w:tcPr>
            <w:tcW w:type="dxa" w:w="818"/>
            <w:vAlign w:val="center"/>
          </w:tcPr>
          <w:p>
            <w:pPr>
              <w:spacing w:after="20" w:before="20" w:line="252" w:lineRule="auto"/>
            </w:pPr>
            <w:r/>
            <w:r>
              <w:rPr>
                <w:rFonts w:ascii="Arial" w:hAnsi="Arial"/>
                <w:b/>
                <w:sz w:val="17"/>
              </w:rPr>
              <w:t>1</w:t>
            </w:r>
          </w:p>
        </w:tc>
        <w:tc>
          <w:tcPr>
            <w:tcW w:type="dxa" w:w="1637"/>
            <w:vAlign w:val="center"/>
          </w:tcPr>
          <w:p>
            <w:pPr>
              <w:spacing w:after="20" w:before="20" w:line="252" w:lineRule="auto"/>
            </w:pPr>
            <w:r/>
            <w:r>
              <w:rPr>
                <w:rFonts w:ascii="Arial" w:hAnsi="Arial"/>
                <w:b w:val="0"/>
                <w:sz w:val="17"/>
              </w:rPr>
              <w:t>65–100%</w:t>
            </w:r>
          </w:p>
        </w:tc>
        <w:tc>
          <w:tcPr>
            <w:tcW w:type="dxa" w:w="2660"/>
            <w:vAlign w:val="center"/>
          </w:tcPr>
          <w:p>
            <w:pPr>
              <w:spacing w:after="20" w:before="20" w:line="252" w:lineRule="auto"/>
            </w:pPr>
            <w:r/>
            <w:r>
              <w:rPr>
                <w:rFonts w:ascii="Arial" w:hAnsi="Arial"/>
                <w:b w:val="0"/>
                <w:sz w:val="17"/>
              </w:rPr>
              <w:t>−3% s.d. −10% / +3% s.d. +15%</w:t>
            </w:r>
          </w:p>
        </w:tc>
        <w:tc>
          <w:tcPr>
            <w:tcW w:type="dxa" w:w="2660"/>
            <w:vAlign w:val="center"/>
          </w:tcPr>
          <w:p>
            <w:pPr>
              <w:spacing w:after="20" w:before="20" w:line="252" w:lineRule="auto"/>
            </w:pPr>
            <w:r/>
            <w:r>
              <w:rPr>
                <w:rFonts w:ascii="Arial" w:hAnsi="Arial"/>
                <w:b w:val="0"/>
                <w:sz w:val="17"/>
              </w:rPr>
              <w:t>Verifikasi dan klaim, estimasi cek</w:t>
            </w:r>
          </w:p>
        </w:tc>
        <w:tc>
          <w:tcPr>
            <w:tcW w:type="dxa" w:w="1637"/>
            <w:vAlign w:val="center"/>
          </w:tcPr>
          <w:p>
            <w:pPr>
              <w:spacing w:after="20" w:before="20" w:line="252" w:lineRule="auto"/>
            </w:pPr>
            <w:r/>
            <w:r>
              <w:rPr>
                <w:rFonts w:ascii="Arial" w:hAnsi="Arial"/>
                <w:b w:val="0"/>
                <w:sz w:val="17"/>
              </w:rPr>
              <w:t>M5–M6 / P4</w:t>
            </w:r>
          </w:p>
        </w:tc>
      </w:tr>
    </w:tbl>
    <w:p>
      <w:pPr>
        <w:spacing w:after="160"/>
      </w:pPr>
      <w:r>
        <w:rPr>
          <w:rFonts w:ascii="Arial" w:hAnsi="Arial"/>
          <w:b w:val="0"/>
          <w:i/>
          <w:color w:val="051C5C"/>
          <w:sz w:val="17"/>
        </w:rPr>
        <w:t>Sumber: AACE International (1997; 2005), rentang tipikal. Rentang aktual bergantung pada industri, teknologi, dan kualitas proses estimasi.</w:t>
      </w:r>
    </w:p>
    <w:p>
      <w:pPr>
        <w:jc w:val="both"/>
      </w:pPr>
      <w:r>
        <w:rPr>
          <w:rFonts w:ascii="Arial" w:hAnsi="Arial"/>
          <w:b w:val="0"/>
        </w:rPr>
        <w:t xml:space="preserve">Dua catatan kritis dari register Danantara. Pertama, "alokasi 15%" pada kolom perencanaan register diperlakukan sebagai asumsi skenario analis, "bukan kontingensi yang disetujui, inflasi, P90, atau rentang akurasi AACE", dan anggaran sumber tidak dapat diasumsikan memenuhi kelas AACE tertentu [VERO, Portfolio summary dan Milestones]. Kedua, kasus PLTS 100 GW menunjukkan akibat batas biaya yang kabur: register mencatat Rp231,4 triliun sedangkan pernyataan resmi menyebut Rp1.130 triliun, rasio 4,88 kali; selisih itu "belum dapat disebut cost overrun" karena satuan, kapasitas (GW atau GWp), dan cakupan (jaringan dan penyimpanan) belum dikonfirmasi [EXEC, slide 17, 23]. Inilah contoh baku mengapa </w:t>
      </w:r>
      <w:r>
        <w:rPr>
          <w:rFonts w:ascii="Arial" w:hAnsi="Arial"/>
          <w:b/>
        </w:rPr>
        <w:t>batas lingkup dan basis estimasi harus ditetapkan sebelum angka dipakai sebagai plafon</w:t>
      </w:r>
      <w:r>
        <w:rPr>
          <w:rFonts w:ascii="Arial" w:hAnsi="Arial"/>
          <w:b w:val="0"/>
        </w:rPr>
        <w:t>.</w:t>
      </w:r>
    </w:p>
    <w:p>
      <w:pPr>
        <w:pStyle w:val="Heading2"/>
      </w:pPr>
      <w:r>
        <w:t>4.6  Daftar periksa kesiapan investasi (gerbang P2)</w:t>
      </w:r>
    </w:p>
    <w:p>
      <w:pPr>
        <w:keepNext/>
        <w:spacing w:after="60"/>
      </w:pPr>
      <w:r>
        <w:rPr>
          <w:rFonts w:ascii="Arial" w:hAnsi="Arial"/>
          <w:b/>
          <w:color w:val="051C5C"/>
          <w:sz w:val="19"/>
        </w:rPr>
        <w:t xml:space="preserve">Tabel 13: </w:t>
      </w:r>
      <w:r>
        <w:rPr>
          <w:rFonts w:ascii="Arial" w:hAnsi="Arial"/>
          <w:color w:val="051C5C"/>
          <w:sz w:val="19"/>
        </w:rPr>
        <w:t>Daftar periksa kesiapan sebelum keputusan modal</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1372"/>
            <w:shd w:val="clear" w:color="auto" w:fill="2251FF"/>
            <w:vAlign w:val="center"/>
          </w:tcPr>
          <w:p>
            <w:pPr>
              <w:spacing w:after="20" w:before="20" w:line="252" w:lineRule="auto"/>
            </w:pPr>
            <w:r/>
            <w:r>
              <w:rPr>
                <w:rFonts w:ascii="Arial" w:hAnsi="Arial"/>
                <w:b/>
                <w:color w:val="FFFFFF"/>
                <w:sz w:val="17"/>
              </w:rPr>
              <w:t>Dimensi</w:t>
            </w:r>
          </w:p>
        </w:tc>
        <w:tc>
          <w:tcPr>
            <w:tcW w:type="dxa" w:w="4902"/>
            <w:shd w:val="clear" w:color="auto" w:fill="2251FF"/>
            <w:vAlign w:val="center"/>
          </w:tcPr>
          <w:p>
            <w:pPr>
              <w:spacing w:after="20" w:before="20" w:line="252" w:lineRule="auto"/>
            </w:pPr>
            <w:r/>
            <w:r>
              <w:rPr>
                <w:rFonts w:ascii="Arial" w:hAnsi="Arial"/>
                <w:b/>
                <w:color w:val="FFFFFF"/>
                <w:sz w:val="17"/>
              </w:rPr>
              <w:t>Pertanyaan uji</w:t>
            </w:r>
          </w:p>
        </w:tc>
        <w:tc>
          <w:tcPr>
            <w:tcW w:type="dxa" w:w="3137"/>
            <w:shd w:val="clear" w:color="auto" w:fill="2251FF"/>
            <w:vAlign w:val="center"/>
          </w:tcPr>
          <w:p>
            <w:pPr>
              <w:spacing w:after="20" w:before="20" w:line="252" w:lineRule="auto"/>
            </w:pPr>
            <w:r/>
            <w:r>
              <w:rPr>
                <w:rFonts w:ascii="Arial" w:hAnsi="Arial"/>
                <w:b/>
                <w:color w:val="FFFFFF"/>
                <w:sz w:val="17"/>
              </w:rPr>
              <w:t>Bukti</w:t>
            </w:r>
          </w:p>
        </w:tc>
      </w:tr>
      <w:tr>
        <w:trPr>
          <w:cantSplit/>
        </w:trPr>
        <w:tc>
          <w:tcPr>
            <w:tcW w:type="dxa" w:w="1372"/>
            <w:vAlign w:val="center"/>
          </w:tcPr>
          <w:p>
            <w:pPr>
              <w:spacing w:after="20" w:before="20" w:line="252" w:lineRule="auto"/>
            </w:pPr>
            <w:r/>
            <w:r>
              <w:rPr>
                <w:rFonts w:ascii="Arial" w:hAnsi="Arial"/>
                <w:b/>
                <w:sz w:val="17"/>
              </w:rPr>
              <w:t>Lingkup</w:t>
            </w:r>
          </w:p>
        </w:tc>
        <w:tc>
          <w:tcPr>
            <w:tcW w:type="dxa" w:w="4902"/>
            <w:vAlign w:val="center"/>
          </w:tcPr>
          <w:p>
            <w:pPr>
              <w:spacing w:after="20" w:before="20" w:line="252" w:lineRule="auto"/>
            </w:pPr>
            <w:r/>
            <w:r>
              <w:rPr>
                <w:rFonts w:ascii="Arial" w:hAnsi="Arial"/>
                <w:b w:val="0"/>
                <w:sz w:val="17"/>
              </w:rPr>
              <w:t>Apakah PBS/WBS, batas, dan antarmuka terdefinisi? Apa yang dikecualikan?</w:t>
            </w:r>
          </w:p>
        </w:tc>
        <w:tc>
          <w:tcPr>
            <w:tcW w:type="dxa" w:w="3137"/>
            <w:vAlign w:val="center"/>
          </w:tcPr>
          <w:p>
            <w:pPr>
              <w:spacing w:after="20" w:before="20" w:line="252" w:lineRule="auto"/>
            </w:pPr>
            <w:r/>
            <w:r>
              <w:rPr>
                <w:rFonts w:ascii="Arial" w:hAnsi="Arial"/>
                <w:b w:val="0"/>
                <w:sz w:val="17"/>
              </w:rPr>
              <w:t>Dokumen lingkup, matriks antarmuka</w:t>
            </w:r>
          </w:p>
        </w:tc>
      </w:tr>
      <w:tr>
        <w:trPr>
          <w:cantSplit/>
        </w:trPr>
        <w:tc>
          <w:tcPr>
            <w:tcW w:type="dxa" w:w="1372"/>
            <w:shd w:val="clear" w:color="auto" w:fill="E6ECFD"/>
            <w:vAlign w:val="center"/>
          </w:tcPr>
          <w:p>
            <w:pPr>
              <w:spacing w:after="20" w:before="20" w:line="252" w:lineRule="auto"/>
            </w:pPr>
            <w:r/>
            <w:r>
              <w:rPr>
                <w:rFonts w:ascii="Arial" w:hAnsi="Arial"/>
                <w:b/>
                <w:sz w:val="17"/>
              </w:rPr>
              <w:t>Teknologi</w:t>
            </w:r>
          </w:p>
        </w:tc>
        <w:tc>
          <w:tcPr>
            <w:tcW w:type="dxa" w:w="4902"/>
            <w:shd w:val="clear" w:color="auto" w:fill="E6ECFD"/>
            <w:vAlign w:val="center"/>
          </w:tcPr>
          <w:p>
            <w:pPr>
              <w:spacing w:after="20" w:before="20" w:line="252" w:lineRule="auto"/>
            </w:pPr>
            <w:r/>
            <w:r>
              <w:rPr>
                <w:rFonts w:ascii="Arial" w:hAnsi="Arial"/>
                <w:b w:val="0"/>
                <w:sz w:val="17"/>
              </w:rPr>
              <w:t>Apakah TRL memadai? Siapa pemilik HKI? Apakah uji coba skala menunjukkan hasil?</w:t>
            </w:r>
          </w:p>
        </w:tc>
        <w:tc>
          <w:tcPr>
            <w:tcW w:type="dxa" w:w="3137"/>
            <w:shd w:val="clear" w:color="auto" w:fill="E6ECFD"/>
            <w:vAlign w:val="center"/>
          </w:tcPr>
          <w:p>
            <w:pPr>
              <w:spacing w:after="20" w:before="20" w:line="252" w:lineRule="auto"/>
            </w:pPr>
            <w:r/>
            <w:r>
              <w:rPr>
                <w:rFonts w:ascii="Arial" w:hAnsi="Arial"/>
                <w:b w:val="0"/>
                <w:sz w:val="17"/>
              </w:rPr>
              <w:t>Laporan teknologi independen (CTO), hasil pilot</w:t>
            </w:r>
          </w:p>
        </w:tc>
      </w:tr>
      <w:tr>
        <w:trPr>
          <w:cantSplit/>
        </w:trPr>
        <w:tc>
          <w:tcPr>
            <w:tcW w:type="dxa" w:w="1372"/>
            <w:vAlign w:val="center"/>
          </w:tcPr>
          <w:p>
            <w:pPr>
              <w:spacing w:after="20" w:before="20" w:line="252" w:lineRule="auto"/>
            </w:pPr>
            <w:r/>
            <w:r>
              <w:rPr>
                <w:rFonts w:ascii="Arial" w:hAnsi="Arial"/>
                <w:b/>
                <w:sz w:val="17"/>
              </w:rPr>
              <w:t>Biaya</w:t>
            </w:r>
          </w:p>
        </w:tc>
        <w:tc>
          <w:tcPr>
            <w:tcW w:type="dxa" w:w="4902"/>
            <w:vAlign w:val="center"/>
          </w:tcPr>
          <w:p>
            <w:pPr>
              <w:spacing w:after="20" w:before="20" w:line="252" w:lineRule="auto"/>
            </w:pPr>
            <w:r/>
            <w:r>
              <w:rPr>
                <w:rFonts w:ascii="Arial" w:hAnsi="Arial"/>
                <w:b w:val="0"/>
                <w:sz w:val="17"/>
              </w:rPr>
              <w:t>Kelas estimasi, basis, kontingensi berbasis risiko, eskalasi dan kurs</w:t>
            </w:r>
          </w:p>
        </w:tc>
        <w:tc>
          <w:tcPr>
            <w:tcW w:type="dxa" w:w="3137"/>
            <w:vAlign w:val="center"/>
          </w:tcPr>
          <w:p>
            <w:pPr>
              <w:spacing w:after="20" w:before="20" w:line="252" w:lineRule="auto"/>
            </w:pPr>
            <w:r/>
            <w:r>
              <w:rPr>
                <w:rFonts w:ascii="Arial" w:hAnsi="Arial"/>
                <w:b w:val="0"/>
                <w:sz w:val="17"/>
              </w:rPr>
              <w:t>Estimasi kelas 3 atau lebih tinggi, register risiko</w:t>
            </w:r>
          </w:p>
        </w:tc>
      </w:tr>
      <w:tr>
        <w:trPr>
          <w:cantSplit/>
        </w:trPr>
        <w:tc>
          <w:tcPr>
            <w:tcW w:type="dxa" w:w="1372"/>
            <w:shd w:val="clear" w:color="auto" w:fill="E6ECFD"/>
            <w:vAlign w:val="center"/>
          </w:tcPr>
          <w:p>
            <w:pPr>
              <w:spacing w:after="20" w:before="20" w:line="252" w:lineRule="auto"/>
            </w:pPr>
            <w:r/>
            <w:r>
              <w:rPr>
                <w:rFonts w:ascii="Arial" w:hAnsi="Arial"/>
                <w:b/>
                <w:sz w:val="17"/>
              </w:rPr>
              <w:t>Jadwal</w:t>
            </w:r>
          </w:p>
        </w:tc>
        <w:tc>
          <w:tcPr>
            <w:tcW w:type="dxa" w:w="4902"/>
            <w:shd w:val="clear" w:color="auto" w:fill="E6ECFD"/>
            <w:vAlign w:val="center"/>
          </w:tcPr>
          <w:p>
            <w:pPr>
              <w:spacing w:after="20" w:before="20" w:line="252" w:lineRule="auto"/>
            </w:pPr>
            <w:r/>
            <w:r>
              <w:rPr>
                <w:rFonts w:ascii="Arial" w:hAnsi="Arial"/>
                <w:b w:val="0"/>
                <w:sz w:val="17"/>
              </w:rPr>
              <w:t>Jadwal dasar dengan jalur kritis, item lead time panjang, dan perizinan</w:t>
            </w:r>
          </w:p>
        </w:tc>
        <w:tc>
          <w:tcPr>
            <w:tcW w:type="dxa" w:w="3137"/>
            <w:shd w:val="clear" w:color="auto" w:fill="E6ECFD"/>
            <w:vAlign w:val="center"/>
          </w:tcPr>
          <w:p>
            <w:pPr>
              <w:spacing w:after="20" w:before="20" w:line="252" w:lineRule="auto"/>
            </w:pPr>
            <w:r/>
            <w:r>
              <w:rPr>
                <w:rFonts w:ascii="Arial" w:hAnsi="Arial"/>
                <w:b w:val="0"/>
                <w:sz w:val="17"/>
              </w:rPr>
              <w:t>Jadwal induk, analisis risiko jadwal</w:t>
            </w:r>
          </w:p>
        </w:tc>
      </w:tr>
      <w:tr>
        <w:trPr>
          <w:cantSplit/>
        </w:trPr>
        <w:tc>
          <w:tcPr>
            <w:tcW w:type="dxa" w:w="1372"/>
            <w:vAlign w:val="center"/>
          </w:tcPr>
          <w:p>
            <w:pPr>
              <w:spacing w:after="20" w:before="20" w:line="252" w:lineRule="auto"/>
            </w:pPr>
            <w:r/>
            <w:r>
              <w:rPr>
                <w:rFonts w:ascii="Arial" w:hAnsi="Arial"/>
                <w:b/>
                <w:sz w:val="17"/>
              </w:rPr>
              <w:t>Lahan dan izin</w:t>
            </w:r>
          </w:p>
        </w:tc>
        <w:tc>
          <w:tcPr>
            <w:tcW w:type="dxa" w:w="4902"/>
            <w:vAlign w:val="center"/>
          </w:tcPr>
          <w:p>
            <w:pPr>
              <w:spacing w:after="20" w:before="20" w:line="252" w:lineRule="auto"/>
            </w:pPr>
            <w:r/>
            <w:r>
              <w:rPr>
                <w:rFonts w:ascii="Arial" w:hAnsi="Arial"/>
                <w:b w:val="0"/>
                <w:sz w:val="17"/>
              </w:rPr>
              <w:t>Pembebasan lahan, AMDAL/ESIA, perizinan teknis dan lingkungan</w:t>
            </w:r>
          </w:p>
        </w:tc>
        <w:tc>
          <w:tcPr>
            <w:tcW w:type="dxa" w:w="3137"/>
            <w:vAlign w:val="center"/>
          </w:tcPr>
          <w:p>
            <w:pPr>
              <w:spacing w:after="20" w:before="20" w:line="252" w:lineRule="auto"/>
            </w:pPr>
            <w:r/>
            <w:r>
              <w:rPr>
                <w:rFonts w:ascii="Arial" w:hAnsi="Arial"/>
                <w:b w:val="0"/>
                <w:sz w:val="17"/>
              </w:rPr>
              <w:t>Status izin, rencana pembebasan</w:t>
            </w:r>
          </w:p>
        </w:tc>
      </w:tr>
      <w:tr>
        <w:trPr>
          <w:cantSplit/>
        </w:trPr>
        <w:tc>
          <w:tcPr>
            <w:tcW w:type="dxa" w:w="1372"/>
            <w:shd w:val="clear" w:color="auto" w:fill="E6ECFD"/>
            <w:vAlign w:val="center"/>
          </w:tcPr>
          <w:p>
            <w:pPr>
              <w:spacing w:after="20" w:before="20" w:line="252" w:lineRule="auto"/>
            </w:pPr>
            <w:r/>
            <w:r>
              <w:rPr>
                <w:rFonts w:ascii="Arial" w:hAnsi="Arial"/>
                <w:b/>
                <w:sz w:val="17"/>
              </w:rPr>
              <w:t>Pasar dan offtake</w:t>
            </w:r>
          </w:p>
        </w:tc>
        <w:tc>
          <w:tcPr>
            <w:tcW w:type="dxa" w:w="4902"/>
            <w:shd w:val="clear" w:color="auto" w:fill="E6ECFD"/>
            <w:vAlign w:val="center"/>
          </w:tcPr>
          <w:p>
            <w:pPr>
              <w:spacing w:after="20" w:before="20" w:line="252" w:lineRule="auto"/>
            </w:pPr>
            <w:r/>
            <w:r>
              <w:rPr>
                <w:rFonts w:ascii="Arial" w:hAnsi="Arial"/>
                <w:b w:val="0"/>
                <w:sz w:val="17"/>
              </w:rPr>
              <w:t>Kontrak jual beli, permintaan, harga, kredit pembeli</w:t>
            </w:r>
          </w:p>
        </w:tc>
        <w:tc>
          <w:tcPr>
            <w:tcW w:type="dxa" w:w="3137"/>
            <w:shd w:val="clear" w:color="auto" w:fill="E6ECFD"/>
            <w:vAlign w:val="center"/>
          </w:tcPr>
          <w:p>
            <w:pPr>
              <w:spacing w:after="20" w:before="20" w:line="252" w:lineRule="auto"/>
            </w:pPr>
            <w:r/>
            <w:r>
              <w:rPr>
                <w:rFonts w:ascii="Arial" w:hAnsi="Arial"/>
                <w:b w:val="0"/>
                <w:sz w:val="17"/>
              </w:rPr>
              <w:t>PPA, kontrak offtake, studi pasar</w:t>
            </w:r>
          </w:p>
        </w:tc>
      </w:tr>
      <w:tr>
        <w:trPr>
          <w:cantSplit/>
        </w:trPr>
        <w:tc>
          <w:tcPr>
            <w:tcW w:type="dxa" w:w="1372"/>
            <w:vAlign w:val="center"/>
          </w:tcPr>
          <w:p>
            <w:pPr>
              <w:spacing w:after="20" w:before="20" w:line="252" w:lineRule="auto"/>
            </w:pPr>
            <w:r/>
            <w:r>
              <w:rPr>
                <w:rFonts w:ascii="Arial" w:hAnsi="Arial"/>
                <w:b/>
                <w:sz w:val="17"/>
              </w:rPr>
              <w:t>Pendanaan</w:t>
            </w:r>
          </w:p>
        </w:tc>
        <w:tc>
          <w:tcPr>
            <w:tcW w:type="dxa" w:w="4902"/>
            <w:vAlign w:val="center"/>
          </w:tcPr>
          <w:p>
            <w:pPr>
              <w:spacing w:after="20" w:before="20" w:line="252" w:lineRule="auto"/>
            </w:pPr>
            <w:r/>
            <w:r>
              <w:rPr>
                <w:rFonts w:ascii="Arial" w:hAnsi="Arial"/>
                <w:b w:val="0"/>
                <w:sz w:val="17"/>
              </w:rPr>
              <w:t>Sumber modal, struktur ekuitas dan utang, dukungan fiskal</w:t>
            </w:r>
          </w:p>
        </w:tc>
        <w:tc>
          <w:tcPr>
            <w:tcW w:type="dxa" w:w="3137"/>
            <w:vAlign w:val="center"/>
          </w:tcPr>
          <w:p>
            <w:pPr>
              <w:spacing w:after="20" w:before="20" w:line="252" w:lineRule="auto"/>
            </w:pPr>
            <w:r/>
            <w:r>
              <w:rPr>
                <w:rFonts w:ascii="Arial" w:hAnsi="Arial"/>
                <w:b w:val="0"/>
                <w:sz w:val="17"/>
              </w:rPr>
              <w:t>Term sheet, rencana pendanaan, uji kapasitas</w:t>
            </w:r>
          </w:p>
        </w:tc>
      </w:tr>
      <w:tr>
        <w:trPr>
          <w:cantSplit/>
        </w:trPr>
        <w:tc>
          <w:tcPr>
            <w:tcW w:type="dxa" w:w="1372"/>
            <w:shd w:val="clear" w:color="auto" w:fill="E6ECFD"/>
            <w:vAlign w:val="center"/>
          </w:tcPr>
          <w:p>
            <w:pPr>
              <w:spacing w:after="20" w:before="20" w:line="252" w:lineRule="auto"/>
            </w:pPr>
            <w:r/>
            <w:r>
              <w:rPr>
                <w:rFonts w:ascii="Arial" w:hAnsi="Arial"/>
                <w:b/>
                <w:sz w:val="17"/>
              </w:rPr>
              <w:t>Lokalisasi</w:t>
            </w:r>
          </w:p>
        </w:tc>
        <w:tc>
          <w:tcPr>
            <w:tcW w:type="dxa" w:w="4902"/>
            <w:shd w:val="clear" w:color="auto" w:fill="E6ECFD"/>
            <w:vAlign w:val="center"/>
          </w:tcPr>
          <w:p>
            <w:pPr>
              <w:spacing w:after="20" w:before="20" w:line="252" w:lineRule="auto"/>
            </w:pPr>
            <w:r/>
            <w:r>
              <w:rPr>
                <w:rFonts w:ascii="Arial" w:hAnsi="Arial"/>
                <w:b w:val="0"/>
                <w:sz w:val="17"/>
              </w:rPr>
              <w:t>Rencana lokalisasi: paket yang dapat dilokalisasi, calon pemasok, target gerbang S</w:t>
            </w:r>
          </w:p>
        </w:tc>
        <w:tc>
          <w:tcPr>
            <w:tcW w:type="dxa" w:w="3137"/>
            <w:shd w:val="clear" w:color="auto" w:fill="E6ECFD"/>
            <w:vAlign w:val="center"/>
          </w:tcPr>
          <w:p>
            <w:pPr>
              <w:spacing w:after="20" w:before="20" w:line="252" w:lineRule="auto"/>
            </w:pPr>
            <w:r/>
            <w:r>
              <w:rPr>
                <w:rFonts w:ascii="Arial" w:hAnsi="Arial"/>
                <w:b w:val="0"/>
                <w:sz w:val="17"/>
              </w:rPr>
              <w:t>Peta pemasok, rencana DOCK-UP</w:t>
            </w:r>
          </w:p>
        </w:tc>
      </w:tr>
      <w:tr>
        <w:trPr>
          <w:cantSplit/>
        </w:trPr>
        <w:tc>
          <w:tcPr>
            <w:tcW w:type="dxa" w:w="1372"/>
            <w:vAlign w:val="center"/>
          </w:tcPr>
          <w:p>
            <w:pPr>
              <w:spacing w:after="20" w:before="20" w:line="252" w:lineRule="auto"/>
            </w:pPr>
            <w:r/>
            <w:r>
              <w:rPr>
                <w:rFonts w:ascii="Arial" w:hAnsi="Arial"/>
                <w:b/>
                <w:sz w:val="17"/>
              </w:rPr>
              <w:t>Organisasi</w:t>
            </w:r>
          </w:p>
        </w:tc>
        <w:tc>
          <w:tcPr>
            <w:tcW w:type="dxa" w:w="4902"/>
            <w:vAlign w:val="center"/>
          </w:tcPr>
          <w:p>
            <w:pPr>
              <w:spacing w:after="20" w:before="20" w:line="252" w:lineRule="auto"/>
            </w:pPr>
            <w:r/>
            <w:r>
              <w:rPr>
                <w:rFonts w:ascii="Arial" w:hAnsi="Arial"/>
                <w:b w:val="0"/>
                <w:sz w:val="17"/>
              </w:rPr>
              <w:t>Sponsor, project director, tim, kapasitas kontrak dan komisioning</w:t>
            </w:r>
          </w:p>
        </w:tc>
        <w:tc>
          <w:tcPr>
            <w:tcW w:type="dxa" w:w="3137"/>
            <w:vAlign w:val="center"/>
          </w:tcPr>
          <w:p>
            <w:pPr>
              <w:spacing w:after="20" w:before="20" w:line="252" w:lineRule="auto"/>
            </w:pPr>
            <w:r/>
            <w:r>
              <w:rPr>
                <w:rFonts w:ascii="Arial" w:hAnsi="Arial"/>
                <w:b w:val="0"/>
                <w:sz w:val="17"/>
              </w:rPr>
              <w:t>Piagam, RASCI, rencana staf</w:t>
            </w:r>
          </w:p>
        </w:tc>
      </w:tr>
      <w:tr>
        <w:trPr>
          <w:cantSplit/>
        </w:trPr>
        <w:tc>
          <w:tcPr>
            <w:tcW w:type="dxa" w:w="1372"/>
            <w:shd w:val="clear" w:color="auto" w:fill="E6ECFD"/>
            <w:vAlign w:val="center"/>
          </w:tcPr>
          <w:p>
            <w:pPr>
              <w:spacing w:after="20" w:before="20" w:line="252" w:lineRule="auto"/>
            </w:pPr>
            <w:r/>
            <w:r>
              <w:rPr>
                <w:rFonts w:ascii="Arial" w:hAnsi="Arial"/>
                <w:b/>
                <w:sz w:val="17"/>
              </w:rPr>
              <w:t>Risiko dan hukum</w:t>
            </w:r>
          </w:p>
        </w:tc>
        <w:tc>
          <w:tcPr>
            <w:tcW w:type="dxa" w:w="4902"/>
            <w:shd w:val="clear" w:color="auto" w:fill="E6ECFD"/>
            <w:vAlign w:val="center"/>
          </w:tcPr>
          <w:p>
            <w:pPr>
              <w:spacing w:after="20" w:before="20" w:line="252" w:lineRule="auto"/>
            </w:pPr>
            <w:r/>
            <w:r>
              <w:rPr>
                <w:rFonts w:ascii="Arial" w:hAnsi="Arial"/>
                <w:b w:val="0"/>
                <w:sz w:val="17"/>
              </w:rPr>
              <w:t>Opini risiko independen, opini hukum dan jalur otorisasi</w:t>
            </w:r>
          </w:p>
        </w:tc>
        <w:tc>
          <w:tcPr>
            <w:tcW w:type="dxa" w:w="3137"/>
            <w:shd w:val="clear" w:color="auto" w:fill="E6ECFD"/>
            <w:vAlign w:val="center"/>
          </w:tcPr>
          <w:p>
            <w:pPr>
              <w:spacing w:after="20" w:before="20" w:line="252" w:lineRule="auto"/>
            </w:pPr>
            <w:r/>
            <w:r>
              <w:rPr>
                <w:rFonts w:ascii="Arial" w:hAnsi="Arial"/>
                <w:b w:val="0"/>
                <w:sz w:val="17"/>
              </w:rPr>
              <w:t>Opini tertulis, catatan perbedaan pendapat</w:t>
            </w:r>
          </w:p>
        </w:tc>
      </w:tr>
    </w:tbl>
    <w:p>
      <w:pPr>
        <w:spacing w:after="160"/>
      </w:pPr>
      <w:r>
        <w:rPr>
          <w:rFonts w:ascii="Arial" w:hAnsi="Arial"/>
          <w:b w:val="0"/>
          <w:i/>
          <w:color w:val="051C5C"/>
          <w:sz w:val="17"/>
        </w:rPr>
        <w:t>Sumber: diolah dari bukti P2 dalam [EVAL, Bagian 11] dan [K, Bab 7.4]; dimensi tambahan dari CII PDRI.</w:t>
      </w:r>
    </w:p>
    <w:p>
      <w:r>
        <w:br w:type="page"/>
      </w:r>
    </w:p>
    <w:p>
      <w:pPr>
        <w:pStyle w:val="Heading1"/>
      </w:pPr>
      <w:r>
        <w:t>5  Manajemen jadwal</w:t>
      </w:r>
    </w:p>
    <w:p>
      <w:pPr>
        <w:pStyle w:val="Heading2"/>
      </w:pPr>
      <w:r>
        <w:t>5.1  Tujuan dan prinsip</w:t>
      </w:r>
    </w:p>
    <w:p>
      <w:pPr>
        <w:jc w:val="both"/>
      </w:pPr>
      <w:r>
        <w:rPr>
          <w:rFonts w:ascii="Arial" w:hAnsi="Arial"/>
          <w:b w:val="0"/>
        </w:rPr>
        <w:t>Manajemen jadwal bertujuan menyediakan rencana waktu yang realistis, melacak kemajuan terhadapnya, dan mengendalikan penyimpangan. Proses intinya adalah mendefinisikan aktivitas dari WBS, menentukan urutan dan ketergantungan, memperkirakan durasi dan sumber daya, mengembangkan jadwal, serta mengendalikannya (PMI, 2021). Pada proyek EPC dan industri, tiga hal memerlukan perhatian khusus: item dengan lead time panjang (peralatan utama, baja khusus, sistem tempur), ketergantungan perizinan dan lahan, serta komisioning yang sering terhimpit di ujung jadwal.</w:t>
      </w:r>
    </w:p>
    <w:p>
      <w:pPr>
        <w:pStyle w:val="Heading2"/>
      </w:pPr>
      <w:r>
        <w:t>5.2  Metode jalur kritis (CPM)</w:t>
      </w:r>
    </w:p>
    <w:p>
      <w:pPr>
        <w:jc w:val="both"/>
      </w:pPr>
      <w:r>
        <w:rPr>
          <w:rFonts w:ascii="Arial" w:hAnsi="Arial"/>
          <w:b w:val="0"/>
        </w:rPr>
        <w:t>Metode jalur kritis menghitung tanggal paling awal dan paling akhir setiap aktivitas melalui jaring ketergantungan. Jalur kritis adalah rangkaian aktivitas terpanjang yang menentukan durasi proyek; aktivitas pada jalur ini memiliki float nol. Float (slack) aktivitas lain menunjukkan seberapa jauh aktivitas dapat tertunda tanpa memundurkan penyelesaian. Contoh berikut bersifat ilustratif.</w:t>
      </w:r>
    </w:p>
    <w:p>
      <w:pPr>
        <w:keepNext/>
        <w:spacing w:after="60"/>
      </w:pPr>
      <w:r>
        <w:rPr>
          <w:rFonts w:ascii="Arial" w:hAnsi="Arial"/>
          <w:b/>
          <w:color w:val="051C5C"/>
          <w:sz w:val="19"/>
        </w:rPr>
        <w:t xml:space="preserve">Tabel 14: </w:t>
      </w:r>
      <w:r>
        <w:rPr>
          <w:rFonts w:ascii="Arial" w:hAnsi="Arial"/>
          <w:color w:val="051C5C"/>
          <w:sz w:val="19"/>
        </w:rPr>
        <w:t>Contoh perhitungan CPM sederhana (ilustratif; durasi dalam minggu)</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1046"/>
        <w:gridCol w:w="1046"/>
        <w:gridCol w:w="1046"/>
        <w:gridCol w:w="1046"/>
        <w:gridCol w:w="1046"/>
        <w:gridCol w:w="1046"/>
        <w:gridCol w:w="1046"/>
        <w:gridCol w:w="1046"/>
        <w:gridCol w:w="1046"/>
      </w:tblGrid>
      <w:tr>
        <w:trPr>
          <w:cantSplit/>
          <w:tblHeader/>
        </w:trPr>
        <w:tc>
          <w:tcPr>
            <w:tcW w:type="dxa" w:w="3073"/>
            <w:shd w:val="clear" w:color="auto" w:fill="2251FF"/>
            <w:vAlign w:val="center"/>
          </w:tcPr>
          <w:p>
            <w:pPr>
              <w:spacing w:after="20" w:before="20" w:line="252" w:lineRule="auto"/>
            </w:pPr>
            <w:r/>
            <w:r>
              <w:rPr>
                <w:rFonts w:ascii="Arial" w:hAnsi="Arial"/>
                <w:b/>
                <w:color w:val="FFFFFF"/>
                <w:sz w:val="17"/>
              </w:rPr>
              <w:t>Aktivitas</w:t>
            </w:r>
          </w:p>
        </w:tc>
        <w:tc>
          <w:tcPr>
            <w:tcW w:type="dxa" w:w="1152"/>
            <w:shd w:val="clear" w:color="auto" w:fill="2251FF"/>
            <w:vAlign w:val="center"/>
          </w:tcPr>
          <w:p>
            <w:pPr>
              <w:spacing w:after="20" w:before="20" w:line="252" w:lineRule="auto"/>
            </w:pPr>
            <w:r/>
            <w:r>
              <w:rPr>
                <w:rFonts w:ascii="Arial" w:hAnsi="Arial"/>
                <w:b/>
                <w:color w:val="FFFFFF"/>
                <w:sz w:val="17"/>
              </w:rPr>
              <w:t>Pendahulu</w:t>
            </w:r>
          </w:p>
        </w:tc>
        <w:tc>
          <w:tcPr>
            <w:tcW w:type="dxa" w:w="864"/>
            <w:shd w:val="clear" w:color="auto" w:fill="2251FF"/>
            <w:vAlign w:val="center"/>
          </w:tcPr>
          <w:p>
            <w:pPr>
              <w:spacing w:after="20" w:before="20" w:line="252" w:lineRule="auto"/>
            </w:pPr>
            <w:r/>
            <w:r>
              <w:rPr>
                <w:rFonts w:ascii="Arial" w:hAnsi="Arial"/>
                <w:b/>
                <w:color w:val="FFFFFF"/>
                <w:sz w:val="17"/>
              </w:rPr>
              <w:t>Durasi</w:t>
            </w:r>
          </w:p>
        </w:tc>
        <w:tc>
          <w:tcPr>
            <w:tcW w:type="dxa" w:w="672"/>
            <w:shd w:val="clear" w:color="auto" w:fill="2251FF"/>
            <w:vAlign w:val="center"/>
          </w:tcPr>
          <w:p>
            <w:pPr>
              <w:spacing w:after="20" w:before="20" w:line="252" w:lineRule="auto"/>
            </w:pPr>
            <w:r/>
            <w:r>
              <w:rPr>
                <w:rFonts w:ascii="Arial" w:hAnsi="Arial"/>
                <w:b/>
                <w:color w:val="FFFFFF"/>
                <w:sz w:val="17"/>
              </w:rPr>
              <w:t>ES</w:t>
            </w:r>
          </w:p>
        </w:tc>
        <w:tc>
          <w:tcPr>
            <w:tcW w:type="dxa" w:w="672"/>
            <w:shd w:val="clear" w:color="auto" w:fill="2251FF"/>
            <w:vAlign w:val="center"/>
          </w:tcPr>
          <w:p>
            <w:pPr>
              <w:spacing w:after="20" w:before="20" w:line="252" w:lineRule="auto"/>
            </w:pPr>
            <w:r/>
            <w:r>
              <w:rPr>
                <w:rFonts w:ascii="Arial" w:hAnsi="Arial"/>
                <w:b/>
                <w:color w:val="FFFFFF"/>
                <w:sz w:val="17"/>
              </w:rPr>
              <w:t>EF</w:t>
            </w:r>
          </w:p>
        </w:tc>
        <w:tc>
          <w:tcPr>
            <w:tcW w:type="dxa" w:w="672"/>
            <w:shd w:val="clear" w:color="auto" w:fill="2251FF"/>
            <w:vAlign w:val="center"/>
          </w:tcPr>
          <w:p>
            <w:pPr>
              <w:spacing w:after="20" w:before="20" w:line="252" w:lineRule="auto"/>
            </w:pPr>
            <w:r/>
            <w:r>
              <w:rPr>
                <w:rFonts w:ascii="Arial" w:hAnsi="Arial"/>
                <w:b/>
                <w:color w:val="FFFFFF"/>
                <w:sz w:val="17"/>
              </w:rPr>
              <w:t>LS</w:t>
            </w:r>
          </w:p>
        </w:tc>
        <w:tc>
          <w:tcPr>
            <w:tcW w:type="dxa" w:w="672"/>
            <w:shd w:val="clear" w:color="auto" w:fill="2251FF"/>
            <w:vAlign w:val="center"/>
          </w:tcPr>
          <w:p>
            <w:pPr>
              <w:spacing w:after="20" w:before="20" w:line="252" w:lineRule="auto"/>
            </w:pPr>
            <w:r/>
            <w:r>
              <w:rPr>
                <w:rFonts w:ascii="Arial" w:hAnsi="Arial"/>
                <w:b/>
                <w:color w:val="FFFFFF"/>
                <w:sz w:val="17"/>
              </w:rPr>
              <w:t>LF</w:t>
            </w:r>
          </w:p>
        </w:tc>
        <w:tc>
          <w:tcPr>
            <w:tcW w:type="dxa" w:w="768"/>
            <w:shd w:val="clear" w:color="auto" w:fill="2251FF"/>
            <w:vAlign w:val="center"/>
          </w:tcPr>
          <w:p>
            <w:pPr>
              <w:spacing w:after="20" w:before="20" w:line="252" w:lineRule="auto"/>
            </w:pPr>
            <w:r/>
            <w:r>
              <w:rPr>
                <w:rFonts w:ascii="Arial" w:hAnsi="Arial"/>
                <w:b/>
                <w:color w:val="FFFFFF"/>
                <w:sz w:val="17"/>
              </w:rPr>
              <w:t>Float</w:t>
            </w:r>
          </w:p>
        </w:tc>
        <w:tc>
          <w:tcPr>
            <w:tcW w:type="dxa" w:w="864"/>
            <w:shd w:val="clear" w:color="auto" w:fill="2251FF"/>
            <w:vAlign w:val="center"/>
          </w:tcPr>
          <w:p>
            <w:pPr>
              <w:spacing w:after="20" w:before="20" w:line="252" w:lineRule="auto"/>
            </w:pPr>
            <w:r/>
            <w:r>
              <w:rPr>
                <w:rFonts w:ascii="Arial" w:hAnsi="Arial"/>
                <w:b/>
                <w:color w:val="FFFFFF"/>
                <w:sz w:val="17"/>
              </w:rPr>
              <w:t>Kritis</w:t>
            </w:r>
          </w:p>
        </w:tc>
      </w:tr>
      <w:tr>
        <w:trPr>
          <w:cantSplit/>
        </w:trPr>
        <w:tc>
          <w:tcPr>
            <w:tcW w:type="dxa" w:w="3073"/>
            <w:vAlign w:val="center"/>
          </w:tcPr>
          <w:p>
            <w:pPr>
              <w:spacing w:after="20" w:before="20" w:line="252" w:lineRule="auto"/>
            </w:pPr>
            <w:r/>
            <w:r>
              <w:rPr>
                <w:rFonts w:ascii="Arial" w:hAnsi="Arial"/>
                <w:b/>
                <w:sz w:val="17"/>
              </w:rPr>
              <w:t>A Desain dasar</w:t>
            </w:r>
          </w:p>
        </w:tc>
        <w:tc>
          <w:tcPr>
            <w:tcW w:type="dxa" w:w="1152"/>
            <w:vAlign w:val="center"/>
          </w:tcPr>
          <w:p>
            <w:pPr>
              <w:spacing w:after="20" w:before="20" w:line="252" w:lineRule="auto"/>
            </w:pPr>
            <w:r/>
            <w:r>
              <w:rPr>
                <w:rFonts w:ascii="Arial" w:hAnsi="Arial"/>
                <w:b w:val="0"/>
                <w:sz w:val="17"/>
              </w:rPr>
              <w:t>—</w:t>
            </w:r>
          </w:p>
        </w:tc>
        <w:tc>
          <w:tcPr>
            <w:tcW w:type="dxa" w:w="864"/>
            <w:vAlign w:val="center"/>
          </w:tcPr>
          <w:p>
            <w:pPr>
              <w:spacing w:after="20" w:before="20" w:line="252" w:lineRule="auto"/>
            </w:pPr>
            <w:r/>
            <w:r>
              <w:rPr>
                <w:rFonts w:ascii="Arial" w:hAnsi="Arial"/>
                <w:b w:val="0"/>
                <w:sz w:val="17"/>
              </w:rPr>
              <w:t>4</w:t>
            </w:r>
          </w:p>
        </w:tc>
        <w:tc>
          <w:tcPr>
            <w:tcW w:type="dxa" w:w="672"/>
            <w:vAlign w:val="center"/>
          </w:tcPr>
          <w:p>
            <w:pPr>
              <w:spacing w:after="20" w:before="20" w:line="252" w:lineRule="auto"/>
            </w:pPr>
            <w:r/>
            <w:r>
              <w:rPr>
                <w:rFonts w:ascii="Arial" w:hAnsi="Arial"/>
                <w:b w:val="0"/>
                <w:sz w:val="17"/>
              </w:rPr>
              <w:t>0</w:t>
            </w:r>
          </w:p>
        </w:tc>
        <w:tc>
          <w:tcPr>
            <w:tcW w:type="dxa" w:w="672"/>
            <w:vAlign w:val="center"/>
          </w:tcPr>
          <w:p>
            <w:pPr>
              <w:spacing w:after="20" w:before="20" w:line="252" w:lineRule="auto"/>
            </w:pPr>
            <w:r/>
            <w:r>
              <w:rPr>
                <w:rFonts w:ascii="Arial" w:hAnsi="Arial"/>
                <w:b w:val="0"/>
                <w:sz w:val="17"/>
              </w:rPr>
              <w:t>4</w:t>
            </w:r>
          </w:p>
        </w:tc>
        <w:tc>
          <w:tcPr>
            <w:tcW w:type="dxa" w:w="672"/>
            <w:vAlign w:val="center"/>
          </w:tcPr>
          <w:p>
            <w:pPr>
              <w:spacing w:after="20" w:before="20" w:line="252" w:lineRule="auto"/>
            </w:pPr>
            <w:r/>
            <w:r>
              <w:rPr>
                <w:rFonts w:ascii="Arial" w:hAnsi="Arial"/>
                <w:b w:val="0"/>
                <w:sz w:val="17"/>
              </w:rPr>
              <w:t>0</w:t>
            </w:r>
          </w:p>
        </w:tc>
        <w:tc>
          <w:tcPr>
            <w:tcW w:type="dxa" w:w="672"/>
            <w:vAlign w:val="center"/>
          </w:tcPr>
          <w:p>
            <w:pPr>
              <w:spacing w:after="20" w:before="20" w:line="252" w:lineRule="auto"/>
            </w:pPr>
            <w:r/>
            <w:r>
              <w:rPr>
                <w:rFonts w:ascii="Arial" w:hAnsi="Arial"/>
                <w:b w:val="0"/>
                <w:sz w:val="17"/>
              </w:rPr>
              <w:t>4</w:t>
            </w:r>
          </w:p>
        </w:tc>
        <w:tc>
          <w:tcPr>
            <w:tcW w:type="dxa" w:w="768"/>
            <w:vAlign w:val="center"/>
          </w:tcPr>
          <w:p>
            <w:pPr>
              <w:spacing w:after="20" w:before="20" w:line="252" w:lineRule="auto"/>
            </w:pPr>
            <w:r/>
            <w:r>
              <w:rPr>
                <w:rFonts w:ascii="Arial" w:hAnsi="Arial"/>
                <w:b w:val="0"/>
                <w:sz w:val="17"/>
              </w:rPr>
              <w:t>0</w:t>
            </w:r>
          </w:p>
        </w:tc>
        <w:tc>
          <w:tcPr>
            <w:tcW w:type="dxa" w:w="864"/>
            <w:vAlign w:val="center"/>
          </w:tcPr>
          <w:p>
            <w:pPr>
              <w:spacing w:after="20" w:before="20" w:line="252" w:lineRule="auto"/>
            </w:pPr>
            <w:r/>
            <w:r>
              <w:rPr>
                <w:rFonts w:ascii="Arial" w:hAnsi="Arial"/>
                <w:b w:val="0"/>
                <w:sz w:val="17"/>
              </w:rPr>
              <w:t>Ya</w:t>
            </w:r>
          </w:p>
        </w:tc>
      </w:tr>
      <w:tr>
        <w:trPr>
          <w:cantSplit/>
        </w:trPr>
        <w:tc>
          <w:tcPr>
            <w:tcW w:type="dxa" w:w="3073"/>
            <w:shd w:val="clear" w:color="auto" w:fill="E6ECFD"/>
            <w:vAlign w:val="center"/>
          </w:tcPr>
          <w:p>
            <w:pPr>
              <w:spacing w:after="20" w:before="20" w:line="252" w:lineRule="auto"/>
            </w:pPr>
            <w:r/>
            <w:r>
              <w:rPr>
                <w:rFonts w:ascii="Arial" w:hAnsi="Arial"/>
                <w:b/>
                <w:sz w:val="17"/>
              </w:rPr>
              <w:t>B Pengadaan item lead time panjang</w:t>
            </w:r>
          </w:p>
        </w:tc>
        <w:tc>
          <w:tcPr>
            <w:tcW w:type="dxa" w:w="1152"/>
            <w:shd w:val="clear" w:color="auto" w:fill="E6ECFD"/>
            <w:vAlign w:val="center"/>
          </w:tcPr>
          <w:p>
            <w:pPr>
              <w:spacing w:after="20" w:before="20" w:line="252" w:lineRule="auto"/>
            </w:pPr>
            <w:r/>
            <w:r>
              <w:rPr>
                <w:rFonts w:ascii="Arial" w:hAnsi="Arial"/>
                <w:b w:val="0"/>
                <w:sz w:val="17"/>
              </w:rPr>
              <w:t>A</w:t>
            </w:r>
          </w:p>
        </w:tc>
        <w:tc>
          <w:tcPr>
            <w:tcW w:type="dxa" w:w="864"/>
            <w:shd w:val="clear" w:color="auto" w:fill="E6ECFD"/>
            <w:vAlign w:val="center"/>
          </w:tcPr>
          <w:p>
            <w:pPr>
              <w:spacing w:after="20" w:before="20" w:line="252" w:lineRule="auto"/>
            </w:pPr>
            <w:r/>
            <w:r>
              <w:rPr>
                <w:rFonts w:ascii="Arial" w:hAnsi="Arial"/>
                <w:b w:val="0"/>
                <w:sz w:val="17"/>
              </w:rPr>
              <w:t>10</w:t>
            </w:r>
          </w:p>
        </w:tc>
        <w:tc>
          <w:tcPr>
            <w:tcW w:type="dxa" w:w="672"/>
            <w:shd w:val="clear" w:color="auto" w:fill="E6ECFD"/>
            <w:vAlign w:val="center"/>
          </w:tcPr>
          <w:p>
            <w:pPr>
              <w:spacing w:after="20" w:before="20" w:line="252" w:lineRule="auto"/>
            </w:pPr>
            <w:r/>
            <w:r>
              <w:rPr>
                <w:rFonts w:ascii="Arial" w:hAnsi="Arial"/>
                <w:b w:val="0"/>
                <w:sz w:val="17"/>
              </w:rPr>
              <w:t>4</w:t>
            </w:r>
          </w:p>
        </w:tc>
        <w:tc>
          <w:tcPr>
            <w:tcW w:type="dxa" w:w="672"/>
            <w:shd w:val="clear" w:color="auto" w:fill="E6ECFD"/>
            <w:vAlign w:val="center"/>
          </w:tcPr>
          <w:p>
            <w:pPr>
              <w:spacing w:after="20" w:before="20" w:line="252" w:lineRule="auto"/>
            </w:pPr>
            <w:r/>
            <w:r>
              <w:rPr>
                <w:rFonts w:ascii="Arial" w:hAnsi="Arial"/>
                <w:b w:val="0"/>
                <w:sz w:val="17"/>
              </w:rPr>
              <w:t>14</w:t>
            </w:r>
          </w:p>
        </w:tc>
        <w:tc>
          <w:tcPr>
            <w:tcW w:type="dxa" w:w="672"/>
            <w:shd w:val="clear" w:color="auto" w:fill="E6ECFD"/>
            <w:vAlign w:val="center"/>
          </w:tcPr>
          <w:p>
            <w:pPr>
              <w:spacing w:after="20" w:before="20" w:line="252" w:lineRule="auto"/>
            </w:pPr>
            <w:r/>
            <w:r>
              <w:rPr>
                <w:rFonts w:ascii="Arial" w:hAnsi="Arial"/>
                <w:b w:val="0"/>
                <w:sz w:val="17"/>
              </w:rPr>
              <w:t>4</w:t>
            </w:r>
          </w:p>
        </w:tc>
        <w:tc>
          <w:tcPr>
            <w:tcW w:type="dxa" w:w="672"/>
            <w:shd w:val="clear" w:color="auto" w:fill="E6ECFD"/>
            <w:vAlign w:val="center"/>
          </w:tcPr>
          <w:p>
            <w:pPr>
              <w:spacing w:after="20" w:before="20" w:line="252" w:lineRule="auto"/>
            </w:pPr>
            <w:r/>
            <w:r>
              <w:rPr>
                <w:rFonts w:ascii="Arial" w:hAnsi="Arial"/>
                <w:b w:val="0"/>
                <w:sz w:val="17"/>
              </w:rPr>
              <w:t>14</w:t>
            </w:r>
          </w:p>
        </w:tc>
        <w:tc>
          <w:tcPr>
            <w:tcW w:type="dxa" w:w="768"/>
            <w:shd w:val="clear" w:color="auto" w:fill="E6ECFD"/>
            <w:vAlign w:val="center"/>
          </w:tcPr>
          <w:p>
            <w:pPr>
              <w:spacing w:after="20" w:before="20" w:line="252" w:lineRule="auto"/>
            </w:pPr>
            <w:r/>
            <w:r>
              <w:rPr>
                <w:rFonts w:ascii="Arial" w:hAnsi="Arial"/>
                <w:b w:val="0"/>
                <w:sz w:val="17"/>
              </w:rPr>
              <w:t>0</w:t>
            </w:r>
          </w:p>
        </w:tc>
        <w:tc>
          <w:tcPr>
            <w:tcW w:type="dxa" w:w="864"/>
            <w:shd w:val="clear" w:color="auto" w:fill="E6ECFD"/>
            <w:vAlign w:val="center"/>
          </w:tcPr>
          <w:p>
            <w:pPr>
              <w:spacing w:after="20" w:before="20" w:line="252" w:lineRule="auto"/>
            </w:pPr>
            <w:r/>
            <w:r>
              <w:rPr>
                <w:rFonts w:ascii="Arial" w:hAnsi="Arial"/>
                <w:b w:val="0"/>
                <w:sz w:val="17"/>
              </w:rPr>
              <w:t>Ya</w:t>
            </w:r>
          </w:p>
        </w:tc>
      </w:tr>
      <w:tr>
        <w:trPr>
          <w:cantSplit/>
        </w:trPr>
        <w:tc>
          <w:tcPr>
            <w:tcW w:type="dxa" w:w="3073"/>
            <w:vAlign w:val="center"/>
          </w:tcPr>
          <w:p>
            <w:pPr>
              <w:spacing w:after="20" w:before="20" w:line="252" w:lineRule="auto"/>
            </w:pPr>
            <w:r/>
            <w:r>
              <w:rPr>
                <w:rFonts w:ascii="Arial" w:hAnsi="Arial"/>
                <w:b/>
                <w:sz w:val="17"/>
              </w:rPr>
              <w:t>C Persiapan lahan</w:t>
            </w:r>
          </w:p>
        </w:tc>
        <w:tc>
          <w:tcPr>
            <w:tcW w:type="dxa" w:w="1152"/>
            <w:vAlign w:val="center"/>
          </w:tcPr>
          <w:p>
            <w:pPr>
              <w:spacing w:after="20" w:before="20" w:line="252" w:lineRule="auto"/>
            </w:pPr>
            <w:r/>
            <w:r>
              <w:rPr>
                <w:rFonts w:ascii="Arial" w:hAnsi="Arial"/>
                <w:b w:val="0"/>
                <w:sz w:val="17"/>
              </w:rPr>
              <w:t>A</w:t>
            </w:r>
          </w:p>
        </w:tc>
        <w:tc>
          <w:tcPr>
            <w:tcW w:type="dxa" w:w="864"/>
            <w:vAlign w:val="center"/>
          </w:tcPr>
          <w:p>
            <w:pPr>
              <w:spacing w:after="20" w:before="20" w:line="252" w:lineRule="auto"/>
            </w:pPr>
            <w:r/>
            <w:r>
              <w:rPr>
                <w:rFonts w:ascii="Arial" w:hAnsi="Arial"/>
                <w:b w:val="0"/>
                <w:sz w:val="17"/>
              </w:rPr>
              <w:t>5</w:t>
            </w:r>
          </w:p>
        </w:tc>
        <w:tc>
          <w:tcPr>
            <w:tcW w:type="dxa" w:w="672"/>
            <w:vAlign w:val="center"/>
          </w:tcPr>
          <w:p>
            <w:pPr>
              <w:spacing w:after="20" w:before="20" w:line="252" w:lineRule="auto"/>
            </w:pPr>
            <w:r/>
            <w:r>
              <w:rPr>
                <w:rFonts w:ascii="Arial" w:hAnsi="Arial"/>
                <w:b w:val="0"/>
                <w:sz w:val="17"/>
              </w:rPr>
              <w:t>4</w:t>
            </w:r>
          </w:p>
        </w:tc>
        <w:tc>
          <w:tcPr>
            <w:tcW w:type="dxa" w:w="672"/>
            <w:vAlign w:val="center"/>
          </w:tcPr>
          <w:p>
            <w:pPr>
              <w:spacing w:after="20" w:before="20" w:line="252" w:lineRule="auto"/>
            </w:pPr>
            <w:r/>
            <w:r>
              <w:rPr>
                <w:rFonts w:ascii="Arial" w:hAnsi="Arial"/>
                <w:b w:val="0"/>
                <w:sz w:val="17"/>
              </w:rPr>
              <w:t>9</w:t>
            </w:r>
          </w:p>
        </w:tc>
        <w:tc>
          <w:tcPr>
            <w:tcW w:type="dxa" w:w="672"/>
            <w:vAlign w:val="center"/>
          </w:tcPr>
          <w:p>
            <w:pPr>
              <w:spacing w:after="20" w:before="20" w:line="252" w:lineRule="auto"/>
            </w:pPr>
            <w:r/>
            <w:r>
              <w:rPr>
                <w:rFonts w:ascii="Arial" w:hAnsi="Arial"/>
                <w:b w:val="0"/>
                <w:sz w:val="17"/>
              </w:rPr>
              <w:t>11</w:t>
            </w:r>
          </w:p>
        </w:tc>
        <w:tc>
          <w:tcPr>
            <w:tcW w:type="dxa" w:w="672"/>
            <w:vAlign w:val="center"/>
          </w:tcPr>
          <w:p>
            <w:pPr>
              <w:spacing w:after="20" w:before="20" w:line="252" w:lineRule="auto"/>
            </w:pPr>
            <w:r/>
            <w:r>
              <w:rPr>
                <w:rFonts w:ascii="Arial" w:hAnsi="Arial"/>
                <w:b w:val="0"/>
                <w:sz w:val="17"/>
              </w:rPr>
              <w:t>16</w:t>
            </w:r>
          </w:p>
        </w:tc>
        <w:tc>
          <w:tcPr>
            <w:tcW w:type="dxa" w:w="768"/>
            <w:vAlign w:val="center"/>
          </w:tcPr>
          <w:p>
            <w:pPr>
              <w:spacing w:after="20" w:before="20" w:line="252" w:lineRule="auto"/>
            </w:pPr>
            <w:r/>
            <w:r>
              <w:rPr>
                <w:rFonts w:ascii="Arial" w:hAnsi="Arial"/>
                <w:b w:val="0"/>
                <w:sz w:val="17"/>
              </w:rPr>
              <w:t>7</w:t>
            </w:r>
          </w:p>
        </w:tc>
        <w:tc>
          <w:tcPr>
            <w:tcW w:type="dxa" w:w="864"/>
            <w:vAlign w:val="center"/>
          </w:tcPr>
          <w:p>
            <w:pPr>
              <w:spacing w:after="20" w:before="20" w:line="252" w:lineRule="auto"/>
            </w:pPr>
            <w:r/>
            <w:r>
              <w:rPr>
                <w:rFonts w:ascii="Arial" w:hAnsi="Arial"/>
                <w:b w:val="0"/>
                <w:sz w:val="17"/>
              </w:rPr>
              <w:t>Tidak</w:t>
            </w:r>
          </w:p>
        </w:tc>
      </w:tr>
      <w:tr>
        <w:trPr>
          <w:cantSplit/>
        </w:trPr>
        <w:tc>
          <w:tcPr>
            <w:tcW w:type="dxa" w:w="3073"/>
            <w:shd w:val="clear" w:color="auto" w:fill="E6ECFD"/>
            <w:vAlign w:val="center"/>
          </w:tcPr>
          <w:p>
            <w:pPr>
              <w:spacing w:after="20" w:before="20" w:line="252" w:lineRule="auto"/>
            </w:pPr>
            <w:r/>
            <w:r>
              <w:rPr>
                <w:rFonts w:ascii="Arial" w:hAnsi="Arial"/>
                <w:b/>
                <w:sz w:val="17"/>
              </w:rPr>
              <w:t>D Fabrikasi</w:t>
            </w:r>
          </w:p>
        </w:tc>
        <w:tc>
          <w:tcPr>
            <w:tcW w:type="dxa" w:w="1152"/>
            <w:shd w:val="clear" w:color="auto" w:fill="E6ECFD"/>
            <w:vAlign w:val="center"/>
          </w:tcPr>
          <w:p>
            <w:pPr>
              <w:spacing w:after="20" w:before="20" w:line="252" w:lineRule="auto"/>
            </w:pPr>
            <w:r/>
            <w:r>
              <w:rPr>
                <w:rFonts w:ascii="Arial" w:hAnsi="Arial"/>
                <w:b w:val="0"/>
                <w:sz w:val="17"/>
              </w:rPr>
              <w:t>B</w:t>
            </w:r>
          </w:p>
        </w:tc>
        <w:tc>
          <w:tcPr>
            <w:tcW w:type="dxa" w:w="864"/>
            <w:shd w:val="clear" w:color="auto" w:fill="E6ECFD"/>
            <w:vAlign w:val="center"/>
          </w:tcPr>
          <w:p>
            <w:pPr>
              <w:spacing w:after="20" w:before="20" w:line="252" w:lineRule="auto"/>
            </w:pPr>
            <w:r/>
            <w:r>
              <w:rPr>
                <w:rFonts w:ascii="Arial" w:hAnsi="Arial"/>
                <w:b w:val="0"/>
                <w:sz w:val="17"/>
              </w:rPr>
              <w:t>8</w:t>
            </w:r>
          </w:p>
        </w:tc>
        <w:tc>
          <w:tcPr>
            <w:tcW w:type="dxa" w:w="672"/>
            <w:shd w:val="clear" w:color="auto" w:fill="E6ECFD"/>
            <w:vAlign w:val="center"/>
          </w:tcPr>
          <w:p>
            <w:pPr>
              <w:spacing w:after="20" w:before="20" w:line="252" w:lineRule="auto"/>
            </w:pPr>
            <w:r/>
            <w:r>
              <w:rPr>
                <w:rFonts w:ascii="Arial" w:hAnsi="Arial"/>
                <w:b w:val="0"/>
                <w:sz w:val="17"/>
              </w:rPr>
              <w:t>14</w:t>
            </w:r>
          </w:p>
        </w:tc>
        <w:tc>
          <w:tcPr>
            <w:tcW w:type="dxa" w:w="672"/>
            <w:shd w:val="clear" w:color="auto" w:fill="E6ECFD"/>
            <w:vAlign w:val="center"/>
          </w:tcPr>
          <w:p>
            <w:pPr>
              <w:spacing w:after="20" w:before="20" w:line="252" w:lineRule="auto"/>
            </w:pPr>
            <w:r/>
            <w:r>
              <w:rPr>
                <w:rFonts w:ascii="Arial" w:hAnsi="Arial"/>
                <w:b w:val="0"/>
                <w:sz w:val="17"/>
              </w:rPr>
              <w:t>22</w:t>
            </w:r>
          </w:p>
        </w:tc>
        <w:tc>
          <w:tcPr>
            <w:tcW w:type="dxa" w:w="672"/>
            <w:shd w:val="clear" w:color="auto" w:fill="E6ECFD"/>
            <w:vAlign w:val="center"/>
          </w:tcPr>
          <w:p>
            <w:pPr>
              <w:spacing w:after="20" w:before="20" w:line="252" w:lineRule="auto"/>
            </w:pPr>
            <w:r/>
            <w:r>
              <w:rPr>
                <w:rFonts w:ascii="Arial" w:hAnsi="Arial"/>
                <w:b w:val="0"/>
                <w:sz w:val="17"/>
              </w:rPr>
              <w:t>14</w:t>
            </w:r>
          </w:p>
        </w:tc>
        <w:tc>
          <w:tcPr>
            <w:tcW w:type="dxa" w:w="672"/>
            <w:shd w:val="clear" w:color="auto" w:fill="E6ECFD"/>
            <w:vAlign w:val="center"/>
          </w:tcPr>
          <w:p>
            <w:pPr>
              <w:spacing w:after="20" w:before="20" w:line="252" w:lineRule="auto"/>
            </w:pPr>
            <w:r/>
            <w:r>
              <w:rPr>
                <w:rFonts w:ascii="Arial" w:hAnsi="Arial"/>
                <w:b w:val="0"/>
                <w:sz w:val="17"/>
              </w:rPr>
              <w:t>22</w:t>
            </w:r>
          </w:p>
        </w:tc>
        <w:tc>
          <w:tcPr>
            <w:tcW w:type="dxa" w:w="768"/>
            <w:shd w:val="clear" w:color="auto" w:fill="E6ECFD"/>
            <w:vAlign w:val="center"/>
          </w:tcPr>
          <w:p>
            <w:pPr>
              <w:spacing w:after="20" w:before="20" w:line="252" w:lineRule="auto"/>
            </w:pPr>
            <w:r/>
            <w:r>
              <w:rPr>
                <w:rFonts w:ascii="Arial" w:hAnsi="Arial"/>
                <w:b w:val="0"/>
                <w:sz w:val="17"/>
              </w:rPr>
              <w:t>0</w:t>
            </w:r>
          </w:p>
        </w:tc>
        <w:tc>
          <w:tcPr>
            <w:tcW w:type="dxa" w:w="864"/>
            <w:shd w:val="clear" w:color="auto" w:fill="E6ECFD"/>
            <w:vAlign w:val="center"/>
          </w:tcPr>
          <w:p>
            <w:pPr>
              <w:spacing w:after="20" w:before="20" w:line="252" w:lineRule="auto"/>
            </w:pPr>
            <w:r/>
            <w:r>
              <w:rPr>
                <w:rFonts w:ascii="Arial" w:hAnsi="Arial"/>
                <w:b w:val="0"/>
                <w:sz w:val="17"/>
              </w:rPr>
              <w:t>Ya</w:t>
            </w:r>
          </w:p>
        </w:tc>
      </w:tr>
      <w:tr>
        <w:trPr>
          <w:cantSplit/>
        </w:trPr>
        <w:tc>
          <w:tcPr>
            <w:tcW w:type="dxa" w:w="3073"/>
            <w:vAlign w:val="center"/>
          </w:tcPr>
          <w:p>
            <w:pPr>
              <w:spacing w:after="20" w:before="20" w:line="252" w:lineRule="auto"/>
            </w:pPr>
            <w:r/>
            <w:r>
              <w:rPr>
                <w:rFonts w:ascii="Arial" w:hAnsi="Arial"/>
                <w:b/>
                <w:sz w:val="17"/>
              </w:rPr>
              <w:t>E Pondasi</w:t>
            </w:r>
          </w:p>
        </w:tc>
        <w:tc>
          <w:tcPr>
            <w:tcW w:type="dxa" w:w="1152"/>
            <w:vAlign w:val="center"/>
          </w:tcPr>
          <w:p>
            <w:pPr>
              <w:spacing w:after="20" w:before="20" w:line="252" w:lineRule="auto"/>
            </w:pPr>
            <w:r/>
            <w:r>
              <w:rPr>
                <w:rFonts w:ascii="Arial" w:hAnsi="Arial"/>
                <w:b w:val="0"/>
                <w:sz w:val="17"/>
              </w:rPr>
              <w:t>C</w:t>
            </w:r>
          </w:p>
        </w:tc>
        <w:tc>
          <w:tcPr>
            <w:tcW w:type="dxa" w:w="864"/>
            <w:vAlign w:val="center"/>
          </w:tcPr>
          <w:p>
            <w:pPr>
              <w:spacing w:after="20" w:before="20" w:line="252" w:lineRule="auto"/>
            </w:pPr>
            <w:r/>
            <w:r>
              <w:rPr>
                <w:rFonts w:ascii="Arial" w:hAnsi="Arial"/>
                <w:b w:val="0"/>
                <w:sz w:val="17"/>
              </w:rPr>
              <w:t>6</w:t>
            </w:r>
          </w:p>
        </w:tc>
        <w:tc>
          <w:tcPr>
            <w:tcW w:type="dxa" w:w="672"/>
            <w:vAlign w:val="center"/>
          </w:tcPr>
          <w:p>
            <w:pPr>
              <w:spacing w:after="20" w:before="20" w:line="252" w:lineRule="auto"/>
            </w:pPr>
            <w:r/>
            <w:r>
              <w:rPr>
                <w:rFonts w:ascii="Arial" w:hAnsi="Arial"/>
                <w:b w:val="0"/>
                <w:sz w:val="17"/>
              </w:rPr>
              <w:t>9</w:t>
            </w:r>
          </w:p>
        </w:tc>
        <w:tc>
          <w:tcPr>
            <w:tcW w:type="dxa" w:w="672"/>
            <w:vAlign w:val="center"/>
          </w:tcPr>
          <w:p>
            <w:pPr>
              <w:spacing w:after="20" w:before="20" w:line="252" w:lineRule="auto"/>
            </w:pPr>
            <w:r/>
            <w:r>
              <w:rPr>
                <w:rFonts w:ascii="Arial" w:hAnsi="Arial"/>
                <w:b w:val="0"/>
                <w:sz w:val="17"/>
              </w:rPr>
              <w:t>15</w:t>
            </w:r>
          </w:p>
        </w:tc>
        <w:tc>
          <w:tcPr>
            <w:tcW w:type="dxa" w:w="672"/>
            <w:vAlign w:val="center"/>
          </w:tcPr>
          <w:p>
            <w:pPr>
              <w:spacing w:after="20" w:before="20" w:line="252" w:lineRule="auto"/>
            </w:pPr>
            <w:r/>
            <w:r>
              <w:rPr>
                <w:rFonts w:ascii="Arial" w:hAnsi="Arial"/>
                <w:b w:val="0"/>
                <w:sz w:val="17"/>
              </w:rPr>
              <w:t>16</w:t>
            </w:r>
          </w:p>
        </w:tc>
        <w:tc>
          <w:tcPr>
            <w:tcW w:type="dxa" w:w="672"/>
            <w:vAlign w:val="center"/>
          </w:tcPr>
          <w:p>
            <w:pPr>
              <w:spacing w:after="20" w:before="20" w:line="252" w:lineRule="auto"/>
            </w:pPr>
            <w:r/>
            <w:r>
              <w:rPr>
                <w:rFonts w:ascii="Arial" w:hAnsi="Arial"/>
                <w:b w:val="0"/>
                <w:sz w:val="17"/>
              </w:rPr>
              <w:t>22</w:t>
            </w:r>
          </w:p>
        </w:tc>
        <w:tc>
          <w:tcPr>
            <w:tcW w:type="dxa" w:w="768"/>
            <w:vAlign w:val="center"/>
          </w:tcPr>
          <w:p>
            <w:pPr>
              <w:spacing w:after="20" w:before="20" w:line="252" w:lineRule="auto"/>
            </w:pPr>
            <w:r/>
            <w:r>
              <w:rPr>
                <w:rFonts w:ascii="Arial" w:hAnsi="Arial"/>
                <w:b w:val="0"/>
                <w:sz w:val="17"/>
              </w:rPr>
              <w:t>7</w:t>
            </w:r>
          </w:p>
        </w:tc>
        <w:tc>
          <w:tcPr>
            <w:tcW w:type="dxa" w:w="864"/>
            <w:vAlign w:val="center"/>
          </w:tcPr>
          <w:p>
            <w:pPr>
              <w:spacing w:after="20" w:before="20" w:line="252" w:lineRule="auto"/>
            </w:pPr>
            <w:r/>
            <w:r>
              <w:rPr>
                <w:rFonts w:ascii="Arial" w:hAnsi="Arial"/>
                <w:b w:val="0"/>
                <w:sz w:val="17"/>
              </w:rPr>
              <w:t>Tidak</w:t>
            </w:r>
          </w:p>
        </w:tc>
      </w:tr>
      <w:tr>
        <w:trPr>
          <w:cantSplit/>
        </w:trPr>
        <w:tc>
          <w:tcPr>
            <w:tcW w:type="dxa" w:w="3073"/>
            <w:shd w:val="clear" w:color="auto" w:fill="E6ECFD"/>
            <w:vAlign w:val="center"/>
          </w:tcPr>
          <w:p>
            <w:pPr>
              <w:spacing w:after="20" w:before="20" w:line="252" w:lineRule="auto"/>
            </w:pPr>
            <w:r/>
            <w:r>
              <w:rPr>
                <w:rFonts w:ascii="Arial" w:hAnsi="Arial"/>
                <w:b/>
                <w:sz w:val="17"/>
              </w:rPr>
              <w:t>F Instalasi</w:t>
            </w:r>
          </w:p>
        </w:tc>
        <w:tc>
          <w:tcPr>
            <w:tcW w:type="dxa" w:w="1152"/>
            <w:shd w:val="clear" w:color="auto" w:fill="E6ECFD"/>
            <w:vAlign w:val="center"/>
          </w:tcPr>
          <w:p>
            <w:pPr>
              <w:spacing w:after="20" w:before="20" w:line="252" w:lineRule="auto"/>
            </w:pPr>
            <w:r/>
            <w:r>
              <w:rPr>
                <w:rFonts w:ascii="Arial" w:hAnsi="Arial"/>
                <w:b w:val="0"/>
                <w:sz w:val="17"/>
              </w:rPr>
              <w:t>D, E</w:t>
            </w:r>
          </w:p>
        </w:tc>
        <w:tc>
          <w:tcPr>
            <w:tcW w:type="dxa" w:w="864"/>
            <w:shd w:val="clear" w:color="auto" w:fill="E6ECFD"/>
            <w:vAlign w:val="center"/>
          </w:tcPr>
          <w:p>
            <w:pPr>
              <w:spacing w:after="20" w:before="20" w:line="252" w:lineRule="auto"/>
            </w:pPr>
            <w:r/>
            <w:r>
              <w:rPr>
                <w:rFonts w:ascii="Arial" w:hAnsi="Arial"/>
                <w:b w:val="0"/>
                <w:sz w:val="17"/>
              </w:rPr>
              <w:t>5</w:t>
            </w:r>
          </w:p>
        </w:tc>
        <w:tc>
          <w:tcPr>
            <w:tcW w:type="dxa" w:w="672"/>
            <w:shd w:val="clear" w:color="auto" w:fill="E6ECFD"/>
            <w:vAlign w:val="center"/>
          </w:tcPr>
          <w:p>
            <w:pPr>
              <w:spacing w:after="20" w:before="20" w:line="252" w:lineRule="auto"/>
            </w:pPr>
            <w:r/>
            <w:r>
              <w:rPr>
                <w:rFonts w:ascii="Arial" w:hAnsi="Arial"/>
                <w:b w:val="0"/>
                <w:sz w:val="17"/>
              </w:rPr>
              <w:t>22</w:t>
            </w:r>
          </w:p>
        </w:tc>
        <w:tc>
          <w:tcPr>
            <w:tcW w:type="dxa" w:w="672"/>
            <w:shd w:val="clear" w:color="auto" w:fill="E6ECFD"/>
            <w:vAlign w:val="center"/>
          </w:tcPr>
          <w:p>
            <w:pPr>
              <w:spacing w:after="20" w:before="20" w:line="252" w:lineRule="auto"/>
            </w:pPr>
            <w:r/>
            <w:r>
              <w:rPr>
                <w:rFonts w:ascii="Arial" w:hAnsi="Arial"/>
                <w:b w:val="0"/>
                <w:sz w:val="17"/>
              </w:rPr>
              <w:t>27</w:t>
            </w:r>
          </w:p>
        </w:tc>
        <w:tc>
          <w:tcPr>
            <w:tcW w:type="dxa" w:w="672"/>
            <w:shd w:val="clear" w:color="auto" w:fill="E6ECFD"/>
            <w:vAlign w:val="center"/>
          </w:tcPr>
          <w:p>
            <w:pPr>
              <w:spacing w:after="20" w:before="20" w:line="252" w:lineRule="auto"/>
            </w:pPr>
            <w:r/>
            <w:r>
              <w:rPr>
                <w:rFonts w:ascii="Arial" w:hAnsi="Arial"/>
                <w:b w:val="0"/>
                <w:sz w:val="17"/>
              </w:rPr>
              <w:t>22</w:t>
            </w:r>
          </w:p>
        </w:tc>
        <w:tc>
          <w:tcPr>
            <w:tcW w:type="dxa" w:w="672"/>
            <w:shd w:val="clear" w:color="auto" w:fill="E6ECFD"/>
            <w:vAlign w:val="center"/>
          </w:tcPr>
          <w:p>
            <w:pPr>
              <w:spacing w:after="20" w:before="20" w:line="252" w:lineRule="auto"/>
            </w:pPr>
            <w:r/>
            <w:r>
              <w:rPr>
                <w:rFonts w:ascii="Arial" w:hAnsi="Arial"/>
                <w:b w:val="0"/>
                <w:sz w:val="17"/>
              </w:rPr>
              <w:t>27</w:t>
            </w:r>
          </w:p>
        </w:tc>
        <w:tc>
          <w:tcPr>
            <w:tcW w:type="dxa" w:w="768"/>
            <w:shd w:val="clear" w:color="auto" w:fill="E6ECFD"/>
            <w:vAlign w:val="center"/>
          </w:tcPr>
          <w:p>
            <w:pPr>
              <w:spacing w:after="20" w:before="20" w:line="252" w:lineRule="auto"/>
            </w:pPr>
            <w:r/>
            <w:r>
              <w:rPr>
                <w:rFonts w:ascii="Arial" w:hAnsi="Arial"/>
                <w:b w:val="0"/>
                <w:sz w:val="17"/>
              </w:rPr>
              <w:t>0</w:t>
            </w:r>
          </w:p>
        </w:tc>
        <w:tc>
          <w:tcPr>
            <w:tcW w:type="dxa" w:w="864"/>
            <w:shd w:val="clear" w:color="auto" w:fill="E6ECFD"/>
            <w:vAlign w:val="center"/>
          </w:tcPr>
          <w:p>
            <w:pPr>
              <w:spacing w:after="20" w:before="20" w:line="252" w:lineRule="auto"/>
            </w:pPr>
            <w:r/>
            <w:r>
              <w:rPr>
                <w:rFonts w:ascii="Arial" w:hAnsi="Arial"/>
                <w:b w:val="0"/>
                <w:sz w:val="17"/>
              </w:rPr>
              <w:t>Ya</w:t>
            </w:r>
          </w:p>
        </w:tc>
      </w:tr>
      <w:tr>
        <w:trPr>
          <w:cantSplit/>
        </w:trPr>
        <w:tc>
          <w:tcPr>
            <w:tcW w:type="dxa" w:w="3073"/>
            <w:vAlign w:val="center"/>
          </w:tcPr>
          <w:p>
            <w:pPr>
              <w:spacing w:after="20" w:before="20" w:line="252" w:lineRule="auto"/>
            </w:pPr>
            <w:r/>
            <w:r>
              <w:rPr>
                <w:rFonts w:ascii="Arial" w:hAnsi="Arial"/>
                <w:b/>
                <w:sz w:val="17"/>
              </w:rPr>
              <w:t>G Komisioning</w:t>
            </w:r>
          </w:p>
        </w:tc>
        <w:tc>
          <w:tcPr>
            <w:tcW w:type="dxa" w:w="1152"/>
            <w:vAlign w:val="center"/>
          </w:tcPr>
          <w:p>
            <w:pPr>
              <w:spacing w:after="20" w:before="20" w:line="252" w:lineRule="auto"/>
            </w:pPr>
            <w:r/>
            <w:r>
              <w:rPr>
                <w:rFonts w:ascii="Arial" w:hAnsi="Arial"/>
                <w:b w:val="0"/>
                <w:sz w:val="17"/>
              </w:rPr>
              <w:t>F</w:t>
            </w:r>
          </w:p>
        </w:tc>
        <w:tc>
          <w:tcPr>
            <w:tcW w:type="dxa" w:w="864"/>
            <w:vAlign w:val="center"/>
          </w:tcPr>
          <w:p>
            <w:pPr>
              <w:spacing w:after="20" w:before="20" w:line="252" w:lineRule="auto"/>
            </w:pPr>
            <w:r/>
            <w:r>
              <w:rPr>
                <w:rFonts w:ascii="Arial" w:hAnsi="Arial"/>
                <w:b w:val="0"/>
                <w:sz w:val="17"/>
              </w:rPr>
              <w:t>3</w:t>
            </w:r>
          </w:p>
        </w:tc>
        <w:tc>
          <w:tcPr>
            <w:tcW w:type="dxa" w:w="672"/>
            <w:vAlign w:val="center"/>
          </w:tcPr>
          <w:p>
            <w:pPr>
              <w:spacing w:after="20" w:before="20" w:line="252" w:lineRule="auto"/>
            </w:pPr>
            <w:r/>
            <w:r>
              <w:rPr>
                <w:rFonts w:ascii="Arial" w:hAnsi="Arial"/>
                <w:b w:val="0"/>
                <w:sz w:val="17"/>
              </w:rPr>
              <w:t>27</w:t>
            </w:r>
          </w:p>
        </w:tc>
        <w:tc>
          <w:tcPr>
            <w:tcW w:type="dxa" w:w="672"/>
            <w:vAlign w:val="center"/>
          </w:tcPr>
          <w:p>
            <w:pPr>
              <w:spacing w:after="20" w:before="20" w:line="252" w:lineRule="auto"/>
            </w:pPr>
            <w:r/>
            <w:r>
              <w:rPr>
                <w:rFonts w:ascii="Arial" w:hAnsi="Arial"/>
                <w:b w:val="0"/>
                <w:sz w:val="17"/>
              </w:rPr>
              <w:t>30</w:t>
            </w:r>
          </w:p>
        </w:tc>
        <w:tc>
          <w:tcPr>
            <w:tcW w:type="dxa" w:w="672"/>
            <w:vAlign w:val="center"/>
          </w:tcPr>
          <w:p>
            <w:pPr>
              <w:spacing w:after="20" w:before="20" w:line="252" w:lineRule="auto"/>
            </w:pPr>
            <w:r/>
            <w:r>
              <w:rPr>
                <w:rFonts w:ascii="Arial" w:hAnsi="Arial"/>
                <w:b w:val="0"/>
                <w:sz w:val="17"/>
              </w:rPr>
              <w:t>27</w:t>
            </w:r>
          </w:p>
        </w:tc>
        <w:tc>
          <w:tcPr>
            <w:tcW w:type="dxa" w:w="672"/>
            <w:vAlign w:val="center"/>
          </w:tcPr>
          <w:p>
            <w:pPr>
              <w:spacing w:after="20" w:before="20" w:line="252" w:lineRule="auto"/>
            </w:pPr>
            <w:r/>
            <w:r>
              <w:rPr>
                <w:rFonts w:ascii="Arial" w:hAnsi="Arial"/>
                <w:b w:val="0"/>
                <w:sz w:val="17"/>
              </w:rPr>
              <w:t>30</w:t>
            </w:r>
          </w:p>
        </w:tc>
        <w:tc>
          <w:tcPr>
            <w:tcW w:type="dxa" w:w="768"/>
            <w:vAlign w:val="center"/>
          </w:tcPr>
          <w:p>
            <w:pPr>
              <w:spacing w:after="20" w:before="20" w:line="252" w:lineRule="auto"/>
            </w:pPr>
            <w:r/>
            <w:r>
              <w:rPr>
                <w:rFonts w:ascii="Arial" w:hAnsi="Arial"/>
                <w:b w:val="0"/>
                <w:sz w:val="17"/>
              </w:rPr>
              <w:t>0</w:t>
            </w:r>
          </w:p>
        </w:tc>
        <w:tc>
          <w:tcPr>
            <w:tcW w:type="dxa" w:w="864"/>
            <w:vAlign w:val="center"/>
          </w:tcPr>
          <w:p>
            <w:pPr>
              <w:spacing w:after="20" w:before="20" w:line="252" w:lineRule="auto"/>
            </w:pPr>
            <w:r/>
            <w:r>
              <w:rPr>
                <w:rFonts w:ascii="Arial" w:hAnsi="Arial"/>
                <w:b w:val="0"/>
                <w:sz w:val="17"/>
              </w:rPr>
              <w:t>Ya</w:t>
            </w:r>
          </w:p>
        </w:tc>
      </w:tr>
    </w:tbl>
    <w:p>
      <w:pPr>
        <w:spacing w:after="160"/>
      </w:pPr>
      <w:r>
        <w:rPr>
          <w:rFonts w:ascii="Arial" w:hAnsi="Arial"/>
          <w:b w:val="0"/>
          <w:i/>
          <w:color w:val="051C5C"/>
          <w:sz w:val="17"/>
        </w:rPr>
        <w:t>Perhitungan penulis. ES/EF: mulai/selesai paling awal; LS/LF: paling akhir. Jalur kritis A–B–D–F–G, total 30 minggu.</w:t>
      </w:r>
    </w:p>
    <w:p>
      <w:pPr>
        <w:keepNext/>
        <w:jc w:val="center"/>
      </w:pPr>
      <w:r>
        <w:drawing>
          <wp:inline xmlns:a="http://schemas.openxmlformats.org/drawingml/2006/main" xmlns:pic="http://schemas.openxmlformats.org/drawingml/2006/picture">
            <wp:extent cx="5580000" cy="3945000"/>
            <wp:docPr id="5" name="Picture 5"/>
            <wp:cNvGraphicFramePr>
              <a:graphicFrameLocks noChangeAspect="1"/>
            </wp:cNvGraphicFramePr>
            <a:graphic>
              <a:graphicData uri="http://schemas.openxmlformats.org/drawingml/2006/picture">
                <pic:pic>
                  <pic:nvPicPr>
                    <pic:cNvPr id="0" name="f_cpm.png"/>
                    <pic:cNvPicPr/>
                  </pic:nvPicPr>
                  <pic:blipFill>
                    <a:blip r:embed="rId14"/>
                    <a:stretch>
                      <a:fillRect/>
                    </a:stretch>
                  </pic:blipFill>
                  <pic:spPr>
                    <a:xfrm>
                      <a:off x="0" y="0"/>
                      <a:ext cx="5580000" cy="3945000"/>
                    </a:xfrm>
                    <a:prstGeom prst="rect"/>
                  </pic:spPr>
                </pic:pic>
              </a:graphicData>
            </a:graphic>
          </wp:inline>
        </w:drawing>
      </w:r>
    </w:p>
    <w:p>
      <w:pPr>
        <w:keepNext w:val="0"/>
        <w:spacing w:after="60"/>
      </w:pPr>
      <w:r>
        <w:rPr>
          <w:rFonts w:ascii="Arial" w:hAnsi="Arial"/>
          <w:b/>
          <w:color w:val="051C5C"/>
          <w:sz w:val="19"/>
        </w:rPr>
        <w:t xml:space="preserve">Gambar 5: </w:t>
      </w:r>
      <w:r>
        <w:rPr>
          <w:rFonts w:ascii="Arial" w:hAnsi="Arial"/>
          <w:color w:val="051C5C"/>
          <w:sz w:val="19"/>
        </w:rPr>
        <w:t>Jaringan jalur kritis dan bagan Gantt untuk contoh pada Tabel di atas</w:t>
      </w:r>
    </w:p>
    <w:p>
      <w:pPr>
        <w:spacing w:after="160"/>
      </w:pPr>
      <w:r>
        <w:rPr>
          <w:rFonts w:ascii="Arial" w:hAnsi="Arial"/>
          <w:b w:val="0"/>
          <w:i/>
          <w:color w:val="051C5C"/>
          <w:sz w:val="17"/>
        </w:rPr>
        <w:t>Gambar penulis; data dari contoh ilustratif.</w:t>
      </w:r>
    </w:p>
    <w:p>
      <w:pPr>
        <w:jc w:val="both"/>
      </w:pPr>
      <w:r>
        <w:rPr>
          <w:rFonts w:ascii="Arial" w:hAnsi="Arial"/>
          <w:b w:val="0"/>
        </w:rPr>
        <w:t>Pelajaran praktis dari contoh ini: mempercepat aktivitas yang tidak kritis (misalnya persiapan lahan) tidak mengurangi durasi proyek; sebaliknya keterlambatan satu minggu pada pengadaan item lead time panjang langsung menunda penyelesaian. Karena itu pelacakan item lead time panjang adalah salah satu fungsi kunci yang diminta dari agen pengadaan dan jadwal pada platform AI [PLAT, hlm. 5].</w:t>
      </w:r>
    </w:p>
    <w:p>
      <w:pPr>
        <w:pStyle w:val="Heading2"/>
      </w:pPr>
      <w:r>
        <w:t>5.3  Estimasi durasi dan ketidakpastian: PERT, simulasi, dan rantai kritis</w:t>
      </w:r>
    </w:p>
    <w:p>
      <w:pPr>
        <w:jc w:val="both"/>
      </w:pPr>
      <w:r>
        <w:rPr>
          <w:rFonts w:ascii="Arial" w:hAnsi="Arial"/>
          <w:b w:val="0"/>
        </w:rPr>
        <w:t xml:space="preserve">Durasi yang diestimasi sebagai satu angka menyembunyikan ketidakpastian. Teknik tiga titik PERT memakai estimasi optimistis (o), paling mungkin (m), dan pesimistis (p): durasi harapan t = (o + 4m + p) / 6 dan simpangan baku σ = (p − o) / 6. Untuk aktivitas B pada contoh dengan o = 8, m = 10, p = 18 minggu, durasi harapan adalah 11 minggu dengan σ sekitar 1,7 minggu: nilai harapan lebih besar daripada nilai paling mungkin karena distribusinya condong ke kanan. Simulasi Monte Carlo atas jaringan lengkap menghasilkan distribusi tanggal selesai dan probabilitas mencapai tanggal target (misalnya P50 dan P80), serta menunjukkan aktivitas yang paling sering berada di jalur kritis (indeks kekritisan). Pendekatan </w:t>
      </w:r>
      <w:r>
        <w:rPr>
          <w:rFonts w:ascii="Arial" w:hAnsi="Arial"/>
          <w:b/>
        </w:rPr>
        <w:t>rantai kritis</w:t>
      </w:r>
      <w:r>
        <w:rPr>
          <w:rFonts w:ascii="Arial" w:hAnsi="Arial"/>
          <w:b w:val="0"/>
        </w:rPr>
        <w:t xml:space="preserve"> (Goldratt, 1997) menambahkan penyangga proyek di ujung rantai dan menghindari penyangga tersembunyi pada tiap aktivitas.</w:t>
      </w:r>
    </w:p>
    <w:p>
      <w:pPr>
        <w:keepNext/>
        <w:spacing w:after="60"/>
      </w:pPr>
      <w:r>
        <w:rPr>
          <w:rFonts w:ascii="Arial" w:hAnsi="Arial"/>
          <w:b/>
          <w:color w:val="051C5C"/>
          <w:sz w:val="19"/>
        </w:rPr>
        <w:t xml:space="preserve">Tabel 15: </w:t>
      </w:r>
      <w:r>
        <w:rPr>
          <w:rFonts w:ascii="Arial" w:hAnsi="Arial"/>
          <w:color w:val="051C5C"/>
          <w:sz w:val="19"/>
        </w:rPr>
        <w:t>Teknik estimasi dan pengendalian jadwal</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2451"/>
            <w:shd w:val="clear" w:color="auto" w:fill="2251FF"/>
            <w:vAlign w:val="center"/>
          </w:tcPr>
          <w:p>
            <w:pPr>
              <w:spacing w:after="20" w:before="20" w:line="252" w:lineRule="auto"/>
            </w:pPr>
            <w:r/>
            <w:r>
              <w:rPr>
                <w:rFonts w:ascii="Arial" w:hAnsi="Arial"/>
                <w:b/>
                <w:color w:val="FFFFFF"/>
                <w:sz w:val="17"/>
              </w:rPr>
              <w:t>Teknik</w:t>
            </w:r>
          </w:p>
        </w:tc>
        <w:tc>
          <w:tcPr>
            <w:tcW w:type="dxa" w:w="3333"/>
            <w:shd w:val="clear" w:color="auto" w:fill="2251FF"/>
            <w:vAlign w:val="center"/>
          </w:tcPr>
          <w:p>
            <w:pPr>
              <w:spacing w:after="20" w:before="20" w:line="252" w:lineRule="auto"/>
            </w:pPr>
            <w:r/>
            <w:r>
              <w:rPr>
                <w:rFonts w:ascii="Arial" w:hAnsi="Arial"/>
                <w:b/>
                <w:color w:val="FFFFFF"/>
                <w:sz w:val="17"/>
              </w:rPr>
              <w:t>Kegunaan</w:t>
            </w:r>
          </w:p>
        </w:tc>
        <w:tc>
          <w:tcPr>
            <w:tcW w:type="dxa" w:w="3627"/>
            <w:shd w:val="clear" w:color="auto" w:fill="2251FF"/>
            <w:vAlign w:val="center"/>
          </w:tcPr>
          <w:p>
            <w:pPr>
              <w:spacing w:after="20" w:before="20" w:line="252" w:lineRule="auto"/>
            </w:pPr>
            <w:r/>
            <w:r>
              <w:rPr>
                <w:rFonts w:ascii="Arial" w:hAnsi="Arial"/>
                <w:b/>
                <w:color w:val="FFFFFF"/>
                <w:sz w:val="17"/>
              </w:rPr>
              <w:t>Catatan untuk proyek Danantara</w:t>
            </w:r>
          </w:p>
        </w:tc>
      </w:tr>
      <w:tr>
        <w:trPr>
          <w:cantSplit/>
        </w:trPr>
        <w:tc>
          <w:tcPr>
            <w:tcW w:type="dxa" w:w="2451"/>
            <w:vAlign w:val="center"/>
          </w:tcPr>
          <w:p>
            <w:pPr>
              <w:spacing w:after="20" w:before="20" w:line="252" w:lineRule="auto"/>
            </w:pPr>
            <w:r/>
            <w:r>
              <w:rPr>
                <w:rFonts w:ascii="Arial" w:hAnsi="Arial"/>
                <w:b/>
                <w:sz w:val="17"/>
              </w:rPr>
              <w:t>CPM</w:t>
            </w:r>
          </w:p>
        </w:tc>
        <w:tc>
          <w:tcPr>
            <w:tcW w:type="dxa" w:w="3333"/>
            <w:vAlign w:val="center"/>
          </w:tcPr>
          <w:p>
            <w:pPr>
              <w:spacing w:after="20" w:before="20" w:line="252" w:lineRule="auto"/>
            </w:pPr>
            <w:r/>
            <w:r>
              <w:rPr>
                <w:rFonts w:ascii="Arial" w:hAnsi="Arial"/>
                <w:b w:val="0"/>
                <w:sz w:val="17"/>
              </w:rPr>
              <w:t>Jalur kritis, float, dampak penundaan</w:t>
            </w:r>
          </w:p>
        </w:tc>
        <w:tc>
          <w:tcPr>
            <w:tcW w:type="dxa" w:w="3627"/>
            <w:vAlign w:val="center"/>
          </w:tcPr>
          <w:p>
            <w:pPr>
              <w:spacing w:after="20" w:before="20" w:line="252" w:lineRule="auto"/>
            </w:pPr>
            <w:r/>
            <w:r>
              <w:rPr>
                <w:rFonts w:ascii="Arial" w:hAnsi="Arial"/>
                <w:b w:val="0"/>
                <w:sz w:val="17"/>
              </w:rPr>
              <w:t>Wajib untuk jadwal dasar pada P4</w:t>
            </w:r>
          </w:p>
        </w:tc>
      </w:tr>
      <w:tr>
        <w:trPr>
          <w:cantSplit/>
        </w:trPr>
        <w:tc>
          <w:tcPr>
            <w:tcW w:type="dxa" w:w="2451"/>
            <w:shd w:val="clear" w:color="auto" w:fill="E6ECFD"/>
            <w:vAlign w:val="center"/>
          </w:tcPr>
          <w:p>
            <w:pPr>
              <w:spacing w:after="20" w:before="20" w:line="252" w:lineRule="auto"/>
            </w:pPr>
            <w:r/>
            <w:r>
              <w:rPr>
                <w:rFonts w:ascii="Arial" w:hAnsi="Arial"/>
                <w:b/>
                <w:sz w:val="17"/>
              </w:rPr>
              <w:t>PERT / tiga titik</w:t>
            </w:r>
          </w:p>
        </w:tc>
        <w:tc>
          <w:tcPr>
            <w:tcW w:type="dxa" w:w="3333"/>
            <w:shd w:val="clear" w:color="auto" w:fill="E6ECFD"/>
            <w:vAlign w:val="center"/>
          </w:tcPr>
          <w:p>
            <w:pPr>
              <w:spacing w:after="20" w:before="20" w:line="252" w:lineRule="auto"/>
            </w:pPr>
            <w:r/>
            <w:r>
              <w:rPr>
                <w:rFonts w:ascii="Arial" w:hAnsi="Arial"/>
                <w:b w:val="0"/>
                <w:sz w:val="17"/>
              </w:rPr>
              <w:t>Ketidakpastian durasi pada aktivitas berisiko</w:t>
            </w:r>
          </w:p>
        </w:tc>
        <w:tc>
          <w:tcPr>
            <w:tcW w:type="dxa" w:w="3627"/>
            <w:shd w:val="clear" w:color="auto" w:fill="E6ECFD"/>
            <w:vAlign w:val="center"/>
          </w:tcPr>
          <w:p>
            <w:pPr>
              <w:spacing w:after="20" w:before="20" w:line="252" w:lineRule="auto"/>
            </w:pPr>
            <w:r/>
            <w:r>
              <w:rPr>
                <w:rFonts w:ascii="Arial" w:hAnsi="Arial"/>
                <w:b w:val="0"/>
                <w:sz w:val="17"/>
              </w:rPr>
              <w:t>Gunakan pada aktivitas teknologi baru dan lead time panjang</w:t>
            </w:r>
          </w:p>
        </w:tc>
      </w:tr>
      <w:tr>
        <w:trPr>
          <w:cantSplit/>
        </w:trPr>
        <w:tc>
          <w:tcPr>
            <w:tcW w:type="dxa" w:w="2451"/>
            <w:vAlign w:val="center"/>
          </w:tcPr>
          <w:p>
            <w:pPr>
              <w:spacing w:after="20" w:before="20" w:line="252" w:lineRule="auto"/>
            </w:pPr>
            <w:r/>
            <w:r>
              <w:rPr>
                <w:rFonts w:ascii="Arial" w:hAnsi="Arial"/>
                <w:b/>
                <w:sz w:val="17"/>
              </w:rPr>
              <w:t>Simulasi Monte Carlo</w:t>
            </w:r>
          </w:p>
        </w:tc>
        <w:tc>
          <w:tcPr>
            <w:tcW w:type="dxa" w:w="3333"/>
            <w:vAlign w:val="center"/>
          </w:tcPr>
          <w:p>
            <w:pPr>
              <w:spacing w:after="20" w:before="20" w:line="252" w:lineRule="auto"/>
            </w:pPr>
            <w:r/>
            <w:r>
              <w:rPr>
                <w:rFonts w:ascii="Arial" w:hAnsi="Arial"/>
                <w:b w:val="0"/>
                <w:sz w:val="17"/>
              </w:rPr>
              <w:t>Probabilitas tanggal selesai (P50, P80)</w:t>
            </w:r>
          </w:p>
        </w:tc>
        <w:tc>
          <w:tcPr>
            <w:tcW w:type="dxa" w:w="3627"/>
            <w:vAlign w:val="center"/>
          </w:tcPr>
          <w:p>
            <w:pPr>
              <w:spacing w:after="20" w:before="20" w:line="252" w:lineRule="auto"/>
            </w:pPr>
            <w:r/>
            <w:r>
              <w:rPr>
                <w:rFonts w:ascii="Arial" w:hAnsi="Arial"/>
                <w:b w:val="0"/>
                <w:sz w:val="17"/>
              </w:rPr>
              <w:t>Basis kontingensi waktu; selaras dengan registrasi risiko</w:t>
            </w:r>
          </w:p>
        </w:tc>
      </w:tr>
      <w:tr>
        <w:trPr>
          <w:cantSplit/>
        </w:trPr>
        <w:tc>
          <w:tcPr>
            <w:tcW w:type="dxa" w:w="2451"/>
            <w:shd w:val="clear" w:color="auto" w:fill="E6ECFD"/>
            <w:vAlign w:val="center"/>
          </w:tcPr>
          <w:p>
            <w:pPr>
              <w:spacing w:after="20" w:before="20" w:line="252" w:lineRule="auto"/>
            </w:pPr>
            <w:r/>
            <w:r>
              <w:rPr>
                <w:rFonts w:ascii="Arial" w:hAnsi="Arial"/>
                <w:b/>
                <w:sz w:val="17"/>
              </w:rPr>
              <w:t>Leveling dan smoothing sumber daya</w:t>
            </w:r>
          </w:p>
        </w:tc>
        <w:tc>
          <w:tcPr>
            <w:tcW w:type="dxa" w:w="3333"/>
            <w:shd w:val="clear" w:color="auto" w:fill="E6ECFD"/>
            <w:vAlign w:val="center"/>
          </w:tcPr>
          <w:p>
            <w:pPr>
              <w:spacing w:after="20" w:before="20" w:line="252" w:lineRule="auto"/>
            </w:pPr>
            <w:r/>
            <w:r>
              <w:rPr>
                <w:rFonts w:ascii="Arial" w:hAnsi="Arial"/>
                <w:b w:val="0"/>
                <w:sz w:val="17"/>
              </w:rPr>
              <w:t>Menyeimbangkan tenaga, peralatan, dan galangan</w:t>
            </w:r>
          </w:p>
        </w:tc>
        <w:tc>
          <w:tcPr>
            <w:tcW w:type="dxa" w:w="3627"/>
            <w:shd w:val="clear" w:color="auto" w:fill="E6ECFD"/>
            <w:vAlign w:val="center"/>
          </w:tcPr>
          <w:p>
            <w:pPr>
              <w:spacing w:after="20" w:before="20" w:line="252" w:lineRule="auto"/>
            </w:pPr>
            <w:r/>
            <w:r>
              <w:rPr>
                <w:rFonts w:ascii="Arial" w:hAnsi="Arial"/>
                <w:b w:val="0"/>
                <w:sz w:val="17"/>
              </w:rPr>
              <w:t>Penting untuk galangan dan fabrikator bersama beberapa proyek</w:t>
            </w:r>
          </w:p>
        </w:tc>
      </w:tr>
      <w:tr>
        <w:trPr>
          <w:cantSplit/>
        </w:trPr>
        <w:tc>
          <w:tcPr>
            <w:tcW w:type="dxa" w:w="2451"/>
            <w:vAlign w:val="center"/>
          </w:tcPr>
          <w:p>
            <w:pPr>
              <w:spacing w:after="20" w:before="20" w:line="252" w:lineRule="auto"/>
            </w:pPr>
            <w:r/>
            <w:r>
              <w:rPr>
                <w:rFonts w:ascii="Arial" w:hAnsi="Arial"/>
                <w:b/>
                <w:sz w:val="17"/>
              </w:rPr>
              <w:t>Jadwal terbalik (pull planning)</w:t>
            </w:r>
          </w:p>
        </w:tc>
        <w:tc>
          <w:tcPr>
            <w:tcW w:type="dxa" w:w="3333"/>
            <w:vAlign w:val="center"/>
          </w:tcPr>
          <w:p>
            <w:pPr>
              <w:spacing w:after="20" w:before="20" w:line="252" w:lineRule="auto"/>
            </w:pPr>
            <w:r/>
            <w:r>
              <w:rPr>
                <w:rFonts w:ascii="Arial" w:hAnsi="Arial"/>
                <w:b w:val="0"/>
                <w:sz w:val="17"/>
              </w:rPr>
              <w:t>Menyusun dari tanggal target ke belakang bersama pelaksana</w:t>
            </w:r>
          </w:p>
        </w:tc>
        <w:tc>
          <w:tcPr>
            <w:tcW w:type="dxa" w:w="3627"/>
            <w:vAlign w:val="center"/>
          </w:tcPr>
          <w:p>
            <w:pPr>
              <w:spacing w:after="20" w:before="20" w:line="252" w:lineRule="auto"/>
            </w:pPr>
            <w:r/>
            <w:r>
              <w:rPr>
                <w:rFonts w:ascii="Arial" w:hAnsi="Arial"/>
                <w:b w:val="0"/>
                <w:sz w:val="17"/>
              </w:rPr>
              <w:t>Cocok untuk komisioning dan interface lintas kontraktor</w:t>
            </w:r>
          </w:p>
        </w:tc>
      </w:tr>
      <w:tr>
        <w:trPr>
          <w:cantSplit/>
        </w:trPr>
        <w:tc>
          <w:tcPr>
            <w:tcW w:type="dxa" w:w="2451"/>
            <w:shd w:val="clear" w:color="auto" w:fill="E6ECFD"/>
            <w:vAlign w:val="center"/>
          </w:tcPr>
          <w:p>
            <w:pPr>
              <w:spacing w:after="20" w:before="20" w:line="252" w:lineRule="auto"/>
            </w:pPr>
            <w:r/>
            <w:r>
              <w:rPr>
                <w:rFonts w:ascii="Arial" w:hAnsi="Arial"/>
                <w:b/>
                <w:sz w:val="17"/>
              </w:rPr>
              <w:t>Pengukuran kemajuan berbobot</w:t>
            </w:r>
          </w:p>
        </w:tc>
        <w:tc>
          <w:tcPr>
            <w:tcW w:type="dxa" w:w="3333"/>
            <w:shd w:val="clear" w:color="auto" w:fill="E6ECFD"/>
            <w:vAlign w:val="center"/>
          </w:tcPr>
          <w:p>
            <w:pPr>
              <w:spacing w:after="20" w:before="20" w:line="252" w:lineRule="auto"/>
            </w:pPr>
            <w:r/>
            <w:r>
              <w:rPr>
                <w:rFonts w:ascii="Arial" w:hAnsi="Arial"/>
                <w:b w:val="0"/>
                <w:sz w:val="17"/>
              </w:rPr>
              <w:t>Mengubah kemajuan fisik menjadi persen terukur</w:t>
            </w:r>
          </w:p>
        </w:tc>
        <w:tc>
          <w:tcPr>
            <w:tcW w:type="dxa" w:w="3627"/>
            <w:shd w:val="clear" w:color="auto" w:fill="E6ECFD"/>
            <w:vAlign w:val="center"/>
          </w:tcPr>
          <w:p>
            <w:pPr>
              <w:spacing w:after="20" w:before="20" w:line="252" w:lineRule="auto"/>
            </w:pPr>
            <w:r/>
            <w:r>
              <w:rPr>
                <w:rFonts w:ascii="Arial" w:hAnsi="Arial"/>
                <w:b w:val="0"/>
                <w:sz w:val="17"/>
              </w:rPr>
              <w:t>Milestone berbobot, unit terpasang; hindari estimasi subjektif</w:t>
            </w:r>
          </w:p>
        </w:tc>
      </w:tr>
    </w:tbl>
    <w:p>
      <w:pPr>
        <w:spacing w:after="160"/>
      </w:pPr>
      <w:r>
        <w:rPr>
          <w:rFonts w:ascii="Arial" w:hAnsi="Arial"/>
          <w:b w:val="0"/>
          <w:i/>
          <w:color w:val="051C5C"/>
          <w:sz w:val="17"/>
        </w:rPr>
        <w:t>Sumber: PMI (2021), Goldratt (1997) dan [EPC, §3, §7].</w:t>
      </w:r>
    </w:p>
    <w:p>
      <w:pPr>
        <w:pStyle w:val="Heading2"/>
      </w:pPr>
      <w:r>
        <w:t>5.4  Jadwal dasar, kurva-S, dan pengendalian perubahan</w:t>
      </w:r>
    </w:p>
    <w:p>
      <w:pPr>
        <w:jc w:val="both"/>
      </w:pPr>
      <w:r>
        <w:rPr>
          <w:rFonts w:ascii="Arial" w:hAnsi="Arial"/>
          <w:b w:val="0"/>
        </w:rPr>
        <w:t>Jadwal dasar (baseline) adalah versi jadwal yang disetujui sebagai acuan. Tanpa baseline yang dibekukan, penyimpangan tidak dapat diukur. Kajian Danantara menegaskan hal ini dengan dua cara: gerbang P4 mensyaratkan "jadwal dasar dan pengendalian perubahan", dan metrik pembangunan D08 (komisioning tepat waktu dan tepat anggaran) membandingkan capaian dengan baseline yang disahkan, dengan ketentuan bahwa penetapan ulang baseline tidak boleh menghapus keterlambatan [EVAL, Bagian 11; K, Lampiran A.3]. Alur kerja anggaran EPC menambahkan bahwa baseline biaya dibentuk dengan menjadwalkan anggaran terhadap waktu (kurva-S) dan menjadi dasar prakiraan arus kas [EPC, §2].</w:t>
      </w:r>
    </w:p>
    <w:p>
      <w:pPr>
        <w:pStyle w:val="Heading2"/>
      </w:pPr>
      <w:r>
        <w:t>5.5  Tonggak, bukti fisik, dan jadwal pencairan</w:t>
      </w:r>
    </w:p>
    <w:p>
      <w:pPr>
        <w:jc w:val="both"/>
      </w:pPr>
      <w:r>
        <w:rPr>
          <w:rFonts w:ascii="Arial" w:hAnsi="Arial"/>
          <w:b w:val="0"/>
        </w:rPr>
        <w:t xml:space="preserve">Pada proyek bernilai besar dengan siklus panjang, tonggak yang diverifikasi menjadi alat pengendali dan juga alat pembiayaan. PALCapital mengikat pencairan dana pada empat tonggak fisik pembangunan kapal selam: pemotongan baja (US$40 juta), peletakan lunas (US$45 juta), peluncuran (US$40 juta), dan uji laut (US$25 juta), total US$150 juta, dengan bukti berupa foto bergeotag, koordinat GPS, dan cap waktu serta persetujuan dua dari dua oleh surveyor BKI dan perwira TNI AL [PAL, hlm. 7–8]. Jadwal pembayaran Kemhan, yaitu uang muka 15% dan lima termin (T1–T5), dikumpulkan pada rekening penampungan sebelum arus pelunasan [PAL, hlm. 10]. Dari perspektif manajemen proyek, hal ini menggambarkan prinsip </w:t>
      </w:r>
      <w:r>
        <w:rPr>
          <w:rFonts w:ascii="Arial" w:hAnsi="Arial"/>
          <w:b/>
        </w:rPr>
        <w:t>"uang mengikuti bukti fisik, bukan rencana"</w:t>
      </w:r>
      <w:r>
        <w:rPr>
          <w:rFonts w:ascii="Arial" w:hAnsi="Arial"/>
          <w:b w:val="0"/>
        </w:rPr>
        <w:t>. Namun siklus pembangunan 60 sampai 96 bulan [PAL, hlm. 2] menunjukkan pentingnya pengelolaan ketergantungan jadwal antara tonggak fisik, pembayaran negara, dan tenor instrumen pembiayaan (720 hari untuk uji coba), sebuah risiko yang tidak tercantum pada register risiko dokumen PALCapital [PAL, hlm. 14].</w:t>
      </w:r>
    </w:p>
    <w:p>
      <w:pPr>
        <w:keepNext/>
        <w:spacing w:after="60"/>
      </w:pPr>
      <w:r>
        <w:rPr>
          <w:rFonts w:ascii="Arial" w:hAnsi="Arial"/>
          <w:b/>
          <w:color w:val="051C5C"/>
          <w:sz w:val="19"/>
        </w:rPr>
        <w:t xml:space="preserve">Tabel 16: </w:t>
      </w:r>
      <w:r>
        <w:rPr>
          <w:rFonts w:ascii="Arial" w:hAnsi="Arial"/>
          <w:color w:val="051C5C"/>
          <w:sz w:val="19"/>
        </w:rPr>
        <w:t>Contoh tonggak bergerbang pada tiga konteks</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2353"/>
        <w:gridCol w:w="2353"/>
        <w:gridCol w:w="2353"/>
        <w:gridCol w:w="2353"/>
      </w:tblGrid>
      <w:tr>
        <w:trPr>
          <w:cantSplit/>
          <w:tblHeader/>
        </w:trPr>
        <w:tc>
          <w:tcPr>
            <w:tcW w:type="dxa" w:w="1421"/>
            <w:shd w:val="clear" w:color="auto" w:fill="2251FF"/>
            <w:vAlign w:val="center"/>
          </w:tcPr>
          <w:p>
            <w:pPr>
              <w:spacing w:after="20" w:before="20" w:line="252" w:lineRule="auto"/>
            </w:pPr>
            <w:r/>
            <w:r>
              <w:rPr>
                <w:rFonts w:ascii="Arial" w:hAnsi="Arial"/>
                <w:b/>
                <w:color w:val="FFFFFF"/>
                <w:sz w:val="17"/>
              </w:rPr>
              <w:t>Konteks</w:t>
            </w:r>
          </w:p>
        </w:tc>
        <w:tc>
          <w:tcPr>
            <w:tcW w:type="dxa" w:w="2663"/>
            <w:shd w:val="clear" w:color="auto" w:fill="2251FF"/>
            <w:vAlign w:val="center"/>
          </w:tcPr>
          <w:p>
            <w:pPr>
              <w:spacing w:after="20" w:before="20" w:line="252" w:lineRule="auto"/>
            </w:pPr>
            <w:r/>
            <w:r>
              <w:rPr>
                <w:rFonts w:ascii="Arial" w:hAnsi="Arial"/>
                <w:b/>
                <w:color w:val="FFFFFF"/>
                <w:sz w:val="17"/>
              </w:rPr>
              <w:t>Tonggak</w:t>
            </w:r>
          </w:p>
        </w:tc>
        <w:tc>
          <w:tcPr>
            <w:tcW w:type="dxa" w:w="2663"/>
            <w:shd w:val="clear" w:color="auto" w:fill="2251FF"/>
            <w:vAlign w:val="center"/>
          </w:tcPr>
          <w:p>
            <w:pPr>
              <w:spacing w:after="20" w:before="20" w:line="252" w:lineRule="auto"/>
            </w:pPr>
            <w:r/>
            <w:r>
              <w:rPr>
                <w:rFonts w:ascii="Arial" w:hAnsi="Arial"/>
                <w:b/>
                <w:color w:val="FFFFFF"/>
                <w:sz w:val="17"/>
              </w:rPr>
              <w:t>Bukti</w:t>
            </w:r>
          </w:p>
        </w:tc>
        <w:tc>
          <w:tcPr>
            <w:tcW w:type="dxa" w:w="2663"/>
            <w:shd w:val="clear" w:color="auto" w:fill="2251FF"/>
            <w:vAlign w:val="center"/>
          </w:tcPr>
          <w:p>
            <w:pPr>
              <w:spacing w:after="20" w:before="20" w:line="252" w:lineRule="auto"/>
            </w:pPr>
            <w:r/>
            <w:r>
              <w:rPr>
                <w:rFonts w:ascii="Arial" w:hAnsi="Arial"/>
                <w:b/>
                <w:color w:val="FFFFFF"/>
                <w:sz w:val="17"/>
              </w:rPr>
              <w:t>Konsekuensi</w:t>
            </w:r>
          </w:p>
        </w:tc>
      </w:tr>
      <w:tr>
        <w:trPr>
          <w:cantSplit/>
        </w:trPr>
        <w:tc>
          <w:tcPr>
            <w:tcW w:type="dxa" w:w="1421"/>
            <w:vAlign w:val="center"/>
          </w:tcPr>
          <w:p>
            <w:pPr>
              <w:spacing w:after="20" w:before="20" w:line="252" w:lineRule="auto"/>
            </w:pPr>
            <w:r/>
            <w:r>
              <w:rPr>
                <w:rFonts w:ascii="Arial" w:hAnsi="Arial"/>
                <w:b/>
                <w:sz w:val="17"/>
              </w:rPr>
              <w:t>PAL-SUB-1</w:t>
            </w:r>
          </w:p>
        </w:tc>
        <w:tc>
          <w:tcPr>
            <w:tcW w:type="dxa" w:w="2663"/>
            <w:vAlign w:val="center"/>
          </w:tcPr>
          <w:p>
            <w:pPr>
              <w:spacing w:after="20" w:before="20" w:line="252" w:lineRule="auto"/>
            </w:pPr>
            <w:r/>
            <w:r>
              <w:rPr>
                <w:rFonts w:ascii="Arial" w:hAnsi="Arial"/>
                <w:b w:val="0"/>
                <w:sz w:val="17"/>
              </w:rPr>
              <w:t>Pemotongan baja, peletakan lunas, peluncuran, uji laut</w:t>
            </w:r>
          </w:p>
        </w:tc>
        <w:tc>
          <w:tcPr>
            <w:tcW w:type="dxa" w:w="2663"/>
            <w:vAlign w:val="center"/>
          </w:tcPr>
          <w:p>
            <w:pPr>
              <w:spacing w:after="20" w:before="20" w:line="252" w:lineRule="auto"/>
            </w:pPr>
            <w:r/>
            <w:r>
              <w:rPr>
                <w:rFonts w:ascii="Arial" w:hAnsi="Arial"/>
                <w:b w:val="0"/>
                <w:sz w:val="17"/>
              </w:rPr>
              <w:t>Foto bergeotag, GPS, tanda tangan surveyor dan perwira (2 dari 2)</w:t>
            </w:r>
          </w:p>
        </w:tc>
        <w:tc>
          <w:tcPr>
            <w:tcW w:type="dxa" w:w="2663"/>
            <w:vAlign w:val="center"/>
          </w:tcPr>
          <w:p>
            <w:pPr>
              <w:spacing w:after="20" w:before="20" w:line="252" w:lineRule="auto"/>
            </w:pPr>
            <w:r/>
            <w:r>
              <w:rPr>
                <w:rFonts w:ascii="Arial" w:hAnsi="Arial"/>
                <w:b w:val="0"/>
                <w:sz w:val="17"/>
              </w:rPr>
              <w:t>Tranche US$40, 45, 40, 25 juta dicairkan langsung ke vendor</w:t>
            </w:r>
          </w:p>
        </w:tc>
      </w:tr>
      <w:tr>
        <w:trPr>
          <w:cantSplit/>
        </w:trPr>
        <w:tc>
          <w:tcPr>
            <w:tcW w:type="dxa" w:w="1421"/>
            <w:shd w:val="clear" w:color="auto" w:fill="E6ECFD"/>
            <w:vAlign w:val="center"/>
          </w:tcPr>
          <w:p>
            <w:pPr>
              <w:spacing w:after="20" w:before="20" w:line="252" w:lineRule="auto"/>
            </w:pPr>
            <w:r/>
            <w:r>
              <w:rPr>
                <w:rFonts w:ascii="Arial" w:hAnsi="Arial"/>
                <w:b/>
                <w:sz w:val="17"/>
              </w:rPr>
              <w:t>DOCK-UP</w:t>
            </w:r>
          </w:p>
        </w:tc>
        <w:tc>
          <w:tcPr>
            <w:tcW w:type="dxa" w:w="2663"/>
            <w:shd w:val="clear" w:color="auto" w:fill="E6ECFD"/>
            <w:vAlign w:val="center"/>
          </w:tcPr>
          <w:p>
            <w:pPr>
              <w:spacing w:after="20" w:before="20" w:line="252" w:lineRule="auto"/>
            </w:pPr>
            <w:r/>
            <w:r>
              <w:rPr>
                <w:rFonts w:ascii="Arial" w:hAnsi="Arial"/>
                <w:b w:val="0"/>
                <w:sz w:val="17"/>
              </w:rPr>
              <w:t>Masuk, G1 (MRL 6), G2 (MRL 7 + C1), G3 (MRL 8 + C2), G4</w:t>
            </w:r>
          </w:p>
        </w:tc>
        <w:tc>
          <w:tcPr>
            <w:tcW w:type="dxa" w:w="2663"/>
            <w:shd w:val="clear" w:color="auto" w:fill="E6ECFD"/>
            <w:vAlign w:val="center"/>
          </w:tcPr>
          <w:p>
            <w:pPr>
              <w:spacing w:after="20" w:before="20" w:line="252" w:lineRule="auto"/>
            </w:pPr>
            <w:r/>
            <w:r>
              <w:rPr>
                <w:rFonts w:ascii="Arial" w:hAnsi="Arial"/>
                <w:b w:val="0"/>
                <w:sz w:val="17"/>
              </w:rPr>
              <w:t>Inspeksi artikel pertama, batch berulang, persetujuan pengguna, adopsi produk</w:t>
            </w:r>
          </w:p>
        </w:tc>
        <w:tc>
          <w:tcPr>
            <w:tcW w:type="dxa" w:w="2663"/>
            <w:shd w:val="clear" w:color="auto" w:fill="E6ECFD"/>
            <w:vAlign w:val="center"/>
          </w:tcPr>
          <w:p>
            <w:pPr>
              <w:spacing w:after="20" w:before="20" w:line="252" w:lineRule="auto"/>
            </w:pPr>
            <w:r/>
            <w:r>
              <w:rPr>
                <w:rFonts w:ascii="Arial" w:hAnsi="Arial"/>
                <w:b w:val="0"/>
                <w:sz w:val="17"/>
              </w:rPr>
              <w:t>Pesanan tahap 1–3 dilepas; pembiayaan pemasok mengikuti</w:t>
            </w:r>
          </w:p>
        </w:tc>
      </w:tr>
      <w:tr>
        <w:trPr>
          <w:cantSplit/>
        </w:trPr>
        <w:tc>
          <w:tcPr>
            <w:tcW w:type="dxa" w:w="1421"/>
            <w:vAlign w:val="center"/>
          </w:tcPr>
          <w:p>
            <w:pPr>
              <w:spacing w:after="20" w:before="20" w:line="252" w:lineRule="auto"/>
            </w:pPr>
            <w:r/>
            <w:r>
              <w:rPr>
                <w:rFonts w:ascii="Arial" w:hAnsi="Arial"/>
                <w:b/>
                <w:sz w:val="17"/>
              </w:rPr>
              <w:t>Gerbang industri M0–M9</w:t>
            </w:r>
          </w:p>
        </w:tc>
        <w:tc>
          <w:tcPr>
            <w:tcW w:type="dxa" w:w="2663"/>
            <w:vAlign w:val="center"/>
          </w:tcPr>
          <w:p>
            <w:pPr>
              <w:spacing w:after="20" w:before="20" w:line="252" w:lineRule="auto"/>
            </w:pPr>
            <w:r/>
            <w:r>
              <w:rPr>
                <w:rFonts w:ascii="Arial" w:hAnsi="Arial"/>
                <w:b w:val="0"/>
                <w:sz w:val="17"/>
              </w:rPr>
              <w:t>Mandat, FEL 1–3, FID, EPC, penyelesaian mekanis, komisioning, rilis, ramp-up</w:t>
            </w:r>
          </w:p>
        </w:tc>
        <w:tc>
          <w:tcPr>
            <w:tcW w:type="dxa" w:w="2663"/>
            <w:vAlign w:val="center"/>
          </w:tcPr>
          <w:p>
            <w:pPr>
              <w:spacing w:after="20" w:before="20" w:line="252" w:lineRule="auto"/>
            </w:pPr>
            <w:r/>
            <w:r>
              <w:rPr>
                <w:rFonts w:ascii="Arial" w:hAnsi="Arial"/>
                <w:b w:val="0"/>
                <w:sz w:val="17"/>
              </w:rPr>
              <w:t>Dokumen keluaran per gerbang dan peninjauan independen</w:t>
            </w:r>
          </w:p>
        </w:tc>
        <w:tc>
          <w:tcPr>
            <w:tcW w:type="dxa" w:w="2663"/>
            <w:vAlign w:val="center"/>
          </w:tcPr>
          <w:p>
            <w:pPr>
              <w:spacing w:after="20" w:before="20" w:line="252" w:lineRule="auto"/>
            </w:pPr>
            <w:r/>
            <w:r>
              <w:rPr>
                <w:rFonts w:ascii="Arial" w:hAnsi="Arial"/>
                <w:b w:val="0"/>
                <w:sz w:val="17"/>
              </w:rPr>
              <w:t>Pembiayaan dan kewenangan tahap berikutnya</w:t>
            </w:r>
          </w:p>
        </w:tc>
      </w:tr>
    </w:tbl>
    <w:p>
      <w:pPr>
        <w:spacing w:after="160"/>
      </w:pPr>
      <w:r>
        <w:rPr>
          <w:rFonts w:ascii="Arial" w:hAnsi="Arial"/>
          <w:b w:val="0"/>
          <w:i/>
          <w:color w:val="051C5C"/>
          <w:sz w:val="17"/>
        </w:rPr>
        <w:t>Sumber: [PAL, hlm. 8]; [DOCK, hlm. 6]; [VERO, Milestones].</w:t>
      </w:r>
    </w:p>
    <w:tbl>
      <w:tblPr>
        <w:tblW w:type="auto" w:w="0"/>
        <w:jc w:val="center"/>
        <w:tblLook w:firstColumn="1" w:firstRow="1" w:lastColumn="0" w:lastRow="0" w:noHBand="0" w:noVBand="1" w:val="04A0"/>
      </w:tblPr>
      <w:tblGrid>
        <w:gridCol w:w="9412"/>
      </w:tblGrid>
      <w:tr>
        <w:tc>
          <w:tcPr>
            <w:tcW w:type="dxa" w:w="9412"/>
            <w:tcBorders>
              <w:left w:val="single" w:sz="36" w:color="000000"/>
            </w:tcBorders>
            <w:shd w:val="clear" w:color="auto" w:fill="F2F2F2"/>
          </w:tcPr>
          <w:p>
            <w:pPr>
              <w:spacing w:after="40"/>
            </w:pPr>
            <w:r/>
            <w:r>
              <w:rPr>
                <w:rFonts w:ascii="Arial" w:hAnsi="Arial"/>
                <w:b/>
                <w:color w:val="051C5C"/>
                <w:sz w:val="21"/>
              </w:rPr>
              <w:t>Celah yang ditemukan pada dokumen sumber</w:t>
            </w:r>
          </w:p>
          <w:p>
            <w:pPr>
              <w:spacing w:after="40"/>
            </w:pPr>
            <w:r>
              <w:rPr>
                <w:rFonts w:ascii="Arial" w:hAnsi="Arial"/>
                <w:b w:val="0"/>
                <w:sz w:val="20"/>
              </w:rPr>
              <w:t>Dokumen sumber Danantara tidak membahas metode jalur kritis, analisis risiko jadwal, atau jadwal terpadu secara eksplisit; yang ada adalah penyebutan sistem (integrasi Primavera/P6 pada platform data), "jadwal terpadu" di bawah MD Portofolio, dan "satu jadwal dasar" per proyek [K, Bab 10.1; EVAL, Bagian 9]. Bab ini karenanya mengisinya dari teori dan dari alur kerja EPC.</w:t>
            </w:r>
          </w:p>
        </w:tc>
      </w:tr>
    </w:tbl>
    <w:p>
      <w:pPr>
        <w:spacing w:after="40"/>
      </w:pPr>
    </w:p>
    <w:p>
      <w:r>
        <w:br w:type="page"/>
      </w:r>
    </w:p>
    <w:p>
      <w:pPr>
        <w:pStyle w:val="Heading1"/>
      </w:pPr>
      <w:r>
        <w:t>6  Manajemen biaya dan pengendalian keuangan proyek</w:t>
      </w:r>
    </w:p>
    <w:p>
      <w:pPr>
        <w:pStyle w:val="Heading2"/>
      </w:pPr>
      <w:r>
        <w:t>6.1  Rantai biaya: setiap rupiah dapat ditelusuri</w:t>
      </w:r>
    </w:p>
    <w:p>
      <w:pPr>
        <w:jc w:val="both"/>
      </w:pPr>
      <w:r>
        <w:rPr>
          <w:rFonts w:ascii="Arial" w:hAnsi="Arial"/>
          <w:b w:val="0"/>
        </w:rPr>
        <w:t xml:space="preserve">Prinsip utama pengendalian biaya proyek EPC adalah bahwa </w:t>
      </w:r>
      <w:r>
        <w:rPr>
          <w:rFonts w:ascii="Arial" w:hAnsi="Arial"/>
          <w:b/>
        </w:rPr>
        <w:t>setiap rupiah harus dapat ditelusuri melalui satu rantai</w:t>
      </w:r>
      <w:r>
        <w:rPr>
          <w:rFonts w:ascii="Arial" w:hAnsi="Arial"/>
          <w:b w:val="0"/>
        </w:rPr>
        <w:t>: estimasi, harga kontrak, anggaran kendali, komitmen (PO), biaya aktual (AP), dan pembayaran; pada sisi pendapatan: nilai kontrak, rencana penagihan, klaim kemajuan atau faktur (AR), dan penagihan kas [EPC, ringkasan]. Pemantauan membandingkan anggaran, komitmen, biaya aktual, dan prakiraan (EAC), ditambah nilai terhasil (earned value) dan arus kas.</w:t>
      </w:r>
    </w:p>
    <w:p>
      <w:pPr>
        <w:keepNext/>
        <w:jc w:val="center"/>
      </w:pPr>
      <w:r>
        <w:drawing>
          <wp:inline xmlns:a="http://schemas.openxmlformats.org/drawingml/2006/main" xmlns:pic="http://schemas.openxmlformats.org/drawingml/2006/picture">
            <wp:extent cx="5580000" cy="3610588"/>
            <wp:docPr id="6" name="Picture 6"/>
            <wp:cNvGraphicFramePr>
              <a:graphicFrameLocks noChangeAspect="1"/>
            </wp:cNvGraphicFramePr>
            <a:graphic>
              <a:graphicData uri="http://schemas.openxmlformats.org/drawingml/2006/picture">
                <pic:pic>
                  <pic:nvPicPr>
                    <pic:cNvPr id="0" name="f_chain.png"/>
                    <pic:cNvPicPr/>
                  </pic:nvPicPr>
                  <pic:blipFill>
                    <a:blip r:embed="rId15"/>
                    <a:stretch>
                      <a:fillRect/>
                    </a:stretch>
                  </pic:blipFill>
                  <pic:spPr>
                    <a:xfrm>
                      <a:off x="0" y="0"/>
                      <a:ext cx="5580000" cy="3610588"/>
                    </a:xfrm>
                    <a:prstGeom prst="rect"/>
                  </pic:spPr>
                </pic:pic>
              </a:graphicData>
            </a:graphic>
          </wp:inline>
        </w:drawing>
      </w:r>
    </w:p>
    <w:p>
      <w:pPr>
        <w:keepNext w:val="0"/>
        <w:spacing w:after="60"/>
      </w:pPr>
      <w:r>
        <w:rPr>
          <w:rFonts w:ascii="Arial" w:hAnsi="Arial"/>
          <w:b/>
          <w:color w:val="051C5C"/>
          <w:sz w:val="19"/>
        </w:rPr>
        <w:t xml:space="preserve">Gambar 6: </w:t>
      </w:r>
      <w:r>
        <w:rPr>
          <w:rFonts w:ascii="Arial" w:hAnsi="Arial"/>
          <w:color w:val="051C5C"/>
          <w:sz w:val="19"/>
        </w:rPr>
        <w:t>Rantai biaya dan pendapatan proyek EPC dengan titik kendali</w:t>
      </w:r>
    </w:p>
    <w:p>
      <w:pPr>
        <w:spacing w:after="160"/>
      </w:pPr>
      <w:r>
        <w:rPr>
          <w:rFonts w:ascii="Arial" w:hAnsi="Arial"/>
          <w:b w:val="0"/>
          <w:i/>
          <w:color w:val="051C5C"/>
          <w:sz w:val="17"/>
        </w:rPr>
        <w:t>Sumber: diolah dari [EPC, bagan alur dan §1–§8].</w:t>
      </w:r>
    </w:p>
    <w:p>
      <w:pPr>
        <w:keepNext/>
        <w:spacing w:after="60"/>
      </w:pPr>
      <w:r>
        <w:rPr>
          <w:rFonts w:ascii="Arial" w:hAnsi="Arial"/>
          <w:b/>
          <w:color w:val="051C5C"/>
          <w:sz w:val="19"/>
        </w:rPr>
        <w:t xml:space="preserve">Tabel 17: </w:t>
      </w:r>
      <w:r>
        <w:rPr>
          <w:rFonts w:ascii="Arial" w:hAnsi="Arial"/>
          <w:color w:val="051C5C"/>
          <w:sz w:val="19"/>
        </w:rPr>
        <w:t>Tahap rantai biaya, titik kendali, dan kegagalan umum</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1667"/>
            <w:shd w:val="clear" w:color="auto" w:fill="2251FF"/>
            <w:vAlign w:val="center"/>
          </w:tcPr>
          <w:p>
            <w:pPr>
              <w:spacing w:after="20" w:before="20" w:line="252" w:lineRule="auto"/>
            </w:pPr>
            <w:r/>
            <w:r>
              <w:rPr>
                <w:rFonts w:ascii="Arial" w:hAnsi="Arial"/>
                <w:b/>
                <w:color w:val="FFFFFF"/>
                <w:sz w:val="16"/>
              </w:rPr>
              <w:t>Tahap</w:t>
            </w:r>
          </w:p>
        </w:tc>
        <w:tc>
          <w:tcPr>
            <w:tcW w:type="dxa" w:w="4509"/>
            <w:shd w:val="clear" w:color="auto" w:fill="2251FF"/>
            <w:vAlign w:val="center"/>
          </w:tcPr>
          <w:p>
            <w:pPr>
              <w:spacing w:after="20" w:before="20" w:line="252" w:lineRule="auto"/>
            </w:pPr>
            <w:r/>
            <w:r>
              <w:rPr>
                <w:rFonts w:ascii="Arial" w:hAnsi="Arial"/>
                <w:b/>
                <w:color w:val="FFFFFF"/>
                <w:sz w:val="16"/>
              </w:rPr>
              <w:t>Kendali utama</w:t>
            </w:r>
          </w:p>
        </w:tc>
        <w:tc>
          <w:tcPr>
            <w:tcW w:type="dxa" w:w="3235"/>
            <w:shd w:val="clear" w:color="auto" w:fill="2251FF"/>
            <w:vAlign w:val="center"/>
          </w:tcPr>
          <w:p>
            <w:pPr>
              <w:spacing w:after="20" w:before="20" w:line="252" w:lineRule="auto"/>
            </w:pPr>
            <w:r/>
            <w:r>
              <w:rPr>
                <w:rFonts w:ascii="Arial" w:hAnsi="Arial"/>
                <w:b/>
                <w:color w:val="FFFFFF"/>
                <w:sz w:val="16"/>
              </w:rPr>
              <w:t>Kegagalan umum</w:t>
            </w:r>
          </w:p>
        </w:tc>
      </w:tr>
      <w:tr>
        <w:trPr>
          <w:cantSplit/>
        </w:trPr>
        <w:tc>
          <w:tcPr>
            <w:tcW w:type="dxa" w:w="1667"/>
            <w:vAlign w:val="center"/>
          </w:tcPr>
          <w:p>
            <w:pPr>
              <w:spacing w:after="20" w:before="20" w:line="252" w:lineRule="auto"/>
            </w:pPr>
            <w:r/>
            <w:r>
              <w:rPr>
                <w:rFonts w:ascii="Arial" w:hAnsi="Arial"/>
                <w:b/>
                <w:sz w:val="16"/>
              </w:rPr>
              <w:t>Kuotasi dan estimasi</w:t>
            </w:r>
          </w:p>
        </w:tc>
        <w:tc>
          <w:tcPr>
            <w:tcW w:type="dxa" w:w="4509"/>
            <w:vAlign w:val="center"/>
          </w:tcPr>
          <w:p>
            <w:pPr>
              <w:spacing w:after="20" w:before="20" w:line="252" w:lineRule="auto"/>
            </w:pPr>
            <w:r/>
            <w:r>
              <w:rPr>
                <w:rFonts w:ascii="Arial" w:hAnsi="Arial"/>
                <w:b w:val="0"/>
                <w:sz w:val="16"/>
              </w:rPr>
              <w:t>Estimasi bottom-up (jam rekayasa, MTO, produktivitas, subkontrak, indirect); risiko diberi harga melalui kontingensi lalu margin; bid/no-bid sesuai matriks kewenangan</w:t>
            </w:r>
          </w:p>
        </w:tc>
        <w:tc>
          <w:tcPr>
            <w:tcW w:type="dxa" w:w="3235"/>
            <w:vAlign w:val="center"/>
          </w:tcPr>
          <w:p>
            <w:pPr>
              <w:spacing w:after="20" w:before="20" w:line="252" w:lineRule="auto"/>
            </w:pPr>
            <w:r/>
            <w:r>
              <w:rPr>
                <w:rFonts w:ascii="Arial" w:hAnsi="Arial"/>
                <w:b w:val="0"/>
                <w:sz w:val="16"/>
              </w:rPr>
              <w:t>Estimasi diberi kode berbeda dari anggaran kendali; kewajiban LD dan eskalasi tidak dibaca</w:t>
            </w:r>
          </w:p>
        </w:tc>
      </w:tr>
      <w:tr>
        <w:trPr>
          <w:cantSplit/>
        </w:trPr>
        <w:tc>
          <w:tcPr>
            <w:tcW w:type="dxa" w:w="1667"/>
            <w:shd w:val="clear" w:color="auto" w:fill="E6ECFD"/>
            <w:vAlign w:val="center"/>
          </w:tcPr>
          <w:p>
            <w:pPr>
              <w:spacing w:after="20" w:before="20" w:line="252" w:lineRule="auto"/>
            </w:pPr>
            <w:r/>
            <w:r>
              <w:rPr>
                <w:rFonts w:ascii="Arial" w:hAnsi="Arial"/>
                <w:b/>
                <w:sz w:val="16"/>
              </w:rPr>
              <w:t>Penghargaan kontrak dan anggaran kendali</w:t>
            </w:r>
          </w:p>
        </w:tc>
        <w:tc>
          <w:tcPr>
            <w:tcW w:type="dxa" w:w="4509"/>
            <w:shd w:val="clear" w:color="auto" w:fill="E6ECFD"/>
            <w:vAlign w:val="center"/>
          </w:tcPr>
          <w:p>
            <w:pPr>
              <w:spacing w:after="20" w:before="20" w:line="252" w:lineRule="auto"/>
            </w:pPr>
            <w:r/>
            <w:r>
              <w:rPr>
                <w:rFonts w:ascii="Arial" w:hAnsi="Arial"/>
                <w:b w:val="0"/>
                <w:sz w:val="16"/>
              </w:rPr>
              <w:t>Anggaran Kendali Awal (OCB) = anggaran biaya per akun kendali + kontingensi proyek + cadangan manajemen + margin; dimuat ke ERP dengan availability control</w:t>
            </w:r>
          </w:p>
        </w:tc>
        <w:tc>
          <w:tcPr>
            <w:tcW w:type="dxa" w:w="3235"/>
            <w:shd w:val="clear" w:color="auto" w:fill="E6ECFD"/>
            <w:vAlign w:val="center"/>
          </w:tcPr>
          <w:p>
            <w:pPr>
              <w:spacing w:after="20" w:before="20" w:line="252" w:lineRule="auto"/>
            </w:pPr>
            <w:r/>
            <w:r>
              <w:rPr>
                <w:rFonts w:ascii="Arial" w:hAnsi="Arial"/>
                <w:b w:val="0"/>
                <w:sz w:val="16"/>
              </w:rPr>
              <w:t>Hanya aktual dilacak, bukan komitmen; pembengkakan terlihat terlambat</w:t>
            </w:r>
          </w:p>
        </w:tc>
      </w:tr>
      <w:tr>
        <w:trPr>
          <w:cantSplit/>
        </w:trPr>
        <w:tc>
          <w:tcPr>
            <w:tcW w:type="dxa" w:w="1667"/>
            <w:vAlign w:val="center"/>
          </w:tcPr>
          <w:p>
            <w:pPr>
              <w:spacing w:after="20" w:before="20" w:line="252" w:lineRule="auto"/>
            </w:pPr>
            <w:r/>
            <w:r>
              <w:rPr>
                <w:rFonts w:ascii="Arial" w:hAnsi="Arial"/>
                <w:b/>
                <w:sz w:val="16"/>
              </w:rPr>
              <w:t>Permintaan pembelian dan komitmen</w:t>
            </w:r>
          </w:p>
        </w:tc>
        <w:tc>
          <w:tcPr>
            <w:tcW w:type="dxa" w:w="4509"/>
            <w:vAlign w:val="center"/>
          </w:tcPr>
          <w:p>
            <w:pPr>
              <w:spacing w:after="20" w:before="20" w:line="252" w:lineRule="auto"/>
            </w:pPr>
            <w:r/>
            <w:r>
              <w:rPr>
                <w:rFonts w:ascii="Arial" w:hAnsi="Arial"/>
                <w:b w:val="0"/>
                <w:sz w:val="16"/>
              </w:rPr>
              <w:t>Tiga pemeriksaan PR (anggaran, kuantitas, waktu); PO = komitmen; tidak ada PO setelah pekerjaan dimulai</w:t>
            </w:r>
          </w:p>
        </w:tc>
        <w:tc>
          <w:tcPr>
            <w:tcW w:type="dxa" w:w="3235"/>
            <w:vAlign w:val="center"/>
          </w:tcPr>
          <w:p>
            <w:pPr>
              <w:spacing w:after="20" w:before="20" w:line="252" w:lineRule="auto"/>
            </w:pPr>
            <w:r/>
            <w:r>
              <w:rPr>
                <w:rFonts w:ascii="Arial" w:hAnsi="Arial"/>
                <w:b w:val="0"/>
                <w:sz w:val="16"/>
              </w:rPr>
              <w:t>PO diterbitkan setelah pekerjaan berjalan (melewati kendali anggaran)</w:t>
            </w:r>
          </w:p>
        </w:tc>
      </w:tr>
      <w:tr>
        <w:trPr>
          <w:cantSplit/>
        </w:trPr>
        <w:tc>
          <w:tcPr>
            <w:tcW w:type="dxa" w:w="1667"/>
            <w:shd w:val="clear" w:color="auto" w:fill="E6ECFD"/>
            <w:vAlign w:val="center"/>
          </w:tcPr>
          <w:p>
            <w:pPr>
              <w:spacing w:after="20" w:before="20" w:line="252" w:lineRule="auto"/>
            </w:pPr>
            <w:r/>
            <w:r>
              <w:rPr>
                <w:rFonts w:ascii="Arial" w:hAnsi="Arial"/>
                <w:b/>
                <w:sz w:val="16"/>
              </w:rPr>
              <w:t>Penerimaan dan faktur (AP)</w:t>
            </w:r>
          </w:p>
        </w:tc>
        <w:tc>
          <w:tcPr>
            <w:tcW w:type="dxa" w:w="4509"/>
            <w:shd w:val="clear" w:color="auto" w:fill="E6ECFD"/>
            <w:vAlign w:val="center"/>
          </w:tcPr>
          <w:p>
            <w:pPr>
              <w:spacing w:after="20" w:before="20" w:line="252" w:lineRule="auto"/>
            </w:pPr>
            <w:r/>
            <w:r>
              <w:rPr>
                <w:rFonts w:ascii="Arial" w:hAnsi="Arial"/>
                <w:b w:val="0"/>
                <w:sz w:val="16"/>
              </w:rPr>
              <w:t>Pencocokan tiga arah PO = penerimaan = faktur; retensi; PPh dan PPN; akrual</w:t>
            </w:r>
          </w:p>
        </w:tc>
        <w:tc>
          <w:tcPr>
            <w:tcW w:type="dxa" w:w="3235"/>
            <w:shd w:val="clear" w:color="auto" w:fill="E6ECFD"/>
            <w:vAlign w:val="center"/>
          </w:tcPr>
          <w:p>
            <w:pPr>
              <w:spacing w:after="20" w:before="20" w:line="252" w:lineRule="auto"/>
            </w:pPr>
            <w:r/>
            <w:r>
              <w:rPr>
                <w:rFonts w:ascii="Arial" w:hAnsi="Arial"/>
                <w:b w:val="0"/>
                <w:sz w:val="16"/>
              </w:rPr>
              <w:t>Tanda terima tidak ada; pembayaran tanpa sertifikat</w:t>
            </w:r>
          </w:p>
        </w:tc>
      </w:tr>
      <w:tr>
        <w:trPr>
          <w:cantSplit/>
        </w:trPr>
        <w:tc>
          <w:tcPr>
            <w:tcW w:type="dxa" w:w="1667"/>
            <w:vAlign w:val="center"/>
          </w:tcPr>
          <w:p>
            <w:pPr>
              <w:spacing w:after="20" w:before="20" w:line="252" w:lineRule="auto"/>
            </w:pPr>
            <w:r/>
            <w:r>
              <w:rPr>
                <w:rFonts w:ascii="Arial" w:hAnsi="Arial"/>
                <w:b/>
                <w:sz w:val="16"/>
              </w:rPr>
              <w:t>Penagihan (AR)</w:t>
            </w:r>
          </w:p>
        </w:tc>
        <w:tc>
          <w:tcPr>
            <w:tcW w:type="dxa" w:w="4509"/>
            <w:vAlign w:val="center"/>
          </w:tcPr>
          <w:p>
            <w:pPr>
              <w:spacing w:after="20" w:before="20" w:line="252" w:lineRule="auto"/>
            </w:pPr>
            <w:r/>
            <w:r>
              <w:rPr>
                <w:rFonts w:ascii="Arial" w:hAnsi="Arial"/>
                <w:b w:val="0"/>
                <w:sz w:val="16"/>
              </w:rPr>
              <w:t>Uang muka 10–20% dengan jaminan, penagihan tonggak atau bulanan, retensi 5–10%, VO baru ditagih setelah disetujui</w:t>
            </w:r>
          </w:p>
        </w:tc>
        <w:tc>
          <w:tcPr>
            <w:tcW w:type="dxa" w:w="3235"/>
            <w:vAlign w:val="center"/>
          </w:tcPr>
          <w:p>
            <w:pPr>
              <w:spacing w:after="20" w:before="20" w:line="252" w:lineRule="auto"/>
            </w:pPr>
            <w:r/>
            <w:r>
              <w:rPr>
                <w:rFonts w:ascii="Arial" w:hAnsi="Arial"/>
                <w:b w:val="0"/>
                <w:sz w:val="16"/>
              </w:rPr>
              <w:t>Perubahan tidak disetujui secara formal sehingga tidak dapat ditagih</w:t>
            </w:r>
          </w:p>
        </w:tc>
      </w:tr>
      <w:tr>
        <w:trPr>
          <w:cantSplit/>
        </w:trPr>
        <w:tc>
          <w:tcPr>
            <w:tcW w:type="dxa" w:w="1667"/>
            <w:shd w:val="clear" w:color="auto" w:fill="E6ECFD"/>
            <w:vAlign w:val="center"/>
          </w:tcPr>
          <w:p>
            <w:pPr>
              <w:spacing w:after="20" w:before="20" w:line="252" w:lineRule="auto"/>
            </w:pPr>
            <w:r/>
            <w:r>
              <w:rPr>
                <w:rFonts w:ascii="Arial" w:hAnsi="Arial"/>
                <w:b/>
                <w:sz w:val="16"/>
              </w:rPr>
              <w:t>Pemantauan dan penutupan</w:t>
            </w:r>
          </w:p>
        </w:tc>
        <w:tc>
          <w:tcPr>
            <w:tcW w:type="dxa" w:w="4509"/>
            <w:shd w:val="clear" w:color="auto" w:fill="E6ECFD"/>
            <w:vAlign w:val="center"/>
          </w:tcPr>
          <w:p>
            <w:pPr>
              <w:spacing w:after="20" w:before="20" w:line="252" w:lineRule="auto"/>
            </w:pPr>
            <w:r/>
            <w:r>
              <w:rPr>
                <w:rFonts w:ascii="Arial" w:hAnsi="Arial"/>
                <w:b w:val="0"/>
                <w:sz w:val="16"/>
              </w:rPr>
              <w:t>Laporan biaya bulanan; EVM; kontingensi dan register tren; rekonsiliasi akhir</w:t>
            </w:r>
          </w:p>
        </w:tc>
        <w:tc>
          <w:tcPr>
            <w:tcW w:type="dxa" w:w="3235"/>
            <w:shd w:val="clear" w:color="auto" w:fill="E6ECFD"/>
            <w:vAlign w:val="center"/>
          </w:tcPr>
          <w:p>
            <w:pPr>
              <w:spacing w:after="20" w:before="20" w:line="252" w:lineRule="auto"/>
            </w:pPr>
            <w:r/>
            <w:r>
              <w:rPr>
                <w:rFonts w:ascii="Arial" w:hAnsi="Arial"/>
                <w:b w:val="0"/>
                <w:sz w:val="16"/>
              </w:rPr>
              <w:t>Kemajuan diukur subjektif sehingga EV menggelembung dan CPI tampak baik</w:t>
            </w:r>
          </w:p>
        </w:tc>
      </w:tr>
    </w:tbl>
    <w:p>
      <w:pPr>
        <w:spacing w:after="160"/>
      </w:pPr>
      <w:r>
        <w:rPr>
          <w:rFonts w:ascii="Arial" w:hAnsi="Arial"/>
          <w:b w:val="0"/>
          <w:i/>
          <w:color w:val="051C5C"/>
          <w:sz w:val="17"/>
        </w:rPr>
        <w:t>Sumber: [EPC, §1–§8]. Angka uang muka dan retensi di EPC dinyatakan sebagai praktik umum ("biasanya"), bukan aturan.</w:t>
      </w:r>
    </w:p>
    <w:p>
      <w:pPr>
        <w:pStyle w:val="Heading2"/>
      </w:pPr>
      <w:r>
        <w:t>6.2  Estimasi dan anggaran</w:t>
      </w:r>
    </w:p>
    <w:p>
      <w:pPr>
        <w:jc w:val="both"/>
      </w:pPr>
      <w:r>
        <w:rPr>
          <w:rFonts w:ascii="Arial" w:hAnsi="Arial"/>
          <w:b w:val="0"/>
        </w:rPr>
        <w:t xml:space="preserve">Estimasi biaya adalah prakiraan pada titik waktu tertentu dengan tingkat kematangan definisi tertentu, bukan kepastian. Estimasi bottom-up mengalikan jam rekayasa dengan tarif; kuantitas material dengan harga pasar ditambah pengangkutan dan bea; jam kerja konstruksi dengan produktivitas dan tarif ditambah peralatan dan subkontrak; serta biaya tidak langsung (overhead lokasi, asuransi, jaminan, pembiayaan). Eskalasi dan eksposur kurs harus diestimasi secara eksplisit. Estimasi analog dan parametrik, yang memakai data proyek serupa, cocok pada tahap awal. Karena kecenderungan optimisme, praktik terbaik menambahkan </w:t>
      </w:r>
      <w:r>
        <w:rPr>
          <w:rFonts w:ascii="Arial" w:hAnsi="Arial"/>
          <w:b/>
        </w:rPr>
        <w:t>perkiraan kelas acuan</w:t>
      </w:r>
      <w:r>
        <w:rPr>
          <w:rFonts w:ascii="Arial" w:hAnsi="Arial"/>
          <w:b w:val="0"/>
        </w:rPr>
        <w:t xml:space="preserve"> (reference class forecasting), yaitu membandingkan estimasi dengan distribusi hasil proyek sejenis (Flyvbjerg, 2003; 2006).</w:t>
      </w:r>
    </w:p>
    <w:p>
      <w:pPr>
        <w:jc w:val="both"/>
      </w:pPr>
      <w:r>
        <w:rPr>
          <w:rFonts w:ascii="Arial" w:hAnsi="Arial"/>
          <w:b w:val="0"/>
        </w:rPr>
        <w:t xml:space="preserve">Struktur anggaran yang diuraikan alur kerja EPC memisahkan empat lapis: anggaran biaya per akun kendali, </w:t>
      </w:r>
      <w:r>
        <w:rPr>
          <w:rFonts w:ascii="Arial" w:hAnsi="Arial"/>
          <w:b/>
        </w:rPr>
        <w:t>kontingensi proyek</w:t>
      </w:r>
      <w:r>
        <w:rPr>
          <w:rFonts w:ascii="Arial" w:hAnsi="Arial"/>
          <w:b w:val="0"/>
        </w:rPr>
        <w:t xml:space="preserve"> (dipegang manajer proyek untuk risiko yang diketahui dan ditarik melalui log), </w:t>
      </w:r>
      <w:r>
        <w:rPr>
          <w:rFonts w:ascii="Arial" w:hAnsi="Arial"/>
          <w:b/>
        </w:rPr>
        <w:t>cadangan manajemen</w:t>
      </w:r>
      <w:r>
        <w:rPr>
          <w:rFonts w:ascii="Arial" w:hAnsi="Arial"/>
          <w:b w:val="0"/>
        </w:rPr>
        <w:t xml:space="preserve"> (dipegang korporasi, di luar anggaran proyek, untuk risiko yang tidak diketahui), dan </w:t>
      </w:r>
      <w:r>
        <w:rPr>
          <w:rFonts w:ascii="Arial" w:hAnsi="Arial"/>
          <w:b/>
        </w:rPr>
        <w:t>margin</w:t>
      </w:r>
      <w:r>
        <w:rPr>
          <w:rFonts w:ascii="Arial" w:hAnsi="Arial"/>
          <w:b w:val="0"/>
        </w:rPr>
        <w:t>. Kontingensi sebaiknya diturunkan dari register risiko, bukan persentase tetap; sisa kontingensi yang tidak terpakai karena risiko sudah berlalu kembali ke margin [EPC, §1, §2, §7]. Register kerja Danantara menegaskan bahwa alokasi 15% pada planning amount bukan kontingensi dan harus diganti dengan nilai berbasis risiko yang terkuantifikasi [VERO, Milestones].</w:t>
      </w:r>
    </w:p>
    <w:p>
      <w:pPr>
        <w:pStyle w:val="Heading2"/>
      </w:pPr>
      <w:r>
        <w:t>6.3  Dari permintaan pembelian ke komitmen: tiga pemeriksaan</w:t>
      </w:r>
    </w:p>
    <w:p>
      <w:pPr>
        <w:jc w:val="both"/>
      </w:pPr>
      <w:r>
        <w:rPr>
          <w:rFonts w:ascii="Arial" w:hAnsi="Arial"/>
          <w:b w:val="0"/>
        </w:rPr>
        <w:t>Titik pengendalian paling berharga pada proyek EPC adalah saat permintaan pembelian diajukan, sebelum uang menjadi komitmen. Alur kerja anggaran EPC mengusulkan tiga pemeriksaan serentak: anggaran (sisa dana pada akun WBS), kuantitas (saldo kebutuhan material pada butir PBS), dan waktu (apakah tanggal tiba memenuhi tanggal kebutuhan dengan memperhitungkan waktu penghargaan dan lead time). Contoh angka dalam sumber (berlabel contoh) menunjukkan bahwa sebuah PR dapat lolos satu pemeriksaan dan gagal pada pemeriksaan lain.</w:t>
      </w:r>
    </w:p>
    <w:p>
      <w:pPr>
        <w:keepNext/>
        <w:spacing w:after="60"/>
      </w:pPr>
      <w:r>
        <w:rPr>
          <w:rFonts w:ascii="Arial" w:hAnsi="Arial"/>
          <w:b/>
          <w:color w:val="051C5C"/>
          <w:sz w:val="19"/>
        </w:rPr>
        <w:t xml:space="preserve">Tabel 18: </w:t>
      </w:r>
      <w:r>
        <w:rPr>
          <w:rFonts w:ascii="Arial" w:hAnsi="Arial"/>
          <w:color w:val="051C5C"/>
          <w:sz w:val="19"/>
        </w:rPr>
        <w:t>Tiga pemeriksaan pada permintaan pembelian (contoh dari sumber)</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2113"/>
            <w:shd w:val="clear" w:color="auto" w:fill="2251FF"/>
            <w:vAlign w:val="center"/>
          </w:tcPr>
          <w:p>
            <w:pPr>
              <w:spacing w:after="20" w:before="20" w:line="252" w:lineRule="auto"/>
            </w:pPr>
            <w:r/>
            <w:r>
              <w:rPr>
                <w:rFonts w:ascii="Arial" w:hAnsi="Arial"/>
                <w:b/>
                <w:color w:val="FFFFFF"/>
                <w:sz w:val="17"/>
              </w:rPr>
              <w:t>Pemeriksaan</w:t>
            </w:r>
          </w:p>
        </w:tc>
        <w:tc>
          <w:tcPr>
            <w:tcW w:type="dxa" w:w="4994"/>
            <w:shd w:val="clear" w:color="auto" w:fill="2251FF"/>
            <w:vAlign w:val="center"/>
          </w:tcPr>
          <w:p>
            <w:pPr>
              <w:spacing w:after="20" w:before="20" w:line="252" w:lineRule="auto"/>
            </w:pPr>
            <w:r/>
            <w:r>
              <w:rPr>
                <w:rFonts w:ascii="Arial" w:hAnsi="Arial"/>
                <w:b/>
                <w:color w:val="FFFFFF"/>
                <w:sz w:val="17"/>
              </w:rPr>
              <w:t>Data</w:t>
            </w:r>
          </w:p>
        </w:tc>
        <w:tc>
          <w:tcPr>
            <w:tcW w:type="dxa" w:w="2305"/>
            <w:shd w:val="clear" w:color="auto" w:fill="2251FF"/>
            <w:vAlign w:val="center"/>
          </w:tcPr>
          <w:p>
            <w:pPr>
              <w:spacing w:after="20" w:before="20" w:line="252" w:lineRule="auto"/>
            </w:pPr>
            <w:r/>
            <w:r>
              <w:rPr>
                <w:rFonts w:ascii="Arial" w:hAnsi="Arial"/>
                <w:b/>
                <w:color w:val="FFFFFF"/>
                <w:sz w:val="17"/>
              </w:rPr>
              <w:t>Hasil</w:t>
            </w:r>
          </w:p>
        </w:tc>
      </w:tr>
      <w:tr>
        <w:trPr>
          <w:cantSplit/>
        </w:trPr>
        <w:tc>
          <w:tcPr>
            <w:tcW w:type="dxa" w:w="2113"/>
            <w:vAlign w:val="center"/>
          </w:tcPr>
          <w:p>
            <w:pPr>
              <w:spacing w:after="20" w:before="20" w:line="252" w:lineRule="auto"/>
            </w:pPr>
            <w:r/>
            <w:r>
              <w:rPr>
                <w:rFonts w:ascii="Arial" w:hAnsi="Arial"/>
                <w:b/>
                <w:sz w:val="17"/>
              </w:rPr>
              <w:t>Anggaran (WBS)</w:t>
            </w:r>
          </w:p>
        </w:tc>
        <w:tc>
          <w:tcPr>
            <w:tcW w:type="dxa" w:w="4994"/>
            <w:vAlign w:val="center"/>
          </w:tcPr>
          <w:p>
            <w:pPr>
              <w:spacing w:after="20" w:before="20" w:line="252" w:lineRule="auto"/>
            </w:pPr>
            <w:r/>
            <w:r>
              <w:rPr>
                <w:rFonts w:ascii="Arial" w:hAnsi="Arial"/>
                <w:b w:val="0"/>
                <w:sz w:val="17"/>
              </w:rPr>
              <w:t>Anggaran 18,40; sudah dikomitmenkan 17,20; sisa 1,20; baris PR 0,45 (Rp miliar)</w:t>
            </w:r>
          </w:p>
        </w:tc>
        <w:tc>
          <w:tcPr>
            <w:tcW w:type="dxa" w:w="2305"/>
            <w:vAlign w:val="center"/>
          </w:tcPr>
          <w:p>
            <w:pPr>
              <w:spacing w:after="20" w:before="20" w:line="252" w:lineRule="auto"/>
            </w:pPr>
            <w:r/>
            <w:r>
              <w:rPr>
                <w:rFonts w:ascii="Arial" w:hAnsi="Arial"/>
                <w:b w:val="0"/>
                <w:sz w:val="17"/>
              </w:rPr>
              <w:t>Lolos; sisa 0,75</w:t>
            </w:r>
          </w:p>
        </w:tc>
      </w:tr>
      <w:tr>
        <w:trPr>
          <w:cantSplit/>
        </w:trPr>
        <w:tc>
          <w:tcPr>
            <w:tcW w:type="dxa" w:w="2113"/>
            <w:shd w:val="clear" w:color="auto" w:fill="E6ECFD"/>
            <w:vAlign w:val="center"/>
          </w:tcPr>
          <w:p>
            <w:pPr>
              <w:spacing w:after="20" w:before="20" w:line="252" w:lineRule="auto"/>
            </w:pPr>
            <w:r/>
            <w:r>
              <w:rPr>
                <w:rFonts w:ascii="Arial" w:hAnsi="Arial"/>
                <w:b/>
                <w:sz w:val="17"/>
              </w:rPr>
              <w:t>Kuantitas (PBS, MTO rev. C)</w:t>
            </w:r>
          </w:p>
        </w:tc>
        <w:tc>
          <w:tcPr>
            <w:tcW w:type="dxa" w:w="4994"/>
            <w:shd w:val="clear" w:color="auto" w:fill="E6ECFD"/>
            <w:vAlign w:val="center"/>
          </w:tcPr>
          <w:p>
            <w:pPr>
              <w:spacing w:after="20" w:before="20" w:line="252" w:lineRule="auto"/>
            </w:pPr>
            <w:r/>
            <w:r>
              <w:rPr>
                <w:rFonts w:ascii="Arial" w:hAnsi="Arial"/>
                <w:b w:val="0"/>
                <w:sz w:val="17"/>
              </w:rPr>
              <w:t>MTO 1.240 m; sudah pada PR/PO 980 m; saldo 260 m; baris PR 300 m</w:t>
            </w:r>
          </w:p>
        </w:tc>
        <w:tc>
          <w:tcPr>
            <w:tcW w:type="dxa" w:w="2305"/>
            <w:shd w:val="clear" w:color="auto" w:fill="E6ECFD"/>
            <w:vAlign w:val="center"/>
          </w:tcPr>
          <w:p>
            <w:pPr>
              <w:spacing w:after="20" w:before="20" w:line="252" w:lineRule="auto"/>
            </w:pPr>
            <w:r/>
            <w:r>
              <w:rPr>
                <w:rFonts w:ascii="Arial" w:hAnsi="Arial"/>
                <w:b w:val="0"/>
                <w:sz w:val="17"/>
              </w:rPr>
              <w:t>Tahan: lebih 40 m; revisi MTO atau justifikasi surplus</w:t>
            </w:r>
          </w:p>
        </w:tc>
      </w:tr>
      <w:tr>
        <w:trPr>
          <w:cantSplit/>
        </w:trPr>
        <w:tc>
          <w:tcPr>
            <w:tcW w:type="dxa" w:w="2113"/>
            <w:vAlign w:val="center"/>
          </w:tcPr>
          <w:p>
            <w:pPr>
              <w:spacing w:after="20" w:before="20" w:line="252" w:lineRule="auto"/>
            </w:pPr>
            <w:r/>
            <w:r>
              <w:rPr>
                <w:rFonts w:ascii="Arial" w:hAnsi="Arial"/>
                <w:b/>
                <w:sz w:val="17"/>
              </w:rPr>
              <w:t>Waktu (jadwal WBS)</w:t>
            </w:r>
          </w:p>
        </w:tc>
        <w:tc>
          <w:tcPr>
            <w:tcW w:type="dxa" w:w="4994"/>
            <w:vAlign w:val="center"/>
          </w:tcPr>
          <w:p>
            <w:pPr>
              <w:spacing w:after="20" w:before="20" w:line="252" w:lineRule="auto"/>
            </w:pPr>
            <w:r/>
            <w:r>
              <w:rPr>
                <w:rFonts w:ascii="Arial" w:hAnsi="Arial"/>
                <w:b w:val="0"/>
                <w:sz w:val="17"/>
              </w:rPr>
              <w:t>PR 7 Okt 2026 + 6 minggu penghargaan + 14 minggu lead time = 24 Feb 2027; dibutuhkan 15 Mar 2027</w:t>
            </w:r>
          </w:p>
        </w:tc>
        <w:tc>
          <w:tcPr>
            <w:tcW w:type="dxa" w:w="2305"/>
            <w:vAlign w:val="center"/>
          </w:tcPr>
          <w:p>
            <w:pPr>
              <w:spacing w:after="20" w:before="20" w:line="252" w:lineRule="auto"/>
            </w:pPr>
            <w:r/>
            <w:r>
              <w:rPr>
                <w:rFonts w:ascii="Arial" w:hAnsi="Arial"/>
                <w:b w:val="0"/>
                <w:sz w:val="17"/>
              </w:rPr>
              <w:t>Lolos; float sekitar 3 minggu</w:t>
            </w:r>
          </w:p>
        </w:tc>
      </w:tr>
    </w:tbl>
    <w:p>
      <w:pPr>
        <w:spacing w:after="160"/>
      </w:pPr>
      <w:r>
        <w:rPr>
          <w:rFonts w:ascii="Arial" w:hAnsi="Arial"/>
          <w:b w:val="0"/>
          <w:i/>
          <w:color w:val="051C5C"/>
          <w:sz w:val="17"/>
        </w:rPr>
        <w:t>Sumber: [EPC, §4.1]. Contoh PR-26-0412/10, pipa 6 inci SCH40 CS A106-B, 300 m, Rp0,45 miliar; angka berlabel contoh dalam sumber.</w:t>
      </w:r>
    </w:p>
    <w:p>
      <w:pPr>
        <w:jc w:val="both"/>
      </w:pPr>
      <w:r>
        <w:rPr>
          <w:rFonts w:ascii="Arial" w:hAnsi="Arial"/>
          <w:b w:val="0"/>
        </w:rPr>
        <w:t xml:space="preserve">PR yang gagal tidak boleh diteruskan begitu saja; ia diarahkan ke transfer anggaran, penarikan kontingensi, revisi MTO, atau permintaan perubahan. PO mengurangi anggaran tersedia seketika dan menjadi </w:t>
      </w:r>
      <w:r>
        <w:rPr>
          <w:rFonts w:ascii="Arial" w:hAnsi="Arial"/>
          <w:b/>
        </w:rPr>
        <w:t>komitmen</w:t>
      </w:r>
      <w:r>
        <w:rPr>
          <w:rFonts w:ascii="Arial" w:hAnsi="Arial"/>
          <w:b w:val="0"/>
        </w:rPr>
        <w:t>, sehingga sebagian besar biaya EPC "terkunci" pada saat PO dan subkontrak diterbitkan; sumber menyebut kisaran 60 sampai 70% sebagai ancar-ancar yang tidak bersumber [EPC, §4.2].</w:t>
      </w:r>
    </w:p>
    <w:p>
      <w:pPr>
        <w:pStyle w:val="Heading2"/>
      </w:pPr>
      <w:r>
        <w:t>6.4  Pembayaran, penagihan, dan arus kas kontraktor</w:t>
      </w:r>
    </w:p>
    <w:p>
      <w:pPr>
        <w:jc w:val="both"/>
      </w:pPr>
      <w:r>
        <w:rPr>
          <w:rFonts w:ascii="Arial" w:hAnsi="Arial"/>
          <w:b w:val="0"/>
        </w:rPr>
        <w:t xml:space="preserve">Pencocokan tiga arah mengharuskan PO, penerimaan barang atau sertifikat jasa, dan faktur sepakat sebelum pembayaran; pembayaran memperhitungkan retensi subkontraktor (biasanya 5–10%), pemulihan uang muka, PPh 23 atau PPh 4(2), dan PPN, serta akrual untuk barang yang diterima tetapi belum difakturkan. Kendali dasarnya: tidak ada PO tanpa PR; tidak ada pembayaran tanpa penerimaan atau sertifikat; tidak ada PO setelah kejadian; pemisahan tugas antara peminta dan pemberi persetujuan atau pembayar [EPC, §5]. Pada sisi pendapatan, uang muka dipulihkan secara proporsional, penagihan menurut tonggak atau kemajuan bulanan disertifikasi pemberi kerja, retensi ditahan, dan perubahan (VO) hanya ditagih setelah disetujui formal. Pekerjaan yang belum ditagih menjadi </w:t>
      </w:r>
      <w:r>
        <w:rPr>
          <w:rFonts w:ascii="Arial" w:hAnsi="Arial"/>
          <w:b/>
        </w:rPr>
        <w:t>aset kontrak</w:t>
      </w:r>
      <w:r>
        <w:rPr>
          <w:rFonts w:ascii="Arial" w:hAnsi="Arial"/>
          <w:b w:val="0"/>
        </w:rPr>
        <w:t xml:space="preserve"> dan penagihan melebihi pekerjaan menjadi </w:t>
      </w:r>
      <w:r>
        <w:rPr>
          <w:rFonts w:ascii="Arial" w:hAnsi="Arial"/>
          <w:b/>
        </w:rPr>
        <w:t>liabilitas kontrak</w:t>
      </w:r>
      <w:r>
        <w:rPr>
          <w:rFonts w:ascii="Arial" w:hAnsi="Arial"/>
          <w:b w:val="0"/>
        </w:rPr>
        <w:t xml:space="preserve"> (PSAK 72 / IFRS 15); pendapatan diakui sepanjang waktu dengan persentase penyelesaian berbasis biaya [EPC, §6].</w:t>
      </w:r>
    </w:p>
    <w:tbl>
      <w:tblPr>
        <w:tblW w:type="auto" w:w="0"/>
        <w:jc w:val="center"/>
        <w:tblLook w:firstColumn="1" w:firstRow="1" w:lastColumn="0" w:lastRow="0" w:noHBand="0" w:noVBand="1" w:val="04A0"/>
      </w:tblPr>
      <w:tblGrid>
        <w:gridCol w:w="9412"/>
      </w:tblGrid>
      <w:tr>
        <w:tc>
          <w:tcPr>
            <w:tcW w:type="dxa" w:w="9412"/>
            <w:tcBorders>
              <w:left w:val="single" w:sz="36" w:color="2251FF"/>
            </w:tcBorders>
            <w:shd w:val="clear" w:color="auto" w:fill="E6ECFD"/>
          </w:tcPr>
          <w:p>
            <w:pPr>
              <w:spacing w:after="40"/>
            </w:pPr>
            <w:r/>
            <w:r>
              <w:rPr>
                <w:rFonts w:ascii="Arial" w:hAnsi="Arial"/>
                <w:b/>
                <w:color w:val="051C5C"/>
                <w:sz w:val="21"/>
              </w:rPr>
              <w:t>Siklus kas kontraktor sehat dan sambungannya dengan temuan BUMN Karya</w:t>
            </w:r>
          </w:p>
          <w:p>
            <w:pPr>
              <w:spacing w:after="40"/>
            </w:pPr>
            <w:r>
              <w:rPr>
                <w:rFonts w:ascii="Arial" w:hAnsi="Arial"/>
                <w:b w:val="0"/>
                <w:sz w:val="20"/>
              </w:rPr>
              <w:t>Terima uang muka atau pembayaran mobilisasi, laksanakan pekerjaan, sertifikasi kemajuan, tagih piutang, bayar subkontraktor dan pemasok, lalu raih margin wajar [PLAT, hlm. 3]. Alur ini mudah dibalik oleh kebiasaan buruk: bila kontraktor membiayai proyek dengan utang sendiri, bila piutang pemilik proyek terlambat, dan bila uang muka tidak diwajibkan, siklus kas berbalik menjadi negatif. Itulah rumusan masalah yang dicatat pada BUMN Karya (Bab 14).</w:t>
            </w:r>
          </w:p>
        </w:tc>
      </w:tr>
    </w:tbl>
    <w:p>
      <w:pPr>
        <w:spacing w:after="40"/>
      </w:pPr>
    </w:p>
    <w:p>
      <w:pPr>
        <w:pStyle w:val="Heading2"/>
      </w:pPr>
      <w:r>
        <w:t>6.5  Nilai terhasil (Earned Value Management)</w:t>
      </w:r>
    </w:p>
    <w:p>
      <w:pPr>
        <w:jc w:val="both"/>
      </w:pPr>
      <w:r>
        <w:rPr>
          <w:rFonts w:ascii="Arial" w:hAnsi="Arial"/>
          <w:b w:val="0"/>
        </w:rPr>
        <w:t xml:space="preserve">EVM mengintegrasikan lingkup, biaya, dan jadwal dengan tiga ukuran dasar: </w:t>
      </w:r>
      <w:r>
        <w:rPr>
          <w:rFonts w:ascii="Arial" w:hAnsi="Arial"/>
          <w:b/>
        </w:rPr>
        <w:t>PV</w:t>
      </w:r>
      <w:r>
        <w:rPr>
          <w:rFonts w:ascii="Arial" w:hAnsi="Arial"/>
          <w:b w:val="0"/>
        </w:rPr>
        <w:t xml:space="preserve"> (nilai terencana, atau BCWS), </w:t>
      </w:r>
      <w:r>
        <w:rPr>
          <w:rFonts w:ascii="Arial" w:hAnsi="Arial"/>
          <w:b/>
        </w:rPr>
        <w:t>EV</w:t>
      </w:r>
      <w:r>
        <w:rPr>
          <w:rFonts w:ascii="Arial" w:hAnsi="Arial"/>
          <w:b w:val="0"/>
        </w:rPr>
        <w:t xml:space="preserve"> (nilai terhasil, yaitu anggaran dikalikan persen kemajuan fisik, atau BCWP), dan </w:t>
      </w:r>
      <w:r>
        <w:rPr>
          <w:rFonts w:ascii="Arial" w:hAnsi="Arial"/>
          <w:b/>
        </w:rPr>
        <w:t>AC</w:t>
      </w:r>
      <w:r>
        <w:rPr>
          <w:rFonts w:ascii="Arial" w:hAnsi="Arial"/>
          <w:b w:val="0"/>
        </w:rPr>
        <w:t xml:space="preserve"> (biaya aktual, atau ACWP). Dari ketiganya dihitung varians dan indeks kinerja serta prakiraan biaya akhir (PMI, 2019; Fleming dan Koppelman).</w:t>
      </w:r>
    </w:p>
    <w:p>
      <w:pPr>
        <w:keepNext/>
        <w:spacing w:after="60"/>
      </w:pPr>
      <w:r>
        <w:rPr>
          <w:rFonts w:ascii="Arial" w:hAnsi="Arial"/>
          <w:b/>
          <w:color w:val="051C5C"/>
          <w:sz w:val="19"/>
        </w:rPr>
        <w:t xml:space="preserve">Tabel 19: </w:t>
      </w:r>
      <w:r>
        <w:rPr>
          <w:rFonts w:ascii="Arial" w:hAnsi="Arial"/>
          <w:color w:val="051C5C"/>
          <w:sz w:val="19"/>
        </w:rPr>
        <w:t>Rumus EVM</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2689"/>
            <w:shd w:val="clear" w:color="auto" w:fill="2251FF"/>
            <w:vAlign w:val="center"/>
          </w:tcPr>
          <w:p>
            <w:pPr>
              <w:spacing w:after="20" w:before="20" w:line="252" w:lineRule="auto"/>
            </w:pPr>
            <w:r/>
            <w:r>
              <w:rPr>
                <w:rFonts w:ascii="Arial" w:hAnsi="Arial"/>
                <w:b/>
                <w:color w:val="FFFFFF"/>
                <w:sz w:val="17"/>
              </w:rPr>
              <w:t>Ukuran</w:t>
            </w:r>
          </w:p>
        </w:tc>
        <w:tc>
          <w:tcPr>
            <w:tcW w:type="dxa" w:w="3265"/>
            <w:shd w:val="clear" w:color="auto" w:fill="2251FF"/>
            <w:vAlign w:val="center"/>
          </w:tcPr>
          <w:p>
            <w:pPr>
              <w:spacing w:after="20" w:before="20" w:line="252" w:lineRule="auto"/>
            </w:pPr>
            <w:r/>
            <w:r>
              <w:rPr>
                <w:rFonts w:ascii="Arial" w:hAnsi="Arial"/>
                <w:b/>
                <w:color w:val="FFFFFF"/>
                <w:sz w:val="17"/>
              </w:rPr>
              <w:t>Rumus</w:t>
            </w:r>
          </w:p>
        </w:tc>
        <w:tc>
          <w:tcPr>
            <w:tcW w:type="dxa" w:w="3457"/>
            <w:shd w:val="clear" w:color="auto" w:fill="2251FF"/>
            <w:vAlign w:val="center"/>
          </w:tcPr>
          <w:p>
            <w:pPr>
              <w:spacing w:after="20" w:before="20" w:line="252" w:lineRule="auto"/>
            </w:pPr>
            <w:r/>
            <w:r>
              <w:rPr>
                <w:rFonts w:ascii="Arial" w:hAnsi="Arial"/>
                <w:b/>
                <w:color w:val="FFFFFF"/>
                <w:sz w:val="17"/>
              </w:rPr>
              <w:t>Tafsir</w:t>
            </w:r>
          </w:p>
        </w:tc>
      </w:tr>
      <w:tr>
        <w:trPr>
          <w:cantSplit/>
        </w:trPr>
        <w:tc>
          <w:tcPr>
            <w:tcW w:type="dxa" w:w="2689"/>
            <w:vAlign w:val="center"/>
          </w:tcPr>
          <w:p>
            <w:pPr>
              <w:spacing w:after="20" w:before="20" w:line="252" w:lineRule="auto"/>
            </w:pPr>
            <w:r/>
            <w:r>
              <w:rPr>
                <w:rFonts w:ascii="Arial" w:hAnsi="Arial"/>
                <w:b/>
                <w:sz w:val="17"/>
              </w:rPr>
              <w:t>Varians biaya (CV)</w:t>
            </w:r>
          </w:p>
        </w:tc>
        <w:tc>
          <w:tcPr>
            <w:tcW w:type="dxa" w:w="3265"/>
            <w:vAlign w:val="center"/>
          </w:tcPr>
          <w:p>
            <w:pPr>
              <w:spacing w:after="20" w:before="20" w:line="252" w:lineRule="auto"/>
            </w:pPr>
            <w:r/>
            <w:r>
              <w:rPr>
                <w:rFonts w:ascii="Arial" w:hAnsi="Arial"/>
                <w:b w:val="0"/>
                <w:sz w:val="17"/>
              </w:rPr>
              <w:t>EV − AC</w:t>
            </w:r>
          </w:p>
        </w:tc>
        <w:tc>
          <w:tcPr>
            <w:tcW w:type="dxa" w:w="3457"/>
            <w:vAlign w:val="center"/>
          </w:tcPr>
          <w:p>
            <w:pPr>
              <w:spacing w:after="20" w:before="20" w:line="252" w:lineRule="auto"/>
            </w:pPr>
            <w:r/>
            <w:r>
              <w:rPr>
                <w:rFonts w:ascii="Arial" w:hAnsi="Arial"/>
                <w:b w:val="0"/>
                <w:sz w:val="17"/>
              </w:rPr>
              <w:t>Negatif = melampaui anggaran</w:t>
            </w:r>
          </w:p>
        </w:tc>
      </w:tr>
      <w:tr>
        <w:trPr>
          <w:cantSplit/>
        </w:trPr>
        <w:tc>
          <w:tcPr>
            <w:tcW w:type="dxa" w:w="2689"/>
            <w:shd w:val="clear" w:color="auto" w:fill="E6ECFD"/>
            <w:vAlign w:val="center"/>
          </w:tcPr>
          <w:p>
            <w:pPr>
              <w:spacing w:after="20" w:before="20" w:line="252" w:lineRule="auto"/>
            </w:pPr>
            <w:r/>
            <w:r>
              <w:rPr>
                <w:rFonts w:ascii="Arial" w:hAnsi="Arial"/>
                <w:b/>
                <w:sz w:val="17"/>
              </w:rPr>
              <w:t>Varians jadwal (SV)</w:t>
            </w:r>
          </w:p>
        </w:tc>
        <w:tc>
          <w:tcPr>
            <w:tcW w:type="dxa" w:w="3265"/>
            <w:shd w:val="clear" w:color="auto" w:fill="E6ECFD"/>
            <w:vAlign w:val="center"/>
          </w:tcPr>
          <w:p>
            <w:pPr>
              <w:spacing w:after="20" w:before="20" w:line="252" w:lineRule="auto"/>
            </w:pPr>
            <w:r/>
            <w:r>
              <w:rPr>
                <w:rFonts w:ascii="Arial" w:hAnsi="Arial"/>
                <w:b w:val="0"/>
                <w:sz w:val="17"/>
              </w:rPr>
              <w:t>EV − PV</w:t>
            </w:r>
          </w:p>
        </w:tc>
        <w:tc>
          <w:tcPr>
            <w:tcW w:type="dxa" w:w="3457"/>
            <w:shd w:val="clear" w:color="auto" w:fill="E6ECFD"/>
            <w:vAlign w:val="center"/>
          </w:tcPr>
          <w:p>
            <w:pPr>
              <w:spacing w:after="20" w:before="20" w:line="252" w:lineRule="auto"/>
            </w:pPr>
            <w:r/>
            <w:r>
              <w:rPr>
                <w:rFonts w:ascii="Arial" w:hAnsi="Arial"/>
                <w:b w:val="0"/>
                <w:sz w:val="17"/>
              </w:rPr>
              <w:t>Negatif = terlambat</w:t>
            </w:r>
          </w:p>
        </w:tc>
      </w:tr>
      <w:tr>
        <w:trPr>
          <w:cantSplit/>
        </w:trPr>
        <w:tc>
          <w:tcPr>
            <w:tcW w:type="dxa" w:w="2689"/>
            <w:vAlign w:val="center"/>
          </w:tcPr>
          <w:p>
            <w:pPr>
              <w:spacing w:after="20" w:before="20" w:line="252" w:lineRule="auto"/>
            </w:pPr>
            <w:r/>
            <w:r>
              <w:rPr>
                <w:rFonts w:ascii="Arial" w:hAnsi="Arial"/>
                <w:b/>
                <w:sz w:val="17"/>
              </w:rPr>
              <w:t>Indeks kinerja biaya (CPI)</w:t>
            </w:r>
          </w:p>
        </w:tc>
        <w:tc>
          <w:tcPr>
            <w:tcW w:type="dxa" w:w="3265"/>
            <w:vAlign w:val="center"/>
          </w:tcPr>
          <w:p>
            <w:pPr>
              <w:spacing w:after="20" w:before="20" w:line="252" w:lineRule="auto"/>
            </w:pPr>
            <w:r/>
            <w:r>
              <w:rPr>
                <w:rFonts w:ascii="Arial" w:hAnsi="Arial"/>
                <w:b w:val="0"/>
                <w:sz w:val="17"/>
              </w:rPr>
              <w:t>EV / AC</w:t>
            </w:r>
          </w:p>
        </w:tc>
        <w:tc>
          <w:tcPr>
            <w:tcW w:type="dxa" w:w="3457"/>
            <w:vAlign w:val="center"/>
          </w:tcPr>
          <w:p>
            <w:pPr>
              <w:spacing w:after="20" w:before="20" w:line="252" w:lineRule="auto"/>
            </w:pPr>
            <w:r/>
            <w:r>
              <w:rPr>
                <w:rFonts w:ascii="Arial" w:hAnsi="Arial"/>
                <w:b w:val="0"/>
                <w:sz w:val="17"/>
              </w:rPr>
              <w:t>&lt; 1 = boros; biaya per unit hasil lebih tinggi dari rencana</w:t>
            </w:r>
          </w:p>
        </w:tc>
      </w:tr>
      <w:tr>
        <w:trPr>
          <w:cantSplit/>
        </w:trPr>
        <w:tc>
          <w:tcPr>
            <w:tcW w:type="dxa" w:w="2689"/>
            <w:shd w:val="clear" w:color="auto" w:fill="E6ECFD"/>
            <w:vAlign w:val="center"/>
          </w:tcPr>
          <w:p>
            <w:pPr>
              <w:spacing w:after="20" w:before="20" w:line="252" w:lineRule="auto"/>
            </w:pPr>
            <w:r/>
            <w:r>
              <w:rPr>
                <w:rFonts w:ascii="Arial" w:hAnsi="Arial"/>
                <w:b/>
                <w:sz w:val="17"/>
              </w:rPr>
              <w:t>Indeks kinerja jadwal (SPI)</w:t>
            </w:r>
          </w:p>
        </w:tc>
        <w:tc>
          <w:tcPr>
            <w:tcW w:type="dxa" w:w="3265"/>
            <w:shd w:val="clear" w:color="auto" w:fill="E6ECFD"/>
            <w:vAlign w:val="center"/>
          </w:tcPr>
          <w:p>
            <w:pPr>
              <w:spacing w:after="20" w:before="20" w:line="252" w:lineRule="auto"/>
            </w:pPr>
            <w:r/>
            <w:r>
              <w:rPr>
                <w:rFonts w:ascii="Arial" w:hAnsi="Arial"/>
                <w:b w:val="0"/>
                <w:sz w:val="17"/>
              </w:rPr>
              <w:t>EV / PV</w:t>
            </w:r>
          </w:p>
        </w:tc>
        <w:tc>
          <w:tcPr>
            <w:tcW w:type="dxa" w:w="3457"/>
            <w:shd w:val="clear" w:color="auto" w:fill="E6ECFD"/>
            <w:vAlign w:val="center"/>
          </w:tcPr>
          <w:p>
            <w:pPr>
              <w:spacing w:after="20" w:before="20" w:line="252" w:lineRule="auto"/>
            </w:pPr>
            <w:r/>
            <w:r>
              <w:rPr>
                <w:rFonts w:ascii="Arial" w:hAnsi="Arial"/>
                <w:b w:val="0"/>
                <w:sz w:val="17"/>
              </w:rPr>
              <w:t>&lt; 1 = di belakang jadwal</w:t>
            </w:r>
          </w:p>
        </w:tc>
      </w:tr>
      <w:tr>
        <w:trPr>
          <w:cantSplit/>
        </w:trPr>
        <w:tc>
          <w:tcPr>
            <w:tcW w:type="dxa" w:w="2689"/>
            <w:vAlign w:val="center"/>
          </w:tcPr>
          <w:p>
            <w:pPr>
              <w:spacing w:after="20" w:before="20" w:line="252" w:lineRule="auto"/>
            </w:pPr>
            <w:r/>
            <w:r>
              <w:rPr>
                <w:rFonts w:ascii="Arial" w:hAnsi="Arial"/>
                <w:b/>
                <w:sz w:val="17"/>
              </w:rPr>
              <w:t>EAC (kinerja saat ini berlanjut)</w:t>
            </w:r>
          </w:p>
        </w:tc>
        <w:tc>
          <w:tcPr>
            <w:tcW w:type="dxa" w:w="3265"/>
            <w:vAlign w:val="center"/>
          </w:tcPr>
          <w:p>
            <w:pPr>
              <w:spacing w:after="20" w:before="20" w:line="252" w:lineRule="auto"/>
            </w:pPr>
            <w:r/>
            <w:r>
              <w:rPr>
                <w:rFonts w:ascii="Arial" w:hAnsi="Arial"/>
                <w:b w:val="0"/>
                <w:sz w:val="17"/>
              </w:rPr>
              <w:t>BAC / CPI atau AC + (BAC − EV) / CPI</w:t>
            </w:r>
          </w:p>
        </w:tc>
        <w:tc>
          <w:tcPr>
            <w:tcW w:type="dxa" w:w="3457"/>
            <w:vAlign w:val="center"/>
          </w:tcPr>
          <w:p>
            <w:pPr>
              <w:spacing w:after="20" w:before="20" w:line="252" w:lineRule="auto"/>
            </w:pPr>
            <w:r/>
            <w:r>
              <w:rPr>
                <w:rFonts w:ascii="Arial" w:hAnsi="Arial"/>
                <w:b w:val="0"/>
                <w:sz w:val="17"/>
              </w:rPr>
              <w:t>Prakiraan biaya akhir; EPC memakai AC + (BAC − EV)/CPI sebagai cek terhadap prakiraan bottom-up</w:t>
            </w:r>
          </w:p>
        </w:tc>
      </w:tr>
      <w:tr>
        <w:trPr>
          <w:cantSplit/>
        </w:trPr>
        <w:tc>
          <w:tcPr>
            <w:tcW w:type="dxa" w:w="2689"/>
            <w:shd w:val="clear" w:color="auto" w:fill="E6ECFD"/>
            <w:vAlign w:val="center"/>
          </w:tcPr>
          <w:p>
            <w:pPr>
              <w:spacing w:after="20" w:before="20" w:line="252" w:lineRule="auto"/>
            </w:pPr>
            <w:r/>
            <w:r>
              <w:rPr>
                <w:rFonts w:ascii="Arial" w:hAnsi="Arial"/>
                <w:b/>
                <w:sz w:val="17"/>
              </w:rPr>
              <w:t>EAC (sisa pekerjaan sesuai rencana)</w:t>
            </w:r>
          </w:p>
        </w:tc>
        <w:tc>
          <w:tcPr>
            <w:tcW w:type="dxa" w:w="3265"/>
            <w:shd w:val="clear" w:color="auto" w:fill="E6ECFD"/>
            <w:vAlign w:val="center"/>
          </w:tcPr>
          <w:p>
            <w:pPr>
              <w:spacing w:after="20" w:before="20" w:line="252" w:lineRule="auto"/>
            </w:pPr>
            <w:r/>
            <w:r>
              <w:rPr>
                <w:rFonts w:ascii="Arial" w:hAnsi="Arial"/>
                <w:b w:val="0"/>
                <w:sz w:val="17"/>
              </w:rPr>
              <w:t>AC + (BAC − EV)</w:t>
            </w:r>
          </w:p>
        </w:tc>
        <w:tc>
          <w:tcPr>
            <w:tcW w:type="dxa" w:w="3457"/>
            <w:shd w:val="clear" w:color="auto" w:fill="E6ECFD"/>
            <w:vAlign w:val="center"/>
          </w:tcPr>
          <w:p>
            <w:pPr>
              <w:spacing w:after="20" w:before="20" w:line="252" w:lineRule="auto"/>
            </w:pPr>
            <w:r/>
            <w:r>
              <w:rPr>
                <w:rFonts w:ascii="Arial" w:hAnsi="Arial"/>
                <w:b w:val="0"/>
                <w:sz w:val="17"/>
              </w:rPr>
              <w:t>Bila penyimpangan dianggap sekali terjadi</w:t>
            </w:r>
          </w:p>
        </w:tc>
      </w:tr>
      <w:tr>
        <w:trPr>
          <w:cantSplit/>
        </w:trPr>
        <w:tc>
          <w:tcPr>
            <w:tcW w:type="dxa" w:w="2689"/>
            <w:vAlign w:val="center"/>
          </w:tcPr>
          <w:p>
            <w:pPr>
              <w:spacing w:after="20" w:before="20" w:line="252" w:lineRule="auto"/>
            </w:pPr>
            <w:r/>
            <w:r>
              <w:rPr>
                <w:rFonts w:ascii="Arial" w:hAnsi="Arial"/>
                <w:b/>
                <w:sz w:val="17"/>
              </w:rPr>
              <w:t>ETC</w:t>
            </w:r>
          </w:p>
        </w:tc>
        <w:tc>
          <w:tcPr>
            <w:tcW w:type="dxa" w:w="3265"/>
            <w:vAlign w:val="center"/>
          </w:tcPr>
          <w:p>
            <w:pPr>
              <w:spacing w:after="20" w:before="20" w:line="252" w:lineRule="auto"/>
            </w:pPr>
            <w:r/>
            <w:r>
              <w:rPr>
                <w:rFonts w:ascii="Arial" w:hAnsi="Arial"/>
                <w:b w:val="0"/>
                <w:sz w:val="17"/>
              </w:rPr>
              <w:t>EAC − AC</w:t>
            </w:r>
          </w:p>
        </w:tc>
        <w:tc>
          <w:tcPr>
            <w:tcW w:type="dxa" w:w="3457"/>
            <w:vAlign w:val="center"/>
          </w:tcPr>
          <w:p>
            <w:pPr>
              <w:spacing w:after="20" w:before="20" w:line="252" w:lineRule="auto"/>
            </w:pPr>
            <w:r/>
            <w:r>
              <w:rPr>
                <w:rFonts w:ascii="Arial" w:hAnsi="Arial"/>
                <w:b w:val="0"/>
                <w:sz w:val="17"/>
              </w:rPr>
              <w:t>Biaya untuk menyelesaikan</w:t>
            </w:r>
          </w:p>
        </w:tc>
      </w:tr>
      <w:tr>
        <w:trPr>
          <w:cantSplit/>
        </w:trPr>
        <w:tc>
          <w:tcPr>
            <w:tcW w:type="dxa" w:w="2689"/>
            <w:shd w:val="clear" w:color="auto" w:fill="E6ECFD"/>
            <w:vAlign w:val="center"/>
          </w:tcPr>
          <w:p>
            <w:pPr>
              <w:spacing w:after="20" w:before="20" w:line="252" w:lineRule="auto"/>
            </w:pPr>
            <w:r/>
            <w:r>
              <w:rPr>
                <w:rFonts w:ascii="Arial" w:hAnsi="Arial"/>
                <w:b/>
                <w:sz w:val="17"/>
              </w:rPr>
              <w:t>VAC</w:t>
            </w:r>
          </w:p>
        </w:tc>
        <w:tc>
          <w:tcPr>
            <w:tcW w:type="dxa" w:w="3265"/>
            <w:shd w:val="clear" w:color="auto" w:fill="E6ECFD"/>
            <w:vAlign w:val="center"/>
          </w:tcPr>
          <w:p>
            <w:pPr>
              <w:spacing w:after="20" w:before="20" w:line="252" w:lineRule="auto"/>
            </w:pPr>
            <w:r/>
            <w:r>
              <w:rPr>
                <w:rFonts w:ascii="Arial" w:hAnsi="Arial"/>
                <w:b w:val="0"/>
                <w:sz w:val="17"/>
              </w:rPr>
              <w:t>BAC − EAC</w:t>
            </w:r>
          </w:p>
        </w:tc>
        <w:tc>
          <w:tcPr>
            <w:tcW w:type="dxa" w:w="3457"/>
            <w:shd w:val="clear" w:color="auto" w:fill="E6ECFD"/>
            <w:vAlign w:val="center"/>
          </w:tcPr>
          <w:p>
            <w:pPr>
              <w:spacing w:after="20" w:before="20" w:line="252" w:lineRule="auto"/>
            </w:pPr>
            <w:r/>
            <w:r>
              <w:rPr>
                <w:rFonts w:ascii="Arial" w:hAnsi="Arial"/>
                <w:b w:val="0"/>
                <w:sz w:val="17"/>
              </w:rPr>
              <w:t>Prakiraan varians pada akhir proyek</w:t>
            </w:r>
          </w:p>
        </w:tc>
      </w:tr>
      <w:tr>
        <w:trPr>
          <w:cantSplit/>
        </w:trPr>
        <w:tc>
          <w:tcPr>
            <w:tcW w:type="dxa" w:w="2689"/>
            <w:vAlign w:val="center"/>
          </w:tcPr>
          <w:p>
            <w:pPr>
              <w:spacing w:after="20" w:before="20" w:line="252" w:lineRule="auto"/>
            </w:pPr>
            <w:r/>
            <w:r>
              <w:rPr>
                <w:rFonts w:ascii="Arial" w:hAnsi="Arial"/>
                <w:b/>
                <w:sz w:val="17"/>
              </w:rPr>
              <w:t>TCPI</w:t>
            </w:r>
          </w:p>
        </w:tc>
        <w:tc>
          <w:tcPr>
            <w:tcW w:type="dxa" w:w="3265"/>
            <w:vAlign w:val="center"/>
          </w:tcPr>
          <w:p>
            <w:pPr>
              <w:spacing w:after="20" w:before="20" w:line="252" w:lineRule="auto"/>
            </w:pPr>
            <w:r/>
            <w:r>
              <w:rPr>
                <w:rFonts w:ascii="Arial" w:hAnsi="Arial"/>
                <w:b w:val="0"/>
                <w:sz w:val="17"/>
              </w:rPr>
              <w:t>(BAC − EV) / (BAC − AC)</w:t>
            </w:r>
          </w:p>
        </w:tc>
        <w:tc>
          <w:tcPr>
            <w:tcW w:type="dxa" w:w="3457"/>
            <w:vAlign w:val="center"/>
          </w:tcPr>
          <w:p>
            <w:pPr>
              <w:spacing w:after="20" w:before="20" w:line="252" w:lineRule="auto"/>
            </w:pPr>
            <w:r/>
            <w:r>
              <w:rPr>
                <w:rFonts w:ascii="Arial" w:hAnsi="Arial"/>
                <w:b w:val="0"/>
                <w:sz w:val="17"/>
              </w:rPr>
              <w:t>Kinerja biaya yang diperlukan untuk menutup pada BAC</w:t>
            </w:r>
          </w:p>
        </w:tc>
      </w:tr>
    </w:tbl>
    <w:p>
      <w:pPr>
        <w:spacing w:after="160"/>
      </w:pPr>
      <w:r>
        <w:rPr>
          <w:rFonts w:ascii="Arial" w:hAnsi="Arial"/>
          <w:b w:val="0"/>
          <w:i/>
          <w:color w:val="051C5C"/>
          <w:sz w:val="17"/>
        </w:rPr>
        <w:t>Sumber: PMI (2019); [EPC, §7].</w:t>
      </w:r>
    </w:p>
    <w:p>
      <w:pPr>
        <w:keepNext/>
        <w:spacing w:after="60"/>
      </w:pPr>
      <w:r>
        <w:rPr>
          <w:rFonts w:ascii="Arial" w:hAnsi="Arial"/>
          <w:b/>
          <w:color w:val="051C5C"/>
          <w:sz w:val="19"/>
        </w:rPr>
        <w:t xml:space="preserve">Tabel 20: </w:t>
      </w:r>
      <w:r>
        <w:rPr>
          <w:rFonts w:ascii="Arial" w:hAnsi="Arial"/>
          <w:color w:val="051C5C"/>
          <w:sz w:val="19"/>
        </w:rPr>
        <w:t>Contoh hitung EVM (ilustratif)</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3529"/>
            <w:shd w:val="clear" w:color="auto" w:fill="2251FF"/>
            <w:vAlign w:val="center"/>
          </w:tcPr>
          <w:p>
            <w:pPr>
              <w:spacing w:after="20" w:before="20" w:line="252" w:lineRule="auto"/>
            </w:pPr>
            <w:r/>
            <w:r>
              <w:rPr>
                <w:rFonts w:ascii="Arial" w:hAnsi="Arial"/>
                <w:b/>
                <w:color w:val="FFFFFF"/>
                <w:sz w:val="17"/>
              </w:rPr>
              <w:t>Besaran</w:t>
            </w:r>
          </w:p>
        </w:tc>
        <w:tc>
          <w:tcPr>
            <w:tcW w:type="dxa" w:w="2353"/>
            <w:shd w:val="clear" w:color="auto" w:fill="2251FF"/>
            <w:vAlign w:val="center"/>
          </w:tcPr>
          <w:p>
            <w:pPr>
              <w:spacing w:after="20" w:before="20" w:line="252" w:lineRule="auto"/>
            </w:pPr>
            <w:r/>
            <w:r>
              <w:rPr>
                <w:rFonts w:ascii="Arial" w:hAnsi="Arial"/>
                <w:b/>
                <w:color w:val="FFFFFF"/>
                <w:sz w:val="17"/>
              </w:rPr>
              <w:t>Nilai (Rp miliar)</w:t>
            </w:r>
          </w:p>
        </w:tc>
        <w:tc>
          <w:tcPr>
            <w:tcW w:type="dxa" w:w="3529"/>
            <w:shd w:val="clear" w:color="auto" w:fill="2251FF"/>
            <w:vAlign w:val="center"/>
          </w:tcPr>
          <w:p>
            <w:pPr>
              <w:spacing w:after="20" w:before="20" w:line="252" w:lineRule="auto"/>
            </w:pPr>
            <w:r/>
            <w:r>
              <w:rPr>
                <w:rFonts w:ascii="Arial" w:hAnsi="Arial"/>
                <w:b/>
                <w:color w:val="FFFFFF"/>
                <w:sz w:val="17"/>
              </w:rPr>
              <w:t>Perhitungan</w:t>
            </w:r>
          </w:p>
        </w:tc>
      </w:tr>
      <w:tr>
        <w:trPr>
          <w:cantSplit/>
        </w:trPr>
        <w:tc>
          <w:tcPr>
            <w:tcW w:type="dxa" w:w="3529"/>
            <w:vAlign w:val="center"/>
          </w:tcPr>
          <w:p>
            <w:pPr>
              <w:spacing w:after="20" w:before="20" w:line="252" w:lineRule="auto"/>
            </w:pPr>
            <w:r/>
            <w:r>
              <w:rPr>
                <w:rFonts w:ascii="Arial" w:hAnsi="Arial"/>
                <w:b/>
                <w:sz w:val="17"/>
              </w:rPr>
              <w:t>BAC (anggaran akhir)</w:t>
            </w:r>
          </w:p>
        </w:tc>
        <w:tc>
          <w:tcPr>
            <w:tcW w:type="dxa" w:w="2353"/>
            <w:vAlign w:val="center"/>
          </w:tcPr>
          <w:p>
            <w:pPr>
              <w:spacing w:after="20" w:before="20" w:line="252" w:lineRule="auto"/>
            </w:pPr>
            <w:r/>
            <w:r>
              <w:rPr>
                <w:rFonts w:ascii="Arial" w:hAnsi="Arial"/>
                <w:b w:val="0"/>
                <w:sz w:val="17"/>
              </w:rPr>
              <w:t>100</w:t>
            </w:r>
          </w:p>
        </w:tc>
        <w:tc>
          <w:tcPr>
            <w:tcW w:type="dxa" w:w="3529"/>
            <w:vAlign w:val="center"/>
          </w:tcPr>
          <w:p>
            <w:pPr>
              <w:spacing w:after="20" w:before="20" w:line="252" w:lineRule="auto"/>
            </w:pPr>
            <w:r/>
            <w:r>
              <w:rPr>
                <w:rFonts w:ascii="Arial" w:hAnsi="Arial"/>
                <w:b w:val="0"/>
                <w:sz w:val="17"/>
              </w:rPr>
              <w:t>—</w:t>
            </w:r>
          </w:p>
        </w:tc>
      </w:tr>
      <w:tr>
        <w:trPr>
          <w:cantSplit/>
        </w:trPr>
        <w:tc>
          <w:tcPr>
            <w:tcW w:type="dxa" w:w="3529"/>
            <w:shd w:val="clear" w:color="auto" w:fill="E6ECFD"/>
            <w:vAlign w:val="center"/>
          </w:tcPr>
          <w:p>
            <w:pPr>
              <w:spacing w:after="20" w:before="20" w:line="252" w:lineRule="auto"/>
            </w:pPr>
            <w:r/>
            <w:r>
              <w:rPr>
                <w:rFonts w:ascii="Arial" w:hAnsi="Arial"/>
                <w:b/>
                <w:sz w:val="17"/>
              </w:rPr>
              <w:t>PV pada tanggal status</w:t>
            </w:r>
          </w:p>
        </w:tc>
        <w:tc>
          <w:tcPr>
            <w:tcW w:type="dxa" w:w="2353"/>
            <w:shd w:val="clear" w:color="auto" w:fill="E6ECFD"/>
            <w:vAlign w:val="center"/>
          </w:tcPr>
          <w:p>
            <w:pPr>
              <w:spacing w:after="20" w:before="20" w:line="252" w:lineRule="auto"/>
            </w:pPr>
            <w:r/>
            <w:r>
              <w:rPr>
                <w:rFonts w:ascii="Arial" w:hAnsi="Arial"/>
                <w:b w:val="0"/>
                <w:sz w:val="17"/>
              </w:rPr>
              <w:t>40</w:t>
            </w:r>
          </w:p>
        </w:tc>
        <w:tc>
          <w:tcPr>
            <w:tcW w:type="dxa" w:w="3529"/>
            <w:shd w:val="clear" w:color="auto" w:fill="E6ECFD"/>
            <w:vAlign w:val="center"/>
          </w:tcPr>
          <w:p>
            <w:pPr>
              <w:spacing w:after="20" w:before="20" w:line="252" w:lineRule="auto"/>
            </w:pPr>
            <w:r/>
            <w:r>
              <w:rPr>
                <w:rFonts w:ascii="Arial" w:hAnsi="Arial"/>
                <w:b w:val="0"/>
                <w:sz w:val="17"/>
              </w:rPr>
              <w:t>—</w:t>
            </w:r>
          </w:p>
        </w:tc>
      </w:tr>
      <w:tr>
        <w:trPr>
          <w:cantSplit/>
        </w:trPr>
        <w:tc>
          <w:tcPr>
            <w:tcW w:type="dxa" w:w="3529"/>
            <w:vAlign w:val="center"/>
          </w:tcPr>
          <w:p>
            <w:pPr>
              <w:spacing w:after="20" w:before="20" w:line="252" w:lineRule="auto"/>
            </w:pPr>
            <w:r/>
            <w:r>
              <w:rPr>
                <w:rFonts w:ascii="Arial" w:hAnsi="Arial"/>
                <w:b/>
                <w:sz w:val="17"/>
              </w:rPr>
              <w:t>EV (kemajuan fisik 35%)</w:t>
            </w:r>
          </w:p>
        </w:tc>
        <w:tc>
          <w:tcPr>
            <w:tcW w:type="dxa" w:w="2353"/>
            <w:vAlign w:val="center"/>
          </w:tcPr>
          <w:p>
            <w:pPr>
              <w:spacing w:after="20" w:before="20" w:line="252" w:lineRule="auto"/>
            </w:pPr>
            <w:r/>
            <w:r>
              <w:rPr>
                <w:rFonts w:ascii="Arial" w:hAnsi="Arial"/>
                <w:b w:val="0"/>
                <w:sz w:val="17"/>
              </w:rPr>
              <w:t>35</w:t>
            </w:r>
          </w:p>
        </w:tc>
        <w:tc>
          <w:tcPr>
            <w:tcW w:type="dxa" w:w="3529"/>
            <w:vAlign w:val="center"/>
          </w:tcPr>
          <w:p>
            <w:pPr>
              <w:spacing w:after="20" w:before="20" w:line="252" w:lineRule="auto"/>
            </w:pPr>
            <w:r/>
            <w:r>
              <w:rPr>
                <w:rFonts w:ascii="Arial" w:hAnsi="Arial"/>
                <w:b w:val="0"/>
                <w:sz w:val="17"/>
              </w:rPr>
              <w:t>100 × 35%</w:t>
            </w:r>
          </w:p>
        </w:tc>
      </w:tr>
      <w:tr>
        <w:trPr>
          <w:cantSplit/>
        </w:trPr>
        <w:tc>
          <w:tcPr>
            <w:tcW w:type="dxa" w:w="3529"/>
            <w:shd w:val="clear" w:color="auto" w:fill="E6ECFD"/>
            <w:vAlign w:val="center"/>
          </w:tcPr>
          <w:p>
            <w:pPr>
              <w:spacing w:after="20" w:before="20" w:line="252" w:lineRule="auto"/>
            </w:pPr>
            <w:r/>
            <w:r>
              <w:rPr>
                <w:rFonts w:ascii="Arial" w:hAnsi="Arial"/>
                <w:b/>
                <w:sz w:val="17"/>
              </w:rPr>
              <w:t>AC</w:t>
            </w:r>
          </w:p>
        </w:tc>
        <w:tc>
          <w:tcPr>
            <w:tcW w:type="dxa" w:w="2353"/>
            <w:shd w:val="clear" w:color="auto" w:fill="E6ECFD"/>
            <w:vAlign w:val="center"/>
          </w:tcPr>
          <w:p>
            <w:pPr>
              <w:spacing w:after="20" w:before="20" w:line="252" w:lineRule="auto"/>
            </w:pPr>
            <w:r/>
            <w:r>
              <w:rPr>
                <w:rFonts w:ascii="Arial" w:hAnsi="Arial"/>
                <w:b w:val="0"/>
                <w:sz w:val="17"/>
              </w:rPr>
              <w:t>42</w:t>
            </w:r>
          </w:p>
        </w:tc>
        <w:tc>
          <w:tcPr>
            <w:tcW w:type="dxa" w:w="3529"/>
            <w:shd w:val="clear" w:color="auto" w:fill="E6ECFD"/>
            <w:vAlign w:val="center"/>
          </w:tcPr>
          <w:p>
            <w:pPr>
              <w:spacing w:after="20" w:before="20" w:line="252" w:lineRule="auto"/>
            </w:pPr>
            <w:r/>
            <w:r>
              <w:rPr>
                <w:rFonts w:ascii="Arial" w:hAnsi="Arial"/>
                <w:b w:val="0"/>
                <w:sz w:val="17"/>
              </w:rPr>
              <w:t>—</w:t>
            </w:r>
          </w:p>
        </w:tc>
      </w:tr>
      <w:tr>
        <w:trPr>
          <w:cantSplit/>
        </w:trPr>
        <w:tc>
          <w:tcPr>
            <w:tcW w:type="dxa" w:w="3529"/>
            <w:vAlign w:val="center"/>
          </w:tcPr>
          <w:p>
            <w:pPr>
              <w:spacing w:after="20" w:before="20" w:line="252" w:lineRule="auto"/>
            </w:pPr>
            <w:r/>
            <w:r>
              <w:rPr>
                <w:rFonts w:ascii="Arial" w:hAnsi="Arial"/>
                <w:b/>
                <w:sz w:val="17"/>
              </w:rPr>
              <w:t>CV</w:t>
            </w:r>
          </w:p>
        </w:tc>
        <w:tc>
          <w:tcPr>
            <w:tcW w:type="dxa" w:w="2353"/>
            <w:vAlign w:val="center"/>
          </w:tcPr>
          <w:p>
            <w:pPr>
              <w:spacing w:after="20" w:before="20" w:line="252" w:lineRule="auto"/>
            </w:pPr>
            <w:r/>
            <w:r>
              <w:rPr>
                <w:rFonts w:ascii="Arial" w:hAnsi="Arial"/>
                <w:b w:val="0"/>
                <w:sz w:val="17"/>
              </w:rPr>
              <w:t>−7</w:t>
            </w:r>
          </w:p>
        </w:tc>
        <w:tc>
          <w:tcPr>
            <w:tcW w:type="dxa" w:w="3529"/>
            <w:vAlign w:val="center"/>
          </w:tcPr>
          <w:p>
            <w:pPr>
              <w:spacing w:after="20" w:before="20" w:line="252" w:lineRule="auto"/>
            </w:pPr>
            <w:r/>
            <w:r>
              <w:rPr>
                <w:rFonts w:ascii="Arial" w:hAnsi="Arial"/>
                <w:b w:val="0"/>
                <w:sz w:val="17"/>
              </w:rPr>
              <w:t>35 − 42</w:t>
            </w:r>
          </w:p>
        </w:tc>
      </w:tr>
      <w:tr>
        <w:trPr>
          <w:cantSplit/>
        </w:trPr>
        <w:tc>
          <w:tcPr>
            <w:tcW w:type="dxa" w:w="3529"/>
            <w:shd w:val="clear" w:color="auto" w:fill="E6ECFD"/>
            <w:vAlign w:val="center"/>
          </w:tcPr>
          <w:p>
            <w:pPr>
              <w:spacing w:after="20" w:before="20" w:line="252" w:lineRule="auto"/>
            </w:pPr>
            <w:r/>
            <w:r>
              <w:rPr>
                <w:rFonts w:ascii="Arial" w:hAnsi="Arial"/>
                <w:b/>
                <w:sz w:val="17"/>
              </w:rPr>
              <w:t>SV</w:t>
            </w:r>
          </w:p>
        </w:tc>
        <w:tc>
          <w:tcPr>
            <w:tcW w:type="dxa" w:w="2353"/>
            <w:shd w:val="clear" w:color="auto" w:fill="E6ECFD"/>
            <w:vAlign w:val="center"/>
          </w:tcPr>
          <w:p>
            <w:pPr>
              <w:spacing w:after="20" w:before="20" w:line="252" w:lineRule="auto"/>
            </w:pPr>
            <w:r/>
            <w:r>
              <w:rPr>
                <w:rFonts w:ascii="Arial" w:hAnsi="Arial"/>
                <w:b w:val="0"/>
                <w:sz w:val="17"/>
              </w:rPr>
              <w:t>−5</w:t>
            </w:r>
          </w:p>
        </w:tc>
        <w:tc>
          <w:tcPr>
            <w:tcW w:type="dxa" w:w="3529"/>
            <w:shd w:val="clear" w:color="auto" w:fill="E6ECFD"/>
            <w:vAlign w:val="center"/>
          </w:tcPr>
          <w:p>
            <w:pPr>
              <w:spacing w:after="20" w:before="20" w:line="252" w:lineRule="auto"/>
            </w:pPr>
            <w:r/>
            <w:r>
              <w:rPr>
                <w:rFonts w:ascii="Arial" w:hAnsi="Arial"/>
                <w:b w:val="0"/>
                <w:sz w:val="17"/>
              </w:rPr>
              <w:t>35 − 40</w:t>
            </w:r>
          </w:p>
        </w:tc>
      </w:tr>
      <w:tr>
        <w:trPr>
          <w:cantSplit/>
        </w:trPr>
        <w:tc>
          <w:tcPr>
            <w:tcW w:type="dxa" w:w="3529"/>
            <w:vAlign w:val="center"/>
          </w:tcPr>
          <w:p>
            <w:pPr>
              <w:spacing w:after="20" w:before="20" w:line="252" w:lineRule="auto"/>
            </w:pPr>
            <w:r/>
            <w:r>
              <w:rPr>
                <w:rFonts w:ascii="Arial" w:hAnsi="Arial"/>
                <w:b/>
                <w:sz w:val="17"/>
              </w:rPr>
              <w:t>CPI</w:t>
            </w:r>
          </w:p>
        </w:tc>
        <w:tc>
          <w:tcPr>
            <w:tcW w:type="dxa" w:w="2353"/>
            <w:vAlign w:val="center"/>
          </w:tcPr>
          <w:p>
            <w:pPr>
              <w:spacing w:after="20" w:before="20" w:line="252" w:lineRule="auto"/>
            </w:pPr>
            <w:r/>
            <w:r>
              <w:rPr>
                <w:rFonts w:ascii="Arial" w:hAnsi="Arial"/>
                <w:b w:val="0"/>
                <w:sz w:val="17"/>
              </w:rPr>
              <w:t>0,83</w:t>
            </w:r>
          </w:p>
        </w:tc>
        <w:tc>
          <w:tcPr>
            <w:tcW w:type="dxa" w:w="3529"/>
            <w:vAlign w:val="center"/>
          </w:tcPr>
          <w:p>
            <w:pPr>
              <w:spacing w:after="20" w:before="20" w:line="252" w:lineRule="auto"/>
            </w:pPr>
            <w:r/>
            <w:r>
              <w:rPr>
                <w:rFonts w:ascii="Arial" w:hAnsi="Arial"/>
                <w:b w:val="0"/>
                <w:sz w:val="17"/>
              </w:rPr>
              <w:t>35 / 42</w:t>
            </w:r>
          </w:p>
        </w:tc>
      </w:tr>
      <w:tr>
        <w:trPr>
          <w:cantSplit/>
        </w:trPr>
        <w:tc>
          <w:tcPr>
            <w:tcW w:type="dxa" w:w="3529"/>
            <w:shd w:val="clear" w:color="auto" w:fill="E6ECFD"/>
            <w:vAlign w:val="center"/>
          </w:tcPr>
          <w:p>
            <w:pPr>
              <w:spacing w:after="20" w:before="20" w:line="252" w:lineRule="auto"/>
            </w:pPr>
            <w:r/>
            <w:r>
              <w:rPr>
                <w:rFonts w:ascii="Arial" w:hAnsi="Arial"/>
                <w:b/>
                <w:sz w:val="17"/>
              </w:rPr>
              <w:t>SPI</w:t>
            </w:r>
          </w:p>
        </w:tc>
        <w:tc>
          <w:tcPr>
            <w:tcW w:type="dxa" w:w="2353"/>
            <w:shd w:val="clear" w:color="auto" w:fill="E6ECFD"/>
            <w:vAlign w:val="center"/>
          </w:tcPr>
          <w:p>
            <w:pPr>
              <w:spacing w:after="20" w:before="20" w:line="252" w:lineRule="auto"/>
            </w:pPr>
            <w:r/>
            <w:r>
              <w:rPr>
                <w:rFonts w:ascii="Arial" w:hAnsi="Arial"/>
                <w:b w:val="0"/>
                <w:sz w:val="17"/>
              </w:rPr>
              <w:t>0,88</w:t>
            </w:r>
          </w:p>
        </w:tc>
        <w:tc>
          <w:tcPr>
            <w:tcW w:type="dxa" w:w="3529"/>
            <w:shd w:val="clear" w:color="auto" w:fill="E6ECFD"/>
            <w:vAlign w:val="center"/>
          </w:tcPr>
          <w:p>
            <w:pPr>
              <w:spacing w:after="20" w:before="20" w:line="252" w:lineRule="auto"/>
            </w:pPr>
            <w:r/>
            <w:r>
              <w:rPr>
                <w:rFonts w:ascii="Arial" w:hAnsi="Arial"/>
                <w:b w:val="0"/>
                <w:sz w:val="17"/>
              </w:rPr>
              <w:t>35 / 40</w:t>
            </w:r>
          </w:p>
        </w:tc>
      </w:tr>
      <w:tr>
        <w:trPr>
          <w:cantSplit/>
        </w:trPr>
        <w:tc>
          <w:tcPr>
            <w:tcW w:type="dxa" w:w="3529"/>
            <w:vAlign w:val="center"/>
          </w:tcPr>
          <w:p>
            <w:pPr>
              <w:spacing w:after="20" w:before="20" w:line="252" w:lineRule="auto"/>
            </w:pPr>
            <w:r/>
            <w:r>
              <w:rPr>
                <w:rFonts w:ascii="Arial" w:hAnsi="Arial"/>
                <w:b/>
                <w:sz w:val="17"/>
              </w:rPr>
              <w:t>EAC = BAC / CPI</w:t>
            </w:r>
          </w:p>
        </w:tc>
        <w:tc>
          <w:tcPr>
            <w:tcW w:type="dxa" w:w="2353"/>
            <w:vAlign w:val="center"/>
          </w:tcPr>
          <w:p>
            <w:pPr>
              <w:spacing w:after="20" w:before="20" w:line="252" w:lineRule="auto"/>
            </w:pPr>
            <w:r/>
            <w:r>
              <w:rPr>
                <w:rFonts w:ascii="Arial" w:hAnsi="Arial"/>
                <w:b w:val="0"/>
                <w:sz w:val="17"/>
              </w:rPr>
              <w:t>120,0</w:t>
            </w:r>
          </w:p>
        </w:tc>
        <w:tc>
          <w:tcPr>
            <w:tcW w:type="dxa" w:w="3529"/>
            <w:vAlign w:val="center"/>
          </w:tcPr>
          <w:p>
            <w:pPr>
              <w:spacing w:after="20" w:before="20" w:line="252" w:lineRule="auto"/>
            </w:pPr>
            <w:r/>
            <w:r>
              <w:rPr>
                <w:rFonts w:ascii="Arial" w:hAnsi="Arial"/>
                <w:b w:val="0"/>
                <w:sz w:val="17"/>
              </w:rPr>
              <w:t>100 / 0,833</w:t>
            </w:r>
          </w:p>
        </w:tc>
      </w:tr>
      <w:tr>
        <w:trPr>
          <w:cantSplit/>
        </w:trPr>
        <w:tc>
          <w:tcPr>
            <w:tcW w:type="dxa" w:w="3529"/>
            <w:shd w:val="clear" w:color="auto" w:fill="E6ECFD"/>
            <w:vAlign w:val="center"/>
          </w:tcPr>
          <w:p>
            <w:pPr>
              <w:spacing w:after="20" w:before="20" w:line="252" w:lineRule="auto"/>
            </w:pPr>
            <w:r/>
            <w:r>
              <w:rPr>
                <w:rFonts w:ascii="Arial" w:hAnsi="Arial"/>
                <w:b/>
                <w:sz w:val="17"/>
              </w:rPr>
              <w:t>ETC</w:t>
            </w:r>
          </w:p>
        </w:tc>
        <w:tc>
          <w:tcPr>
            <w:tcW w:type="dxa" w:w="2353"/>
            <w:shd w:val="clear" w:color="auto" w:fill="E6ECFD"/>
            <w:vAlign w:val="center"/>
          </w:tcPr>
          <w:p>
            <w:pPr>
              <w:spacing w:after="20" w:before="20" w:line="252" w:lineRule="auto"/>
            </w:pPr>
            <w:r/>
            <w:r>
              <w:rPr>
                <w:rFonts w:ascii="Arial" w:hAnsi="Arial"/>
                <w:b w:val="0"/>
                <w:sz w:val="17"/>
              </w:rPr>
              <w:t>78,0</w:t>
            </w:r>
          </w:p>
        </w:tc>
        <w:tc>
          <w:tcPr>
            <w:tcW w:type="dxa" w:w="3529"/>
            <w:shd w:val="clear" w:color="auto" w:fill="E6ECFD"/>
            <w:vAlign w:val="center"/>
          </w:tcPr>
          <w:p>
            <w:pPr>
              <w:spacing w:after="20" w:before="20" w:line="252" w:lineRule="auto"/>
            </w:pPr>
            <w:r/>
            <w:r>
              <w:rPr>
                <w:rFonts w:ascii="Arial" w:hAnsi="Arial"/>
                <w:b w:val="0"/>
                <w:sz w:val="17"/>
              </w:rPr>
              <w:t>120 − 42</w:t>
            </w:r>
          </w:p>
        </w:tc>
      </w:tr>
      <w:tr>
        <w:trPr>
          <w:cantSplit/>
        </w:trPr>
        <w:tc>
          <w:tcPr>
            <w:tcW w:type="dxa" w:w="3529"/>
            <w:vAlign w:val="center"/>
          </w:tcPr>
          <w:p>
            <w:pPr>
              <w:spacing w:after="20" w:before="20" w:line="252" w:lineRule="auto"/>
            </w:pPr>
            <w:r/>
            <w:r>
              <w:rPr>
                <w:rFonts w:ascii="Arial" w:hAnsi="Arial"/>
                <w:b/>
                <w:sz w:val="17"/>
              </w:rPr>
              <w:t>VAC</w:t>
            </w:r>
          </w:p>
        </w:tc>
        <w:tc>
          <w:tcPr>
            <w:tcW w:type="dxa" w:w="2353"/>
            <w:vAlign w:val="center"/>
          </w:tcPr>
          <w:p>
            <w:pPr>
              <w:spacing w:after="20" w:before="20" w:line="252" w:lineRule="auto"/>
            </w:pPr>
            <w:r/>
            <w:r>
              <w:rPr>
                <w:rFonts w:ascii="Arial" w:hAnsi="Arial"/>
                <w:b w:val="0"/>
                <w:sz w:val="17"/>
              </w:rPr>
              <w:t>−20,0</w:t>
            </w:r>
          </w:p>
        </w:tc>
        <w:tc>
          <w:tcPr>
            <w:tcW w:type="dxa" w:w="3529"/>
            <w:vAlign w:val="center"/>
          </w:tcPr>
          <w:p>
            <w:pPr>
              <w:spacing w:after="20" w:before="20" w:line="252" w:lineRule="auto"/>
            </w:pPr>
            <w:r/>
            <w:r>
              <w:rPr>
                <w:rFonts w:ascii="Arial" w:hAnsi="Arial"/>
                <w:b w:val="0"/>
                <w:sz w:val="17"/>
              </w:rPr>
              <w:t>100 − 120</w:t>
            </w:r>
          </w:p>
        </w:tc>
      </w:tr>
      <w:tr>
        <w:trPr>
          <w:cantSplit/>
        </w:trPr>
        <w:tc>
          <w:tcPr>
            <w:tcW w:type="dxa" w:w="3529"/>
            <w:shd w:val="clear" w:color="auto" w:fill="E6ECFD"/>
            <w:vAlign w:val="center"/>
          </w:tcPr>
          <w:p>
            <w:pPr>
              <w:spacing w:after="20" w:before="20" w:line="252" w:lineRule="auto"/>
            </w:pPr>
            <w:r/>
            <w:r>
              <w:rPr>
                <w:rFonts w:ascii="Arial" w:hAnsi="Arial"/>
                <w:b/>
                <w:sz w:val="17"/>
              </w:rPr>
              <w:t>TCPI</w:t>
            </w:r>
          </w:p>
        </w:tc>
        <w:tc>
          <w:tcPr>
            <w:tcW w:type="dxa" w:w="2353"/>
            <w:shd w:val="clear" w:color="auto" w:fill="E6ECFD"/>
            <w:vAlign w:val="center"/>
          </w:tcPr>
          <w:p>
            <w:pPr>
              <w:spacing w:after="20" w:before="20" w:line="252" w:lineRule="auto"/>
            </w:pPr>
            <w:r/>
            <w:r>
              <w:rPr>
                <w:rFonts w:ascii="Arial" w:hAnsi="Arial"/>
                <w:b w:val="0"/>
                <w:sz w:val="17"/>
              </w:rPr>
              <w:t>1,12</w:t>
            </w:r>
          </w:p>
        </w:tc>
        <w:tc>
          <w:tcPr>
            <w:tcW w:type="dxa" w:w="3529"/>
            <w:shd w:val="clear" w:color="auto" w:fill="E6ECFD"/>
            <w:vAlign w:val="center"/>
          </w:tcPr>
          <w:p>
            <w:pPr>
              <w:spacing w:after="20" w:before="20" w:line="252" w:lineRule="auto"/>
            </w:pPr>
            <w:r/>
            <w:r>
              <w:rPr>
                <w:rFonts w:ascii="Arial" w:hAnsi="Arial"/>
                <w:b w:val="0"/>
                <w:sz w:val="17"/>
              </w:rPr>
              <w:t>(100 − 35) / (100 − 42)</w:t>
            </w:r>
          </w:p>
        </w:tc>
      </w:tr>
    </w:tbl>
    <w:p>
      <w:pPr>
        <w:spacing w:after="160"/>
      </w:pPr>
      <w:r>
        <w:rPr>
          <w:rFonts w:ascii="Arial" w:hAnsi="Arial"/>
          <w:b w:val="0"/>
          <w:i/>
          <w:color w:val="051C5C"/>
          <w:sz w:val="17"/>
        </w:rPr>
        <w:t>Perhitungan penulis; angka ilustratif.</w:t>
      </w:r>
    </w:p>
    <w:p>
      <w:pPr>
        <w:keepNext/>
        <w:jc w:val="center"/>
      </w:pPr>
      <w:r>
        <w:drawing>
          <wp:inline xmlns:a="http://schemas.openxmlformats.org/drawingml/2006/main" xmlns:pic="http://schemas.openxmlformats.org/drawingml/2006/picture">
            <wp:extent cx="5580000" cy="3255398"/>
            <wp:docPr id="7" name="Picture 7"/>
            <wp:cNvGraphicFramePr>
              <a:graphicFrameLocks noChangeAspect="1"/>
            </wp:cNvGraphicFramePr>
            <a:graphic>
              <a:graphicData uri="http://schemas.openxmlformats.org/drawingml/2006/picture">
                <pic:pic>
                  <pic:nvPicPr>
                    <pic:cNvPr id="0" name="f_scurve.png"/>
                    <pic:cNvPicPr/>
                  </pic:nvPicPr>
                  <pic:blipFill>
                    <a:blip r:embed="rId16"/>
                    <a:stretch>
                      <a:fillRect/>
                    </a:stretch>
                  </pic:blipFill>
                  <pic:spPr>
                    <a:xfrm>
                      <a:off x="0" y="0"/>
                      <a:ext cx="5580000" cy="3255398"/>
                    </a:xfrm>
                    <a:prstGeom prst="rect"/>
                  </pic:spPr>
                </pic:pic>
              </a:graphicData>
            </a:graphic>
          </wp:inline>
        </w:drawing>
      </w:r>
    </w:p>
    <w:p>
      <w:pPr>
        <w:keepNext w:val="0"/>
        <w:spacing w:after="60"/>
      </w:pPr>
      <w:r>
        <w:rPr>
          <w:rFonts w:ascii="Arial" w:hAnsi="Arial"/>
          <w:b/>
          <w:color w:val="051C5C"/>
          <w:sz w:val="19"/>
        </w:rPr>
        <w:t xml:space="preserve">Gambar 7: </w:t>
      </w:r>
      <w:r>
        <w:rPr>
          <w:rFonts w:ascii="Arial" w:hAnsi="Arial"/>
          <w:color w:val="051C5C"/>
          <w:sz w:val="19"/>
        </w:rPr>
        <w:t>Kurva-S: PV, EV, dan AC pada contoh, dengan prakiraan EAC</w:t>
      </w:r>
    </w:p>
    <w:p>
      <w:pPr>
        <w:spacing w:after="160"/>
      </w:pPr>
      <w:r>
        <w:rPr>
          <w:rFonts w:ascii="Arial" w:hAnsi="Arial"/>
          <w:b w:val="0"/>
          <w:i/>
          <w:color w:val="051C5C"/>
          <w:sz w:val="17"/>
        </w:rPr>
        <w:t>Gambar penulis dari contoh ilustratif.</w:t>
      </w:r>
    </w:p>
    <w:p>
      <w:pPr>
        <w:jc w:val="both"/>
      </w:pPr>
      <w:r>
        <w:rPr>
          <w:rFonts w:ascii="Arial" w:hAnsi="Arial"/>
          <w:b w:val="0"/>
        </w:rPr>
        <w:t xml:space="preserve">Contoh ini memperlihatkan bahwa proyek yang secara kasat mata tampak "sudah sepertiga jalan" sebenarnya terlambat dan boros: untuk menyelesaikan di BAC, kinerja biaya sisa harus 1,12, yaitu lebih baik dari rata-rata sampai kini, yang jarang terjadi. EVM hanya sebaik pengukuran kemajuannya. Alur kerja EPC memperingatkan bahwa </w:t>
      </w:r>
      <w:r>
        <w:rPr>
          <w:rFonts w:ascii="Arial" w:hAnsi="Arial"/>
          <w:b/>
        </w:rPr>
        <w:t>pengukuran kemajuan yang subjektif menggelembungkan EV dan menyembunyikan masalah CPI</w:t>
      </w:r>
      <w:r>
        <w:rPr>
          <w:rFonts w:ascii="Arial" w:hAnsi="Arial"/>
          <w:b w:val="0"/>
        </w:rPr>
        <w:t>; metode yang disarankan adalah milestone berbobot, unit terpasang, atau persen penyelesaian untuk level-of-effort [EPC, §3, akhir].</w:t>
      </w:r>
    </w:p>
    <w:p>
      <w:pPr>
        <w:pStyle w:val="Heading2"/>
      </w:pPr>
      <w:r>
        <w:t>6.6  Pengendalian perubahan, klaim, dan kontingensi</w:t>
      </w:r>
    </w:p>
    <w:p>
      <w:pPr>
        <w:jc w:val="both"/>
      </w:pPr>
      <w:r>
        <w:rPr>
          <w:rFonts w:ascii="Arial" w:hAnsi="Arial"/>
          <w:b w:val="0"/>
        </w:rPr>
        <w:t xml:space="preserve">Pengendalian perubahan memisahkan dua jenis perubahan. </w:t>
      </w:r>
      <w:r>
        <w:rPr>
          <w:rFonts w:ascii="Arial" w:hAnsi="Arial"/>
          <w:b/>
        </w:rPr>
        <w:t>Perubahan yang digerakkan pemberi kerja</w:t>
      </w:r>
      <w:r>
        <w:rPr>
          <w:rFonts w:ascii="Arial" w:hAnsi="Arial"/>
          <w:b w:val="0"/>
        </w:rPr>
        <w:t xml:space="preserve"> (variation order) menaikkan pendapatan dan anggaran. </w:t>
      </w:r>
      <w:r>
        <w:rPr>
          <w:rFonts w:ascii="Arial" w:hAnsi="Arial"/>
          <w:b/>
        </w:rPr>
        <w:t>Tren internal</w:t>
      </w:r>
      <w:r>
        <w:rPr>
          <w:rFonts w:ascii="Arial" w:hAnsi="Arial"/>
          <w:b w:val="0"/>
        </w:rPr>
        <w:t xml:space="preserve"> (pertumbuhan desain, penurunan produktivitas, kenaikan harga) tidak menambah pendapatan; ia masuk register tren lalu ditutup dengan penarikan kontingensi atau transfer anggaran [EPC, §7]. Perubahan yang dikerjakan tanpa persetujuan formal tidak dapat ditagih. Kajian Danantara menempatkan perubahan kontrak atau biaya material pada RASCI sebagai kegiatan S16 dengan organ perusahaan yang sah sebagai pemilik tunggal [EVAL, Bagian 15].</w:t>
      </w:r>
    </w:p>
    <w:p>
      <w:pPr>
        <w:keepNext/>
        <w:spacing w:after="60"/>
      </w:pPr>
      <w:r>
        <w:rPr>
          <w:rFonts w:ascii="Arial" w:hAnsi="Arial"/>
          <w:b/>
          <w:color w:val="051C5C"/>
          <w:sz w:val="19"/>
        </w:rPr>
        <w:t xml:space="preserve">Tabel 21: </w:t>
      </w:r>
      <w:r>
        <w:rPr>
          <w:rFonts w:ascii="Arial" w:hAnsi="Arial"/>
          <w:color w:val="051C5C"/>
          <w:sz w:val="19"/>
        </w:rPr>
        <w:t>Jenis perubahan dan penanganannya</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1882"/>
        <w:gridCol w:w="1882"/>
        <w:gridCol w:w="1882"/>
        <w:gridCol w:w="1882"/>
        <w:gridCol w:w="1882"/>
      </w:tblGrid>
      <w:tr>
        <w:trPr>
          <w:cantSplit/>
          <w:tblHeader/>
        </w:trPr>
        <w:tc>
          <w:tcPr>
            <w:tcW w:type="dxa" w:w="1661"/>
            <w:shd w:val="clear" w:color="auto" w:fill="2251FF"/>
            <w:vAlign w:val="center"/>
          </w:tcPr>
          <w:p>
            <w:pPr>
              <w:spacing w:after="20" w:before="20" w:line="252" w:lineRule="auto"/>
            </w:pPr>
            <w:r/>
            <w:r>
              <w:rPr>
                <w:rFonts w:ascii="Arial" w:hAnsi="Arial"/>
                <w:b/>
                <w:color w:val="FFFFFF"/>
                <w:sz w:val="17"/>
              </w:rPr>
              <w:t>Jenis</w:t>
            </w:r>
          </w:p>
        </w:tc>
        <w:tc>
          <w:tcPr>
            <w:tcW w:type="dxa" w:w="2399"/>
            <w:shd w:val="clear" w:color="auto" w:fill="2251FF"/>
            <w:vAlign w:val="center"/>
          </w:tcPr>
          <w:p>
            <w:pPr>
              <w:spacing w:after="20" w:before="20" w:line="252" w:lineRule="auto"/>
            </w:pPr>
            <w:r/>
            <w:r>
              <w:rPr>
                <w:rFonts w:ascii="Arial" w:hAnsi="Arial"/>
                <w:b/>
                <w:color w:val="FFFFFF"/>
                <w:sz w:val="17"/>
              </w:rPr>
              <w:t>Penyebab</w:t>
            </w:r>
          </w:p>
        </w:tc>
        <w:tc>
          <w:tcPr>
            <w:tcW w:type="dxa" w:w="1661"/>
            <w:shd w:val="clear" w:color="auto" w:fill="2251FF"/>
            <w:vAlign w:val="center"/>
          </w:tcPr>
          <w:p>
            <w:pPr>
              <w:spacing w:after="20" w:before="20" w:line="252" w:lineRule="auto"/>
            </w:pPr>
            <w:r/>
            <w:r>
              <w:rPr>
                <w:rFonts w:ascii="Arial" w:hAnsi="Arial"/>
                <w:b/>
                <w:color w:val="FFFFFF"/>
                <w:sz w:val="17"/>
              </w:rPr>
              <w:t>Pendapatan</w:t>
            </w:r>
          </w:p>
        </w:tc>
        <w:tc>
          <w:tcPr>
            <w:tcW w:type="dxa" w:w="1661"/>
            <w:shd w:val="clear" w:color="auto" w:fill="2251FF"/>
            <w:vAlign w:val="center"/>
          </w:tcPr>
          <w:p>
            <w:pPr>
              <w:spacing w:after="20" w:before="20" w:line="252" w:lineRule="auto"/>
            </w:pPr>
            <w:r/>
            <w:r>
              <w:rPr>
                <w:rFonts w:ascii="Arial" w:hAnsi="Arial"/>
                <w:b/>
                <w:color w:val="FFFFFF"/>
                <w:sz w:val="17"/>
              </w:rPr>
              <w:t>Anggaran</w:t>
            </w:r>
          </w:p>
        </w:tc>
        <w:tc>
          <w:tcPr>
            <w:tcW w:type="dxa" w:w="2030"/>
            <w:shd w:val="clear" w:color="auto" w:fill="2251FF"/>
            <w:vAlign w:val="center"/>
          </w:tcPr>
          <w:p>
            <w:pPr>
              <w:spacing w:after="20" w:before="20" w:line="252" w:lineRule="auto"/>
            </w:pPr>
            <w:r/>
            <w:r>
              <w:rPr>
                <w:rFonts w:ascii="Arial" w:hAnsi="Arial"/>
                <w:b/>
                <w:color w:val="FFFFFF"/>
                <w:sz w:val="17"/>
              </w:rPr>
              <w:t>Instrumen</w:t>
            </w:r>
          </w:p>
        </w:tc>
      </w:tr>
      <w:tr>
        <w:trPr>
          <w:cantSplit/>
        </w:trPr>
        <w:tc>
          <w:tcPr>
            <w:tcW w:type="dxa" w:w="1661"/>
            <w:vAlign w:val="center"/>
          </w:tcPr>
          <w:p>
            <w:pPr>
              <w:spacing w:after="20" w:before="20" w:line="252" w:lineRule="auto"/>
            </w:pPr>
            <w:r/>
            <w:r>
              <w:rPr>
                <w:rFonts w:ascii="Arial" w:hAnsi="Arial"/>
                <w:b/>
                <w:sz w:val="17"/>
              </w:rPr>
              <w:t>Variation order (VO)</w:t>
            </w:r>
          </w:p>
        </w:tc>
        <w:tc>
          <w:tcPr>
            <w:tcW w:type="dxa" w:w="2399"/>
            <w:vAlign w:val="center"/>
          </w:tcPr>
          <w:p>
            <w:pPr>
              <w:spacing w:after="20" w:before="20" w:line="252" w:lineRule="auto"/>
            </w:pPr>
            <w:r/>
            <w:r>
              <w:rPr>
                <w:rFonts w:ascii="Arial" w:hAnsi="Arial"/>
                <w:b w:val="0"/>
                <w:sz w:val="17"/>
              </w:rPr>
              <w:t>Perubahan lingkup oleh pemberi kerja</w:t>
            </w:r>
          </w:p>
        </w:tc>
        <w:tc>
          <w:tcPr>
            <w:tcW w:type="dxa" w:w="1661"/>
            <w:vAlign w:val="center"/>
          </w:tcPr>
          <w:p>
            <w:pPr>
              <w:spacing w:after="20" w:before="20" w:line="252" w:lineRule="auto"/>
            </w:pPr>
            <w:r/>
            <w:r>
              <w:rPr>
                <w:rFonts w:ascii="Arial" w:hAnsi="Arial"/>
                <w:b w:val="0"/>
                <w:sz w:val="17"/>
              </w:rPr>
              <w:t>Naik setelah disetujui</w:t>
            </w:r>
          </w:p>
        </w:tc>
        <w:tc>
          <w:tcPr>
            <w:tcW w:type="dxa" w:w="1661"/>
            <w:vAlign w:val="center"/>
          </w:tcPr>
          <w:p>
            <w:pPr>
              <w:spacing w:after="20" w:before="20" w:line="252" w:lineRule="auto"/>
            </w:pPr>
            <w:r/>
            <w:r>
              <w:rPr>
                <w:rFonts w:ascii="Arial" w:hAnsi="Arial"/>
                <w:b w:val="0"/>
                <w:sz w:val="17"/>
              </w:rPr>
              <w:t>Naik</w:t>
            </w:r>
          </w:p>
        </w:tc>
        <w:tc>
          <w:tcPr>
            <w:tcW w:type="dxa" w:w="2030"/>
            <w:vAlign w:val="center"/>
          </w:tcPr>
          <w:p>
            <w:pPr>
              <w:spacing w:after="20" w:before="20" w:line="252" w:lineRule="auto"/>
            </w:pPr>
            <w:r/>
            <w:r>
              <w:rPr>
                <w:rFonts w:ascii="Arial" w:hAnsi="Arial"/>
                <w:b w:val="0"/>
                <w:sz w:val="17"/>
              </w:rPr>
              <w:t>Permintaan perubahan, persetujuan formal</w:t>
            </w:r>
          </w:p>
        </w:tc>
      </w:tr>
      <w:tr>
        <w:trPr>
          <w:cantSplit/>
        </w:trPr>
        <w:tc>
          <w:tcPr>
            <w:tcW w:type="dxa" w:w="1661"/>
            <w:shd w:val="clear" w:color="auto" w:fill="E6ECFD"/>
            <w:vAlign w:val="center"/>
          </w:tcPr>
          <w:p>
            <w:pPr>
              <w:spacing w:after="20" w:before="20" w:line="252" w:lineRule="auto"/>
            </w:pPr>
            <w:r/>
            <w:r>
              <w:rPr>
                <w:rFonts w:ascii="Arial" w:hAnsi="Arial"/>
                <w:b/>
                <w:sz w:val="17"/>
              </w:rPr>
              <w:t>Tren internal</w:t>
            </w:r>
          </w:p>
        </w:tc>
        <w:tc>
          <w:tcPr>
            <w:tcW w:type="dxa" w:w="2399"/>
            <w:shd w:val="clear" w:color="auto" w:fill="E6ECFD"/>
            <w:vAlign w:val="center"/>
          </w:tcPr>
          <w:p>
            <w:pPr>
              <w:spacing w:after="20" w:before="20" w:line="252" w:lineRule="auto"/>
            </w:pPr>
            <w:r/>
            <w:r>
              <w:rPr>
                <w:rFonts w:ascii="Arial" w:hAnsi="Arial"/>
                <w:b w:val="0"/>
                <w:sz w:val="17"/>
              </w:rPr>
              <w:t>Pertumbuhan kuantitas, produktivitas, harga</w:t>
            </w:r>
          </w:p>
        </w:tc>
        <w:tc>
          <w:tcPr>
            <w:tcW w:type="dxa" w:w="1661"/>
            <w:shd w:val="clear" w:color="auto" w:fill="E6ECFD"/>
            <w:vAlign w:val="center"/>
          </w:tcPr>
          <w:p>
            <w:pPr>
              <w:spacing w:after="20" w:before="20" w:line="252" w:lineRule="auto"/>
            </w:pPr>
            <w:r/>
            <w:r>
              <w:rPr>
                <w:rFonts w:ascii="Arial" w:hAnsi="Arial"/>
                <w:b w:val="0"/>
                <w:sz w:val="17"/>
              </w:rPr>
              <w:t>Tidak berubah</w:t>
            </w:r>
          </w:p>
        </w:tc>
        <w:tc>
          <w:tcPr>
            <w:tcW w:type="dxa" w:w="1661"/>
            <w:shd w:val="clear" w:color="auto" w:fill="E6ECFD"/>
            <w:vAlign w:val="center"/>
          </w:tcPr>
          <w:p>
            <w:pPr>
              <w:spacing w:after="20" w:before="20" w:line="252" w:lineRule="auto"/>
            </w:pPr>
            <w:r/>
            <w:r>
              <w:rPr>
                <w:rFonts w:ascii="Arial" w:hAnsi="Arial"/>
                <w:b w:val="0"/>
                <w:sz w:val="17"/>
              </w:rPr>
              <w:t>Ditutup lewat kontingensi atau transfer</w:t>
            </w:r>
          </w:p>
        </w:tc>
        <w:tc>
          <w:tcPr>
            <w:tcW w:type="dxa" w:w="2030"/>
            <w:shd w:val="clear" w:color="auto" w:fill="E6ECFD"/>
            <w:vAlign w:val="center"/>
          </w:tcPr>
          <w:p>
            <w:pPr>
              <w:spacing w:after="20" w:before="20" w:line="252" w:lineRule="auto"/>
            </w:pPr>
            <w:r/>
            <w:r>
              <w:rPr>
                <w:rFonts w:ascii="Arial" w:hAnsi="Arial"/>
                <w:b w:val="0"/>
                <w:sz w:val="17"/>
              </w:rPr>
              <w:t>Register tren, log kontingensi</w:t>
            </w:r>
          </w:p>
        </w:tc>
      </w:tr>
      <w:tr>
        <w:trPr>
          <w:cantSplit/>
        </w:trPr>
        <w:tc>
          <w:tcPr>
            <w:tcW w:type="dxa" w:w="1661"/>
            <w:vAlign w:val="center"/>
          </w:tcPr>
          <w:p>
            <w:pPr>
              <w:spacing w:after="20" w:before="20" w:line="252" w:lineRule="auto"/>
            </w:pPr>
            <w:r/>
            <w:r>
              <w:rPr>
                <w:rFonts w:ascii="Arial" w:hAnsi="Arial"/>
                <w:b/>
                <w:sz w:val="17"/>
              </w:rPr>
              <w:t>Klaim</w:t>
            </w:r>
          </w:p>
        </w:tc>
        <w:tc>
          <w:tcPr>
            <w:tcW w:type="dxa" w:w="2399"/>
            <w:vAlign w:val="center"/>
          </w:tcPr>
          <w:p>
            <w:pPr>
              <w:spacing w:after="20" w:before="20" w:line="252" w:lineRule="auto"/>
            </w:pPr>
            <w:r/>
            <w:r>
              <w:rPr>
                <w:rFonts w:ascii="Arial" w:hAnsi="Arial"/>
                <w:b w:val="0"/>
                <w:sz w:val="17"/>
              </w:rPr>
              <w:t>Biaya tambahan atau perpanjangan waktu yang disengketakan</w:t>
            </w:r>
          </w:p>
        </w:tc>
        <w:tc>
          <w:tcPr>
            <w:tcW w:type="dxa" w:w="1661"/>
            <w:vAlign w:val="center"/>
          </w:tcPr>
          <w:p>
            <w:pPr>
              <w:spacing w:after="20" w:before="20" w:line="252" w:lineRule="auto"/>
            </w:pPr>
            <w:r/>
            <w:r>
              <w:rPr>
                <w:rFonts w:ascii="Arial" w:hAnsi="Arial"/>
                <w:b w:val="0"/>
                <w:sz w:val="17"/>
              </w:rPr>
              <w:t>Menunggu penyelesaian</w:t>
            </w:r>
          </w:p>
        </w:tc>
        <w:tc>
          <w:tcPr>
            <w:tcW w:type="dxa" w:w="1661"/>
            <w:vAlign w:val="center"/>
          </w:tcPr>
          <w:p>
            <w:pPr>
              <w:spacing w:after="20" w:before="20" w:line="252" w:lineRule="auto"/>
            </w:pPr>
            <w:r/>
            <w:r>
              <w:rPr>
                <w:rFonts w:ascii="Arial" w:hAnsi="Arial"/>
                <w:b w:val="0"/>
                <w:sz w:val="17"/>
              </w:rPr>
              <w:t>Tidak dimasukkan sampai pasti</w:t>
            </w:r>
          </w:p>
        </w:tc>
        <w:tc>
          <w:tcPr>
            <w:tcW w:type="dxa" w:w="2030"/>
            <w:vAlign w:val="center"/>
          </w:tcPr>
          <w:p>
            <w:pPr>
              <w:spacing w:after="20" w:before="20" w:line="252" w:lineRule="auto"/>
            </w:pPr>
            <w:r/>
            <w:r>
              <w:rPr>
                <w:rFonts w:ascii="Arial" w:hAnsi="Arial"/>
                <w:b w:val="0"/>
                <w:sz w:val="17"/>
              </w:rPr>
              <w:t>Daftar klaim terpisah</w:t>
            </w:r>
          </w:p>
        </w:tc>
      </w:tr>
      <w:tr>
        <w:trPr>
          <w:cantSplit/>
        </w:trPr>
        <w:tc>
          <w:tcPr>
            <w:tcW w:type="dxa" w:w="1661"/>
            <w:shd w:val="clear" w:color="auto" w:fill="E6ECFD"/>
            <w:vAlign w:val="center"/>
          </w:tcPr>
          <w:p>
            <w:pPr>
              <w:spacing w:after="20" w:before="20" w:line="252" w:lineRule="auto"/>
            </w:pPr>
            <w:r/>
            <w:r>
              <w:rPr>
                <w:rFonts w:ascii="Arial" w:hAnsi="Arial"/>
                <w:b/>
                <w:sz w:val="17"/>
              </w:rPr>
              <w:t>Penghematan</w:t>
            </w:r>
          </w:p>
        </w:tc>
        <w:tc>
          <w:tcPr>
            <w:tcW w:type="dxa" w:w="2399"/>
            <w:shd w:val="clear" w:color="auto" w:fill="E6ECFD"/>
            <w:vAlign w:val="center"/>
          </w:tcPr>
          <w:p>
            <w:pPr>
              <w:spacing w:after="20" w:before="20" w:line="252" w:lineRule="auto"/>
            </w:pPr>
            <w:r/>
            <w:r>
              <w:rPr>
                <w:rFonts w:ascii="Arial" w:hAnsi="Arial"/>
                <w:b w:val="0"/>
                <w:sz w:val="17"/>
              </w:rPr>
              <w:t>Efisiensi atau substitusi pemasok</w:t>
            </w:r>
          </w:p>
        </w:tc>
        <w:tc>
          <w:tcPr>
            <w:tcW w:type="dxa" w:w="1661"/>
            <w:shd w:val="clear" w:color="auto" w:fill="E6ECFD"/>
            <w:vAlign w:val="center"/>
          </w:tcPr>
          <w:p>
            <w:pPr>
              <w:spacing w:after="20" w:before="20" w:line="252" w:lineRule="auto"/>
            </w:pPr>
            <w:r/>
            <w:r>
              <w:rPr>
                <w:rFonts w:ascii="Arial" w:hAnsi="Arial"/>
                <w:b w:val="0"/>
                <w:sz w:val="17"/>
              </w:rPr>
              <w:t>—</w:t>
            </w:r>
          </w:p>
        </w:tc>
        <w:tc>
          <w:tcPr>
            <w:tcW w:type="dxa" w:w="1661"/>
            <w:shd w:val="clear" w:color="auto" w:fill="E6ECFD"/>
            <w:vAlign w:val="center"/>
          </w:tcPr>
          <w:p>
            <w:pPr>
              <w:spacing w:after="20" w:before="20" w:line="252" w:lineRule="auto"/>
            </w:pPr>
            <w:r/>
            <w:r>
              <w:rPr>
                <w:rFonts w:ascii="Arial" w:hAnsi="Arial"/>
                <w:b w:val="0"/>
                <w:sz w:val="17"/>
              </w:rPr>
              <w:t>Turun; kembali ke margin</w:t>
            </w:r>
          </w:p>
        </w:tc>
        <w:tc>
          <w:tcPr>
            <w:tcW w:type="dxa" w:w="2030"/>
            <w:shd w:val="clear" w:color="auto" w:fill="E6ECFD"/>
            <w:vAlign w:val="center"/>
          </w:tcPr>
          <w:p>
            <w:pPr>
              <w:spacing w:after="20" w:before="20" w:line="252" w:lineRule="auto"/>
            </w:pPr>
            <w:r/>
            <w:r>
              <w:rPr>
                <w:rFonts w:ascii="Arial" w:hAnsi="Arial"/>
                <w:b w:val="0"/>
                <w:sz w:val="17"/>
              </w:rPr>
              <w:t>Catatan pengurangan risiko</w:t>
            </w:r>
          </w:p>
        </w:tc>
      </w:tr>
    </w:tbl>
    <w:p>
      <w:pPr>
        <w:spacing w:after="160"/>
      </w:pPr>
      <w:r>
        <w:rPr>
          <w:rFonts w:ascii="Arial" w:hAnsi="Arial"/>
          <w:b w:val="0"/>
          <w:i/>
          <w:color w:val="051C5C"/>
          <w:sz w:val="17"/>
        </w:rPr>
        <w:t>Sumber: [EPC, §6–§7].</w:t>
      </w:r>
    </w:p>
    <w:p>
      <w:pPr>
        <w:pStyle w:val="Heading2"/>
      </w:pPr>
      <w:r>
        <w:t>6.7  Enam cara proyek EPC kehilangan kendali</w:t>
      </w:r>
    </w:p>
    <w:p>
      <w:pPr>
        <w:pStyle w:val="ListNumber"/>
        <w:spacing w:after="40"/>
      </w:pPr>
      <w:r>
        <w:rPr>
          <w:rFonts w:ascii="Arial" w:hAnsi="Arial"/>
          <w:b w:val="0"/>
        </w:rPr>
        <w:t>Estimasi diberi kode berbeda dari anggaran kendali sehingga tidak dapat dibandingkan.</w:t>
      </w:r>
    </w:p>
    <w:p>
      <w:pPr>
        <w:pStyle w:val="ListNumber"/>
        <w:spacing w:after="40"/>
      </w:pPr>
      <w:r>
        <w:rPr>
          <w:rFonts w:ascii="Arial" w:hAnsi="Arial"/>
          <w:b w:val="0"/>
        </w:rPr>
        <w:t>Hanya biaya aktual yang dilacak, bukan komitmen, sehingga pembengkakan baru tampak terlambat.</w:t>
      </w:r>
    </w:p>
    <w:p>
      <w:pPr>
        <w:pStyle w:val="ListNumber"/>
        <w:spacing w:after="40"/>
      </w:pPr>
      <w:r>
        <w:rPr>
          <w:rFonts w:ascii="Arial" w:hAnsi="Arial"/>
          <w:b w:val="0"/>
        </w:rPr>
        <w:t>PO diterbitkan setelah pekerjaan dimulai, melewati pemeriksaan anggaran.</w:t>
      </w:r>
    </w:p>
    <w:p>
      <w:pPr>
        <w:pStyle w:val="ListNumber"/>
        <w:spacing w:after="40"/>
      </w:pPr>
      <w:r>
        <w:rPr>
          <w:rFonts w:ascii="Arial" w:hAnsi="Arial"/>
          <w:b w:val="0"/>
        </w:rPr>
        <w:t>Perubahan tidak disetujui formal; pekerjaan sudah dilakukan tetapi tidak dapat ditagih.</w:t>
      </w:r>
    </w:p>
    <w:p>
      <w:pPr>
        <w:pStyle w:val="ListNumber"/>
        <w:spacing w:after="40"/>
      </w:pPr>
      <w:r>
        <w:rPr>
          <w:rFonts w:ascii="Arial" w:hAnsi="Arial"/>
          <w:b w:val="0"/>
        </w:rPr>
        <w:t>Pengukuran kemajuan subjektif menggelembungkan EV dan menyembunyikan masalah CPI.</w:t>
      </w:r>
    </w:p>
    <w:p>
      <w:pPr>
        <w:pStyle w:val="ListNumber"/>
        <w:spacing w:after="120"/>
      </w:pPr>
      <w:r>
        <w:rPr>
          <w:rFonts w:ascii="Arial" w:hAnsi="Arial"/>
          <w:b w:val="0"/>
        </w:rPr>
        <w:t>Syarat penagihan dan pembayaran tidak selaras sehingga proyek menjadi kas negatif.</w:t>
      </w:r>
    </w:p>
    <w:p>
      <w:pPr>
        <w:jc w:val="both"/>
      </w:pPr>
      <w:r>
        <w:rPr>
          <w:rFonts w:ascii="Arial" w:hAnsi="Arial"/>
          <w:b w:val="0"/>
        </w:rPr>
        <w:t>Keenam titik ini sejalan dengan akar masalah BUMN Karya yang tercatat dalam dokumen platform, terutama piutang yang terlambat, risiko EPC yang diserap kontraktor, dan insentif yang mengukur penyelesaian proyek, bukan profitabilitas [PLAT, hlm. 3]. Karena itu penguatan kendali biaya pada proyek adalah bagian dari reformasi BUMN Karya, bukan pekerjaan teknis semata.</w:t>
      </w:r>
    </w:p>
    <w:p>
      <w:r>
        <w:br w:type="page"/>
      </w:r>
    </w:p>
    <w:p>
      <w:pPr>
        <w:pStyle w:val="Heading1"/>
      </w:pPr>
      <w:r>
        <w:t>7  Manajemen risiko</w:t>
      </w:r>
    </w:p>
    <w:p>
      <w:pPr>
        <w:pStyle w:val="Heading2"/>
      </w:pPr>
      <w:r>
        <w:t>7.1  Konsep dan proses</w:t>
      </w:r>
    </w:p>
    <w:p>
      <w:pPr>
        <w:jc w:val="both"/>
      </w:pPr>
      <w:r>
        <w:rPr>
          <w:rFonts w:ascii="Arial" w:hAnsi="Arial"/>
          <w:b w:val="0"/>
        </w:rPr>
        <w:t>ISO 31000:2018 mendefinisikan risiko sebagai efek ketidakpastian terhadap tujuan. Risiko dapat negatif (ancaman) maupun positif (peluang). Proses manajemen risiko proyek mengikuti urutan: merencanakan pendekatan, mengidentifikasi risiko, menganalisis secara kualitatif, menganalisis secara kuantitatif bila perlu, merencanakan respons, melaksanakan respons, dan memantau (PMI, 2021). Dalam proyek besar, tiga hal sering diabaikan: korelasi antarrisiko, bias optimisme pada estimasi, dan keterkaitan risiko proyek dengan risiko neraca induk.</w:t>
      </w:r>
    </w:p>
    <w:p>
      <w:pPr>
        <w:keepNext/>
        <w:spacing w:after="60"/>
      </w:pPr>
      <w:r>
        <w:rPr>
          <w:rFonts w:ascii="Arial" w:hAnsi="Arial"/>
          <w:b/>
          <w:color w:val="051C5C"/>
          <w:sz w:val="19"/>
        </w:rPr>
        <w:t xml:space="preserve">Tabel 22: </w:t>
      </w:r>
      <w:r>
        <w:rPr>
          <w:rFonts w:ascii="Arial" w:hAnsi="Arial"/>
          <w:color w:val="051C5C"/>
          <w:sz w:val="19"/>
        </w:rPr>
        <w:t>Proses risiko dan keluarannya</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1602"/>
            <w:shd w:val="clear" w:color="auto" w:fill="2251FF"/>
            <w:vAlign w:val="center"/>
          </w:tcPr>
          <w:p>
            <w:pPr>
              <w:spacing w:after="20" w:before="20" w:line="252" w:lineRule="auto"/>
            </w:pPr>
            <w:r/>
            <w:r>
              <w:rPr>
                <w:rFonts w:ascii="Arial" w:hAnsi="Arial"/>
                <w:b/>
                <w:color w:val="FFFFFF"/>
                <w:sz w:val="17"/>
              </w:rPr>
              <w:t>Langkah</w:t>
            </w:r>
          </w:p>
        </w:tc>
        <w:tc>
          <w:tcPr>
            <w:tcW w:type="dxa" w:w="5006"/>
            <w:shd w:val="clear" w:color="auto" w:fill="2251FF"/>
            <w:vAlign w:val="center"/>
          </w:tcPr>
          <w:p>
            <w:pPr>
              <w:spacing w:after="20" w:before="20" w:line="252" w:lineRule="auto"/>
            </w:pPr>
            <w:r/>
            <w:r>
              <w:rPr>
                <w:rFonts w:ascii="Arial" w:hAnsi="Arial"/>
                <w:b/>
                <w:color w:val="FFFFFF"/>
                <w:sz w:val="17"/>
              </w:rPr>
              <w:t>Isi</w:t>
            </w:r>
          </w:p>
        </w:tc>
        <w:tc>
          <w:tcPr>
            <w:tcW w:type="dxa" w:w="2803"/>
            <w:shd w:val="clear" w:color="auto" w:fill="2251FF"/>
            <w:vAlign w:val="center"/>
          </w:tcPr>
          <w:p>
            <w:pPr>
              <w:spacing w:after="20" w:before="20" w:line="252" w:lineRule="auto"/>
            </w:pPr>
            <w:r/>
            <w:r>
              <w:rPr>
                <w:rFonts w:ascii="Arial" w:hAnsi="Arial"/>
                <w:b/>
                <w:color w:val="FFFFFF"/>
                <w:sz w:val="17"/>
              </w:rPr>
              <w:t>Keluaran</w:t>
            </w:r>
          </w:p>
        </w:tc>
      </w:tr>
      <w:tr>
        <w:trPr>
          <w:cantSplit/>
        </w:trPr>
        <w:tc>
          <w:tcPr>
            <w:tcW w:type="dxa" w:w="1602"/>
            <w:vAlign w:val="center"/>
          </w:tcPr>
          <w:p>
            <w:pPr>
              <w:spacing w:after="20" w:before="20" w:line="252" w:lineRule="auto"/>
            </w:pPr>
            <w:r/>
            <w:r>
              <w:rPr>
                <w:rFonts w:ascii="Arial" w:hAnsi="Arial"/>
                <w:b/>
                <w:sz w:val="17"/>
              </w:rPr>
              <w:t>Identifikasi</w:t>
            </w:r>
          </w:p>
        </w:tc>
        <w:tc>
          <w:tcPr>
            <w:tcW w:type="dxa" w:w="5006"/>
            <w:vAlign w:val="center"/>
          </w:tcPr>
          <w:p>
            <w:pPr>
              <w:spacing w:after="20" w:before="20" w:line="252" w:lineRule="auto"/>
            </w:pPr>
            <w:r/>
            <w:r>
              <w:rPr>
                <w:rFonts w:ascii="Arial" w:hAnsi="Arial"/>
                <w:b w:val="0"/>
                <w:sz w:val="17"/>
              </w:rPr>
              <w:t>Lokakarya, daftar periksa, pengalaman proyek serupa, analisis asumsi, wawancara ahli</w:t>
            </w:r>
          </w:p>
        </w:tc>
        <w:tc>
          <w:tcPr>
            <w:tcW w:type="dxa" w:w="2803"/>
            <w:vAlign w:val="center"/>
          </w:tcPr>
          <w:p>
            <w:pPr>
              <w:spacing w:after="20" w:before="20" w:line="252" w:lineRule="auto"/>
            </w:pPr>
            <w:r/>
            <w:r>
              <w:rPr>
                <w:rFonts w:ascii="Arial" w:hAnsi="Arial"/>
                <w:b w:val="0"/>
                <w:sz w:val="17"/>
              </w:rPr>
              <w:t>Register risiko awal dengan pemilik</w:t>
            </w:r>
          </w:p>
        </w:tc>
      </w:tr>
      <w:tr>
        <w:trPr>
          <w:cantSplit/>
        </w:trPr>
        <w:tc>
          <w:tcPr>
            <w:tcW w:type="dxa" w:w="1602"/>
            <w:shd w:val="clear" w:color="auto" w:fill="E6ECFD"/>
            <w:vAlign w:val="center"/>
          </w:tcPr>
          <w:p>
            <w:pPr>
              <w:spacing w:after="20" w:before="20" w:line="252" w:lineRule="auto"/>
            </w:pPr>
            <w:r/>
            <w:r>
              <w:rPr>
                <w:rFonts w:ascii="Arial" w:hAnsi="Arial"/>
                <w:b/>
                <w:sz w:val="17"/>
              </w:rPr>
              <w:t>Analisis kualitatif</w:t>
            </w:r>
          </w:p>
        </w:tc>
        <w:tc>
          <w:tcPr>
            <w:tcW w:type="dxa" w:w="5006"/>
            <w:shd w:val="clear" w:color="auto" w:fill="E6ECFD"/>
            <w:vAlign w:val="center"/>
          </w:tcPr>
          <w:p>
            <w:pPr>
              <w:spacing w:after="20" w:before="20" w:line="252" w:lineRule="auto"/>
            </w:pPr>
            <w:r/>
            <w:r>
              <w:rPr>
                <w:rFonts w:ascii="Arial" w:hAnsi="Arial"/>
                <w:b w:val="0"/>
                <w:sz w:val="17"/>
              </w:rPr>
              <w:t>Probabilitas dan dampak pada biaya, jadwal, mutu, reputasi, keselamatan; kedekatan waktu</w:t>
            </w:r>
          </w:p>
        </w:tc>
        <w:tc>
          <w:tcPr>
            <w:tcW w:type="dxa" w:w="2803"/>
            <w:shd w:val="clear" w:color="auto" w:fill="E6ECFD"/>
            <w:vAlign w:val="center"/>
          </w:tcPr>
          <w:p>
            <w:pPr>
              <w:spacing w:after="20" w:before="20" w:line="252" w:lineRule="auto"/>
            </w:pPr>
            <w:r/>
            <w:r>
              <w:rPr>
                <w:rFonts w:ascii="Arial" w:hAnsi="Arial"/>
                <w:b w:val="0"/>
                <w:sz w:val="17"/>
              </w:rPr>
              <w:t>Peringkat risiko; peta panas</w:t>
            </w:r>
          </w:p>
        </w:tc>
      </w:tr>
      <w:tr>
        <w:trPr>
          <w:cantSplit/>
        </w:trPr>
        <w:tc>
          <w:tcPr>
            <w:tcW w:type="dxa" w:w="1602"/>
            <w:vAlign w:val="center"/>
          </w:tcPr>
          <w:p>
            <w:pPr>
              <w:spacing w:after="20" w:before="20" w:line="252" w:lineRule="auto"/>
            </w:pPr>
            <w:r/>
            <w:r>
              <w:rPr>
                <w:rFonts w:ascii="Arial" w:hAnsi="Arial"/>
                <w:b/>
                <w:sz w:val="17"/>
              </w:rPr>
              <w:t>Analisis kuantitatif</w:t>
            </w:r>
          </w:p>
        </w:tc>
        <w:tc>
          <w:tcPr>
            <w:tcW w:type="dxa" w:w="5006"/>
            <w:vAlign w:val="center"/>
          </w:tcPr>
          <w:p>
            <w:pPr>
              <w:spacing w:after="20" w:before="20" w:line="252" w:lineRule="auto"/>
            </w:pPr>
            <w:r/>
            <w:r>
              <w:rPr>
                <w:rFonts w:ascii="Arial" w:hAnsi="Arial"/>
                <w:b w:val="0"/>
                <w:sz w:val="17"/>
              </w:rPr>
              <w:t>Nilai moneter harapan (EMV), analisis sensitivitas, simulasi Monte Carlo biaya dan jadwal</w:t>
            </w:r>
          </w:p>
        </w:tc>
        <w:tc>
          <w:tcPr>
            <w:tcW w:type="dxa" w:w="2803"/>
            <w:vAlign w:val="center"/>
          </w:tcPr>
          <w:p>
            <w:pPr>
              <w:spacing w:after="20" w:before="20" w:line="252" w:lineRule="auto"/>
            </w:pPr>
            <w:r/>
            <w:r>
              <w:rPr>
                <w:rFonts w:ascii="Arial" w:hAnsi="Arial"/>
                <w:b w:val="0"/>
                <w:sz w:val="17"/>
              </w:rPr>
              <w:t>Distribusi biaya dan tanggal; kontingensi P50/P80</w:t>
            </w:r>
          </w:p>
        </w:tc>
      </w:tr>
      <w:tr>
        <w:trPr>
          <w:cantSplit/>
        </w:trPr>
        <w:tc>
          <w:tcPr>
            <w:tcW w:type="dxa" w:w="1602"/>
            <w:shd w:val="clear" w:color="auto" w:fill="E6ECFD"/>
            <w:vAlign w:val="center"/>
          </w:tcPr>
          <w:p>
            <w:pPr>
              <w:spacing w:after="20" w:before="20" w:line="252" w:lineRule="auto"/>
            </w:pPr>
            <w:r/>
            <w:r>
              <w:rPr>
                <w:rFonts w:ascii="Arial" w:hAnsi="Arial"/>
                <w:b/>
                <w:sz w:val="17"/>
              </w:rPr>
              <w:t>Respons</w:t>
            </w:r>
          </w:p>
        </w:tc>
        <w:tc>
          <w:tcPr>
            <w:tcW w:type="dxa" w:w="5006"/>
            <w:shd w:val="clear" w:color="auto" w:fill="E6ECFD"/>
            <w:vAlign w:val="center"/>
          </w:tcPr>
          <w:p>
            <w:pPr>
              <w:spacing w:after="20" w:before="20" w:line="252" w:lineRule="auto"/>
            </w:pPr>
            <w:r/>
            <w:r>
              <w:rPr>
                <w:rFonts w:ascii="Arial" w:hAnsi="Arial"/>
                <w:b w:val="0"/>
                <w:sz w:val="17"/>
              </w:rPr>
              <w:t>Hindari, transfer (kontrak, asuransi), mitigasi, terima, manfaatkan (untuk peluang), eskalasi</w:t>
            </w:r>
          </w:p>
        </w:tc>
        <w:tc>
          <w:tcPr>
            <w:tcW w:type="dxa" w:w="2803"/>
            <w:shd w:val="clear" w:color="auto" w:fill="E6ECFD"/>
            <w:vAlign w:val="center"/>
          </w:tcPr>
          <w:p>
            <w:pPr>
              <w:spacing w:after="20" w:before="20" w:line="252" w:lineRule="auto"/>
            </w:pPr>
            <w:r/>
            <w:r>
              <w:rPr>
                <w:rFonts w:ascii="Arial" w:hAnsi="Arial"/>
                <w:b w:val="0"/>
                <w:sz w:val="17"/>
              </w:rPr>
              <w:t>Rencana respons, pemilik, tenggat, risiko residual</w:t>
            </w:r>
          </w:p>
        </w:tc>
      </w:tr>
      <w:tr>
        <w:trPr>
          <w:cantSplit/>
        </w:trPr>
        <w:tc>
          <w:tcPr>
            <w:tcW w:type="dxa" w:w="1602"/>
            <w:vAlign w:val="center"/>
          </w:tcPr>
          <w:p>
            <w:pPr>
              <w:spacing w:after="20" w:before="20" w:line="252" w:lineRule="auto"/>
            </w:pPr>
            <w:r/>
            <w:r>
              <w:rPr>
                <w:rFonts w:ascii="Arial" w:hAnsi="Arial"/>
                <w:b/>
                <w:sz w:val="17"/>
              </w:rPr>
              <w:t>Pemantauan</w:t>
            </w:r>
          </w:p>
        </w:tc>
        <w:tc>
          <w:tcPr>
            <w:tcW w:type="dxa" w:w="5006"/>
            <w:vAlign w:val="center"/>
          </w:tcPr>
          <w:p>
            <w:pPr>
              <w:spacing w:after="20" w:before="20" w:line="252" w:lineRule="auto"/>
            </w:pPr>
            <w:r/>
            <w:r>
              <w:rPr>
                <w:rFonts w:ascii="Arial" w:hAnsi="Arial"/>
                <w:b w:val="0"/>
                <w:sz w:val="17"/>
              </w:rPr>
              <w:t>Tinjauan berkala, indikator dini, audit risiko, penarikan kontingensi</w:t>
            </w:r>
          </w:p>
        </w:tc>
        <w:tc>
          <w:tcPr>
            <w:tcW w:type="dxa" w:w="2803"/>
            <w:vAlign w:val="center"/>
          </w:tcPr>
          <w:p>
            <w:pPr>
              <w:spacing w:after="20" w:before="20" w:line="252" w:lineRule="auto"/>
            </w:pPr>
            <w:r/>
            <w:r>
              <w:rPr>
                <w:rFonts w:ascii="Arial" w:hAnsi="Arial"/>
                <w:b w:val="0"/>
                <w:sz w:val="17"/>
              </w:rPr>
              <w:t>Register diperbarui; laporan risiko</w:t>
            </w:r>
          </w:p>
        </w:tc>
      </w:tr>
    </w:tbl>
    <w:p>
      <w:pPr>
        <w:spacing w:after="160"/>
      </w:pPr>
      <w:r>
        <w:rPr>
          <w:rFonts w:ascii="Arial" w:hAnsi="Arial"/>
          <w:b w:val="0"/>
          <w:i/>
          <w:color w:val="051C5C"/>
          <w:sz w:val="17"/>
        </w:rPr>
        <w:t>Sumber: ISO 31000:2018; PMI (2021).</w:t>
      </w:r>
    </w:p>
    <w:p>
      <w:pPr>
        <w:pStyle w:val="Heading2"/>
      </w:pPr>
      <w:r>
        <w:t>7.2  Register risiko yang berguna</w:t>
      </w:r>
    </w:p>
    <w:p>
      <w:pPr>
        <w:jc w:val="both"/>
      </w:pPr>
      <w:r>
        <w:rPr>
          <w:rFonts w:ascii="Arial" w:hAnsi="Arial"/>
          <w:b w:val="0"/>
        </w:rPr>
        <w:t>Register risiko yang baik bukan daftar kekhawatiran; ia adalah alat keputusan. Setiap entri memuat penyebab, peristiwa, dan akibat; probabilitas dan dampak; pemilik tunggal; respons dan tenggat; indikator pemicu; risiko residual; dan kaitan dengan kontingensi. Pengamatan penting dari dokumen Danantara: register risiko PALCapital memuat enam butir yang sepenuhnya teknis, hukum, dan finansial (kebocoran data rahasia, eksploitasi kontrak pintar, kegagalan pasokan, ketidakpercayaan investor, penundaan regulasi, konsentrasi investor), sedangkan risiko khas proyek konstruksi, seperti keterlambatan siklus pembangunan 60–96 bulan, pembengkakan biaya, keterlambatan pembayaran Kemhan, risiko kurs, dan ketergantungan impor 75%, tidak ada pada register tersebut [PAL, hlm. 2, 14]. Dokumen itu juga menyatakan bahwa "semua vektor risiko tertutup", pernyataan yang menggambarkan penilaian sendiri, bukan hasil uji independen.</w:t>
      </w:r>
    </w:p>
    <w:p>
      <w:pPr>
        <w:pStyle w:val="Heading2"/>
      </w:pPr>
      <w:r>
        <w:t>7.3  Analisis kuantitatif</w:t>
      </w:r>
    </w:p>
    <w:p>
      <w:pPr>
        <w:jc w:val="both"/>
      </w:pPr>
      <w:r>
        <w:rPr>
          <w:rFonts w:ascii="Arial" w:hAnsi="Arial"/>
          <w:b w:val="0"/>
        </w:rPr>
        <w:t>Nilai moneter harapan menggabungkan probabilitas dan dampak. Contoh ilustratif berikut menunjukkan bahwa risiko berpeluang kecil tetapi berdampak besar dapat setara bobotnya dengan risiko yang sering tetapi ringan, dan bahwa jumlah EMV memberi dasar awal kontingensi.</w:t>
      </w:r>
    </w:p>
    <w:p>
      <w:pPr>
        <w:keepNext/>
        <w:spacing w:after="60"/>
      </w:pPr>
      <w:r>
        <w:rPr>
          <w:rFonts w:ascii="Arial" w:hAnsi="Arial"/>
          <w:b/>
          <w:color w:val="051C5C"/>
          <w:sz w:val="19"/>
        </w:rPr>
        <w:t xml:space="preserve">Tabel 23: </w:t>
      </w:r>
      <w:r>
        <w:rPr>
          <w:rFonts w:ascii="Arial" w:hAnsi="Arial"/>
          <w:color w:val="051C5C"/>
          <w:sz w:val="19"/>
        </w:rPr>
        <w:t>Contoh EMV dan kontingensi (ilustratif)</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2353"/>
        <w:gridCol w:w="2353"/>
        <w:gridCol w:w="2353"/>
        <w:gridCol w:w="2353"/>
      </w:tblGrid>
      <w:tr>
        <w:trPr>
          <w:cantSplit/>
          <w:tblHeader/>
        </w:trPr>
        <w:tc>
          <w:tcPr>
            <w:tcW w:type="dxa" w:w="4509"/>
            <w:shd w:val="clear" w:color="auto" w:fill="2251FF"/>
            <w:vAlign w:val="center"/>
          </w:tcPr>
          <w:p>
            <w:pPr>
              <w:spacing w:after="20" w:before="20" w:line="252" w:lineRule="auto"/>
            </w:pPr>
            <w:r/>
            <w:r>
              <w:rPr>
                <w:rFonts w:ascii="Arial" w:hAnsi="Arial"/>
                <w:b/>
                <w:color w:val="FFFFFF"/>
                <w:sz w:val="17"/>
              </w:rPr>
              <w:t>Risiko</w:t>
            </w:r>
          </w:p>
        </w:tc>
        <w:tc>
          <w:tcPr>
            <w:tcW w:type="dxa" w:w="1372"/>
            <w:shd w:val="clear" w:color="auto" w:fill="2251FF"/>
            <w:vAlign w:val="center"/>
          </w:tcPr>
          <w:p>
            <w:pPr>
              <w:spacing w:after="20" w:before="20" w:line="252" w:lineRule="auto"/>
            </w:pPr>
            <w:r/>
            <w:r>
              <w:rPr>
                <w:rFonts w:ascii="Arial" w:hAnsi="Arial"/>
                <w:b/>
                <w:color w:val="FFFFFF"/>
                <w:sz w:val="17"/>
              </w:rPr>
              <w:t>Probabilitas</w:t>
            </w:r>
          </w:p>
        </w:tc>
        <w:tc>
          <w:tcPr>
            <w:tcW w:type="dxa" w:w="1765"/>
            <w:shd w:val="clear" w:color="auto" w:fill="2251FF"/>
            <w:vAlign w:val="center"/>
          </w:tcPr>
          <w:p>
            <w:pPr>
              <w:spacing w:after="20" w:before="20" w:line="252" w:lineRule="auto"/>
            </w:pPr>
            <w:r/>
            <w:r>
              <w:rPr>
                <w:rFonts w:ascii="Arial" w:hAnsi="Arial"/>
                <w:b/>
                <w:color w:val="FFFFFF"/>
                <w:sz w:val="17"/>
              </w:rPr>
              <w:t>Dampak (Rp miliar)</w:t>
            </w:r>
          </w:p>
        </w:tc>
        <w:tc>
          <w:tcPr>
            <w:tcW w:type="dxa" w:w="1765"/>
            <w:shd w:val="clear" w:color="auto" w:fill="2251FF"/>
            <w:vAlign w:val="center"/>
          </w:tcPr>
          <w:p>
            <w:pPr>
              <w:spacing w:after="20" w:before="20" w:line="252" w:lineRule="auto"/>
            </w:pPr>
            <w:r/>
            <w:r>
              <w:rPr>
                <w:rFonts w:ascii="Arial" w:hAnsi="Arial"/>
                <w:b/>
                <w:color w:val="FFFFFF"/>
                <w:sz w:val="17"/>
              </w:rPr>
              <w:t>EMV (Rp miliar)</w:t>
            </w:r>
          </w:p>
        </w:tc>
      </w:tr>
      <w:tr>
        <w:trPr>
          <w:cantSplit/>
        </w:trPr>
        <w:tc>
          <w:tcPr>
            <w:tcW w:type="dxa" w:w="4509"/>
            <w:vAlign w:val="center"/>
          </w:tcPr>
          <w:p>
            <w:pPr>
              <w:spacing w:after="20" w:before="20" w:line="252" w:lineRule="auto"/>
            </w:pPr>
            <w:r/>
            <w:r>
              <w:rPr>
                <w:rFonts w:ascii="Arial" w:hAnsi="Arial"/>
                <w:b/>
                <w:sz w:val="17"/>
              </w:rPr>
              <w:t>Keterlambatan item lead time panjang</w:t>
            </w:r>
          </w:p>
        </w:tc>
        <w:tc>
          <w:tcPr>
            <w:tcW w:type="dxa" w:w="1372"/>
            <w:vAlign w:val="center"/>
          </w:tcPr>
          <w:p>
            <w:pPr>
              <w:spacing w:after="20" w:before="20" w:line="252" w:lineRule="auto"/>
            </w:pPr>
            <w:r/>
            <w:r>
              <w:rPr>
                <w:rFonts w:ascii="Arial" w:hAnsi="Arial"/>
                <w:b w:val="0"/>
                <w:sz w:val="17"/>
              </w:rPr>
              <w:t>30%</w:t>
            </w:r>
          </w:p>
        </w:tc>
        <w:tc>
          <w:tcPr>
            <w:tcW w:type="dxa" w:w="1765"/>
            <w:vAlign w:val="center"/>
          </w:tcPr>
          <w:p>
            <w:pPr>
              <w:spacing w:after="20" w:before="20" w:line="252" w:lineRule="auto"/>
            </w:pPr>
            <w:r/>
            <w:r>
              <w:rPr>
                <w:rFonts w:ascii="Arial" w:hAnsi="Arial"/>
                <w:b w:val="0"/>
                <w:sz w:val="17"/>
              </w:rPr>
              <w:t>12,0</w:t>
            </w:r>
          </w:p>
        </w:tc>
        <w:tc>
          <w:tcPr>
            <w:tcW w:type="dxa" w:w="1765"/>
            <w:vAlign w:val="center"/>
          </w:tcPr>
          <w:p>
            <w:pPr>
              <w:spacing w:after="20" w:before="20" w:line="252" w:lineRule="auto"/>
            </w:pPr>
            <w:r/>
            <w:r>
              <w:rPr>
                <w:rFonts w:ascii="Arial" w:hAnsi="Arial"/>
                <w:b w:val="0"/>
                <w:sz w:val="17"/>
              </w:rPr>
              <w:t>3,6</w:t>
            </w:r>
          </w:p>
        </w:tc>
      </w:tr>
      <w:tr>
        <w:trPr>
          <w:cantSplit/>
        </w:trPr>
        <w:tc>
          <w:tcPr>
            <w:tcW w:type="dxa" w:w="4509"/>
            <w:shd w:val="clear" w:color="auto" w:fill="E6ECFD"/>
            <w:vAlign w:val="center"/>
          </w:tcPr>
          <w:p>
            <w:pPr>
              <w:spacing w:after="20" w:before="20" w:line="252" w:lineRule="auto"/>
            </w:pPr>
            <w:r/>
            <w:r>
              <w:rPr>
                <w:rFonts w:ascii="Arial" w:hAnsi="Arial"/>
                <w:b/>
                <w:sz w:val="17"/>
              </w:rPr>
              <w:t>Kenaikan harga baja 15%</w:t>
            </w:r>
          </w:p>
        </w:tc>
        <w:tc>
          <w:tcPr>
            <w:tcW w:type="dxa" w:w="1372"/>
            <w:shd w:val="clear" w:color="auto" w:fill="E6ECFD"/>
            <w:vAlign w:val="center"/>
          </w:tcPr>
          <w:p>
            <w:pPr>
              <w:spacing w:after="20" w:before="20" w:line="252" w:lineRule="auto"/>
            </w:pPr>
            <w:r/>
            <w:r>
              <w:rPr>
                <w:rFonts w:ascii="Arial" w:hAnsi="Arial"/>
                <w:b w:val="0"/>
                <w:sz w:val="17"/>
              </w:rPr>
              <w:t>40%</w:t>
            </w:r>
          </w:p>
        </w:tc>
        <w:tc>
          <w:tcPr>
            <w:tcW w:type="dxa" w:w="1765"/>
            <w:shd w:val="clear" w:color="auto" w:fill="E6ECFD"/>
            <w:vAlign w:val="center"/>
          </w:tcPr>
          <w:p>
            <w:pPr>
              <w:spacing w:after="20" w:before="20" w:line="252" w:lineRule="auto"/>
            </w:pPr>
            <w:r/>
            <w:r>
              <w:rPr>
                <w:rFonts w:ascii="Arial" w:hAnsi="Arial"/>
                <w:b w:val="0"/>
                <w:sz w:val="17"/>
              </w:rPr>
              <w:t>6,0</w:t>
            </w:r>
          </w:p>
        </w:tc>
        <w:tc>
          <w:tcPr>
            <w:tcW w:type="dxa" w:w="1765"/>
            <w:shd w:val="clear" w:color="auto" w:fill="E6ECFD"/>
            <w:vAlign w:val="center"/>
          </w:tcPr>
          <w:p>
            <w:pPr>
              <w:spacing w:after="20" w:before="20" w:line="252" w:lineRule="auto"/>
            </w:pPr>
            <w:r/>
            <w:r>
              <w:rPr>
                <w:rFonts w:ascii="Arial" w:hAnsi="Arial"/>
                <w:b w:val="0"/>
                <w:sz w:val="17"/>
              </w:rPr>
              <w:t>2,4</w:t>
            </w:r>
          </w:p>
        </w:tc>
      </w:tr>
      <w:tr>
        <w:trPr>
          <w:cantSplit/>
        </w:trPr>
        <w:tc>
          <w:tcPr>
            <w:tcW w:type="dxa" w:w="4509"/>
            <w:vAlign w:val="center"/>
          </w:tcPr>
          <w:p>
            <w:pPr>
              <w:spacing w:after="20" w:before="20" w:line="252" w:lineRule="auto"/>
            </w:pPr>
            <w:r/>
            <w:r>
              <w:rPr>
                <w:rFonts w:ascii="Arial" w:hAnsi="Arial"/>
                <w:b/>
                <w:sz w:val="17"/>
              </w:rPr>
              <w:t>Kegagalan mutu pada artikel pertama pemasok lokal</w:t>
            </w:r>
          </w:p>
        </w:tc>
        <w:tc>
          <w:tcPr>
            <w:tcW w:type="dxa" w:w="1372"/>
            <w:vAlign w:val="center"/>
          </w:tcPr>
          <w:p>
            <w:pPr>
              <w:spacing w:after="20" w:before="20" w:line="252" w:lineRule="auto"/>
            </w:pPr>
            <w:r/>
            <w:r>
              <w:rPr>
                <w:rFonts w:ascii="Arial" w:hAnsi="Arial"/>
                <w:b w:val="0"/>
                <w:sz w:val="17"/>
              </w:rPr>
              <w:t>25%</w:t>
            </w:r>
          </w:p>
        </w:tc>
        <w:tc>
          <w:tcPr>
            <w:tcW w:type="dxa" w:w="1765"/>
            <w:vAlign w:val="center"/>
          </w:tcPr>
          <w:p>
            <w:pPr>
              <w:spacing w:after="20" w:before="20" w:line="252" w:lineRule="auto"/>
            </w:pPr>
            <w:r/>
            <w:r>
              <w:rPr>
                <w:rFonts w:ascii="Arial" w:hAnsi="Arial"/>
                <w:b w:val="0"/>
                <w:sz w:val="17"/>
              </w:rPr>
              <w:t>8,0</w:t>
            </w:r>
          </w:p>
        </w:tc>
        <w:tc>
          <w:tcPr>
            <w:tcW w:type="dxa" w:w="1765"/>
            <w:vAlign w:val="center"/>
          </w:tcPr>
          <w:p>
            <w:pPr>
              <w:spacing w:after="20" w:before="20" w:line="252" w:lineRule="auto"/>
            </w:pPr>
            <w:r/>
            <w:r>
              <w:rPr>
                <w:rFonts w:ascii="Arial" w:hAnsi="Arial"/>
                <w:b w:val="0"/>
                <w:sz w:val="17"/>
              </w:rPr>
              <w:t>2,0</w:t>
            </w:r>
          </w:p>
        </w:tc>
      </w:tr>
      <w:tr>
        <w:trPr>
          <w:cantSplit/>
        </w:trPr>
        <w:tc>
          <w:tcPr>
            <w:tcW w:type="dxa" w:w="4509"/>
            <w:shd w:val="clear" w:color="auto" w:fill="E6ECFD"/>
            <w:vAlign w:val="center"/>
          </w:tcPr>
          <w:p>
            <w:pPr>
              <w:spacing w:after="20" w:before="20" w:line="252" w:lineRule="auto"/>
            </w:pPr>
            <w:r/>
            <w:r>
              <w:rPr>
                <w:rFonts w:ascii="Arial" w:hAnsi="Arial"/>
                <w:b/>
                <w:sz w:val="17"/>
              </w:rPr>
              <w:t>Keterlambatan pembebasan lahan</w:t>
            </w:r>
          </w:p>
        </w:tc>
        <w:tc>
          <w:tcPr>
            <w:tcW w:type="dxa" w:w="1372"/>
            <w:shd w:val="clear" w:color="auto" w:fill="E6ECFD"/>
            <w:vAlign w:val="center"/>
          </w:tcPr>
          <w:p>
            <w:pPr>
              <w:spacing w:after="20" w:before="20" w:line="252" w:lineRule="auto"/>
            </w:pPr>
            <w:r/>
            <w:r>
              <w:rPr>
                <w:rFonts w:ascii="Arial" w:hAnsi="Arial"/>
                <w:b w:val="0"/>
                <w:sz w:val="17"/>
              </w:rPr>
              <w:t>20%</w:t>
            </w:r>
          </w:p>
        </w:tc>
        <w:tc>
          <w:tcPr>
            <w:tcW w:type="dxa" w:w="1765"/>
            <w:shd w:val="clear" w:color="auto" w:fill="E6ECFD"/>
            <w:vAlign w:val="center"/>
          </w:tcPr>
          <w:p>
            <w:pPr>
              <w:spacing w:after="20" w:before="20" w:line="252" w:lineRule="auto"/>
            </w:pPr>
            <w:r/>
            <w:r>
              <w:rPr>
                <w:rFonts w:ascii="Arial" w:hAnsi="Arial"/>
                <w:b w:val="0"/>
                <w:sz w:val="17"/>
              </w:rPr>
              <w:t>10,0</w:t>
            </w:r>
          </w:p>
        </w:tc>
        <w:tc>
          <w:tcPr>
            <w:tcW w:type="dxa" w:w="1765"/>
            <w:shd w:val="clear" w:color="auto" w:fill="E6ECFD"/>
            <w:vAlign w:val="center"/>
          </w:tcPr>
          <w:p>
            <w:pPr>
              <w:spacing w:after="20" w:before="20" w:line="252" w:lineRule="auto"/>
            </w:pPr>
            <w:r/>
            <w:r>
              <w:rPr>
                <w:rFonts w:ascii="Arial" w:hAnsi="Arial"/>
                <w:b w:val="0"/>
                <w:sz w:val="17"/>
              </w:rPr>
              <w:t>2,0</w:t>
            </w:r>
          </w:p>
        </w:tc>
      </w:tr>
      <w:tr>
        <w:trPr>
          <w:cantSplit/>
        </w:trPr>
        <w:tc>
          <w:tcPr>
            <w:tcW w:type="dxa" w:w="4509"/>
            <w:vAlign w:val="center"/>
          </w:tcPr>
          <w:p>
            <w:pPr>
              <w:spacing w:after="20" w:before="20" w:line="252" w:lineRule="auto"/>
            </w:pPr>
            <w:r/>
            <w:r>
              <w:rPr>
                <w:rFonts w:ascii="Arial" w:hAnsi="Arial"/>
                <w:b/>
                <w:sz w:val="17"/>
              </w:rPr>
              <w:t>Depresiasi rupiah 15% pada komponen impor</w:t>
            </w:r>
          </w:p>
        </w:tc>
        <w:tc>
          <w:tcPr>
            <w:tcW w:type="dxa" w:w="1372"/>
            <w:vAlign w:val="center"/>
          </w:tcPr>
          <w:p>
            <w:pPr>
              <w:spacing w:after="20" w:before="20" w:line="252" w:lineRule="auto"/>
            </w:pPr>
            <w:r/>
            <w:r>
              <w:rPr>
                <w:rFonts w:ascii="Arial" w:hAnsi="Arial"/>
                <w:b w:val="0"/>
                <w:sz w:val="17"/>
              </w:rPr>
              <w:t>15%</w:t>
            </w:r>
          </w:p>
        </w:tc>
        <w:tc>
          <w:tcPr>
            <w:tcW w:type="dxa" w:w="1765"/>
            <w:vAlign w:val="center"/>
          </w:tcPr>
          <w:p>
            <w:pPr>
              <w:spacing w:after="20" w:before="20" w:line="252" w:lineRule="auto"/>
            </w:pPr>
            <w:r/>
            <w:r>
              <w:rPr>
                <w:rFonts w:ascii="Arial" w:hAnsi="Arial"/>
                <w:b w:val="0"/>
                <w:sz w:val="17"/>
              </w:rPr>
              <w:t>14,0</w:t>
            </w:r>
          </w:p>
        </w:tc>
        <w:tc>
          <w:tcPr>
            <w:tcW w:type="dxa" w:w="1765"/>
            <w:vAlign w:val="center"/>
          </w:tcPr>
          <w:p>
            <w:pPr>
              <w:spacing w:after="20" w:before="20" w:line="252" w:lineRule="auto"/>
            </w:pPr>
            <w:r/>
            <w:r>
              <w:rPr>
                <w:rFonts w:ascii="Arial" w:hAnsi="Arial"/>
                <w:b w:val="0"/>
                <w:sz w:val="17"/>
              </w:rPr>
              <w:t>2,1</w:t>
            </w:r>
          </w:p>
        </w:tc>
      </w:tr>
      <w:tr>
        <w:trPr>
          <w:cantSplit/>
        </w:trPr>
        <w:tc>
          <w:tcPr>
            <w:tcW w:type="dxa" w:w="4509"/>
            <w:shd w:val="clear" w:color="auto" w:fill="E6ECFD"/>
            <w:vAlign w:val="center"/>
          </w:tcPr>
          <w:p>
            <w:pPr>
              <w:spacing w:after="20" w:before="20" w:line="252" w:lineRule="auto"/>
            </w:pPr>
            <w:r/>
            <w:r>
              <w:rPr>
                <w:rFonts w:ascii="Arial" w:hAnsi="Arial"/>
                <w:b/>
                <w:sz w:val="17"/>
              </w:rPr>
              <w:t>('Jumlah EMV', True)</w:t>
            </w:r>
          </w:p>
        </w:tc>
        <w:tc>
          <w:tcPr>
            <w:tcW w:type="dxa" w:w="1372"/>
            <w:shd w:val="clear" w:color="auto" w:fill="E6ECFD"/>
            <w:vAlign w:val="center"/>
          </w:tcPr>
          <w:p>
            <w:pPr>
              <w:spacing w:after="20" w:before="20" w:line="252" w:lineRule="auto"/>
            </w:pPr>
            <w:r/>
          </w:p>
        </w:tc>
        <w:tc>
          <w:tcPr>
            <w:tcW w:type="dxa" w:w="1765"/>
            <w:shd w:val="clear" w:color="auto" w:fill="E6ECFD"/>
            <w:vAlign w:val="center"/>
          </w:tcPr>
          <w:p>
            <w:pPr>
              <w:spacing w:after="20" w:before="20" w:line="252" w:lineRule="auto"/>
            </w:pPr>
            <w:r/>
          </w:p>
        </w:tc>
        <w:tc>
          <w:tcPr>
            <w:tcW w:type="dxa" w:w="1765"/>
            <w:shd w:val="clear" w:color="auto" w:fill="E6ECFD"/>
            <w:vAlign w:val="center"/>
          </w:tcPr>
          <w:p>
            <w:pPr>
              <w:spacing w:after="20" w:before="20" w:line="252" w:lineRule="auto"/>
            </w:pPr>
            <w:r/>
            <w:r>
              <w:rPr>
                <w:rFonts w:ascii="Arial" w:hAnsi="Arial"/>
                <w:b w:val="0"/>
                <w:sz w:val="17"/>
              </w:rPr>
              <w:t>('12,1', True)</w:t>
            </w:r>
          </w:p>
        </w:tc>
      </w:tr>
    </w:tbl>
    <w:p>
      <w:pPr>
        <w:spacing w:after="160"/>
      </w:pPr>
      <w:r>
        <w:rPr>
          <w:rFonts w:ascii="Arial" w:hAnsi="Arial"/>
          <w:b w:val="0"/>
          <w:i/>
          <w:color w:val="051C5C"/>
          <w:sz w:val="17"/>
        </w:rPr>
        <w:t>Perhitungan penulis. Jumlah EMV bukan prakiraan kontingensi akhir: simulasi memperhitungkan korelasi dan distribusi, dan kontingensi lazim ditetapkan pada tingkat kepercayaan (P50 atau P80).</w:t>
      </w:r>
    </w:p>
    <w:p>
      <w:pPr>
        <w:jc w:val="both"/>
      </w:pPr>
      <w:r>
        <w:rPr>
          <w:rFonts w:ascii="Arial" w:hAnsi="Arial"/>
          <w:b w:val="0"/>
        </w:rPr>
        <w:t>Simulasi Monte Carlo menarik nilai acak dari distribusi biaya dan durasi ribuan kali dan menghasilkan distribusi total. Selisih antara estimasi dasar dan nilai pada kepercayaan tertentu adalah kontingensi. Karena sebagian besar risiko berkorelasi (misalnya kenaikan harga baja dan keterlambatan pengiriman terjadi bersama), simulasi tanpa korelasi menghasilkan kontingensi yang terlalu rendah. Hubbard (2009) mengingatkan bahwa metode penilaian risiko harus divalidasi terhadap hasil, bukan diterima karena tampak canggih.</w:t>
      </w:r>
    </w:p>
    <w:p>
      <w:pPr>
        <w:pStyle w:val="Heading2"/>
      </w:pPr>
      <w:r>
        <w:t>7.4  Peta panas dan register portofolio Danantara</w:t>
      </w:r>
    </w:p>
    <w:p>
      <w:pPr>
        <w:jc w:val="both"/>
      </w:pPr>
      <w:r>
        <w:rPr>
          <w:rFonts w:ascii="Arial" w:hAnsi="Arial"/>
          <w:b w:val="0"/>
        </w:rPr>
        <w:t>Kajian Danantara memuat register 24 risiko dengan penilaian kualitatif kemungkinan dan dampak dalam 24 bulan. Hasil pemetaan: tiga risiko berkemungkinan dan berdampak tinggi (valuasi dilebih-lebihkan, penularan risiko BUMN Karya, dan register 40 proyek yang tidak teruji), dua belas berkemungkinan sedang dengan dampak tinggi, enam berkemungkinan dan berdampak sedang, dua berkemungkinan tinggi dengan dampak sedang, dan satu berkemungkinan rendah dengan dampak tinggi (teknologi dan siber). Total enam belas risiko berdampak tinggi [K, Bab 15, Tabel 53–54].</w:t>
      </w:r>
    </w:p>
    <w:p>
      <w:pPr>
        <w:keepNext/>
        <w:jc w:val="center"/>
      </w:pPr>
      <w:r>
        <w:drawing>
          <wp:inline xmlns:a="http://schemas.openxmlformats.org/drawingml/2006/main" xmlns:pic="http://schemas.openxmlformats.org/drawingml/2006/picture">
            <wp:extent cx="5580000" cy="2948014"/>
            <wp:docPr id="8" name="Picture 8"/>
            <wp:cNvGraphicFramePr>
              <a:graphicFrameLocks noChangeAspect="1"/>
            </wp:cNvGraphicFramePr>
            <a:graphic>
              <a:graphicData uri="http://schemas.openxmlformats.org/drawingml/2006/picture">
                <pic:pic>
                  <pic:nvPicPr>
                    <pic:cNvPr id="0" name="f_heat.png"/>
                    <pic:cNvPicPr/>
                  </pic:nvPicPr>
                  <pic:blipFill>
                    <a:blip r:embed="rId17"/>
                    <a:stretch>
                      <a:fillRect/>
                    </a:stretch>
                  </pic:blipFill>
                  <pic:spPr>
                    <a:xfrm>
                      <a:off x="0" y="0"/>
                      <a:ext cx="5580000" cy="2948014"/>
                    </a:xfrm>
                    <a:prstGeom prst="rect"/>
                  </pic:spPr>
                </pic:pic>
              </a:graphicData>
            </a:graphic>
          </wp:inline>
        </w:drawing>
      </w:r>
    </w:p>
    <w:p>
      <w:pPr>
        <w:keepNext w:val="0"/>
        <w:spacing w:after="60"/>
      </w:pPr>
      <w:r>
        <w:rPr>
          <w:rFonts w:ascii="Arial" w:hAnsi="Arial"/>
          <w:b/>
          <w:color w:val="051C5C"/>
          <w:sz w:val="19"/>
        </w:rPr>
        <w:t xml:space="preserve">Gambar 8: </w:t>
      </w:r>
      <w:r>
        <w:rPr>
          <w:rFonts w:ascii="Arial" w:hAnsi="Arial"/>
          <w:color w:val="051C5C"/>
          <w:sz w:val="19"/>
        </w:rPr>
        <w:t>Peta risiko portofolio Danantara (24 risiko, nomor mengacu pada Tabel 53 Kajian)</w:t>
      </w:r>
    </w:p>
    <w:p>
      <w:pPr>
        <w:spacing w:after="160"/>
      </w:pPr>
      <w:r>
        <w:rPr>
          <w:rFonts w:ascii="Arial" w:hAnsi="Arial"/>
          <w:b w:val="0"/>
          <w:i/>
          <w:color w:val="051C5C"/>
          <w:sz w:val="17"/>
        </w:rPr>
        <w:t>Sumber: [K, Bab 15, Tabel 54], digambar ulang.</w:t>
      </w:r>
    </w:p>
    <w:p>
      <w:pPr>
        <w:keepNext/>
        <w:spacing w:after="60"/>
      </w:pPr>
      <w:r>
        <w:rPr>
          <w:rFonts w:ascii="Arial" w:hAnsi="Arial"/>
          <w:b/>
          <w:color w:val="051C5C"/>
          <w:sz w:val="19"/>
        </w:rPr>
        <w:t xml:space="preserve">Tabel 24: </w:t>
      </w:r>
      <w:r>
        <w:rPr>
          <w:rFonts w:ascii="Arial" w:hAnsi="Arial"/>
          <w:color w:val="051C5C"/>
          <w:sz w:val="19"/>
        </w:rPr>
        <w:t>Risiko portofolio dengan dampak tinggi dan pengendalian utama</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2353"/>
        <w:gridCol w:w="2353"/>
        <w:gridCol w:w="2353"/>
        <w:gridCol w:w="2353"/>
      </w:tblGrid>
      <w:tr>
        <w:trPr>
          <w:cantSplit/>
          <w:tblHeader/>
        </w:trPr>
        <w:tc>
          <w:tcPr>
            <w:tcW w:type="dxa" w:w="506"/>
            <w:shd w:val="clear" w:color="auto" w:fill="2251FF"/>
            <w:vAlign w:val="center"/>
          </w:tcPr>
          <w:p>
            <w:pPr>
              <w:spacing w:after="20" w:before="20" w:line="252" w:lineRule="auto"/>
            </w:pPr>
            <w:r/>
            <w:r>
              <w:rPr>
                <w:rFonts w:ascii="Arial" w:hAnsi="Arial"/>
                <w:b/>
                <w:color w:val="FFFFFF"/>
                <w:sz w:val="17"/>
              </w:rPr>
              <w:t>#</w:t>
            </w:r>
          </w:p>
        </w:tc>
        <w:tc>
          <w:tcPr>
            <w:tcW w:type="dxa" w:w="3441"/>
            <w:shd w:val="clear" w:color="auto" w:fill="2251FF"/>
            <w:vAlign w:val="center"/>
          </w:tcPr>
          <w:p>
            <w:pPr>
              <w:spacing w:after="20" w:before="20" w:line="252" w:lineRule="auto"/>
            </w:pPr>
            <w:r/>
            <w:r>
              <w:rPr>
                <w:rFonts w:ascii="Arial" w:hAnsi="Arial"/>
                <w:b/>
                <w:color w:val="FFFFFF"/>
                <w:sz w:val="17"/>
              </w:rPr>
              <w:t>Risiko</w:t>
            </w:r>
          </w:p>
        </w:tc>
        <w:tc>
          <w:tcPr>
            <w:tcW w:type="dxa" w:w="4655"/>
            <w:shd w:val="clear" w:color="auto" w:fill="2251FF"/>
            <w:vAlign w:val="center"/>
          </w:tcPr>
          <w:p>
            <w:pPr>
              <w:spacing w:after="20" w:before="20" w:line="252" w:lineRule="auto"/>
            </w:pPr>
            <w:r/>
            <w:r>
              <w:rPr>
                <w:rFonts w:ascii="Arial" w:hAnsi="Arial"/>
                <w:b/>
                <w:color w:val="FFFFFF"/>
                <w:sz w:val="17"/>
              </w:rPr>
              <w:t>Pengendalian utama</w:t>
            </w:r>
          </w:p>
        </w:tc>
        <w:tc>
          <w:tcPr>
            <w:tcW w:type="dxa" w:w="810"/>
            <w:shd w:val="clear" w:color="auto" w:fill="2251FF"/>
            <w:vAlign w:val="center"/>
          </w:tcPr>
          <w:p>
            <w:pPr>
              <w:spacing w:after="20" w:before="20" w:line="252" w:lineRule="auto"/>
            </w:pPr>
            <w:r/>
            <w:r>
              <w:rPr>
                <w:rFonts w:ascii="Arial" w:hAnsi="Arial"/>
                <w:b/>
                <w:color w:val="FFFFFF"/>
                <w:sz w:val="17"/>
              </w:rPr>
              <w:t>K/D</w:t>
            </w:r>
          </w:p>
        </w:tc>
      </w:tr>
      <w:tr>
        <w:trPr>
          <w:cantSplit/>
        </w:trPr>
        <w:tc>
          <w:tcPr>
            <w:tcW w:type="dxa" w:w="506"/>
            <w:vAlign w:val="center"/>
          </w:tcPr>
          <w:p>
            <w:pPr>
              <w:spacing w:after="20" w:before="20" w:line="252" w:lineRule="auto"/>
            </w:pPr>
            <w:r/>
            <w:r>
              <w:rPr>
                <w:rFonts w:ascii="Arial" w:hAnsi="Arial"/>
                <w:b/>
                <w:sz w:val="17"/>
              </w:rPr>
              <w:t>6</w:t>
            </w:r>
          </w:p>
        </w:tc>
        <w:tc>
          <w:tcPr>
            <w:tcW w:type="dxa" w:w="3441"/>
            <w:vAlign w:val="center"/>
          </w:tcPr>
          <w:p>
            <w:pPr>
              <w:spacing w:after="20" w:before="20" w:line="252" w:lineRule="auto"/>
            </w:pPr>
            <w:r/>
            <w:r>
              <w:rPr>
                <w:rFonts w:ascii="Arial" w:hAnsi="Arial"/>
                <w:b w:val="0"/>
                <w:sz w:val="17"/>
              </w:rPr>
              <w:t>Valuasi dilebih-lebihkan</w:t>
            </w:r>
          </w:p>
        </w:tc>
        <w:tc>
          <w:tcPr>
            <w:tcW w:type="dxa" w:w="4655"/>
            <w:vAlign w:val="center"/>
          </w:tcPr>
          <w:p>
            <w:pPr>
              <w:spacing w:after="20" w:before="20" w:line="252" w:lineRule="auto"/>
            </w:pPr>
            <w:r/>
            <w:r>
              <w:rPr>
                <w:rFonts w:ascii="Arial" w:hAnsi="Arial"/>
                <w:b w:val="0"/>
                <w:sz w:val="17"/>
              </w:rPr>
              <w:t>Hanya cadangan terbukti dan terkira; penilai independen</w:t>
            </w:r>
          </w:p>
        </w:tc>
        <w:tc>
          <w:tcPr>
            <w:tcW w:type="dxa" w:w="810"/>
            <w:vAlign w:val="center"/>
          </w:tcPr>
          <w:p>
            <w:pPr>
              <w:spacing w:after="20" w:before="20" w:line="252" w:lineRule="auto"/>
            </w:pPr>
            <w:r/>
            <w:r>
              <w:rPr>
                <w:rFonts w:ascii="Arial" w:hAnsi="Arial"/>
                <w:b w:val="0"/>
                <w:sz w:val="17"/>
              </w:rPr>
              <w:t>T/T</w:t>
            </w:r>
          </w:p>
        </w:tc>
      </w:tr>
      <w:tr>
        <w:trPr>
          <w:cantSplit/>
        </w:trPr>
        <w:tc>
          <w:tcPr>
            <w:tcW w:type="dxa" w:w="506"/>
            <w:shd w:val="clear" w:color="auto" w:fill="E6ECFD"/>
            <w:vAlign w:val="center"/>
          </w:tcPr>
          <w:p>
            <w:pPr>
              <w:spacing w:after="20" w:before="20" w:line="252" w:lineRule="auto"/>
            </w:pPr>
            <w:r/>
            <w:r>
              <w:rPr>
                <w:rFonts w:ascii="Arial" w:hAnsi="Arial"/>
                <w:b/>
                <w:sz w:val="17"/>
              </w:rPr>
              <w:t>9</w:t>
            </w:r>
          </w:p>
        </w:tc>
        <w:tc>
          <w:tcPr>
            <w:tcW w:type="dxa" w:w="3441"/>
            <w:shd w:val="clear" w:color="auto" w:fill="E6ECFD"/>
            <w:vAlign w:val="center"/>
          </w:tcPr>
          <w:p>
            <w:pPr>
              <w:spacing w:after="20" w:before="20" w:line="252" w:lineRule="auto"/>
            </w:pPr>
            <w:r/>
            <w:r>
              <w:rPr>
                <w:rFonts w:ascii="Arial" w:hAnsi="Arial"/>
                <w:b w:val="0"/>
                <w:sz w:val="17"/>
              </w:rPr>
              <w:t>Penularan risiko BUMN Karya ke bank BUMN</w:t>
            </w:r>
          </w:p>
        </w:tc>
        <w:tc>
          <w:tcPr>
            <w:tcW w:type="dxa" w:w="4655"/>
            <w:shd w:val="clear" w:color="auto" w:fill="E6ECFD"/>
            <w:vAlign w:val="center"/>
          </w:tcPr>
          <w:p>
            <w:pPr>
              <w:spacing w:after="20" w:before="20" w:line="252" w:lineRule="auto"/>
            </w:pPr>
            <w:r/>
            <w:r>
              <w:rPr>
                <w:rFonts w:ascii="Arial" w:hAnsi="Arial"/>
                <w:b w:val="0"/>
                <w:sz w:val="17"/>
              </w:rPr>
              <w:t>Uji stres grup; pisahkan aset warisan; batas konsentrasi</w:t>
            </w:r>
          </w:p>
        </w:tc>
        <w:tc>
          <w:tcPr>
            <w:tcW w:type="dxa" w:w="810"/>
            <w:shd w:val="clear" w:color="auto" w:fill="E6ECFD"/>
            <w:vAlign w:val="center"/>
          </w:tcPr>
          <w:p>
            <w:pPr>
              <w:spacing w:after="20" w:before="20" w:line="252" w:lineRule="auto"/>
            </w:pPr>
            <w:r/>
            <w:r>
              <w:rPr>
                <w:rFonts w:ascii="Arial" w:hAnsi="Arial"/>
                <w:b w:val="0"/>
                <w:sz w:val="17"/>
              </w:rPr>
              <w:t>T/T</w:t>
            </w:r>
          </w:p>
        </w:tc>
      </w:tr>
      <w:tr>
        <w:trPr>
          <w:cantSplit/>
        </w:trPr>
        <w:tc>
          <w:tcPr>
            <w:tcW w:type="dxa" w:w="506"/>
            <w:vAlign w:val="center"/>
          </w:tcPr>
          <w:p>
            <w:pPr>
              <w:spacing w:after="20" w:before="20" w:line="252" w:lineRule="auto"/>
            </w:pPr>
            <w:r/>
            <w:r>
              <w:rPr>
                <w:rFonts w:ascii="Arial" w:hAnsi="Arial"/>
                <w:b/>
                <w:sz w:val="17"/>
              </w:rPr>
              <w:t>23</w:t>
            </w:r>
          </w:p>
        </w:tc>
        <w:tc>
          <w:tcPr>
            <w:tcW w:type="dxa" w:w="3441"/>
            <w:vAlign w:val="center"/>
          </w:tcPr>
          <w:p>
            <w:pPr>
              <w:spacing w:after="20" w:before="20" w:line="252" w:lineRule="auto"/>
            </w:pPr>
            <w:r/>
            <w:r>
              <w:rPr>
                <w:rFonts w:ascii="Arial" w:hAnsi="Arial"/>
                <w:b w:val="0"/>
                <w:sz w:val="17"/>
              </w:rPr>
              <w:t>Register dan data 40 proyek tidak teruji</w:t>
            </w:r>
          </w:p>
        </w:tc>
        <w:tc>
          <w:tcPr>
            <w:tcW w:type="dxa" w:w="4655"/>
            <w:vAlign w:val="center"/>
          </w:tcPr>
          <w:p>
            <w:pPr>
              <w:spacing w:after="20" w:before="20" w:line="252" w:lineRule="auto"/>
            </w:pPr>
            <w:r/>
            <w:r>
              <w:rPr>
                <w:rFonts w:ascii="Arial" w:hAnsi="Arial"/>
                <w:b w:val="0"/>
                <w:sz w:val="17"/>
              </w:rPr>
              <w:t>Rencana bukti 90 hari; identitas 100% pada Hari ke-45</w:t>
            </w:r>
          </w:p>
        </w:tc>
        <w:tc>
          <w:tcPr>
            <w:tcW w:type="dxa" w:w="810"/>
            <w:vAlign w:val="center"/>
          </w:tcPr>
          <w:p>
            <w:pPr>
              <w:spacing w:after="20" w:before="20" w:line="252" w:lineRule="auto"/>
            </w:pPr>
            <w:r/>
            <w:r>
              <w:rPr>
                <w:rFonts w:ascii="Arial" w:hAnsi="Arial"/>
                <w:b w:val="0"/>
                <w:sz w:val="17"/>
              </w:rPr>
              <w:t>T/T</w:t>
            </w:r>
          </w:p>
        </w:tc>
      </w:tr>
      <w:tr>
        <w:trPr>
          <w:cantSplit/>
        </w:trPr>
        <w:tc>
          <w:tcPr>
            <w:tcW w:type="dxa" w:w="506"/>
            <w:shd w:val="clear" w:color="auto" w:fill="E6ECFD"/>
            <w:vAlign w:val="center"/>
          </w:tcPr>
          <w:p>
            <w:pPr>
              <w:spacing w:after="20" w:before="20" w:line="252" w:lineRule="auto"/>
            </w:pPr>
            <w:r/>
            <w:r>
              <w:rPr>
                <w:rFonts w:ascii="Arial" w:hAnsi="Arial"/>
                <w:b/>
                <w:sz w:val="17"/>
              </w:rPr>
              <w:t>1</w:t>
            </w:r>
          </w:p>
        </w:tc>
        <w:tc>
          <w:tcPr>
            <w:tcW w:type="dxa" w:w="3441"/>
            <w:shd w:val="clear" w:color="auto" w:fill="E6ECFD"/>
            <w:vAlign w:val="center"/>
          </w:tcPr>
          <w:p>
            <w:pPr>
              <w:spacing w:after="20" w:before="20" w:line="252" w:lineRule="auto"/>
            </w:pPr>
            <w:r/>
            <w:r>
              <w:rPr>
                <w:rFonts w:ascii="Arial" w:hAnsi="Arial"/>
                <w:b w:val="0"/>
                <w:sz w:val="17"/>
              </w:rPr>
              <w:t>Kuota alih-alih gerbang</w:t>
            </w:r>
          </w:p>
        </w:tc>
        <w:tc>
          <w:tcPr>
            <w:tcW w:type="dxa" w:w="4655"/>
            <w:shd w:val="clear" w:color="auto" w:fill="E6ECFD"/>
            <w:vAlign w:val="center"/>
          </w:tcPr>
          <w:p>
            <w:pPr>
              <w:spacing w:after="20" w:before="20" w:line="252" w:lineRule="auto"/>
            </w:pPr>
            <w:r/>
            <w:r>
              <w:rPr>
                <w:rFonts w:ascii="Arial" w:hAnsi="Arial"/>
                <w:b w:val="0"/>
                <w:sz w:val="17"/>
              </w:rPr>
              <w:t>Ketentuan gerbang dalam kontrak; asesor independen; sumber cadangan</w:t>
            </w:r>
          </w:p>
        </w:tc>
        <w:tc>
          <w:tcPr>
            <w:tcW w:type="dxa" w:w="810"/>
            <w:shd w:val="clear" w:color="auto" w:fill="E6ECFD"/>
            <w:vAlign w:val="center"/>
          </w:tcPr>
          <w:p>
            <w:pPr>
              <w:spacing w:after="20" w:before="20" w:line="252" w:lineRule="auto"/>
            </w:pPr>
            <w:r/>
            <w:r>
              <w:rPr>
                <w:rFonts w:ascii="Arial" w:hAnsi="Arial"/>
                <w:b w:val="0"/>
                <w:sz w:val="17"/>
              </w:rPr>
              <w:t>S/T</w:t>
            </w:r>
          </w:p>
        </w:tc>
      </w:tr>
      <w:tr>
        <w:trPr>
          <w:cantSplit/>
        </w:trPr>
        <w:tc>
          <w:tcPr>
            <w:tcW w:type="dxa" w:w="506"/>
            <w:vAlign w:val="center"/>
          </w:tcPr>
          <w:p>
            <w:pPr>
              <w:spacing w:after="20" w:before="20" w:line="252" w:lineRule="auto"/>
            </w:pPr>
            <w:r/>
            <w:r>
              <w:rPr>
                <w:rFonts w:ascii="Arial" w:hAnsi="Arial"/>
                <w:b/>
                <w:sz w:val="17"/>
              </w:rPr>
              <w:t>3</w:t>
            </w:r>
          </w:p>
        </w:tc>
        <w:tc>
          <w:tcPr>
            <w:tcW w:type="dxa" w:w="3441"/>
            <w:vAlign w:val="center"/>
          </w:tcPr>
          <w:p>
            <w:pPr>
              <w:spacing w:after="20" w:before="20" w:line="252" w:lineRule="auto"/>
            </w:pPr>
            <w:r/>
            <w:r>
              <w:rPr>
                <w:rFonts w:ascii="Arial" w:hAnsi="Arial"/>
                <w:b w:val="0"/>
                <w:sz w:val="17"/>
              </w:rPr>
              <w:t>Dominasi pengusul</w:t>
            </w:r>
          </w:p>
        </w:tc>
        <w:tc>
          <w:tcPr>
            <w:tcW w:type="dxa" w:w="4655"/>
            <w:vAlign w:val="center"/>
          </w:tcPr>
          <w:p>
            <w:pPr>
              <w:spacing w:after="20" w:before="20" w:line="252" w:lineRule="auto"/>
            </w:pPr>
            <w:r/>
            <w:r>
              <w:rPr>
                <w:rFonts w:ascii="Arial" w:hAnsi="Arial"/>
                <w:b w:val="0"/>
                <w:sz w:val="17"/>
              </w:rPr>
              <w:t>Lini risiko dan hukum independen; perbedaan pendapat dicatat</w:t>
            </w:r>
          </w:p>
        </w:tc>
        <w:tc>
          <w:tcPr>
            <w:tcW w:type="dxa" w:w="810"/>
            <w:vAlign w:val="center"/>
          </w:tcPr>
          <w:p>
            <w:pPr>
              <w:spacing w:after="20" w:before="20" w:line="252" w:lineRule="auto"/>
            </w:pPr>
            <w:r/>
            <w:r>
              <w:rPr>
                <w:rFonts w:ascii="Arial" w:hAnsi="Arial"/>
                <w:b w:val="0"/>
                <w:sz w:val="17"/>
              </w:rPr>
              <w:t>S/T</w:t>
            </w:r>
          </w:p>
        </w:tc>
      </w:tr>
      <w:tr>
        <w:trPr>
          <w:cantSplit/>
        </w:trPr>
        <w:tc>
          <w:tcPr>
            <w:tcW w:type="dxa" w:w="506"/>
            <w:shd w:val="clear" w:color="auto" w:fill="E6ECFD"/>
            <w:vAlign w:val="center"/>
          </w:tcPr>
          <w:p>
            <w:pPr>
              <w:spacing w:after="20" w:before="20" w:line="252" w:lineRule="auto"/>
            </w:pPr>
            <w:r/>
            <w:r>
              <w:rPr>
                <w:rFonts w:ascii="Arial" w:hAnsi="Arial"/>
                <w:b/>
                <w:sz w:val="17"/>
              </w:rPr>
              <w:t>4</w:t>
            </w:r>
          </w:p>
        </w:tc>
        <w:tc>
          <w:tcPr>
            <w:tcW w:type="dxa" w:w="3441"/>
            <w:shd w:val="clear" w:color="auto" w:fill="E6ECFD"/>
            <w:vAlign w:val="center"/>
          </w:tcPr>
          <w:p>
            <w:pPr>
              <w:spacing w:after="20" w:before="20" w:line="252" w:lineRule="auto"/>
            </w:pPr>
            <w:r/>
            <w:r>
              <w:rPr>
                <w:rFonts w:ascii="Arial" w:hAnsi="Arial"/>
                <w:b w:val="0"/>
                <w:sz w:val="17"/>
              </w:rPr>
              <w:t>Kewajiban fiskal tersembunyi</w:t>
            </w:r>
          </w:p>
        </w:tc>
        <w:tc>
          <w:tcPr>
            <w:tcW w:type="dxa" w:w="4655"/>
            <w:shd w:val="clear" w:color="auto" w:fill="E6ECFD"/>
            <w:vAlign w:val="center"/>
          </w:tcPr>
          <w:p>
            <w:pPr>
              <w:spacing w:after="20" w:before="20" w:line="252" w:lineRule="auto"/>
            </w:pPr>
            <w:r/>
            <w:r>
              <w:rPr>
                <w:rFonts w:ascii="Arial" w:hAnsi="Arial"/>
                <w:b w:val="0"/>
                <w:sz w:val="17"/>
              </w:rPr>
              <w:t>Klasifikasi berbasis substansi; register pendapatan dijaminkan</w:t>
            </w:r>
          </w:p>
        </w:tc>
        <w:tc>
          <w:tcPr>
            <w:tcW w:type="dxa" w:w="810"/>
            <w:shd w:val="clear" w:color="auto" w:fill="E6ECFD"/>
            <w:vAlign w:val="center"/>
          </w:tcPr>
          <w:p>
            <w:pPr>
              <w:spacing w:after="20" w:before="20" w:line="252" w:lineRule="auto"/>
            </w:pPr>
            <w:r/>
            <w:r>
              <w:rPr>
                <w:rFonts w:ascii="Arial" w:hAnsi="Arial"/>
                <w:b w:val="0"/>
                <w:sz w:val="17"/>
              </w:rPr>
              <w:t>S/T</w:t>
            </w:r>
          </w:p>
        </w:tc>
      </w:tr>
      <w:tr>
        <w:trPr>
          <w:cantSplit/>
        </w:trPr>
        <w:tc>
          <w:tcPr>
            <w:tcW w:type="dxa" w:w="506"/>
            <w:vAlign w:val="center"/>
          </w:tcPr>
          <w:p>
            <w:pPr>
              <w:spacing w:after="20" w:before="20" w:line="252" w:lineRule="auto"/>
            </w:pPr>
            <w:r/>
            <w:r>
              <w:rPr>
                <w:rFonts w:ascii="Arial" w:hAnsi="Arial"/>
                <w:b/>
                <w:sz w:val="17"/>
              </w:rPr>
              <w:t>12</w:t>
            </w:r>
          </w:p>
        </w:tc>
        <w:tc>
          <w:tcPr>
            <w:tcW w:type="dxa" w:w="3441"/>
            <w:vAlign w:val="center"/>
          </w:tcPr>
          <w:p>
            <w:pPr>
              <w:spacing w:after="20" w:before="20" w:line="252" w:lineRule="auto"/>
            </w:pPr>
            <w:r/>
            <w:r>
              <w:rPr>
                <w:rFonts w:ascii="Arial" w:hAnsi="Arial"/>
                <w:b w:val="0"/>
                <w:sz w:val="17"/>
              </w:rPr>
              <w:t>Penyalahgunaan label strategis</w:t>
            </w:r>
          </w:p>
        </w:tc>
        <w:tc>
          <w:tcPr>
            <w:tcW w:type="dxa" w:w="4655"/>
            <w:vAlign w:val="center"/>
          </w:tcPr>
          <w:p>
            <w:pPr>
              <w:spacing w:after="20" w:before="20" w:line="252" w:lineRule="auto"/>
            </w:pPr>
            <w:r/>
            <w:r>
              <w:rPr>
                <w:rFonts w:ascii="Arial" w:hAnsi="Arial"/>
                <w:b w:val="0"/>
                <w:sz w:val="17"/>
              </w:rPr>
              <w:t>Kriteria masuk; evaluasi ulang; disiplin keluar</w:t>
            </w:r>
          </w:p>
        </w:tc>
        <w:tc>
          <w:tcPr>
            <w:tcW w:type="dxa" w:w="810"/>
            <w:vAlign w:val="center"/>
          </w:tcPr>
          <w:p>
            <w:pPr>
              <w:spacing w:after="20" w:before="20" w:line="252" w:lineRule="auto"/>
            </w:pPr>
            <w:r/>
            <w:r>
              <w:rPr>
                <w:rFonts w:ascii="Arial" w:hAnsi="Arial"/>
                <w:b w:val="0"/>
                <w:sz w:val="17"/>
              </w:rPr>
              <w:t>S/T</w:t>
            </w:r>
          </w:p>
        </w:tc>
      </w:tr>
      <w:tr>
        <w:trPr>
          <w:cantSplit/>
        </w:trPr>
        <w:tc>
          <w:tcPr>
            <w:tcW w:type="dxa" w:w="506"/>
            <w:shd w:val="clear" w:color="auto" w:fill="E6ECFD"/>
            <w:vAlign w:val="center"/>
          </w:tcPr>
          <w:p>
            <w:pPr>
              <w:spacing w:after="20" w:before="20" w:line="252" w:lineRule="auto"/>
            </w:pPr>
            <w:r/>
            <w:r>
              <w:rPr>
                <w:rFonts w:ascii="Arial" w:hAnsi="Arial"/>
                <w:b/>
                <w:sz w:val="17"/>
              </w:rPr>
              <w:t>16</w:t>
            </w:r>
          </w:p>
        </w:tc>
        <w:tc>
          <w:tcPr>
            <w:tcW w:type="dxa" w:w="3441"/>
            <w:shd w:val="clear" w:color="auto" w:fill="E6ECFD"/>
            <w:vAlign w:val="center"/>
          </w:tcPr>
          <w:p>
            <w:pPr>
              <w:spacing w:after="20" w:before="20" w:line="252" w:lineRule="auto"/>
            </w:pPr>
            <w:r/>
            <w:r>
              <w:rPr>
                <w:rFonts w:ascii="Arial" w:hAnsi="Arial"/>
                <w:b w:val="0"/>
                <w:sz w:val="17"/>
              </w:rPr>
              <w:t>Tumpang tindih mandat</w:t>
            </w:r>
          </w:p>
        </w:tc>
        <w:tc>
          <w:tcPr>
            <w:tcW w:type="dxa" w:w="4655"/>
            <w:shd w:val="clear" w:color="auto" w:fill="E6ECFD"/>
            <w:vAlign w:val="center"/>
          </w:tcPr>
          <w:p>
            <w:pPr>
              <w:spacing w:after="20" w:before="20" w:line="252" w:lineRule="auto"/>
            </w:pPr>
            <w:r/>
            <w:r>
              <w:rPr>
                <w:rFonts w:ascii="Arial" w:hAnsi="Arial"/>
                <w:b w:val="0"/>
                <w:sz w:val="17"/>
              </w:rPr>
              <w:t>Surat mandat; pemisahan pemilik dan pengelola</w:t>
            </w:r>
          </w:p>
        </w:tc>
        <w:tc>
          <w:tcPr>
            <w:tcW w:type="dxa" w:w="810"/>
            <w:shd w:val="clear" w:color="auto" w:fill="E6ECFD"/>
            <w:vAlign w:val="center"/>
          </w:tcPr>
          <w:p>
            <w:pPr>
              <w:spacing w:after="20" w:before="20" w:line="252" w:lineRule="auto"/>
            </w:pPr>
            <w:r/>
            <w:r>
              <w:rPr>
                <w:rFonts w:ascii="Arial" w:hAnsi="Arial"/>
                <w:b w:val="0"/>
                <w:sz w:val="17"/>
              </w:rPr>
              <w:t>S/T</w:t>
            </w:r>
          </w:p>
        </w:tc>
      </w:tr>
      <w:tr>
        <w:trPr>
          <w:cantSplit/>
        </w:trPr>
        <w:tc>
          <w:tcPr>
            <w:tcW w:type="dxa" w:w="506"/>
            <w:vAlign w:val="center"/>
          </w:tcPr>
          <w:p>
            <w:pPr>
              <w:spacing w:after="20" w:before="20" w:line="252" w:lineRule="auto"/>
            </w:pPr>
            <w:r/>
            <w:r>
              <w:rPr>
                <w:rFonts w:ascii="Arial" w:hAnsi="Arial"/>
                <w:b/>
                <w:sz w:val="17"/>
              </w:rPr>
              <w:t>18</w:t>
            </w:r>
          </w:p>
        </w:tc>
        <w:tc>
          <w:tcPr>
            <w:tcW w:type="dxa" w:w="3441"/>
            <w:vAlign w:val="center"/>
          </w:tcPr>
          <w:p>
            <w:pPr>
              <w:spacing w:after="20" w:before="20" w:line="252" w:lineRule="auto"/>
            </w:pPr>
            <w:r/>
            <w:r>
              <w:rPr>
                <w:rFonts w:ascii="Arial" w:hAnsi="Arial"/>
                <w:b w:val="0"/>
                <w:sz w:val="17"/>
              </w:rPr>
              <w:t>Integritas dalam DOCK-UP</w:t>
            </w:r>
          </w:p>
        </w:tc>
        <w:tc>
          <w:tcPr>
            <w:tcW w:type="dxa" w:w="4655"/>
            <w:vAlign w:val="center"/>
          </w:tcPr>
          <w:p>
            <w:pPr>
              <w:spacing w:after="20" w:before="20" w:line="252" w:lineRule="auto"/>
            </w:pPr>
            <w:r/>
            <w:r>
              <w:rPr>
                <w:rFonts w:ascii="Arial" w:hAnsi="Arial"/>
                <w:b w:val="0"/>
                <w:sz w:val="17"/>
              </w:rPr>
              <w:t>Asesor independen, rotasi, jejak audit, deklarasi benturan</w:t>
            </w:r>
          </w:p>
        </w:tc>
        <w:tc>
          <w:tcPr>
            <w:tcW w:type="dxa" w:w="810"/>
            <w:vAlign w:val="center"/>
          </w:tcPr>
          <w:p>
            <w:pPr>
              <w:spacing w:after="20" w:before="20" w:line="252" w:lineRule="auto"/>
            </w:pPr>
            <w:r/>
            <w:r>
              <w:rPr>
                <w:rFonts w:ascii="Arial" w:hAnsi="Arial"/>
                <w:b w:val="0"/>
                <w:sz w:val="17"/>
              </w:rPr>
              <w:t>S/T</w:t>
            </w:r>
          </w:p>
        </w:tc>
      </w:tr>
      <w:tr>
        <w:trPr>
          <w:cantSplit/>
        </w:trPr>
        <w:tc>
          <w:tcPr>
            <w:tcW w:type="dxa" w:w="506"/>
            <w:shd w:val="clear" w:color="auto" w:fill="E6ECFD"/>
            <w:vAlign w:val="center"/>
          </w:tcPr>
          <w:p>
            <w:pPr>
              <w:spacing w:after="20" w:before="20" w:line="252" w:lineRule="auto"/>
            </w:pPr>
            <w:r/>
            <w:r>
              <w:rPr>
                <w:rFonts w:ascii="Arial" w:hAnsi="Arial"/>
                <w:b/>
                <w:sz w:val="17"/>
              </w:rPr>
              <w:t>20</w:t>
            </w:r>
          </w:p>
        </w:tc>
        <w:tc>
          <w:tcPr>
            <w:tcW w:type="dxa" w:w="3441"/>
            <w:shd w:val="clear" w:color="auto" w:fill="E6ECFD"/>
            <w:vAlign w:val="center"/>
          </w:tcPr>
          <w:p>
            <w:pPr>
              <w:spacing w:after="20" w:before="20" w:line="252" w:lineRule="auto"/>
            </w:pPr>
            <w:r/>
            <w:r>
              <w:rPr>
                <w:rFonts w:ascii="Arial" w:hAnsi="Arial"/>
                <w:b w:val="0"/>
                <w:sz w:val="17"/>
              </w:rPr>
              <w:t>Penurunan investasi 2032 tanpa pipeline penerus</w:t>
            </w:r>
          </w:p>
        </w:tc>
        <w:tc>
          <w:tcPr>
            <w:tcW w:type="dxa" w:w="4655"/>
            <w:shd w:val="clear" w:color="auto" w:fill="E6ECFD"/>
            <w:vAlign w:val="center"/>
          </w:tcPr>
          <w:p>
            <w:pPr>
              <w:spacing w:after="20" w:before="20" w:line="252" w:lineRule="auto"/>
            </w:pPr>
            <w:r/>
            <w:r>
              <w:rPr>
                <w:rFonts w:ascii="Arial" w:hAnsi="Arial"/>
                <w:b w:val="0"/>
                <w:sz w:val="17"/>
              </w:rPr>
              <w:t>Siapkan pipeline penerus sejak 2030</w:t>
            </w:r>
          </w:p>
        </w:tc>
        <w:tc>
          <w:tcPr>
            <w:tcW w:type="dxa" w:w="810"/>
            <w:shd w:val="clear" w:color="auto" w:fill="E6ECFD"/>
            <w:vAlign w:val="center"/>
          </w:tcPr>
          <w:p>
            <w:pPr>
              <w:spacing w:after="20" w:before="20" w:line="252" w:lineRule="auto"/>
            </w:pPr>
            <w:r/>
            <w:r>
              <w:rPr>
                <w:rFonts w:ascii="Arial" w:hAnsi="Arial"/>
                <w:b w:val="0"/>
                <w:sz w:val="17"/>
              </w:rPr>
              <w:t>S/T</w:t>
            </w:r>
          </w:p>
        </w:tc>
      </w:tr>
      <w:tr>
        <w:trPr>
          <w:cantSplit/>
        </w:trPr>
        <w:tc>
          <w:tcPr>
            <w:tcW w:type="dxa" w:w="506"/>
            <w:vAlign w:val="center"/>
          </w:tcPr>
          <w:p>
            <w:pPr>
              <w:spacing w:after="20" w:before="20" w:line="252" w:lineRule="auto"/>
            </w:pPr>
            <w:r/>
            <w:r>
              <w:rPr>
                <w:rFonts w:ascii="Arial" w:hAnsi="Arial"/>
                <w:b/>
                <w:sz w:val="17"/>
              </w:rPr>
              <w:t>21</w:t>
            </w:r>
          </w:p>
        </w:tc>
        <w:tc>
          <w:tcPr>
            <w:tcW w:type="dxa" w:w="3441"/>
            <w:vAlign w:val="center"/>
          </w:tcPr>
          <w:p>
            <w:pPr>
              <w:spacing w:after="20" w:before="20" w:line="252" w:lineRule="auto"/>
            </w:pPr>
            <w:r/>
            <w:r>
              <w:rPr>
                <w:rFonts w:ascii="Arial" w:hAnsi="Arial"/>
                <w:b w:val="0"/>
                <w:sz w:val="17"/>
              </w:rPr>
              <w:t>Tekanan impor dan transaksi berjalan</w:t>
            </w:r>
          </w:p>
        </w:tc>
        <w:tc>
          <w:tcPr>
            <w:tcW w:type="dxa" w:w="4655"/>
            <w:vAlign w:val="center"/>
          </w:tcPr>
          <w:p>
            <w:pPr>
              <w:spacing w:after="20" w:before="20" w:line="252" w:lineRule="auto"/>
            </w:pPr>
            <w:r/>
            <w:r>
              <w:rPr>
                <w:rFonts w:ascii="Arial" w:hAnsi="Arial"/>
                <w:b w:val="0"/>
                <w:sz w:val="17"/>
              </w:rPr>
              <w:t>Pemicu 2,5% PDB; jadwal ulang proyek</w:t>
            </w:r>
          </w:p>
        </w:tc>
        <w:tc>
          <w:tcPr>
            <w:tcW w:type="dxa" w:w="810"/>
            <w:vAlign w:val="center"/>
          </w:tcPr>
          <w:p>
            <w:pPr>
              <w:spacing w:after="20" w:before="20" w:line="252" w:lineRule="auto"/>
            </w:pPr>
            <w:r/>
            <w:r>
              <w:rPr>
                <w:rFonts w:ascii="Arial" w:hAnsi="Arial"/>
                <w:b w:val="0"/>
                <w:sz w:val="17"/>
              </w:rPr>
              <w:t>S/T</w:t>
            </w:r>
          </w:p>
        </w:tc>
      </w:tr>
      <w:tr>
        <w:trPr>
          <w:cantSplit/>
        </w:trPr>
        <w:tc>
          <w:tcPr>
            <w:tcW w:type="dxa" w:w="506"/>
            <w:shd w:val="clear" w:color="auto" w:fill="E6ECFD"/>
            <w:vAlign w:val="center"/>
          </w:tcPr>
          <w:p>
            <w:pPr>
              <w:spacing w:after="20" w:before="20" w:line="252" w:lineRule="auto"/>
            </w:pPr>
            <w:r/>
            <w:r>
              <w:rPr>
                <w:rFonts w:ascii="Arial" w:hAnsi="Arial"/>
                <w:b/>
                <w:sz w:val="17"/>
              </w:rPr>
              <w:t>22</w:t>
            </w:r>
          </w:p>
        </w:tc>
        <w:tc>
          <w:tcPr>
            <w:tcW w:type="dxa" w:w="3441"/>
            <w:shd w:val="clear" w:color="auto" w:fill="E6ECFD"/>
            <w:vAlign w:val="center"/>
          </w:tcPr>
          <w:p>
            <w:pPr>
              <w:spacing w:after="20" w:before="20" w:line="252" w:lineRule="auto"/>
            </w:pPr>
            <w:r/>
            <w:r>
              <w:rPr>
                <w:rFonts w:ascii="Arial" w:hAnsi="Arial"/>
                <w:b w:val="0"/>
                <w:sz w:val="17"/>
              </w:rPr>
              <w:t>Inflasi dari penyaluran NRF atau puncak konstruksi</w:t>
            </w:r>
          </w:p>
        </w:tc>
        <w:tc>
          <w:tcPr>
            <w:tcW w:type="dxa" w:w="4655"/>
            <w:shd w:val="clear" w:color="auto" w:fill="E6ECFD"/>
            <w:vAlign w:val="center"/>
          </w:tcPr>
          <w:p>
            <w:pPr>
              <w:spacing w:after="20" w:before="20" w:line="252" w:lineRule="auto"/>
            </w:pPr>
            <w:r/>
            <w:r>
              <w:rPr>
                <w:rFonts w:ascii="Arial" w:hAnsi="Arial"/>
                <w:b w:val="0"/>
                <w:sz w:val="17"/>
              </w:rPr>
              <w:t>Pemantau inflasi; pengaman dalam piagam</w:t>
            </w:r>
          </w:p>
        </w:tc>
        <w:tc>
          <w:tcPr>
            <w:tcW w:type="dxa" w:w="810"/>
            <w:shd w:val="clear" w:color="auto" w:fill="E6ECFD"/>
            <w:vAlign w:val="center"/>
          </w:tcPr>
          <w:p>
            <w:pPr>
              <w:spacing w:after="20" w:before="20" w:line="252" w:lineRule="auto"/>
            </w:pPr>
            <w:r/>
            <w:r>
              <w:rPr>
                <w:rFonts w:ascii="Arial" w:hAnsi="Arial"/>
                <w:b w:val="0"/>
                <w:sz w:val="17"/>
              </w:rPr>
              <w:t>S/T</w:t>
            </w:r>
          </w:p>
        </w:tc>
      </w:tr>
      <w:tr>
        <w:trPr>
          <w:cantSplit/>
        </w:trPr>
        <w:tc>
          <w:tcPr>
            <w:tcW w:type="dxa" w:w="506"/>
            <w:vAlign w:val="center"/>
          </w:tcPr>
          <w:p>
            <w:pPr>
              <w:spacing w:after="20" w:before="20" w:line="252" w:lineRule="auto"/>
            </w:pPr>
            <w:r/>
            <w:r>
              <w:rPr>
                <w:rFonts w:ascii="Arial" w:hAnsi="Arial"/>
                <w:b/>
                <w:sz w:val="17"/>
              </w:rPr>
              <w:t>24</w:t>
            </w:r>
          </w:p>
        </w:tc>
        <w:tc>
          <w:tcPr>
            <w:tcW w:type="dxa" w:w="3441"/>
            <w:vAlign w:val="center"/>
          </w:tcPr>
          <w:p>
            <w:pPr>
              <w:spacing w:after="20" w:before="20" w:line="252" w:lineRule="auto"/>
            </w:pPr>
            <w:r/>
            <w:r>
              <w:rPr>
                <w:rFonts w:ascii="Arial" w:hAnsi="Arial"/>
                <w:b w:val="0"/>
                <w:sz w:val="17"/>
              </w:rPr>
              <w:t>Pembiayaan paksa greenfield melalui bank BUMN</w:t>
            </w:r>
          </w:p>
        </w:tc>
        <w:tc>
          <w:tcPr>
            <w:tcW w:type="dxa" w:w="4655"/>
            <w:vAlign w:val="center"/>
          </w:tcPr>
          <w:p>
            <w:pPr>
              <w:spacing w:after="20" w:before="20" w:line="252" w:lineRule="auto"/>
            </w:pPr>
            <w:r/>
            <w:r>
              <w:rPr>
                <w:rFonts w:ascii="Arial" w:hAnsi="Arial"/>
                <w:b w:val="0"/>
                <w:sz w:val="17"/>
              </w:rPr>
              <w:t>Portofolio ganda; SPV ring-fenced</w:t>
            </w:r>
          </w:p>
        </w:tc>
        <w:tc>
          <w:tcPr>
            <w:tcW w:type="dxa" w:w="810"/>
            <w:vAlign w:val="center"/>
          </w:tcPr>
          <w:p>
            <w:pPr>
              <w:spacing w:after="20" w:before="20" w:line="252" w:lineRule="auto"/>
            </w:pPr>
            <w:r/>
            <w:r>
              <w:rPr>
                <w:rFonts w:ascii="Arial" w:hAnsi="Arial"/>
                <w:b w:val="0"/>
                <w:sz w:val="17"/>
              </w:rPr>
              <w:t>S/T</w:t>
            </w:r>
          </w:p>
        </w:tc>
      </w:tr>
    </w:tbl>
    <w:p>
      <w:pPr>
        <w:spacing w:after="160"/>
      </w:pPr>
      <w:r>
        <w:rPr>
          <w:rFonts w:ascii="Arial" w:hAnsi="Arial"/>
          <w:b w:val="0"/>
          <w:i/>
          <w:color w:val="051C5C"/>
          <w:sz w:val="17"/>
        </w:rPr>
        <w:t>Sumber: [K, Bab 15]; peringkat K/D: T tinggi, S sedang, R rendah. Dipilih sebagian dari 24 risiko.</w:t>
      </w:r>
    </w:p>
    <w:tbl>
      <w:tblPr>
        <w:tblW w:type="auto" w:w="0"/>
        <w:jc w:val="center"/>
        <w:tblLook w:firstColumn="1" w:firstRow="1" w:lastColumn="0" w:lastRow="0" w:noHBand="0" w:noVBand="1" w:val="04A0"/>
      </w:tblPr>
      <w:tblGrid>
        <w:gridCol w:w="9412"/>
      </w:tblGrid>
      <w:tr>
        <w:tc>
          <w:tcPr>
            <w:tcW w:type="dxa" w:w="9412"/>
            <w:tcBorders>
              <w:left w:val="single" w:sz="36" w:color="2251FF"/>
            </w:tcBorders>
            <w:shd w:val="clear" w:color="auto" w:fill="E6ECFD"/>
          </w:tcPr>
          <w:p>
            <w:pPr>
              <w:spacing w:after="40"/>
            </w:pPr>
            <w:r/>
            <w:r>
              <w:rPr>
                <w:rFonts w:ascii="Arial" w:hAnsi="Arial"/>
                <w:b/>
                <w:color w:val="051C5C"/>
                <w:sz w:val="21"/>
              </w:rPr>
              <w:t>Risiko tunggal terbesar</w:t>
            </w:r>
          </w:p>
          <w:p>
            <w:pPr>
              <w:spacing w:after="40"/>
            </w:pPr>
            <w:r>
              <w:rPr>
                <w:rFonts w:ascii="Arial" w:hAnsi="Arial"/>
                <w:b w:val="0"/>
                <w:sz w:val="20"/>
              </w:rPr>
              <w:t>"Memperlakukan transformasi sebagai target kuantitas (jumlah proyek, nilai investasi, jumlah UKM) dan bukan sebagai jalur bergerbang yang menuntut bukti kesiapan dan hasil. Percepatan tidak dapat dicapai dengan memindahkan pekerjaan yang belum selesai menjadi komitmen investasi" [DECK85, Bab 12; EVAL, Bagian 17]. Ini mirip dengan peringatan DOCK-UP: memperlakukan DOCK-UP sebagai kuota akan menggagalkan model dan merusak kredibilitas program [DOCK, hlm. 10].</w:t>
            </w:r>
          </w:p>
        </w:tc>
      </w:tr>
    </w:tbl>
    <w:p>
      <w:pPr>
        <w:spacing w:after="40"/>
      </w:pPr>
    </w:p>
    <w:p>
      <w:pPr>
        <w:pStyle w:val="Heading2"/>
      </w:pPr>
      <w:r>
        <w:t>7.5  Uji stres sebagai alat manajemen risiko proyek</w:t>
      </w:r>
    </w:p>
    <w:p>
      <w:pPr>
        <w:jc w:val="both"/>
      </w:pPr>
      <w:r>
        <w:rPr>
          <w:rFonts w:ascii="Arial" w:hAnsi="Arial"/>
          <w:b w:val="0"/>
        </w:rPr>
        <w:t>Uji stres menerapkan guncangan serempak untuk menilai ketahanan. Kajian merinci tujuh kelompok guncangan: kurs dan pembiayaan kembali (rupiah −15%; spread +200 bps), siklus industri (harga produk −20%; bahan baku dan listrik +15%), konstruksi (capex +20%; keterlambatan 12 bulan; kegagalan kontraktor), fiskal dan layanan publik (kompensasi terlambat 180 hari), kredit bank, teknologi dan pasar, serta lingkungan dan sosial; ditambah guncangan khusus NRF dan surat tagihan proyek. Angka ini "asumsi awal yang bersifat ilustratif" untuk dikalibrasi, bukan proyeksi atau ambang regulasi [K, Bab 10.6]. Pelajaran manajemen proyek: guncangan konstruksi (biaya +20% dan keterlambatan 12 bulan) harus dibaca bersamaan dengan guncangan pembiayaan, karena keterlambatan memperbesar bunga selama konstruksi dan dapat memicu pelanggaran covenant.</w:t>
      </w:r>
    </w:p>
    <w:p>
      <w:pPr>
        <w:pStyle w:val="Heading2"/>
      </w:pPr>
      <w:r>
        <w:t>7.6  Bias dan tata kelola risiko</w:t>
      </w:r>
    </w:p>
    <w:p>
      <w:pPr>
        <w:jc w:val="both"/>
      </w:pPr>
      <w:r>
        <w:rPr>
          <w:rFonts w:ascii="Arial" w:hAnsi="Arial"/>
          <w:b w:val="0"/>
        </w:rPr>
        <w:t>Proyek besar secara sistematis terlalu optimistis. Flyvbjerg (2003; 2014) menemukan bahwa mayoritas besar proyek infrastruktur melampaui biaya yang dianggarkan dan menyebut dua penyebab: bias optimisme psikologis dan misrepresentasi strategis oleh pihak yang berkepentingan agar proyek disetujui. Penangkalnya adalah peninjauan independen atas estimasi, penggunaan kelas acuan, dan pemisahan antara promotor dan penilai. Hal ini selaras dengan prinsip Kajian bahwa "promotor proyek dipisahkan dari penilai risiko, hukum, dan audit" [EVAL, Bagian 10]. Model tiga lini (manajemen operasional, fungsi risiko dan kepatuhan, audit internal) memberi struktur formal; ketiganya harus memiliki jalur pelaporan independen.</w:t>
      </w:r>
    </w:p>
    <w:p>
      <w:r>
        <w:br w:type="page"/>
      </w:r>
    </w:p>
    <w:p>
      <w:pPr>
        <w:pStyle w:val="Heading1"/>
      </w:pPr>
      <w:r>
        <w:t>8  Manajemen pengadaan, kontrak, dan lokalisasi</w:t>
      </w:r>
    </w:p>
    <w:p>
      <w:pPr>
        <w:pStyle w:val="Heading2"/>
      </w:pPr>
      <w:r>
        <w:t>8.1  Pengadaan sebagai proses pengendalian</w:t>
      </w:r>
    </w:p>
    <w:p>
      <w:pPr>
        <w:jc w:val="both"/>
      </w:pPr>
      <w:r>
        <w:rPr>
          <w:rFonts w:ascii="Arial" w:hAnsi="Arial"/>
          <w:b w:val="0"/>
        </w:rPr>
        <w:t>Pada proyek EPC, sebagian besar biaya terikat melalui kontrak dan PO; karena itu pengadaan adalah titik kendali terpenting setelah keputusan investasi. Alur kerja menurut sumber: spesifikasi dan MTO menjadi requisition material, lalu PR di ERP, pemeriksaan anggaran, kuantitas, dan waktu, permintaan penawaran kepada daftar pendek, evaluasi teknis dan komersial, persetujuan penghargaan sesuai matriks kewenangan menurut nilai, dan PO atau subkontrak sebagai komitmen. Setelah itu pelacakan percepatan (expediting), rencana inspeksi dan uji (ITP), uji penerimaan pabrik (FAT), penerimaan barang di lokasi, dan untuk jasa, lembar entri jasa atau sertifikat kemajuan. Pembayaran uang muka kepada vendor hanya berhadapan dengan jaminan bank uang muka dan dipulihkan dari faktur berikutnya [EPC, §4.2].</w:t>
      </w:r>
    </w:p>
    <w:p>
      <w:pPr>
        <w:pStyle w:val="Heading2"/>
      </w:pPr>
      <w:r>
        <w:t>8.2  Strategi kontrak dan alokasi risiko</w:t>
      </w:r>
    </w:p>
    <w:p>
      <w:pPr>
        <w:keepNext/>
        <w:spacing w:after="60"/>
      </w:pPr>
      <w:r>
        <w:rPr>
          <w:rFonts w:ascii="Arial" w:hAnsi="Arial"/>
          <w:b/>
          <w:color w:val="051C5C"/>
          <w:sz w:val="19"/>
        </w:rPr>
        <w:t xml:space="preserve">Tabel 25: </w:t>
      </w:r>
      <w:r>
        <w:rPr>
          <w:rFonts w:ascii="Arial" w:hAnsi="Arial"/>
          <w:color w:val="051C5C"/>
          <w:sz w:val="19"/>
        </w:rPr>
        <w:t>Bentuk kontrak proyek dan alokasi risiko tipikal</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1882"/>
        <w:gridCol w:w="1882"/>
        <w:gridCol w:w="1882"/>
        <w:gridCol w:w="1882"/>
        <w:gridCol w:w="1882"/>
      </w:tblGrid>
      <w:tr>
        <w:trPr>
          <w:cantSplit/>
          <w:tblHeader/>
        </w:trPr>
        <w:tc>
          <w:tcPr>
            <w:tcW w:type="dxa" w:w="1863"/>
            <w:shd w:val="clear" w:color="auto" w:fill="2251FF"/>
            <w:vAlign w:val="center"/>
          </w:tcPr>
          <w:p>
            <w:pPr>
              <w:spacing w:after="20" w:before="20" w:line="252" w:lineRule="auto"/>
            </w:pPr>
            <w:r/>
            <w:r>
              <w:rPr>
                <w:rFonts w:ascii="Arial" w:hAnsi="Arial"/>
                <w:b/>
                <w:color w:val="FFFFFF"/>
                <w:sz w:val="16"/>
              </w:rPr>
              <w:t>Bentuk</w:t>
            </w:r>
          </w:p>
        </w:tc>
        <w:tc>
          <w:tcPr>
            <w:tcW w:type="dxa" w:w="2451"/>
            <w:shd w:val="clear" w:color="auto" w:fill="2251FF"/>
            <w:vAlign w:val="center"/>
          </w:tcPr>
          <w:p>
            <w:pPr>
              <w:spacing w:after="20" w:before="20" w:line="252" w:lineRule="auto"/>
            </w:pPr>
            <w:r/>
            <w:r>
              <w:rPr>
                <w:rFonts w:ascii="Arial" w:hAnsi="Arial"/>
                <w:b/>
                <w:color w:val="FFFFFF"/>
                <w:sz w:val="16"/>
              </w:rPr>
              <w:t>Ciri</w:t>
            </w:r>
          </w:p>
        </w:tc>
        <w:tc>
          <w:tcPr>
            <w:tcW w:type="dxa" w:w="1765"/>
            <w:shd w:val="clear" w:color="auto" w:fill="2251FF"/>
            <w:vAlign w:val="center"/>
          </w:tcPr>
          <w:p>
            <w:pPr>
              <w:spacing w:after="20" w:before="20" w:line="252" w:lineRule="auto"/>
            </w:pPr>
            <w:r/>
            <w:r>
              <w:rPr>
                <w:rFonts w:ascii="Arial" w:hAnsi="Arial"/>
                <w:b/>
                <w:color w:val="FFFFFF"/>
                <w:sz w:val="16"/>
              </w:rPr>
              <w:t>Risiko utama pada pemilik</w:t>
            </w:r>
          </w:p>
        </w:tc>
        <w:tc>
          <w:tcPr>
            <w:tcW w:type="dxa" w:w="1765"/>
            <w:shd w:val="clear" w:color="auto" w:fill="2251FF"/>
            <w:vAlign w:val="center"/>
          </w:tcPr>
          <w:p>
            <w:pPr>
              <w:spacing w:after="20" w:before="20" w:line="252" w:lineRule="auto"/>
            </w:pPr>
            <w:r/>
            <w:r>
              <w:rPr>
                <w:rFonts w:ascii="Arial" w:hAnsi="Arial"/>
                <w:b/>
                <w:color w:val="FFFFFF"/>
                <w:sz w:val="16"/>
              </w:rPr>
              <w:t>Risiko utama pada kontraktor</w:t>
            </w:r>
          </w:p>
        </w:tc>
        <w:tc>
          <w:tcPr>
            <w:tcW w:type="dxa" w:w="1569"/>
            <w:shd w:val="clear" w:color="auto" w:fill="2251FF"/>
            <w:vAlign w:val="center"/>
          </w:tcPr>
          <w:p>
            <w:pPr>
              <w:spacing w:after="20" w:before="20" w:line="252" w:lineRule="auto"/>
            </w:pPr>
            <w:r/>
            <w:r>
              <w:rPr>
                <w:rFonts w:ascii="Arial" w:hAnsi="Arial"/>
                <w:b/>
                <w:color w:val="FFFFFF"/>
                <w:sz w:val="16"/>
              </w:rPr>
              <w:t>Cocok untuk</w:t>
            </w:r>
          </w:p>
        </w:tc>
      </w:tr>
      <w:tr>
        <w:trPr>
          <w:cantSplit/>
        </w:trPr>
        <w:tc>
          <w:tcPr>
            <w:tcW w:type="dxa" w:w="1863"/>
            <w:vAlign w:val="center"/>
          </w:tcPr>
          <w:p>
            <w:pPr>
              <w:spacing w:after="20" w:before="20" w:line="252" w:lineRule="auto"/>
            </w:pPr>
            <w:r/>
            <w:r>
              <w:rPr>
                <w:rFonts w:ascii="Arial" w:hAnsi="Arial"/>
                <w:b/>
                <w:sz w:val="16"/>
              </w:rPr>
              <w:t>Harga satuan (unit rate)</w:t>
            </w:r>
          </w:p>
        </w:tc>
        <w:tc>
          <w:tcPr>
            <w:tcW w:type="dxa" w:w="2451"/>
            <w:vAlign w:val="center"/>
          </w:tcPr>
          <w:p>
            <w:pPr>
              <w:spacing w:after="20" w:before="20" w:line="252" w:lineRule="auto"/>
            </w:pPr>
            <w:r/>
            <w:r>
              <w:rPr>
                <w:rFonts w:ascii="Arial" w:hAnsi="Arial"/>
                <w:b w:val="0"/>
                <w:sz w:val="16"/>
              </w:rPr>
              <w:t>Dibayar menurut kuantitas terukur</w:t>
            </w:r>
          </w:p>
        </w:tc>
        <w:tc>
          <w:tcPr>
            <w:tcW w:type="dxa" w:w="1765"/>
            <w:vAlign w:val="center"/>
          </w:tcPr>
          <w:p>
            <w:pPr>
              <w:spacing w:after="20" w:before="20" w:line="252" w:lineRule="auto"/>
            </w:pPr>
            <w:r/>
            <w:r>
              <w:rPr>
                <w:rFonts w:ascii="Arial" w:hAnsi="Arial"/>
                <w:b w:val="0"/>
                <w:sz w:val="16"/>
              </w:rPr>
              <w:t>Kuantitas dan eskalasi</w:t>
            </w:r>
          </w:p>
        </w:tc>
        <w:tc>
          <w:tcPr>
            <w:tcW w:type="dxa" w:w="1765"/>
            <w:vAlign w:val="center"/>
          </w:tcPr>
          <w:p>
            <w:pPr>
              <w:spacing w:after="20" w:before="20" w:line="252" w:lineRule="auto"/>
            </w:pPr>
            <w:r/>
            <w:r>
              <w:rPr>
                <w:rFonts w:ascii="Arial" w:hAnsi="Arial"/>
                <w:b w:val="0"/>
                <w:sz w:val="16"/>
              </w:rPr>
              <w:t>Produktivitas, harga satuan</w:t>
            </w:r>
          </w:p>
        </w:tc>
        <w:tc>
          <w:tcPr>
            <w:tcW w:type="dxa" w:w="1569"/>
            <w:vAlign w:val="center"/>
          </w:tcPr>
          <w:p>
            <w:pPr>
              <w:spacing w:after="20" w:before="20" w:line="252" w:lineRule="auto"/>
            </w:pPr>
            <w:r/>
            <w:r>
              <w:rPr>
                <w:rFonts w:ascii="Arial" w:hAnsi="Arial"/>
                <w:b w:val="0"/>
                <w:sz w:val="16"/>
              </w:rPr>
              <w:t>Pekerjaan tanah, jalan, pipa</w:t>
            </w:r>
          </w:p>
        </w:tc>
      </w:tr>
      <w:tr>
        <w:trPr>
          <w:cantSplit/>
        </w:trPr>
        <w:tc>
          <w:tcPr>
            <w:tcW w:type="dxa" w:w="1863"/>
            <w:shd w:val="clear" w:color="auto" w:fill="E6ECFD"/>
            <w:vAlign w:val="center"/>
          </w:tcPr>
          <w:p>
            <w:pPr>
              <w:spacing w:after="20" w:before="20" w:line="252" w:lineRule="auto"/>
            </w:pPr>
            <w:r/>
            <w:r>
              <w:rPr>
                <w:rFonts w:ascii="Arial" w:hAnsi="Arial"/>
                <w:b/>
                <w:sz w:val="16"/>
              </w:rPr>
              <w:t>Harga tetap (lump sum)</w:t>
            </w:r>
          </w:p>
        </w:tc>
        <w:tc>
          <w:tcPr>
            <w:tcW w:type="dxa" w:w="2451"/>
            <w:shd w:val="clear" w:color="auto" w:fill="E6ECFD"/>
            <w:vAlign w:val="center"/>
          </w:tcPr>
          <w:p>
            <w:pPr>
              <w:spacing w:after="20" w:before="20" w:line="252" w:lineRule="auto"/>
            </w:pPr>
            <w:r/>
            <w:r>
              <w:rPr>
                <w:rFonts w:ascii="Arial" w:hAnsi="Arial"/>
                <w:b w:val="0"/>
                <w:sz w:val="16"/>
              </w:rPr>
              <w:t>Harga tetap untuk lingkup tertentu</w:t>
            </w:r>
          </w:p>
        </w:tc>
        <w:tc>
          <w:tcPr>
            <w:tcW w:type="dxa" w:w="1765"/>
            <w:shd w:val="clear" w:color="auto" w:fill="E6ECFD"/>
            <w:vAlign w:val="center"/>
          </w:tcPr>
          <w:p>
            <w:pPr>
              <w:spacing w:after="20" w:before="20" w:line="252" w:lineRule="auto"/>
            </w:pPr>
            <w:r/>
            <w:r>
              <w:rPr>
                <w:rFonts w:ascii="Arial" w:hAnsi="Arial"/>
                <w:b w:val="0"/>
                <w:sz w:val="16"/>
              </w:rPr>
              <w:t>Lingkup dan perubahan</w:t>
            </w:r>
          </w:p>
        </w:tc>
        <w:tc>
          <w:tcPr>
            <w:tcW w:type="dxa" w:w="1765"/>
            <w:shd w:val="clear" w:color="auto" w:fill="E6ECFD"/>
            <w:vAlign w:val="center"/>
          </w:tcPr>
          <w:p>
            <w:pPr>
              <w:spacing w:after="20" w:before="20" w:line="252" w:lineRule="auto"/>
            </w:pPr>
            <w:r/>
            <w:r>
              <w:rPr>
                <w:rFonts w:ascii="Arial" w:hAnsi="Arial"/>
                <w:b w:val="0"/>
                <w:sz w:val="16"/>
              </w:rPr>
              <w:t>Estimasi dan pelaksanaan</w:t>
            </w:r>
          </w:p>
        </w:tc>
        <w:tc>
          <w:tcPr>
            <w:tcW w:type="dxa" w:w="1569"/>
            <w:shd w:val="clear" w:color="auto" w:fill="E6ECFD"/>
            <w:vAlign w:val="center"/>
          </w:tcPr>
          <w:p>
            <w:pPr>
              <w:spacing w:after="20" w:before="20" w:line="252" w:lineRule="auto"/>
            </w:pPr>
            <w:r/>
            <w:r>
              <w:rPr>
                <w:rFonts w:ascii="Arial" w:hAnsi="Arial"/>
                <w:b w:val="0"/>
                <w:sz w:val="16"/>
              </w:rPr>
              <w:t>Lingkup yang jelas dan stabil</w:t>
            </w:r>
          </w:p>
        </w:tc>
      </w:tr>
      <w:tr>
        <w:trPr>
          <w:cantSplit/>
        </w:trPr>
        <w:tc>
          <w:tcPr>
            <w:tcW w:type="dxa" w:w="1863"/>
            <w:vAlign w:val="center"/>
          </w:tcPr>
          <w:p>
            <w:pPr>
              <w:spacing w:after="20" w:before="20" w:line="252" w:lineRule="auto"/>
            </w:pPr>
            <w:r/>
            <w:r>
              <w:rPr>
                <w:rFonts w:ascii="Arial" w:hAnsi="Arial"/>
                <w:b/>
                <w:sz w:val="16"/>
              </w:rPr>
              <w:t>Biaya ditambah imbalan (cost-plus)</w:t>
            </w:r>
          </w:p>
        </w:tc>
        <w:tc>
          <w:tcPr>
            <w:tcW w:type="dxa" w:w="2451"/>
            <w:vAlign w:val="center"/>
          </w:tcPr>
          <w:p>
            <w:pPr>
              <w:spacing w:after="20" w:before="20" w:line="252" w:lineRule="auto"/>
            </w:pPr>
            <w:r/>
            <w:r>
              <w:rPr>
                <w:rFonts w:ascii="Arial" w:hAnsi="Arial"/>
                <w:b w:val="0"/>
                <w:sz w:val="16"/>
              </w:rPr>
              <w:t>Biaya aktual ditambah imbalan</w:t>
            </w:r>
          </w:p>
        </w:tc>
        <w:tc>
          <w:tcPr>
            <w:tcW w:type="dxa" w:w="1765"/>
            <w:vAlign w:val="center"/>
          </w:tcPr>
          <w:p>
            <w:pPr>
              <w:spacing w:after="20" w:before="20" w:line="252" w:lineRule="auto"/>
            </w:pPr>
            <w:r/>
            <w:r>
              <w:rPr>
                <w:rFonts w:ascii="Arial" w:hAnsi="Arial"/>
                <w:b w:val="0"/>
                <w:sz w:val="16"/>
              </w:rPr>
              <w:t>Biaya tak terkendali</w:t>
            </w:r>
          </w:p>
        </w:tc>
        <w:tc>
          <w:tcPr>
            <w:tcW w:type="dxa" w:w="1765"/>
            <w:vAlign w:val="center"/>
          </w:tcPr>
          <w:p>
            <w:pPr>
              <w:spacing w:after="20" w:before="20" w:line="252" w:lineRule="auto"/>
            </w:pPr>
            <w:r/>
            <w:r>
              <w:rPr>
                <w:rFonts w:ascii="Arial" w:hAnsi="Arial"/>
                <w:b w:val="0"/>
                <w:sz w:val="16"/>
              </w:rPr>
              <w:t>Minimal</w:t>
            </w:r>
          </w:p>
        </w:tc>
        <w:tc>
          <w:tcPr>
            <w:tcW w:type="dxa" w:w="1569"/>
            <w:vAlign w:val="center"/>
          </w:tcPr>
          <w:p>
            <w:pPr>
              <w:spacing w:after="20" w:before="20" w:line="252" w:lineRule="auto"/>
            </w:pPr>
            <w:r/>
            <w:r>
              <w:rPr>
                <w:rFonts w:ascii="Arial" w:hAnsi="Arial"/>
                <w:b w:val="0"/>
                <w:sz w:val="16"/>
              </w:rPr>
              <w:t>Lingkup belum pasti, awal proyek</w:t>
            </w:r>
          </w:p>
        </w:tc>
      </w:tr>
      <w:tr>
        <w:trPr>
          <w:cantSplit/>
        </w:trPr>
        <w:tc>
          <w:tcPr>
            <w:tcW w:type="dxa" w:w="1863"/>
            <w:shd w:val="clear" w:color="auto" w:fill="E6ECFD"/>
            <w:vAlign w:val="center"/>
          </w:tcPr>
          <w:p>
            <w:pPr>
              <w:spacing w:after="20" w:before="20" w:line="252" w:lineRule="auto"/>
            </w:pPr>
            <w:r/>
            <w:r>
              <w:rPr>
                <w:rFonts w:ascii="Arial" w:hAnsi="Arial"/>
                <w:b/>
                <w:sz w:val="16"/>
              </w:rPr>
              <w:t>Biaya sasaran (target cost)</w:t>
            </w:r>
          </w:p>
        </w:tc>
        <w:tc>
          <w:tcPr>
            <w:tcW w:type="dxa" w:w="2451"/>
            <w:shd w:val="clear" w:color="auto" w:fill="E6ECFD"/>
            <w:vAlign w:val="center"/>
          </w:tcPr>
          <w:p>
            <w:pPr>
              <w:spacing w:after="20" w:before="20" w:line="252" w:lineRule="auto"/>
            </w:pPr>
            <w:r/>
            <w:r>
              <w:rPr>
                <w:rFonts w:ascii="Arial" w:hAnsi="Arial"/>
                <w:b w:val="0"/>
                <w:sz w:val="16"/>
              </w:rPr>
              <w:t>Biaya sasaran dengan bagi hasil penghematan dan pembengkakan</w:t>
            </w:r>
          </w:p>
        </w:tc>
        <w:tc>
          <w:tcPr>
            <w:tcW w:type="dxa" w:w="1765"/>
            <w:shd w:val="clear" w:color="auto" w:fill="E6ECFD"/>
            <w:vAlign w:val="center"/>
          </w:tcPr>
          <w:p>
            <w:pPr>
              <w:spacing w:after="20" w:before="20" w:line="252" w:lineRule="auto"/>
            </w:pPr>
            <w:r/>
            <w:r>
              <w:rPr>
                <w:rFonts w:ascii="Arial" w:hAnsi="Arial"/>
                <w:b w:val="0"/>
                <w:sz w:val="16"/>
              </w:rPr>
              <w:t>Menengah</w:t>
            </w:r>
          </w:p>
        </w:tc>
        <w:tc>
          <w:tcPr>
            <w:tcW w:type="dxa" w:w="1765"/>
            <w:shd w:val="clear" w:color="auto" w:fill="E6ECFD"/>
            <w:vAlign w:val="center"/>
          </w:tcPr>
          <w:p>
            <w:pPr>
              <w:spacing w:after="20" w:before="20" w:line="252" w:lineRule="auto"/>
            </w:pPr>
            <w:r/>
            <w:r>
              <w:rPr>
                <w:rFonts w:ascii="Arial" w:hAnsi="Arial"/>
                <w:b w:val="0"/>
                <w:sz w:val="16"/>
              </w:rPr>
              <w:t>Menengah</w:t>
            </w:r>
          </w:p>
        </w:tc>
        <w:tc>
          <w:tcPr>
            <w:tcW w:type="dxa" w:w="1569"/>
            <w:shd w:val="clear" w:color="auto" w:fill="E6ECFD"/>
            <w:vAlign w:val="center"/>
          </w:tcPr>
          <w:p>
            <w:pPr>
              <w:spacing w:after="20" w:before="20" w:line="252" w:lineRule="auto"/>
            </w:pPr>
            <w:r/>
            <w:r>
              <w:rPr>
                <w:rFonts w:ascii="Arial" w:hAnsi="Arial"/>
                <w:b w:val="0"/>
                <w:sz w:val="16"/>
              </w:rPr>
              <w:t>Proyek kompleks dengan kolaborasi</w:t>
            </w:r>
          </w:p>
        </w:tc>
      </w:tr>
      <w:tr>
        <w:trPr>
          <w:cantSplit/>
        </w:trPr>
        <w:tc>
          <w:tcPr>
            <w:tcW w:type="dxa" w:w="1863"/>
            <w:vAlign w:val="center"/>
          </w:tcPr>
          <w:p>
            <w:pPr>
              <w:spacing w:after="20" w:before="20" w:line="252" w:lineRule="auto"/>
            </w:pPr>
            <w:r/>
            <w:r>
              <w:rPr>
                <w:rFonts w:ascii="Arial" w:hAnsi="Arial"/>
                <w:b/>
                <w:sz w:val="16"/>
              </w:rPr>
              <w:t>EPC / turnkey (FIDIC Silver Book)</w:t>
            </w:r>
          </w:p>
        </w:tc>
        <w:tc>
          <w:tcPr>
            <w:tcW w:type="dxa" w:w="2451"/>
            <w:vAlign w:val="center"/>
          </w:tcPr>
          <w:p>
            <w:pPr>
              <w:spacing w:after="20" w:before="20" w:line="252" w:lineRule="auto"/>
            </w:pPr>
            <w:r/>
            <w:r>
              <w:rPr>
                <w:rFonts w:ascii="Arial" w:hAnsi="Arial"/>
                <w:b w:val="0"/>
                <w:sz w:val="16"/>
              </w:rPr>
              <w:t>Kontraktor menanggung desain, pengadaan, konstruksi, komisioning dengan harga tetap</w:t>
            </w:r>
          </w:p>
        </w:tc>
        <w:tc>
          <w:tcPr>
            <w:tcW w:type="dxa" w:w="1765"/>
            <w:vAlign w:val="center"/>
          </w:tcPr>
          <w:p>
            <w:pPr>
              <w:spacing w:after="20" w:before="20" w:line="252" w:lineRule="auto"/>
            </w:pPr>
            <w:r/>
            <w:r>
              <w:rPr>
                <w:rFonts w:ascii="Arial" w:hAnsi="Arial"/>
                <w:b w:val="0"/>
                <w:sz w:val="16"/>
              </w:rPr>
              <w:t>Kepastian harga; kontrol desain berkurang</w:t>
            </w:r>
          </w:p>
        </w:tc>
        <w:tc>
          <w:tcPr>
            <w:tcW w:type="dxa" w:w="1765"/>
            <w:vAlign w:val="center"/>
          </w:tcPr>
          <w:p>
            <w:pPr>
              <w:spacing w:after="20" w:before="20" w:line="252" w:lineRule="auto"/>
            </w:pPr>
            <w:r/>
            <w:r>
              <w:rPr>
                <w:rFonts w:ascii="Arial" w:hAnsi="Arial"/>
                <w:b w:val="0"/>
                <w:sz w:val="16"/>
              </w:rPr>
              <w:t>Risiko desain, pengadaan, konstruksi, komisioning</w:t>
            </w:r>
          </w:p>
        </w:tc>
        <w:tc>
          <w:tcPr>
            <w:tcW w:type="dxa" w:w="1569"/>
            <w:vAlign w:val="center"/>
          </w:tcPr>
          <w:p>
            <w:pPr>
              <w:spacing w:after="20" w:before="20" w:line="252" w:lineRule="auto"/>
            </w:pPr>
            <w:r/>
            <w:r>
              <w:rPr>
                <w:rFonts w:ascii="Arial" w:hAnsi="Arial"/>
                <w:b w:val="0"/>
                <w:sz w:val="16"/>
              </w:rPr>
              <w:t>Proyek industri dan energi dengan lingkup terdefinisi</w:t>
            </w:r>
          </w:p>
        </w:tc>
      </w:tr>
      <w:tr>
        <w:trPr>
          <w:cantSplit/>
        </w:trPr>
        <w:tc>
          <w:tcPr>
            <w:tcW w:type="dxa" w:w="1863"/>
            <w:shd w:val="clear" w:color="auto" w:fill="E6ECFD"/>
            <w:vAlign w:val="center"/>
          </w:tcPr>
          <w:p>
            <w:pPr>
              <w:spacing w:after="20" w:before="20" w:line="252" w:lineRule="auto"/>
            </w:pPr>
            <w:r/>
            <w:r>
              <w:rPr>
                <w:rFonts w:ascii="Arial" w:hAnsi="Arial"/>
                <w:b/>
                <w:sz w:val="16"/>
              </w:rPr>
              <w:t>EPCM / manajemen konstruksi</w:t>
            </w:r>
          </w:p>
        </w:tc>
        <w:tc>
          <w:tcPr>
            <w:tcW w:type="dxa" w:w="2451"/>
            <w:shd w:val="clear" w:color="auto" w:fill="E6ECFD"/>
            <w:vAlign w:val="center"/>
          </w:tcPr>
          <w:p>
            <w:pPr>
              <w:spacing w:after="20" w:before="20" w:line="252" w:lineRule="auto"/>
            </w:pPr>
            <w:r/>
            <w:r>
              <w:rPr>
                <w:rFonts w:ascii="Arial" w:hAnsi="Arial"/>
                <w:b w:val="0"/>
                <w:sz w:val="16"/>
              </w:rPr>
              <w:t>Pemilik menandatangani paket, manajer mengelola</w:t>
            </w:r>
          </w:p>
        </w:tc>
        <w:tc>
          <w:tcPr>
            <w:tcW w:type="dxa" w:w="1765"/>
            <w:shd w:val="clear" w:color="auto" w:fill="E6ECFD"/>
            <w:vAlign w:val="center"/>
          </w:tcPr>
          <w:p>
            <w:pPr>
              <w:spacing w:after="20" w:before="20" w:line="252" w:lineRule="auto"/>
            </w:pPr>
            <w:r/>
            <w:r>
              <w:rPr>
                <w:rFonts w:ascii="Arial" w:hAnsi="Arial"/>
                <w:b w:val="0"/>
                <w:sz w:val="16"/>
              </w:rPr>
              <w:t>Risiko antarmuka dan biaya</w:t>
            </w:r>
          </w:p>
        </w:tc>
        <w:tc>
          <w:tcPr>
            <w:tcW w:type="dxa" w:w="1765"/>
            <w:shd w:val="clear" w:color="auto" w:fill="E6ECFD"/>
            <w:vAlign w:val="center"/>
          </w:tcPr>
          <w:p>
            <w:pPr>
              <w:spacing w:after="20" w:before="20" w:line="252" w:lineRule="auto"/>
            </w:pPr>
            <w:r/>
            <w:r>
              <w:rPr>
                <w:rFonts w:ascii="Arial" w:hAnsi="Arial"/>
                <w:b w:val="0"/>
                <w:sz w:val="16"/>
              </w:rPr>
              <w:t>Rendah</w:t>
            </w:r>
          </w:p>
        </w:tc>
        <w:tc>
          <w:tcPr>
            <w:tcW w:type="dxa" w:w="1569"/>
            <w:shd w:val="clear" w:color="auto" w:fill="E6ECFD"/>
            <w:vAlign w:val="center"/>
          </w:tcPr>
          <w:p>
            <w:pPr>
              <w:spacing w:after="20" w:before="20" w:line="252" w:lineRule="auto"/>
            </w:pPr>
            <w:r/>
            <w:r>
              <w:rPr>
                <w:rFonts w:ascii="Arial" w:hAnsi="Arial"/>
                <w:b w:val="0"/>
                <w:sz w:val="16"/>
              </w:rPr>
              <w:t>Proyek besar multi-paket</w:t>
            </w:r>
          </w:p>
        </w:tc>
      </w:tr>
      <w:tr>
        <w:trPr>
          <w:cantSplit/>
        </w:trPr>
        <w:tc>
          <w:tcPr>
            <w:tcW w:type="dxa" w:w="1863"/>
            <w:vAlign w:val="center"/>
          </w:tcPr>
          <w:p>
            <w:pPr>
              <w:spacing w:after="20" w:before="20" w:line="252" w:lineRule="auto"/>
            </w:pPr>
            <w:r/>
            <w:r>
              <w:rPr>
                <w:rFonts w:ascii="Arial" w:hAnsi="Arial"/>
                <w:b/>
                <w:sz w:val="16"/>
              </w:rPr>
              <w:t>Aliansi / IPD</w:t>
            </w:r>
          </w:p>
        </w:tc>
        <w:tc>
          <w:tcPr>
            <w:tcW w:type="dxa" w:w="2451"/>
            <w:vAlign w:val="center"/>
          </w:tcPr>
          <w:p>
            <w:pPr>
              <w:spacing w:after="20" w:before="20" w:line="252" w:lineRule="auto"/>
            </w:pPr>
            <w:r/>
            <w:r>
              <w:rPr>
                <w:rFonts w:ascii="Arial" w:hAnsi="Arial"/>
                <w:b w:val="0"/>
                <w:sz w:val="16"/>
              </w:rPr>
              <w:t>Pemilik, desainer, kontraktor berbagi risiko dan keuntungan</w:t>
            </w:r>
          </w:p>
        </w:tc>
        <w:tc>
          <w:tcPr>
            <w:tcW w:type="dxa" w:w="1765"/>
            <w:vAlign w:val="center"/>
          </w:tcPr>
          <w:p>
            <w:pPr>
              <w:spacing w:after="20" w:before="20" w:line="252" w:lineRule="auto"/>
            </w:pPr>
            <w:r/>
            <w:r>
              <w:rPr>
                <w:rFonts w:ascii="Arial" w:hAnsi="Arial"/>
                <w:b w:val="0"/>
                <w:sz w:val="16"/>
              </w:rPr>
              <w:t>Bersama</w:t>
            </w:r>
          </w:p>
        </w:tc>
        <w:tc>
          <w:tcPr>
            <w:tcW w:type="dxa" w:w="1765"/>
            <w:vAlign w:val="center"/>
          </w:tcPr>
          <w:p>
            <w:pPr>
              <w:spacing w:after="20" w:before="20" w:line="252" w:lineRule="auto"/>
            </w:pPr>
            <w:r/>
            <w:r>
              <w:rPr>
                <w:rFonts w:ascii="Arial" w:hAnsi="Arial"/>
                <w:b w:val="0"/>
                <w:sz w:val="16"/>
              </w:rPr>
              <w:t>Bersama</w:t>
            </w:r>
          </w:p>
        </w:tc>
        <w:tc>
          <w:tcPr>
            <w:tcW w:type="dxa" w:w="1569"/>
            <w:vAlign w:val="center"/>
          </w:tcPr>
          <w:p>
            <w:pPr>
              <w:spacing w:after="20" w:before="20" w:line="252" w:lineRule="auto"/>
            </w:pPr>
            <w:r/>
            <w:r>
              <w:rPr>
                <w:rFonts w:ascii="Arial" w:hAnsi="Arial"/>
                <w:b w:val="0"/>
                <w:sz w:val="16"/>
              </w:rPr>
              <w:t>Proyek sangat kompleks</w:t>
            </w:r>
          </w:p>
        </w:tc>
      </w:tr>
    </w:tbl>
    <w:p>
      <w:pPr>
        <w:spacing w:after="160"/>
      </w:pPr>
      <w:r>
        <w:rPr>
          <w:rFonts w:ascii="Arial" w:hAnsi="Arial"/>
          <w:b w:val="0"/>
          <w:i/>
          <w:color w:val="051C5C"/>
          <w:sz w:val="17"/>
        </w:rPr>
        <w:t>Sumber: FIDIC (2017) dan praktik umum; analisis penulis. Dalam dokumen platform, risiko turnkey/EPC yang ditanggung kontraktor dicatat sebagai salah satu penyebab tekanan BUMN Karya [PLAT, hlm. 3].</w:t>
      </w:r>
    </w:p>
    <w:p>
      <w:pPr>
        <w:jc w:val="both"/>
      </w:pPr>
      <w:r>
        <w:rPr>
          <w:rFonts w:ascii="Arial" w:hAnsi="Arial"/>
          <w:b w:val="0"/>
        </w:rPr>
        <w:t>Pemilihan bentuk kontrak harus mengikuti kematangan definisi: harga tetap atau turnkey menuntut lingkup yang sudah matang (kelas estimasi tinggi); bila definisi lemah, kontraktor memberi harga pada risiko yang tidak ia pahami atau mengejar perubahan untuk menutup margin. Itulah salah satu jalur menuju kerugian: kontraktor BUMN menerima paket turnkey dengan margin tipis pada lingkup yang belum matang, lalu menanggung biaya desain dan perubahan.</w:t>
      </w:r>
    </w:p>
    <w:p>
      <w:pPr>
        <w:pStyle w:val="Heading2"/>
      </w:pPr>
      <w:r>
        <w:t>8.3  Instrumen kontraktual yang melindungi proyek</w:t>
      </w:r>
    </w:p>
    <w:p>
      <w:pPr>
        <w:pStyle w:val="ListBullet"/>
        <w:spacing w:after="40"/>
      </w:pPr>
      <w:r>
        <w:rPr>
          <w:rFonts w:ascii="Arial" w:hAnsi="Arial"/>
          <w:b/>
        </w:rPr>
        <w:t>Jaminan</w:t>
      </w:r>
      <w:r>
        <w:rPr>
          <w:rFonts w:ascii="Arial" w:hAnsi="Arial"/>
          <w:b w:val="0"/>
        </w:rPr>
        <w:t>: jaminan uang muka, jaminan pelaksanaan, jaminan pemeliharaan, retensi (5–10%).</w:t>
      </w:r>
    </w:p>
    <w:p>
      <w:pPr>
        <w:pStyle w:val="ListBullet"/>
        <w:spacing w:after="40"/>
      </w:pPr>
      <w:r>
        <w:rPr>
          <w:rFonts w:ascii="Arial" w:hAnsi="Arial"/>
          <w:b/>
        </w:rPr>
        <w:t>Denda keterlambatan dan batas tanggung jawab</w:t>
      </w:r>
      <w:r>
        <w:rPr>
          <w:rFonts w:ascii="Arial" w:hAnsi="Arial"/>
          <w:b w:val="0"/>
        </w:rPr>
        <w:t xml:space="preserve"> (liquidated damages), yang harus dibaca saat penawaran.</w:t>
      </w:r>
    </w:p>
    <w:p>
      <w:pPr>
        <w:pStyle w:val="ListBullet"/>
        <w:spacing w:after="40"/>
      </w:pPr>
      <w:r>
        <w:rPr>
          <w:rFonts w:ascii="Arial" w:hAnsi="Arial"/>
          <w:b/>
        </w:rPr>
        <w:t>Mekanisme perubahan</w:t>
      </w:r>
      <w:r>
        <w:rPr>
          <w:rFonts w:ascii="Arial" w:hAnsi="Arial"/>
          <w:b w:val="0"/>
        </w:rPr>
        <w:t>: prosedur permintaan perubahan, penilaian dampak biaya dan waktu, persetujuan sebelum pelaksanaan.</w:t>
      </w:r>
    </w:p>
    <w:p>
      <w:pPr>
        <w:pStyle w:val="ListBullet"/>
        <w:spacing w:after="40"/>
      </w:pPr>
      <w:r>
        <w:rPr>
          <w:rFonts w:ascii="Arial" w:hAnsi="Arial"/>
          <w:b/>
        </w:rPr>
        <w:t>Ketentuan klaim dan sengketa</w:t>
      </w:r>
      <w:r>
        <w:rPr>
          <w:rFonts w:ascii="Arial" w:hAnsi="Arial"/>
          <w:b w:val="0"/>
        </w:rPr>
        <w:t>: tenggat pemberitahuan, penyelesaian bertahap (negosiasi, dewan sengketa, arbitrase).</w:t>
      </w:r>
    </w:p>
    <w:p>
      <w:pPr>
        <w:pStyle w:val="ListBullet"/>
        <w:spacing w:after="40"/>
      </w:pPr>
      <w:r>
        <w:rPr>
          <w:rFonts w:ascii="Arial" w:hAnsi="Arial"/>
          <w:b/>
        </w:rPr>
        <w:t>Hak audit dan keterbukaan data</w:t>
      </w:r>
      <w:r>
        <w:rPr>
          <w:rFonts w:ascii="Arial" w:hAnsi="Arial"/>
          <w:b w:val="0"/>
        </w:rPr>
        <w:t>, termasuk pada subkontraktor penting.</w:t>
      </w:r>
    </w:p>
    <w:p>
      <w:pPr>
        <w:pStyle w:val="ListBullet"/>
        <w:spacing w:after="120"/>
      </w:pPr>
      <w:r>
        <w:rPr>
          <w:rFonts w:ascii="Arial" w:hAnsi="Arial"/>
          <w:b/>
        </w:rPr>
        <w:t>Ketentuan pembayaran tepat waktu</w:t>
      </w:r>
      <w:r>
        <w:rPr>
          <w:rFonts w:ascii="Arial" w:hAnsi="Arial"/>
          <w:b w:val="0"/>
        </w:rPr>
        <w:t>, termasuk prinsip pembayaran tepat waktu kepada pemasok bahkan saat kontraktor dalam pemulihan [K, Bab 9.8].</w:t>
      </w:r>
    </w:p>
    <w:p>
      <w:pPr>
        <w:pStyle w:val="Heading2"/>
      </w:pPr>
      <w:r>
        <w:t>8.4  Uji integritas pengadaan</w:t>
      </w:r>
    </w:p>
    <w:p>
      <w:pPr>
        <w:jc w:val="both"/>
      </w:pPr>
      <w:r>
        <w:rPr>
          <w:rFonts w:ascii="Arial" w:hAnsi="Arial"/>
          <w:b w:val="0"/>
        </w:rPr>
        <w:t>Evaluasi tata kelola Danantara mencantumkan uji pada pengadaan dan pemilihan mitra: pemilik manfaat, transaksi pihak berelasi, persaingan, alasan penunjukan langsung, dan kontrol perubahan kontrak [EVAL, Bagian 3]. Dalam kerangka manajemen proyek, uji ini menjadi bagian gerbang P3 dan P4 dan dijalankan oleh fungsi yang independen dari pengusul.</w:t>
      </w:r>
    </w:p>
    <w:p>
      <w:pPr>
        <w:pStyle w:val="Heading2"/>
      </w:pPr>
      <w:r>
        <w:t>8.5  Lokalisasi sebagai strategi pengadaan: DOCK-UP</w:t>
      </w:r>
    </w:p>
    <w:p>
      <w:pPr>
        <w:jc w:val="both"/>
      </w:pPr>
      <w:r>
        <w:rPr>
          <w:rFonts w:ascii="Arial" w:hAnsi="Arial"/>
          <w:b w:val="0"/>
        </w:rPr>
        <w:t>Bagi proyek jangkar, pengadaan memiliki tujuan tambahan yaitu membangun pemasok domestik. UU 16/2012 Pasal 43 mensyaratkan imbal dagang, kandungan lokal, dan ofset minimal 85% untuk alat pertahanan impor, dengan kandungan lokal dan/atau ofset minimal 35%, naik 10 poin setiap lima tahun [DOCK, hlm. 2]. DOCK-UP (Develop, Off-taker, Certification, Upgrading) menerjemahkannya menjadi mekanisme bergerbang: kontrak payung 3–5 tahun dengan volume dilepas bertahap pada G1, G2, dan G3; sertifikasi C1 (mutu, setara MRL 7), C2 (klas, setara MRL 8), dan C3 (mutu industri pertahanan ditambah keamanan); serta peningkatan dari build-to-print ke build-to-spec dan design-and-build [DOCK, hlm. 5–6].</w:t>
      </w:r>
    </w:p>
    <w:p>
      <w:pPr>
        <w:keepNext/>
        <w:jc w:val="center"/>
      </w:pPr>
      <w:r>
        <w:drawing>
          <wp:inline xmlns:a="http://schemas.openxmlformats.org/drawingml/2006/main" xmlns:pic="http://schemas.openxmlformats.org/drawingml/2006/picture">
            <wp:extent cx="5580000" cy="3460952"/>
            <wp:docPr id="9" name="Picture 9"/>
            <wp:cNvGraphicFramePr>
              <a:graphicFrameLocks noChangeAspect="1"/>
            </wp:cNvGraphicFramePr>
            <a:graphic>
              <a:graphicData uri="http://schemas.openxmlformats.org/drawingml/2006/picture">
                <pic:pic>
                  <pic:nvPicPr>
                    <pic:cNvPr id="0" name="f_dock.png"/>
                    <pic:cNvPicPr/>
                  </pic:nvPicPr>
                  <pic:blipFill>
                    <a:blip r:embed="rId18"/>
                    <a:stretch>
                      <a:fillRect/>
                    </a:stretch>
                  </pic:blipFill>
                  <pic:spPr>
                    <a:xfrm>
                      <a:off x="0" y="0"/>
                      <a:ext cx="5580000" cy="3460952"/>
                    </a:xfrm>
                    <a:prstGeom prst="rect"/>
                  </pic:spPr>
                </pic:pic>
              </a:graphicData>
            </a:graphic>
          </wp:inline>
        </w:drawing>
      </w:r>
    </w:p>
    <w:p>
      <w:pPr>
        <w:keepNext w:val="0"/>
        <w:spacing w:after="60"/>
      </w:pPr>
      <w:r>
        <w:rPr>
          <w:rFonts w:ascii="Arial" w:hAnsi="Arial"/>
          <w:b/>
          <w:color w:val="051C5C"/>
          <w:sz w:val="19"/>
        </w:rPr>
        <w:t xml:space="preserve">Gambar 9: </w:t>
      </w:r>
      <w:r>
        <w:rPr>
          <w:rFonts w:ascii="Arial" w:hAnsi="Arial"/>
          <w:color w:val="051C5C"/>
          <w:sz w:val="19"/>
        </w:rPr>
        <w:t>Gerbang DOCK-UP sebagai gerbang pengadaan: kesiapan membuka pesanan dan pembiayaan</w:t>
      </w:r>
    </w:p>
    <w:p>
      <w:pPr>
        <w:spacing w:after="160"/>
      </w:pPr>
      <w:r>
        <w:rPr>
          <w:rFonts w:ascii="Arial" w:hAnsi="Arial"/>
          <w:b w:val="0"/>
          <w:i/>
          <w:color w:val="051C5C"/>
          <w:sz w:val="17"/>
        </w:rPr>
        <w:t>Sumber: [DOCK, hlm. 6]; diolah.</w:t>
      </w:r>
    </w:p>
    <w:p>
      <w:pPr>
        <w:keepNext/>
        <w:spacing w:after="60"/>
      </w:pPr>
      <w:r>
        <w:rPr>
          <w:rFonts w:ascii="Arial" w:hAnsi="Arial"/>
          <w:b/>
          <w:color w:val="051C5C"/>
          <w:sz w:val="19"/>
        </w:rPr>
        <w:t xml:space="preserve">Tabel 26: </w:t>
      </w:r>
      <w:r>
        <w:rPr>
          <w:rFonts w:ascii="Arial" w:hAnsi="Arial"/>
          <w:color w:val="051C5C"/>
          <w:sz w:val="19"/>
        </w:rPr>
        <w:t>Gerbang pemasok sebagai kontrol pengadaan</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1882"/>
        <w:gridCol w:w="1882"/>
        <w:gridCol w:w="1882"/>
        <w:gridCol w:w="1882"/>
        <w:gridCol w:w="1882"/>
      </w:tblGrid>
      <w:tr>
        <w:trPr>
          <w:cantSplit/>
          <w:tblHeader/>
        </w:trPr>
        <w:tc>
          <w:tcPr>
            <w:tcW w:type="dxa" w:w="882"/>
            <w:shd w:val="clear" w:color="auto" w:fill="2251FF"/>
            <w:vAlign w:val="center"/>
          </w:tcPr>
          <w:p>
            <w:pPr>
              <w:spacing w:after="20" w:before="20" w:line="252" w:lineRule="auto"/>
            </w:pPr>
            <w:r/>
            <w:r>
              <w:rPr>
                <w:rFonts w:ascii="Arial" w:hAnsi="Arial"/>
                <w:b/>
                <w:color w:val="FFFFFF"/>
                <w:sz w:val="16"/>
              </w:rPr>
              <w:t>Gerbang</w:t>
            </w:r>
          </w:p>
        </w:tc>
        <w:tc>
          <w:tcPr>
            <w:tcW w:type="dxa" w:w="1470"/>
            <w:shd w:val="clear" w:color="auto" w:fill="2251FF"/>
            <w:vAlign w:val="center"/>
          </w:tcPr>
          <w:p>
            <w:pPr>
              <w:spacing w:after="20" w:before="20" w:line="252" w:lineRule="auto"/>
            </w:pPr>
            <w:r/>
            <w:r>
              <w:rPr>
                <w:rFonts w:ascii="Arial" w:hAnsi="Arial"/>
                <w:b/>
                <w:color w:val="FFFFFF"/>
                <w:sz w:val="16"/>
              </w:rPr>
              <w:t>Kesiapan</w:t>
            </w:r>
          </w:p>
        </w:tc>
        <w:tc>
          <w:tcPr>
            <w:tcW w:type="dxa" w:w="2451"/>
            <w:shd w:val="clear" w:color="auto" w:fill="2251FF"/>
            <w:vAlign w:val="center"/>
          </w:tcPr>
          <w:p>
            <w:pPr>
              <w:spacing w:after="20" w:before="20" w:line="252" w:lineRule="auto"/>
            </w:pPr>
            <w:r/>
            <w:r>
              <w:rPr>
                <w:rFonts w:ascii="Arial" w:hAnsi="Arial"/>
                <w:b/>
                <w:color w:val="FFFFFF"/>
                <w:sz w:val="16"/>
              </w:rPr>
              <w:t>Bukti</w:t>
            </w:r>
          </w:p>
        </w:tc>
        <w:tc>
          <w:tcPr>
            <w:tcW w:type="dxa" w:w="2353"/>
            <w:shd w:val="clear" w:color="auto" w:fill="2251FF"/>
            <w:vAlign w:val="center"/>
          </w:tcPr>
          <w:p>
            <w:pPr>
              <w:spacing w:after="20" w:before="20" w:line="252" w:lineRule="auto"/>
            </w:pPr>
            <w:r/>
            <w:r>
              <w:rPr>
                <w:rFonts w:ascii="Arial" w:hAnsi="Arial"/>
                <w:b/>
                <w:color w:val="FFFFFF"/>
                <w:sz w:val="16"/>
              </w:rPr>
              <w:t>Yang dibuka (pesanan)</w:t>
            </w:r>
          </w:p>
        </w:tc>
        <w:tc>
          <w:tcPr>
            <w:tcW w:type="dxa" w:w="2255"/>
            <w:shd w:val="clear" w:color="auto" w:fill="2251FF"/>
            <w:vAlign w:val="center"/>
          </w:tcPr>
          <w:p>
            <w:pPr>
              <w:spacing w:after="20" w:before="20" w:line="252" w:lineRule="auto"/>
            </w:pPr>
            <w:r/>
            <w:r>
              <w:rPr>
                <w:rFonts w:ascii="Arial" w:hAnsi="Arial"/>
                <w:b/>
                <w:color w:val="FFFFFF"/>
                <w:sz w:val="16"/>
              </w:rPr>
              <w:t>Dukungan pembiayaan</w:t>
            </w:r>
          </w:p>
        </w:tc>
      </w:tr>
      <w:tr>
        <w:trPr>
          <w:cantSplit/>
        </w:trPr>
        <w:tc>
          <w:tcPr>
            <w:tcW w:type="dxa" w:w="882"/>
            <w:vAlign w:val="center"/>
          </w:tcPr>
          <w:p>
            <w:pPr>
              <w:spacing w:after="20" w:before="20" w:line="252" w:lineRule="auto"/>
            </w:pPr>
            <w:r/>
            <w:r>
              <w:rPr>
                <w:rFonts w:ascii="Arial" w:hAnsi="Arial"/>
                <w:b/>
                <w:sz w:val="16"/>
              </w:rPr>
              <w:t>Masuk</w:t>
            </w:r>
          </w:p>
        </w:tc>
        <w:tc>
          <w:tcPr>
            <w:tcW w:type="dxa" w:w="1470"/>
            <w:vAlign w:val="center"/>
          </w:tcPr>
          <w:p>
            <w:pPr>
              <w:spacing w:after="20" w:before="20" w:line="252" w:lineRule="auto"/>
            </w:pPr>
            <w:r/>
            <w:r>
              <w:rPr>
                <w:rFonts w:ascii="Arial" w:hAnsi="Arial"/>
                <w:b w:val="0"/>
                <w:sz w:val="16"/>
              </w:rPr>
              <w:t>Baseline TRL/MRL</w:t>
            </w:r>
          </w:p>
        </w:tc>
        <w:tc>
          <w:tcPr>
            <w:tcW w:type="dxa" w:w="2451"/>
            <w:vAlign w:val="center"/>
          </w:tcPr>
          <w:p>
            <w:pPr>
              <w:spacing w:after="20" w:before="20" w:line="252" w:lineRule="auto"/>
            </w:pPr>
            <w:r/>
            <w:r>
              <w:rPr>
                <w:rFonts w:ascii="Arial" w:hAnsi="Arial"/>
                <w:b w:val="0"/>
                <w:sz w:val="16"/>
              </w:rPr>
              <w:t>Asesmen mandiri diverifikasi asesor independen</w:t>
            </w:r>
          </w:p>
        </w:tc>
        <w:tc>
          <w:tcPr>
            <w:tcW w:type="dxa" w:w="2353"/>
            <w:vAlign w:val="center"/>
          </w:tcPr>
          <w:p>
            <w:pPr>
              <w:spacing w:after="20" w:before="20" w:line="252" w:lineRule="auto"/>
            </w:pPr>
            <w:r/>
            <w:r>
              <w:rPr>
                <w:rFonts w:ascii="Arial" w:hAnsi="Arial"/>
                <w:b w:val="0"/>
                <w:sz w:val="16"/>
              </w:rPr>
              <w:t>Rencana pengembangan, pendampingan</w:t>
            </w:r>
          </w:p>
        </w:tc>
        <w:tc>
          <w:tcPr>
            <w:tcW w:type="dxa" w:w="2255"/>
            <w:vAlign w:val="center"/>
          </w:tcPr>
          <w:p>
            <w:pPr>
              <w:spacing w:after="20" w:before="20" w:line="252" w:lineRule="auto"/>
            </w:pPr>
            <w:r/>
            <w:r>
              <w:rPr>
                <w:rFonts w:ascii="Arial" w:hAnsi="Arial"/>
                <w:b w:val="0"/>
                <w:sz w:val="16"/>
              </w:rPr>
              <w:t>Insinyur pendamping, pelatihan</w:t>
            </w:r>
          </w:p>
        </w:tc>
      </w:tr>
      <w:tr>
        <w:trPr>
          <w:cantSplit/>
        </w:trPr>
        <w:tc>
          <w:tcPr>
            <w:tcW w:type="dxa" w:w="882"/>
            <w:shd w:val="clear" w:color="auto" w:fill="E6ECFD"/>
            <w:vAlign w:val="center"/>
          </w:tcPr>
          <w:p>
            <w:pPr>
              <w:spacing w:after="20" w:before="20" w:line="252" w:lineRule="auto"/>
            </w:pPr>
            <w:r/>
            <w:r>
              <w:rPr>
                <w:rFonts w:ascii="Arial" w:hAnsi="Arial"/>
                <w:b/>
                <w:sz w:val="16"/>
              </w:rPr>
              <w:t>G1</w:t>
            </w:r>
          </w:p>
        </w:tc>
        <w:tc>
          <w:tcPr>
            <w:tcW w:type="dxa" w:w="1470"/>
            <w:shd w:val="clear" w:color="auto" w:fill="E6ECFD"/>
            <w:vAlign w:val="center"/>
          </w:tcPr>
          <w:p>
            <w:pPr>
              <w:spacing w:after="20" w:before="20" w:line="252" w:lineRule="auto"/>
            </w:pPr>
            <w:r/>
            <w:r>
              <w:rPr>
                <w:rFonts w:ascii="Arial" w:hAnsi="Arial"/>
                <w:b w:val="0"/>
                <w:sz w:val="16"/>
              </w:rPr>
              <w:t>MRL 6</w:t>
            </w:r>
          </w:p>
        </w:tc>
        <w:tc>
          <w:tcPr>
            <w:tcW w:type="dxa" w:w="2451"/>
            <w:shd w:val="clear" w:color="auto" w:fill="E6ECFD"/>
            <w:vAlign w:val="center"/>
          </w:tcPr>
          <w:p>
            <w:pPr>
              <w:spacing w:after="20" w:before="20" w:line="252" w:lineRule="auto"/>
            </w:pPr>
            <w:r/>
            <w:r>
              <w:rPr>
                <w:rFonts w:ascii="Arial" w:hAnsi="Arial"/>
                <w:b w:val="0"/>
                <w:sz w:val="16"/>
              </w:rPr>
              <w:t>Lolos inspeksi artikel pertama</w:t>
            </w:r>
          </w:p>
        </w:tc>
        <w:tc>
          <w:tcPr>
            <w:tcW w:type="dxa" w:w="2353"/>
            <w:shd w:val="clear" w:color="auto" w:fill="E6ECFD"/>
            <w:vAlign w:val="center"/>
          </w:tcPr>
          <w:p>
            <w:pPr>
              <w:spacing w:after="20" w:before="20" w:line="252" w:lineRule="auto"/>
            </w:pPr>
            <w:r/>
            <w:r>
              <w:rPr>
                <w:rFonts w:ascii="Arial" w:hAnsi="Arial"/>
                <w:b w:val="0"/>
                <w:sz w:val="16"/>
              </w:rPr>
              <w:t>Tahap 1: pesanan rintisan</w:t>
            </w:r>
          </w:p>
        </w:tc>
        <w:tc>
          <w:tcPr>
            <w:tcW w:type="dxa" w:w="2255"/>
            <w:shd w:val="clear" w:color="auto" w:fill="E6ECFD"/>
            <w:vAlign w:val="center"/>
          </w:tcPr>
          <w:p>
            <w:pPr>
              <w:spacing w:after="20" w:before="20" w:line="252" w:lineRule="auto"/>
            </w:pPr>
            <w:r/>
            <w:r>
              <w:rPr>
                <w:rFonts w:ascii="Arial" w:hAnsi="Arial"/>
                <w:b w:val="0"/>
                <w:sz w:val="16"/>
              </w:rPr>
              <w:t>Hibah pendamping, fasilitas bersama</w:t>
            </w:r>
          </w:p>
        </w:tc>
      </w:tr>
      <w:tr>
        <w:trPr>
          <w:cantSplit/>
        </w:trPr>
        <w:tc>
          <w:tcPr>
            <w:tcW w:type="dxa" w:w="882"/>
            <w:vAlign w:val="center"/>
          </w:tcPr>
          <w:p>
            <w:pPr>
              <w:spacing w:after="20" w:before="20" w:line="252" w:lineRule="auto"/>
            </w:pPr>
            <w:r/>
            <w:r>
              <w:rPr>
                <w:rFonts w:ascii="Arial" w:hAnsi="Arial"/>
                <w:b/>
                <w:sz w:val="16"/>
              </w:rPr>
              <w:t>G2</w:t>
            </w:r>
          </w:p>
        </w:tc>
        <w:tc>
          <w:tcPr>
            <w:tcW w:type="dxa" w:w="1470"/>
            <w:vAlign w:val="center"/>
          </w:tcPr>
          <w:p>
            <w:pPr>
              <w:spacing w:after="20" w:before="20" w:line="252" w:lineRule="auto"/>
            </w:pPr>
            <w:r/>
            <w:r>
              <w:rPr>
                <w:rFonts w:ascii="Arial" w:hAnsi="Arial"/>
                <w:b w:val="0"/>
                <w:sz w:val="16"/>
              </w:rPr>
              <w:t>MRL 7 + C1</w:t>
            </w:r>
          </w:p>
        </w:tc>
        <w:tc>
          <w:tcPr>
            <w:tcW w:type="dxa" w:w="2451"/>
            <w:vAlign w:val="center"/>
          </w:tcPr>
          <w:p>
            <w:pPr>
              <w:spacing w:after="20" w:before="20" w:line="252" w:lineRule="auto"/>
            </w:pPr>
            <w:r/>
            <w:r>
              <w:rPr>
                <w:rFonts w:ascii="Arial" w:hAnsi="Arial"/>
                <w:b w:val="0"/>
                <w:sz w:val="16"/>
              </w:rPr>
              <w:t>Batch kecil berulang; ISO 9001</w:t>
            </w:r>
          </w:p>
        </w:tc>
        <w:tc>
          <w:tcPr>
            <w:tcW w:type="dxa" w:w="2353"/>
            <w:vAlign w:val="center"/>
          </w:tcPr>
          <w:p>
            <w:pPr>
              <w:spacing w:after="20" w:before="20" w:line="252" w:lineRule="auto"/>
            </w:pPr>
            <w:r/>
            <w:r>
              <w:rPr>
                <w:rFonts w:ascii="Arial" w:hAnsi="Arial"/>
                <w:b w:val="0"/>
                <w:sz w:val="16"/>
              </w:rPr>
              <w:t>Tahap 2: pasokan laju rendah</w:t>
            </w:r>
          </w:p>
        </w:tc>
        <w:tc>
          <w:tcPr>
            <w:tcW w:type="dxa" w:w="2255"/>
            <w:vAlign w:val="center"/>
          </w:tcPr>
          <w:p>
            <w:pPr>
              <w:spacing w:after="20" w:before="20" w:line="252" w:lineRule="auto"/>
            </w:pPr>
            <w:r/>
            <w:r>
              <w:rPr>
                <w:rFonts w:ascii="Arial" w:hAnsi="Arial"/>
                <w:b w:val="0"/>
                <w:sz w:val="16"/>
              </w:rPr>
              <w:t>Pembiayaan rantai pasok, KUR</w:t>
            </w:r>
          </w:p>
        </w:tc>
      </w:tr>
      <w:tr>
        <w:trPr>
          <w:cantSplit/>
        </w:trPr>
        <w:tc>
          <w:tcPr>
            <w:tcW w:type="dxa" w:w="882"/>
            <w:shd w:val="clear" w:color="auto" w:fill="E6ECFD"/>
            <w:vAlign w:val="center"/>
          </w:tcPr>
          <w:p>
            <w:pPr>
              <w:spacing w:after="20" w:before="20" w:line="252" w:lineRule="auto"/>
            </w:pPr>
            <w:r/>
            <w:r>
              <w:rPr>
                <w:rFonts w:ascii="Arial" w:hAnsi="Arial"/>
                <w:b/>
                <w:sz w:val="16"/>
              </w:rPr>
              <w:t>G3</w:t>
            </w:r>
          </w:p>
        </w:tc>
        <w:tc>
          <w:tcPr>
            <w:tcW w:type="dxa" w:w="1470"/>
            <w:shd w:val="clear" w:color="auto" w:fill="E6ECFD"/>
            <w:vAlign w:val="center"/>
          </w:tcPr>
          <w:p>
            <w:pPr>
              <w:spacing w:after="20" w:before="20" w:line="252" w:lineRule="auto"/>
            </w:pPr>
            <w:r/>
            <w:r>
              <w:rPr>
                <w:rFonts w:ascii="Arial" w:hAnsi="Arial"/>
                <w:b w:val="0"/>
                <w:sz w:val="16"/>
              </w:rPr>
              <w:t>MRL 8 + C2</w:t>
            </w:r>
          </w:p>
        </w:tc>
        <w:tc>
          <w:tcPr>
            <w:tcW w:type="dxa" w:w="2451"/>
            <w:shd w:val="clear" w:color="auto" w:fill="E6ECFD"/>
            <w:vAlign w:val="center"/>
          </w:tcPr>
          <w:p>
            <w:pPr>
              <w:spacing w:after="20" w:before="20" w:line="252" w:lineRule="auto"/>
            </w:pPr>
            <w:r/>
            <w:r>
              <w:rPr>
                <w:rFonts w:ascii="Arial" w:hAnsi="Arial"/>
                <w:b w:val="0"/>
                <w:sz w:val="16"/>
              </w:rPr>
              <w:t>Persetujuan pengguna; ISO 3834/9606; ketertelusuran</w:t>
            </w:r>
          </w:p>
        </w:tc>
        <w:tc>
          <w:tcPr>
            <w:tcW w:type="dxa" w:w="2353"/>
            <w:shd w:val="clear" w:color="auto" w:fill="E6ECFD"/>
            <w:vAlign w:val="center"/>
          </w:tcPr>
          <w:p>
            <w:pPr>
              <w:spacing w:after="20" w:before="20" w:line="252" w:lineRule="auto"/>
            </w:pPr>
            <w:r/>
            <w:r>
              <w:rPr>
                <w:rFonts w:ascii="Arial" w:hAnsi="Arial"/>
                <w:b w:val="0"/>
                <w:sz w:val="16"/>
              </w:rPr>
              <w:t>Tahap 3: pasokan serial dan suku cadang</w:t>
            </w:r>
          </w:p>
        </w:tc>
        <w:tc>
          <w:tcPr>
            <w:tcW w:type="dxa" w:w="2255"/>
            <w:shd w:val="clear" w:color="auto" w:fill="E6ECFD"/>
            <w:vAlign w:val="center"/>
          </w:tcPr>
          <w:p>
            <w:pPr>
              <w:spacing w:after="20" w:before="20" w:line="252" w:lineRule="auto"/>
            </w:pPr>
            <w:r/>
            <w:r>
              <w:rPr>
                <w:rFonts w:ascii="Arial" w:hAnsi="Arial"/>
                <w:b w:val="0"/>
                <w:sz w:val="16"/>
              </w:rPr>
              <w:t>Kredit investasi; penjaminan kerugian pertama</w:t>
            </w:r>
          </w:p>
        </w:tc>
      </w:tr>
      <w:tr>
        <w:trPr>
          <w:cantSplit/>
        </w:trPr>
        <w:tc>
          <w:tcPr>
            <w:tcW w:type="dxa" w:w="882"/>
            <w:vAlign w:val="center"/>
          </w:tcPr>
          <w:p>
            <w:pPr>
              <w:spacing w:after="20" w:before="20" w:line="252" w:lineRule="auto"/>
            </w:pPr>
            <w:r/>
            <w:r>
              <w:rPr>
                <w:rFonts w:ascii="Arial" w:hAnsi="Arial"/>
                <w:b/>
                <w:sz w:val="16"/>
              </w:rPr>
              <w:t>G4</w:t>
            </w:r>
          </w:p>
        </w:tc>
        <w:tc>
          <w:tcPr>
            <w:tcW w:type="dxa" w:w="1470"/>
            <w:vAlign w:val="center"/>
          </w:tcPr>
          <w:p>
            <w:pPr>
              <w:spacing w:after="20" w:before="20" w:line="252" w:lineRule="auto"/>
            </w:pPr>
            <w:r/>
            <w:r>
              <w:rPr>
                <w:rFonts w:ascii="Arial" w:hAnsi="Arial"/>
                <w:b w:val="0"/>
                <w:sz w:val="16"/>
              </w:rPr>
              <w:t>Produk sendiri TRL 7+; MRL 9</w:t>
            </w:r>
          </w:p>
        </w:tc>
        <w:tc>
          <w:tcPr>
            <w:tcW w:type="dxa" w:w="2451"/>
            <w:vAlign w:val="center"/>
          </w:tcPr>
          <w:p>
            <w:pPr>
              <w:spacing w:after="20" w:before="20" w:line="252" w:lineRule="auto"/>
            </w:pPr>
            <w:r/>
            <w:r>
              <w:rPr>
                <w:rFonts w:ascii="Arial" w:hAnsi="Arial"/>
                <w:b w:val="0"/>
                <w:sz w:val="16"/>
              </w:rPr>
              <w:t>Produk diadopsi pada satu kelas kapal</w:t>
            </w:r>
          </w:p>
        </w:tc>
        <w:tc>
          <w:tcPr>
            <w:tcW w:type="dxa" w:w="2353"/>
            <w:vAlign w:val="center"/>
          </w:tcPr>
          <w:p>
            <w:pPr>
              <w:spacing w:after="20" w:before="20" w:line="252" w:lineRule="auto"/>
            </w:pPr>
            <w:r/>
            <w:r>
              <w:rPr>
                <w:rFonts w:ascii="Arial" w:hAnsi="Arial"/>
                <w:b w:val="0"/>
                <w:sz w:val="16"/>
              </w:rPr>
              <w:t>Build-to-spec, design-and-build, ekspor</w:t>
            </w:r>
          </w:p>
        </w:tc>
        <w:tc>
          <w:tcPr>
            <w:tcW w:type="dxa" w:w="2255"/>
            <w:vAlign w:val="center"/>
          </w:tcPr>
          <w:p>
            <w:pPr>
              <w:spacing w:after="20" w:before="20" w:line="252" w:lineRule="auto"/>
            </w:pPr>
            <w:r/>
            <w:r>
              <w:rPr>
                <w:rFonts w:ascii="Arial" w:hAnsi="Arial"/>
                <w:b w:val="0"/>
                <w:sz w:val="16"/>
              </w:rPr>
              <w:t>Ventura korporasi, super-deduction R&amp;D, LPEI</w:t>
            </w:r>
          </w:p>
        </w:tc>
      </w:tr>
    </w:tbl>
    <w:p>
      <w:pPr>
        <w:spacing w:after="160"/>
      </w:pPr>
      <w:r>
        <w:rPr>
          <w:rFonts w:ascii="Arial" w:hAnsi="Arial"/>
          <w:b w:val="0"/>
          <w:i/>
          <w:color w:val="051C5C"/>
          <w:sz w:val="17"/>
        </w:rPr>
        <w:t>Sumber: [DOCK, hlm. 6]. "Skor tidak pernah dinyatakan sendiri: asesor independen memverifikasi, integrator me-review bukti, dan skor dinilai ulang setiap tahun."</w:t>
      </w:r>
    </w:p>
    <w:tbl>
      <w:tblPr>
        <w:tblW w:type="auto" w:w="0"/>
        <w:jc w:val="center"/>
        <w:tblLook w:firstColumn="1" w:firstRow="1" w:lastColumn="0" w:lastRow="0" w:noHBand="0" w:noVBand="1" w:val="04A0"/>
      </w:tblPr>
      <w:tblGrid>
        <w:gridCol w:w="9412"/>
      </w:tblGrid>
      <w:tr>
        <w:tc>
          <w:tcPr>
            <w:tcW w:type="dxa" w:w="9412"/>
            <w:tcBorders>
              <w:left w:val="single" w:sz="36" w:color="2251FF"/>
            </w:tcBorders>
            <w:shd w:val="clear" w:color="auto" w:fill="E6ECFD"/>
          </w:tcPr>
          <w:p>
            <w:pPr>
              <w:spacing w:after="40"/>
            </w:pPr>
            <w:r/>
            <w:r>
              <w:rPr>
                <w:rFonts w:ascii="Arial" w:hAnsi="Arial"/>
                <w:b/>
                <w:color w:val="051C5C"/>
                <w:sz w:val="21"/>
              </w:rPr>
              <w:t>Aturan pokok dan risiko tunggal terbesar</w:t>
            </w:r>
          </w:p>
          <w:p>
            <w:pPr>
              <w:spacing w:after="40"/>
            </w:pPr>
            <w:r>
              <w:rPr>
                <w:rFonts w:ascii="Arial" w:hAnsi="Arial"/>
                <w:b w:val="0"/>
                <w:sz w:val="20"/>
              </w:rPr>
              <w:t>"Integrator tidak diperkenankan memesan melebihi yang sudah dibuktikan sanggup dipenuhi UKM." Memperlakukan DOCK-UP sebagai kuota akan menimbulkan kegagalan mutu pada kapal perang dan merusak kredibilitas program [DOCK, hlm. 5, 10]. Rencana percontohan: satu integrator, 20–30 UKM, 3–5 kelompok komponen, dikoordinasikan KKIP, dengan target keluar usulan: ≥ 60% UKM pada G1 atau lebih pada bulan ke-12 dan ≥ 25% pada G2 pada bulan ke-18 [K, Bab 6.9].</w:t>
            </w:r>
          </w:p>
        </w:tc>
      </w:tr>
    </w:tbl>
    <w:p>
      <w:pPr>
        <w:spacing w:after="40"/>
      </w:pPr>
    </w:p>
    <w:p>
      <w:pPr>
        <w:jc w:val="both"/>
      </w:pPr>
      <w:r>
        <w:rPr>
          <w:rFonts w:ascii="Arial" w:hAnsi="Arial"/>
          <w:b w:val="0"/>
        </w:rPr>
        <w:t>Dari sudut manajemen proyek, DOCK-UP adalah rencana pengadaan yang mengintegrasikan manajemen pemasok (kualifikasi), manajemen mutu (sertifikasi), manajemen risiko (pesanan dibatasi kemampuan terbukti), dan manajemen pembiayaan (dana per gerbang). Rencana lokalisasi yang dipersyaratkan Kajian pada gerbang P2 memuat paket yang dapat dilokalisasi, calon pemasok dengan baseline TRL/MRL, target gerbang, dan jadwal pesanan; kontrak payung dan paket ofset dicantumkan dalam kontrak EPC pada gerbang P3 [K, Bab 7.4].</w:t>
      </w:r>
    </w:p>
    <w:p>
      <w:pPr>
        <w:pStyle w:val="Heading2"/>
      </w:pPr>
      <w:r>
        <w:t>8.6  Struktur kontrak pembiayaan: pelajaran dari PALCapital</w:t>
      </w:r>
    </w:p>
    <w:p>
      <w:pPr>
        <w:jc w:val="both"/>
      </w:pPr>
      <w:r>
        <w:rPr>
          <w:rFonts w:ascii="Arial" w:hAnsi="Arial"/>
          <w:b w:val="0"/>
        </w:rPr>
        <w:t xml:space="preserve">PALCapital memberi contoh struktur kontrak dan arus dana yang dikendalikan: kontrak Kemhan di-hash dan nilainya dibuktikan dengan bukti nol-pengetahuan; dana US$150 juta dikunci pada escrow fiat di Bank Mandiri Custody di bawah akta tripartit PAL, Danantara, dan Mandiri; pencairan langsung ke vendor (misalnya Krakatau Steel) setelah persetujuan dua dari dua surveyor BKI dan perwira TNI AL; seluruh pembayaran Kemhan (uang muka 15% dan termin T1–T5) masuk ke rekening penampungan terlebih dahulu, lalu air terjun pembayaran: imbal hasil investor terlebih dahulu, sisanya ke kas PAL [PAL, hlm. 7–10]. Dari perspektif proyek, struktur ini adalah </w:t>
      </w:r>
      <w:r>
        <w:rPr>
          <w:rFonts w:ascii="Arial" w:hAnsi="Arial"/>
          <w:b/>
        </w:rPr>
        <w:t>pengendalian pembayaran terpusat</w:t>
      </w:r>
      <w:r>
        <w:rPr>
          <w:rFonts w:ascii="Arial" w:hAnsi="Arial"/>
          <w:b w:val="0"/>
        </w:rPr>
        <w:t xml:space="preserve"> yang memisahkan pencairan dari rekening operasional pelaksana. Penilaian Kajian mencatat beberapa isu yang perlu diselesaikan sebelum pelaksanaan, antara lain instrumen ini berhakikat utang, pengalihan tagihan negara memerlukan persetujuan Kemhan dan Kemenkeu, 75% material impor sehingga sebagian pencairan akan mengalir ke vendor asing, dan konsentrasi peran Danantara sebagai investor jangkar, validator, dan penentu bank escrow [K, Bab 9.4].</w:t>
      </w:r>
    </w:p>
    <w:p>
      <w:r>
        <w:br w:type="page"/>
      </w:r>
    </w:p>
    <w:p>
      <w:pPr>
        <w:pStyle w:val="Heading1"/>
      </w:pPr>
      <w:r>
        <w:t>9  Manajemen mutu, keselamatan, komisioning, dan kesiapan operasi</w:t>
      </w:r>
    </w:p>
    <w:p>
      <w:pPr>
        <w:pStyle w:val="Heading2"/>
      </w:pPr>
      <w:r>
        <w:t>9.1  Mutu: dari jaminan ke kendali</w:t>
      </w:r>
    </w:p>
    <w:p>
      <w:pPr>
        <w:jc w:val="both"/>
      </w:pPr>
      <w:r>
        <w:rPr>
          <w:rFonts w:ascii="Arial" w:hAnsi="Arial"/>
          <w:b w:val="0"/>
        </w:rPr>
        <w:t>Manajemen mutu proyek terdiri dari perencanaan mutu (standar dan kriteria penerimaan), jaminan mutu (QA: memastikan proses sesuai) dan pengendalian mutu (QC: memeriksa hasil). Pada proyek industri dan perkapalan, perangkat utamanya adalah rencana mutu proyek, rencana inspeksi dan uji (ITP), titik tahan dan saksi (hold and witness points), uji penerimaan pabrik (FAT) dan lokasi (SAT), pengujian tak merusak (NDT), kualifikasi prosedur dan juru las (ISO 3834 dan ISO 9606), ketertelusuran material, dan persetujuan klas oleh badan klasifikasi (BKI). Biaya mutu terdiri dari biaya pencegahan, penilaian, kegagalan internal, dan kegagalan eksternal; investasi pada pencegahan hampir selalu lebih murah daripada kegagalan setelah serah terima.</w:t>
      </w:r>
    </w:p>
    <w:p>
      <w:pPr>
        <w:keepNext/>
        <w:spacing w:after="60"/>
      </w:pPr>
      <w:r>
        <w:rPr>
          <w:rFonts w:ascii="Arial" w:hAnsi="Arial"/>
          <w:b/>
          <w:color w:val="051C5C"/>
          <w:sz w:val="19"/>
        </w:rPr>
        <w:t xml:space="preserve">Tabel 27: </w:t>
      </w:r>
      <w:r>
        <w:rPr>
          <w:rFonts w:ascii="Arial" w:hAnsi="Arial"/>
          <w:color w:val="051C5C"/>
          <w:sz w:val="19"/>
        </w:rPr>
        <w:t>Perangkat mutu dan kaitannya dengan gerbang kesiapan</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2549"/>
            <w:shd w:val="clear" w:color="auto" w:fill="2251FF"/>
            <w:vAlign w:val="center"/>
          </w:tcPr>
          <w:p>
            <w:pPr>
              <w:spacing w:after="20" w:before="20" w:line="252" w:lineRule="auto"/>
            </w:pPr>
            <w:r/>
            <w:r>
              <w:rPr>
                <w:rFonts w:ascii="Arial" w:hAnsi="Arial"/>
                <w:b/>
                <w:color w:val="FFFFFF"/>
                <w:sz w:val="17"/>
              </w:rPr>
              <w:t>Perangkat</w:t>
            </w:r>
          </w:p>
        </w:tc>
        <w:tc>
          <w:tcPr>
            <w:tcW w:type="dxa" w:w="2941"/>
            <w:shd w:val="clear" w:color="auto" w:fill="2251FF"/>
            <w:vAlign w:val="center"/>
          </w:tcPr>
          <w:p>
            <w:pPr>
              <w:spacing w:after="20" w:before="20" w:line="252" w:lineRule="auto"/>
            </w:pPr>
            <w:r/>
            <w:r>
              <w:rPr>
                <w:rFonts w:ascii="Arial" w:hAnsi="Arial"/>
                <w:b/>
                <w:color w:val="FFFFFF"/>
                <w:sz w:val="17"/>
              </w:rPr>
              <w:t>Fungsi</w:t>
            </w:r>
          </w:p>
        </w:tc>
        <w:tc>
          <w:tcPr>
            <w:tcW w:type="dxa" w:w="3921"/>
            <w:shd w:val="clear" w:color="auto" w:fill="2251FF"/>
            <w:vAlign w:val="center"/>
          </w:tcPr>
          <w:p>
            <w:pPr>
              <w:spacing w:after="20" w:before="20" w:line="252" w:lineRule="auto"/>
            </w:pPr>
            <w:r/>
            <w:r>
              <w:rPr>
                <w:rFonts w:ascii="Arial" w:hAnsi="Arial"/>
                <w:b/>
                <w:color w:val="FFFFFF"/>
                <w:sz w:val="17"/>
              </w:rPr>
              <w:t>Padanan pada dokumen Danantara</w:t>
            </w:r>
          </w:p>
        </w:tc>
      </w:tr>
      <w:tr>
        <w:trPr>
          <w:cantSplit/>
        </w:trPr>
        <w:tc>
          <w:tcPr>
            <w:tcW w:type="dxa" w:w="2549"/>
            <w:vAlign w:val="center"/>
          </w:tcPr>
          <w:p>
            <w:pPr>
              <w:spacing w:after="20" w:before="20" w:line="252" w:lineRule="auto"/>
            </w:pPr>
            <w:r/>
            <w:r>
              <w:rPr>
                <w:rFonts w:ascii="Arial" w:hAnsi="Arial"/>
                <w:b/>
                <w:sz w:val="17"/>
              </w:rPr>
              <w:t>Rencana mutu dan ITP</w:t>
            </w:r>
          </w:p>
        </w:tc>
        <w:tc>
          <w:tcPr>
            <w:tcW w:type="dxa" w:w="2941"/>
            <w:vAlign w:val="center"/>
          </w:tcPr>
          <w:p>
            <w:pPr>
              <w:spacing w:after="20" w:before="20" w:line="252" w:lineRule="auto"/>
            </w:pPr>
            <w:r/>
            <w:r>
              <w:rPr>
                <w:rFonts w:ascii="Arial" w:hAnsi="Arial"/>
                <w:b w:val="0"/>
                <w:sz w:val="17"/>
              </w:rPr>
              <w:t>Menetapkan titik inspeksi dan kriteria penerimaan</w:t>
            </w:r>
          </w:p>
        </w:tc>
        <w:tc>
          <w:tcPr>
            <w:tcW w:type="dxa" w:w="3921"/>
            <w:vAlign w:val="center"/>
          </w:tcPr>
          <w:p>
            <w:pPr>
              <w:spacing w:after="20" w:before="20" w:line="252" w:lineRule="auto"/>
            </w:pPr>
            <w:r/>
            <w:r>
              <w:rPr>
                <w:rFonts w:ascii="Arial" w:hAnsi="Arial"/>
                <w:b w:val="0"/>
                <w:sz w:val="17"/>
              </w:rPr>
              <w:t>Persyaratan C1 (ISO 9001), C2 (klas, ISO 3834/9606), C3 (mutu industri pertahanan plus keamanan) [DOCK, hlm. 5]</w:t>
            </w:r>
          </w:p>
        </w:tc>
      </w:tr>
      <w:tr>
        <w:trPr>
          <w:cantSplit/>
        </w:trPr>
        <w:tc>
          <w:tcPr>
            <w:tcW w:type="dxa" w:w="2549"/>
            <w:shd w:val="clear" w:color="auto" w:fill="E6ECFD"/>
            <w:vAlign w:val="center"/>
          </w:tcPr>
          <w:p>
            <w:pPr>
              <w:spacing w:after="20" w:before="20" w:line="252" w:lineRule="auto"/>
            </w:pPr>
            <w:r/>
            <w:r>
              <w:rPr>
                <w:rFonts w:ascii="Arial" w:hAnsi="Arial"/>
                <w:b/>
                <w:sz w:val="17"/>
              </w:rPr>
              <w:t>Inspeksi artikel pertama (FAI)</w:t>
            </w:r>
          </w:p>
        </w:tc>
        <w:tc>
          <w:tcPr>
            <w:tcW w:type="dxa" w:w="2941"/>
            <w:shd w:val="clear" w:color="auto" w:fill="E6ECFD"/>
            <w:vAlign w:val="center"/>
          </w:tcPr>
          <w:p>
            <w:pPr>
              <w:spacing w:after="20" w:before="20" w:line="252" w:lineRule="auto"/>
            </w:pPr>
            <w:r/>
            <w:r>
              <w:rPr>
                <w:rFonts w:ascii="Arial" w:hAnsi="Arial"/>
                <w:b w:val="0"/>
                <w:sz w:val="17"/>
              </w:rPr>
              <w:t>Membuktikan bahwa proses menghasilkan produk sesuai spesifikasi</w:t>
            </w:r>
          </w:p>
        </w:tc>
        <w:tc>
          <w:tcPr>
            <w:tcW w:type="dxa" w:w="3921"/>
            <w:shd w:val="clear" w:color="auto" w:fill="E6ECFD"/>
            <w:vAlign w:val="center"/>
          </w:tcPr>
          <w:p>
            <w:pPr>
              <w:spacing w:after="20" w:before="20" w:line="252" w:lineRule="auto"/>
            </w:pPr>
            <w:r/>
            <w:r>
              <w:rPr>
                <w:rFonts w:ascii="Arial" w:hAnsi="Arial"/>
                <w:b w:val="0"/>
                <w:sz w:val="17"/>
              </w:rPr>
              <w:t>Bukti gerbang G1 (MRL 6)</w:t>
            </w:r>
          </w:p>
        </w:tc>
      </w:tr>
      <w:tr>
        <w:trPr>
          <w:cantSplit/>
        </w:trPr>
        <w:tc>
          <w:tcPr>
            <w:tcW w:type="dxa" w:w="2549"/>
            <w:vAlign w:val="center"/>
          </w:tcPr>
          <w:p>
            <w:pPr>
              <w:spacing w:after="20" w:before="20" w:line="252" w:lineRule="auto"/>
            </w:pPr>
            <w:r/>
            <w:r>
              <w:rPr>
                <w:rFonts w:ascii="Arial" w:hAnsi="Arial"/>
                <w:b/>
                <w:sz w:val="17"/>
              </w:rPr>
              <w:t>Batch kecil berulang</w:t>
            </w:r>
          </w:p>
        </w:tc>
        <w:tc>
          <w:tcPr>
            <w:tcW w:type="dxa" w:w="2941"/>
            <w:vAlign w:val="center"/>
          </w:tcPr>
          <w:p>
            <w:pPr>
              <w:spacing w:after="20" w:before="20" w:line="252" w:lineRule="auto"/>
            </w:pPr>
            <w:r/>
            <w:r>
              <w:rPr>
                <w:rFonts w:ascii="Arial" w:hAnsi="Arial"/>
                <w:b w:val="0"/>
                <w:sz w:val="17"/>
              </w:rPr>
              <w:t>Membuktikan konsistensi</w:t>
            </w:r>
          </w:p>
        </w:tc>
        <w:tc>
          <w:tcPr>
            <w:tcW w:type="dxa" w:w="3921"/>
            <w:vAlign w:val="center"/>
          </w:tcPr>
          <w:p>
            <w:pPr>
              <w:spacing w:after="20" w:before="20" w:line="252" w:lineRule="auto"/>
            </w:pPr>
            <w:r/>
            <w:r>
              <w:rPr>
                <w:rFonts w:ascii="Arial" w:hAnsi="Arial"/>
                <w:b w:val="0"/>
                <w:sz w:val="17"/>
              </w:rPr>
              <w:t>Bukti gerbang G2 (MRL 7)</w:t>
            </w:r>
          </w:p>
        </w:tc>
      </w:tr>
      <w:tr>
        <w:trPr>
          <w:cantSplit/>
        </w:trPr>
        <w:tc>
          <w:tcPr>
            <w:tcW w:type="dxa" w:w="2549"/>
            <w:shd w:val="clear" w:color="auto" w:fill="E6ECFD"/>
            <w:vAlign w:val="center"/>
          </w:tcPr>
          <w:p>
            <w:pPr>
              <w:spacing w:after="20" w:before="20" w:line="252" w:lineRule="auto"/>
            </w:pPr>
            <w:r/>
            <w:r>
              <w:rPr>
                <w:rFonts w:ascii="Arial" w:hAnsi="Arial"/>
                <w:b/>
                <w:sz w:val="17"/>
              </w:rPr>
              <w:t>Persetujuan pengguna dan ketertelusuran</w:t>
            </w:r>
          </w:p>
        </w:tc>
        <w:tc>
          <w:tcPr>
            <w:tcW w:type="dxa" w:w="2941"/>
            <w:shd w:val="clear" w:color="auto" w:fill="E6ECFD"/>
            <w:vAlign w:val="center"/>
          </w:tcPr>
          <w:p>
            <w:pPr>
              <w:spacing w:after="20" w:before="20" w:line="252" w:lineRule="auto"/>
            </w:pPr>
            <w:r/>
            <w:r>
              <w:rPr>
                <w:rFonts w:ascii="Arial" w:hAnsi="Arial"/>
                <w:b w:val="0"/>
                <w:sz w:val="17"/>
              </w:rPr>
              <w:t>Penerimaan oleh pengguna akhir; jejak material dan proses</w:t>
            </w:r>
          </w:p>
        </w:tc>
        <w:tc>
          <w:tcPr>
            <w:tcW w:type="dxa" w:w="3921"/>
            <w:shd w:val="clear" w:color="auto" w:fill="E6ECFD"/>
            <w:vAlign w:val="center"/>
          </w:tcPr>
          <w:p>
            <w:pPr>
              <w:spacing w:after="20" w:before="20" w:line="252" w:lineRule="auto"/>
            </w:pPr>
            <w:r/>
            <w:r>
              <w:rPr>
                <w:rFonts w:ascii="Arial" w:hAnsi="Arial"/>
                <w:b w:val="0"/>
                <w:sz w:val="17"/>
              </w:rPr>
              <w:t>Bukti gerbang G3 (MRL 8)</w:t>
            </w:r>
          </w:p>
        </w:tc>
      </w:tr>
      <w:tr>
        <w:trPr>
          <w:cantSplit/>
        </w:trPr>
        <w:tc>
          <w:tcPr>
            <w:tcW w:type="dxa" w:w="2549"/>
            <w:vAlign w:val="center"/>
          </w:tcPr>
          <w:p>
            <w:pPr>
              <w:spacing w:after="20" w:before="20" w:line="252" w:lineRule="auto"/>
            </w:pPr>
            <w:r/>
            <w:r>
              <w:rPr>
                <w:rFonts w:ascii="Arial" w:hAnsi="Arial"/>
                <w:b/>
                <w:sz w:val="17"/>
              </w:rPr>
              <w:t>Surveyor independen dan bukti geotag</w:t>
            </w:r>
          </w:p>
        </w:tc>
        <w:tc>
          <w:tcPr>
            <w:tcW w:type="dxa" w:w="2941"/>
            <w:vAlign w:val="center"/>
          </w:tcPr>
          <w:p>
            <w:pPr>
              <w:spacing w:after="20" w:before="20" w:line="252" w:lineRule="auto"/>
            </w:pPr>
            <w:r/>
            <w:r>
              <w:rPr>
                <w:rFonts w:ascii="Arial" w:hAnsi="Arial"/>
                <w:b w:val="0"/>
                <w:sz w:val="17"/>
              </w:rPr>
              <w:t>Verifikasi progres fisik dan mutu sebelum pencairan</w:t>
            </w:r>
          </w:p>
        </w:tc>
        <w:tc>
          <w:tcPr>
            <w:tcW w:type="dxa" w:w="3921"/>
            <w:vAlign w:val="center"/>
          </w:tcPr>
          <w:p>
            <w:pPr>
              <w:spacing w:after="20" w:before="20" w:line="252" w:lineRule="auto"/>
            </w:pPr>
            <w:r/>
            <w:r>
              <w:rPr>
                <w:rFonts w:ascii="Arial" w:hAnsi="Arial"/>
                <w:b w:val="0"/>
                <w:sz w:val="17"/>
              </w:rPr>
              <w:t>BKI dan TNI AL (2 dari 2) pada PAL-SUB-1; mutu las tetap diperiksa manual oleh BKI [PAL, hlm. 7; DECK85, S72]</w:t>
            </w:r>
          </w:p>
        </w:tc>
      </w:tr>
      <w:tr>
        <w:trPr>
          <w:cantSplit/>
        </w:trPr>
        <w:tc>
          <w:tcPr>
            <w:tcW w:type="dxa" w:w="2549"/>
            <w:shd w:val="clear" w:color="auto" w:fill="E6ECFD"/>
            <w:vAlign w:val="center"/>
          </w:tcPr>
          <w:p>
            <w:pPr>
              <w:spacing w:after="20" w:before="20" w:line="252" w:lineRule="auto"/>
            </w:pPr>
            <w:r/>
            <w:r>
              <w:rPr>
                <w:rFonts w:ascii="Arial" w:hAnsi="Arial"/>
                <w:b/>
                <w:sz w:val="17"/>
              </w:rPr>
              <w:t>Indikator mutu portofolio</w:t>
            </w:r>
          </w:p>
        </w:tc>
        <w:tc>
          <w:tcPr>
            <w:tcW w:type="dxa" w:w="2941"/>
            <w:shd w:val="clear" w:color="auto" w:fill="E6ECFD"/>
            <w:vAlign w:val="center"/>
          </w:tcPr>
          <w:p>
            <w:pPr>
              <w:spacing w:after="20" w:before="20" w:line="252" w:lineRule="auto"/>
            </w:pPr>
            <w:r/>
            <w:r>
              <w:rPr>
                <w:rFonts w:ascii="Arial" w:hAnsi="Arial"/>
                <w:b w:val="0"/>
                <w:sz w:val="17"/>
              </w:rPr>
              <w:t>Mengukur kegagalan pasca-pesanan</w:t>
            </w:r>
          </w:p>
        </w:tc>
        <w:tc>
          <w:tcPr>
            <w:tcW w:type="dxa" w:w="3921"/>
            <w:shd w:val="clear" w:color="auto" w:fill="E6ECFD"/>
            <w:vAlign w:val="center"/>
          </w:tcPr>
          <w:p>
            <w:pPr>
              <w:spacing w:after="20" w:before="20" w:line="252" w:lineRule="auto"/>
            </w:pPr>
            <w:r/>
            <w:r>
              <w:rPr>
                <w:rFonts w:ascii="Arial" w:hAnsi="Arial"/>
                <w:b w:val="0"/>
                <w:sz w:val="17"/>
              </w:rPr>
              <w:t>K05: tingkat kegagalan mutu pasca-pesanan [K, Bab 6.3]</w:t>
            </w:r>
          </w:p>
        </w:tc>
      </w:tr>
    </w:tbl>
    <w:p>
      <w:pPr>
        <w:spacing w:after="160"/>
      </w:pPr>
      <w:r>
        <w:rPr>
          <w:rFonts w:ascii="Arial" w:hAnsi="Arial"/>
          <w:b w:val="0"/>
          <w:i/>
          <w:color w:val="051C5C"/>
          <w:sz w:val="17"/>
        </w:rPr>
        <w:t>Sumber: [DOCK, hlm. 5–6, 9]; [PAL, hlm. 7]; [K, Bab 6.3].</w:t>
      </w:r>
    </w:p>
    <w:p>
      <w:pPr>
        <w:pStyle w:val="Heading2"/>
      </w:pPr>
      <w:r>
        <w:t>9.2  Keselamatan, kesehatan kerja, dan lingkungan</w:t>
      </w:r>
    </w:p>
    <w:p>
      <w:pPr>
        <w:jc w:val="both"/>
      </w:pPr>
      <w:r>
        <w:rPr>
          <w:rFonts w:ascii="Arial" w:hAnsi="Arial"/>
          <w:b w:val="0"/>
        </w:rPr>
        <w:t>Keselamatan dan kesehatan kerja (K3) bukan fungsi tambahan, melainkan syarat gerbang. Sistem manajemen K3 mengikuti ketentuan nasional (PP 50/2012 tentang SMK3) dan standar ISO 45001; aspek lingkungan dan sosial mengikuti analisis dampak lingkungan (AMDAL) dan, untuk pembiayaan internasional, standar kinerja lingkungan dan sosial. Pada proyek infrastruktur dan industri dengan banyak kontraktor, risiko K3 terkonsentrasi pada fase konstruksi dan komisioning. Platform AI yang diusulkan memasukkan agen mutu, agen keselamatan, dan agen keberlanjutan pada menara kendali proyek [PLAT, hlm. 6], tetapi tetap membutuhkan prosedur manusia: tidak ada keselamatan yang dapat didelegasikan kepada model.</w:t>
      </w:r>
    </w:p>
    <w:p>
      <w:pPr>
        <w:pStyle w:val="Heading2"/>
      </w:pPr>
      <w:r>
        <w:t>9.3  Komisioning dan serah terima</w:t>
      </w:r>
    </w:p>
    <w:p>
      <w:pPr>
        <w:jc w:val="both"/>
      </w:pPr>
      <w:r>
        <w:rPr>
          <w:rFonts w:ascii="Arial" w:hAnsi="Arial"/>
          <w:b w:val="0"/>
        </w:rPr>
        <w:t>Komisioning adalah tahap ketika sistem yang dibangun diuji sebagai satu kesatuan dan diserahkan kepada operator. Tahapnya: pra-komisioning (pemeriksaan statis), komisioning (pengujian dinamis per sistem), uji kinerja (pembuktian jaminan kontrak), serah terima dengan dossier penyelesaian, daftar sisa pekerjaan (punch list), dan masa pemeliharaan (defects liability period). Kegagalan klasik adalah memperlakukan komisioning sebagai sisa waktu proyek: ia dimampatkan pada akhir jadwal. Dalam kerangka gerbang industri Danantara, M6 (penyelesaian mekanis dan kesiapan sistem), M7 (komisioning dan penerimaan kinerja), dan M8 (rilis komersial atau regulasi, misalnya kualifikasi pelanggan, sertifikat klas, atau persetujuan BPOM) memuat keluaran dan kriteria penerimaan yang jelas, termasuk tidak adanya cacat kritis keselamatan [VERO, Milestones; K, Bab 7.7].</w:t>
      </w:r>
    </w:p>
    <w:p>
      <w:pPr>
        <w:keepNext/>
        <w:spacing w:after="60"/>
      </w:pPr>
      <w:r>
        <w:rPr>
          <w:rFonts w:ascii="Arial" w:hAnsi="Arial"/>
          <w:b/>
          <w:color w:val="051C5C"/>
          <w:sz w:val="19"/>
        </w:rPr>
        <w:t xml:space="preserve">Tabel 28: </w:t>
      </w:r>
      <w:r>
        <w:rPr>
          <w:rFonts w:ascii="Arial" w:hAnsi="Arial"/>
          <w:color w:val="051C5C"/>
          <w:sz w:val="19"/>
        </w:rPr>
        <w:t>Gerbang komisioning dan kesiapan operasi (M6–M9)</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2157"/>
            <w:shd w:val="clear" w:color="auto" w:fill="2251FF"/>
            <w:vAlign w:val="center"/>
          </w:tcPr>
          <w:p>
            <w:pPr>
              <w:spacing w:after="20" w:before="20" w:line="252" w:lineRule="auto"/>
            </w:pPr>
            <w:r/>
            <w:r>
              <w:rPr>
                <w:rFonts w:ascii="Arial" w:hAnsi="Arial"/>
                <w:b/>
                <w:color w:val="FFFFFF"/>
                <w:sz w:val="17"/>
              </w:rPr>
              <w:t>Gerbang</w:t>
            </w:r>
          </w:p>
        </w:tc>
        <w:tc>
          <w:tcPr>
            <w:tcW w:type="dxa" w:w="3725"/>
            <w:shd w:val="clear" w:color="auto" w:fill="2251FF"/>
            <w:vAlign w:val="center"/>
          </w:tcPr>
          <w:p>
            <w:pPr>
              <w:spacing w:after="20" w:before="20" w:line="252" w:lineRule="auto"/>
            </w:pPr>
            <w:r/>
            <w:r>
              <w:rPr>
                <w:rFonts w:ascii="Arial" w:hAnsi="Arial"/>
                <w:b/>
                <w:color w:val="FFFFFF"/>
                <w:sz w:val="17"/>
              </w:rPr>
              <w:t>Keluaran</w:t>
            </w:r>
          </w:p>
        </w:tc>
        <w:tc>
          <w:tcPr>
            <w:tcW w:type="dxa" w:w="3529"/>
            <w:shd w:val="clear" w:color="auto" w:fill="2251FF"/>
            <w:vAlign w:val="center"/>
          </w:tcPr>
          <w:p>
            <w:pPr>
              <w:spacing w:after="20" w:before="20" w:line="252" w:lineRule="auto"/>
            </w:pPr>
            <w:r/>
            <w:r>
              <w:rPr>
                <w:rFonts w:ascii="Arial" w:hAnsi="Arial"/>
                <w:b/>
                <w:color w:val="FFFFFF"/>
                <w:sz w:val="17"/>
              </w:rPr>
              <w:t>Kriteria penerimaan</w:t>
            </w:r>
          </w:p>
        </w:tc>
      </w:tr>
      <w:tr>
        <w:trPr>
          <w:cantSplit/>
        </w:trPr>
        <w:tc>
          <w:tcPr>
            <w:tcW w:type="dxa" w:w="2157"/>
            <w:vAlign w:val="center"/>
          </w:tcPr>
          <w:p>
            <w:pPr>
              <w:spacing w:after="20" w:before="20" w:line="252" w:lineRule="auto"/>
            </w:pPr>
            <w:r/>
            <w:r>
              <w:rPr>
                <w:rFonts w:ascii="Arial" w:hAnsi="Arial"/>
                <w:b/>
                <w:sz w:val="17"/>
              </w:rPr>
              <w:t>M6 Penyelesaian mekanis</w:t>
            </w:r>
          </w:p>
        </w:tc>
        <w:tc>
          <w:tcPr>
            <w:tcW w:type="dxa" w:w="3725"/>
            <w:vAlign w:val="center"/>
          </w:tcPr>
          <w:p>
            <w:pPr>
              <w:spacing w:after="20" w:before="20" w:line="252" w:lineRule="auto"/>
            </w:pPr>
            <w:r/>
            <w:r>
              <w:rPr>
                <w:rFonts w:ascii="Arial" w:hAnsi="Arial"/>
                <w:b w:val="0"/>
                <w:sz w:val="17"/>
              </w:rPr>
              <w:t>Dossier penyelesaian, inspeksi, uji keselamatan, tim operasi terlatih</w:t>
            </w:r>
          </w:p>
        </w:tc>
        <w:tc>
          <w:tcPr>
            <w:tcW w:type="dxa" w:w="3529"/>
            <w:vAlign w:val="center"/>
          </w:tcPr>
          <w:p>
            <w:pPr>
              <w:spacing w:after="20" w:before="20" w:line="252" w:lineRule="auto"/>
            </w:pPr>
            <w:r/>
            <w:r>
              <w:rPr>
                <w:rFonts w:ascii="Arial" w:hAnsi="Arial"/>
                <w:b w:val="0"/>
                <w:sz w:val="17"/>
              </w:rPr>
              <w:t>Penerimaan penyelesaian; risiko punch list terkelola; prosedur operasi siap</w:t>
            </w:r>
          </w:p>
        </w:tc>
      </w:tr>
      <w:tr>
        <w:trPr>
          <w:cantSplit/>
        </w:trPr>
        <w:tc>
          <w:tcPr>
            <w:tcW w:type="dxa" w:w="2157"/>
            <w:shd w:val="clear" w:color="auto" w:fill="E6ECFD"/>
            <w:vAlign w:val="center"/>
          </w:tcPr>
          <w:p>
            <w:pPr>
              <w:spacing w:after="20" w:before="20" w:line="252" w:lineRule="auto"/>
            </w:pPr>
            <w:r/>
            <w:r>
              <w:rPr>
                <w:rFonts w:ascii="Arial" w:hAnsi="Arial"/>
                <w:b/>
                <w:sz w:val="17"/>
              </w:rPr>
              <w:t>M7 Komisioning dan kinerja</w:t>
            </w:r>
          </w:p>
        </w:tc>
        <w:tc>
          <w:tcPr>
            <w:tcW w:type="dxa" w:w="3725"/>
            <w:shd w:val="clear" w:color="auto" w:fill="E6ECFD"/>
            <w:vAlign w:val="center"/>
          </w:tcPr>
          <w:p>
            <w:pPr>
              <w:spacing w:after="20" w:before="20" w:line="252" w:lineRule="auto"/>
            </w:pPr>
            <w:r/>
            <w:r>
              <w:rPr>
                <w:rFonts w:ascii="Arial" w:hAnsi="Arial"/>
                <w:b w:val="0"/>
                <w:sz w:val="17"/>
              </w:rPr>
              <w:t>Uji kinerja, keandalan, kepatuhan lingkungan, penerimaan produk</w:t>
            </w:r>
          </w:p>
        </w:tc>
        <w:tc>
          <w:tcPr>
            <w:tcW w:type="dxa" w:w="3529"/>
            <w:shd w:val="clear" w:color="auto" w:fill="E6ECFD"/>
            <w:vAlign w:val="center"/>
          </w:tcPr>
          <w:p>
            <w:pPr>
              <w:spacing w:after="20" w:before="20" w:line="252" w:lineRule="auto"/>
            </w:pPr>
            <w:r/>
            <w:r>
              <w:rPr>
                <w:rFonts w:ascii="Arial" w:hAnsi="Arial"/>
                <w:b w:val="0"/>
                <w:sz w:val="17"/>
              </w:rPr>
              <w:t>Jaminan kontrak terpenuhi; tidak ada cacat keselamatan kritis</w:t>
            </w:r>
          </w:p>
        </w:tc>
      </w:tr>
      <w:tr>
        <w:trPr>
          <w:cantSplit/>
        </w:trPr>
        <w:tc>
          <w:tcPr>
            <w:tcW w:type="dxa" w:w="2157"/>
            <w:vAlign w:val="center"/>
          </w:tcPr>
          <w:p>
            <w:pPr>
              <w:spacing w:after="20" w:before="20" w:line="252" w:lineRule="auto"/>
            </w:pPr>
            <w:r/>
            <w:r>
              <w:rPr>
                <w:rFonts w:ascii="Arial" w:hAnsi="Arial"/>
                <w:b/>
                <w:sz w:val="17"/>
              </w:rPr>
              <w:t>M8 Rilis komersial/regulasi</w:t>
            </w:r>
          </w:p>
        </w:tc>
        <w:tc>
          <w:tcPr>
            <w:tcW w:type="dxa" w:w="3725"/>
            <w:vAlign w:val="center"/>
          </w:tcPr>
          <w:p>
            <w:pPr>
              <w:spacing w:after="20" w:before="20" w:line="252" w:lineRule="auto"/>
            </w:pPr>
            <w:r/>
            <w:r>
              <w:rPr>
                <w:rFonts w:ascii="Arial" w:hAnsi="Arial"/>
                <w:b w:val="0"/>
                <w:sz w:val="17"/>
              </w:rPr>
              <w:t>COD, kualifikasi pelanggan, sertifikat klas atau izin BPOM</w:t>
            </w:r>
          </w:p>
        </w:tc>
        <w:tc>
          <w:tcPr>
            <w:tcW w:type="dxa" w:w="3529"/>
            <w:vAlign w:val="center"/>
          </w:tcPr>
          <w:p>
            <w:pPr>
              <w:spacing w:after="20" w:before="20" w:line="252" w:lineRule="auto"/>
            </w:pPr>
            <w:r/>
            <w:r>
              <w:rPr>
                <w:rFonts w:ascii="Arial" w:hAnsi="Arial"/>
                <w:b w:val="0"/>
                <w:sz w:val="17"/>
              </w:rPr>
              <w:t>Produk dapat dijual; izin ada; kesiapan layanan; serah terima garansi</w:t>
            </w:r>
          </w:p>
        </w:tc>
      </w:tr>
      <w:tr>
        <w:trPr>
          <w:cantSplit/>
        </w:trPr>
        <w:tc>
          <w:tcPr>
            <w:tcW w:type="dxa" w:w="2157"/>
            <w:shd w:val="clear" w:color="auto" w:fill="E6ECFD"/>
            <w:vAlign w:val="center"/>
          </w:tcPr>
          <w:p>
            <w:pPr>
              <w:spacing w:after="20" w:before="20" w:line="252" w:lineRule="auto"/>
            </w:pPr>
            <w:r/>
            <w:r>
              <w:rPr>
                <w:rFonts w:ascii="Arial" w:hAnsi="Arial"/>
                <w:b/>
                <w:sz w:val="17"/>
              </w:rPr>
              <w:t>M9 Ramp-up dan manfaat</w:t>
            </w:r>
          </w:p>
        </w:tc>
        <w:tc>
          <w:tcPr>
            <w:tcW w:type="dxa" w:w="3725"/>
            <w:shd w:val="clear" w:color="auto" w:fill="E6ECFD"/>
            <w:vAlign w:val="center"/>
          </w:tcPr>
          <w:p>
            <w:pPr>
              <w:spacing w:after="20" w:before="20" w:line="252" w:lineRule="auto"/>
            </w:pPr>
            <w:r/>
            <w:r>
              <w:rPr>
                <w:rFonts w:ascii="Arial" w:hAnsi="Arial"/>
                <w:b w:val="0"/>
                <w:sz w:val="17"/>
              </w:rPr>
              <w:t>Output, biaya, mutu, pemasok lokal, transfer teknologi, kapabilitas tenaga kerja stabil</w:t>
            </w:r>
          </w:p>
        </w:tc>
        <w:tc>
          <w:tcPr>
            <w:tcW w:type="dxa" w:w="3529"/>
            <w:shd w:val="clear" w:color="auto" w:fill="E6ECFD"/>
            <w:vAlign w:val="center"/>
          </w:tcPr>
          <w:p>
            <w:pPr>
              <w:spacing w:after="20" w:before="20" w:line="252" w:lineRule="auto"/>
            </w:pPr>
            <w:r/>
            <w:r>
              <w:rPr>
                <w:rFonts w:ascii="Arial" w:hAnsi="Arial"/>
                <w:b w:val="0"/>
                <w:sz w:val="17"/>
              </w:rPr>
              <w:t>Manfaat aktual dibandingkan business case; peninjauan 12 bulan; rencana korektif</w:t>
            </w:r>
          </w:p>
        </w:tc>
      </w:tr>
    </w:tbl>
    <w:p>
      <w:pPr>
        <w:spacing w:after="160"/>
      </w:pPr>
      <w:r>
        <w:rPr>
          <w:rFonts w:ascii="Arial" w:hAnsi="Arial"/>
          <w:b w:val="0"/>
          <w:i/>
          <w:color w:val="051C5C"/>
          <w:sz w:val="17"/>
        </w:rPr>
        <w:t>Sumber: [VERO, Milestones]; [K, Bab 7.7].</w:t>
      </w:r>
    </w:p>
    <w:p>
      <w:pPr>
        <w:pStyle w:val="Heading2"/>
      </w:pPr>
      <w:r>
        <w:t>9.4  Kesiapan operasi dan pembelajaran</w:t>
      </w:r>
    </w:p>
    <w:p>
      <w:pPr>
        <w:jc w:val="both"/>
      </w:pPr>
      <w:r>
        <w:rPr>
          <w:rFonts w:ascii="Arial" w:hAnsi="Arial"/>
          <w:b w:val="0"/>
        </w:rPr>
        <w:t>Proyek tidak selesai pada serah terima. Kesiapan operasi (ORAT) menyangkut organisasi operator, prosedur, suku cadang, pelatihan, kontrak pemeliharaan, dan sistem informasi. Evaluasi hasil pada gerbang P6, yaitu biaya akhir, manfaat aktual, kapasitas, teknologi, dan emisi, harus menghasilkan tindakan korektif atau keluar, dan hasilnya diumpankan ke basis data estimasi: harga satuan, produktivitas, dan pelajaran. Alur kerja EPC menempatkan hal ini sebagai penutupan proyek: menutup PO dan subkontrak, menyepakati akun akhir, mengumpulkan retensi, melepas jaminan, menyelesaikan klaim, dan merekonsiliasi biaya akhir terhadap estimasi per butir PBS [EPC, §8]. Dukungan siklus hidup juga relevan: umur layanan kapal perang 25–30 tahun dan sering kali pemeliharaan, suku cadang, serta peningkatan lebih mahal daripada pembangunannya, sehingga kapabilitas MRO domestik adalah bagian dari nilai proyek [DOCK, hlm. 2].</w:t>
      </w:r>
    </w:p>
    <w:p>
      <w:r>
        <w:br w:type="page"/>
      </w:r>
    </w:p>
    <w:p>
      <w:pPr>
        <w:pStyle w:val="Heading1"/>
      </w:pPr>
      <w:r>
        <w:t>10  Manajemen pemangku kepentingan, komunikasi, dan tim</w:t>
      </w:r>
    </w:p>
    <w:p>
      <w:pPr>
        <w:pStyle w:val="Heading2"/>
      </w:pPr>
      <w:r>
        <w:t>10.1  Mengapa pemangku kepentingan menentukan hasil</w:t>
      </w:r>
    </w:p>
    <w:p>
      <w:pPr>
        <w:jc w:val="both"/>
      </w:pPr>
      <w:r>
        <w:rPr>
          <w:rFonts w:ascii="Arial" w:hAnsi="Arial"/>
          <w:b w:val="0"/>
        </w:rPr>
        <w:t>Proyek strategis nasional melibatkan lebih banyak pihak daripada proyek komersial biasa: pemilik dan pengatur, pemberi dana, pelaksana, pemasok, pengguna, dan masyarakat. Kegagalan mengelola mereka sering muncul sebagai keterlambatan perizinan, sengketa lahan, atau perubahan lingkup. PMBOK 7 menempatkan pemangku kepentingan sebagai domain kinerja tersendiri; tugasnya bukan sekadar mengomunikasikan, tetapi memahami kepentingan, memetakan pengaruh, dan melibatkan mereka secara tepat.</w:t>
      </w:r>
    </w:p>
    <w:p>
      <w:pPr>
        <w:pStyle w:val="Heading2"/>
      </w:pPr>
      <w:r>
        <w:t>10.2  Peta pemangku kepentingan pada dokumen Danantara</w:t>
      </w:r>
    </w:p>
    <w:p>
      <w:pPr>
        <w:jc w:val="both"/>
      </w:pPr>
      <w:r>
        <w:rPr>
          <w:rFonts w:ascii="Arial" w:hAnsi="Arial"/>
          <w:b w:val="0"/>
        </w:rPr>
        <w:t>Dokumen sumber memuat peta pemangku kepentingan yang kaya, terutama pada kasus PALCapital dan DOCK-UP. Tabel berikut menyusunnya ulang dalam matriks kepentingan dan pengaruh serta strategi pelibatan yang diusulkan; pemeringkatan adalah analisis penulis.</w:t>
      </w:r>
    </w:p>
    <w:p>
      <w:pPr>
        <w:keepNext/>
        <w:spacing w:after="60"/>
      </w:pPr>
      <w:r>
        <w:rPr>
          <w:rFonts w:ascii="Arial" w:hAnsi="Arial"/>
          <w:b/>
          <w:color w:val="051C5C"/>
          <w:sz w:val="19"/>
        </w:rPr>
        <w:t xml:space="preserve">Tabel 29: </w:t>
      </w:r>
      <w:r>
        <w:rPr>
          <w:rFonts w:ascii="Arial" w:hAnsi="Arial"/>
          <w:color w:val="051C5C"/>
          <w:sz w:val="19"/>
        </w:rPr>
        <w:t>Matriks pemangku kepentingan proyek strategis (contoh)</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1882"/>
        <w:gridCol w:w="1882"/>
        <w:gridCol w:w="1882"/>
        <w:gridCol w:w="1882"/>
        <w:gridCol w:w="1882"/>
      </w:tblGrid>
      <w:tr>
        <w:trPr>
          <w:cantSplit/>
          <w:tblHeader/>
        </w:trPr>
        <w:tc>
          <w:tcPr>
            <w:tcW w:type="dxa" w:w="1827"/>
            <w:shd w:val="clear" w:color="auto" w:fill="2251FF"/>
            <w:vAlign w:val="center"/>
          </w:tcPr>
          <w:p>
            <w:pPr>
              <w:spacing w:after="20" w:before="20" w:line="252" w:lineRule="auto"/>
            </w:pPr>
            <w:r/>
            <w:r>
              <w:rPr>
                <w:rFonts w:ascii="Arial" w:hAnsi="Arial"/>
                <w:b/>
                <w:color w:val="FFFFFF"/>
                <w:sz w:val="16"/>
              </w:rPr>
              <w:t>Pemangku kepentingan</w:t>
            </w:r>
          </w:p>
        </w:tc>
        <w:tc>
          <w:tcPr>
            <w:tcW w:type="dxa" w:w="2193"/>
            <w:shd w:val="clear" w:color="auto" w:fill="2251FF"/>
            <w:vAlign w:val="center"/>
          </w:tcPr>
          <w:p>
            <w:pPr>
              <w:spacing w:after="20" w:before="20" w:line="252" w:lineRule="auto"/>
            </w:pPr>
            <w:r/>
            <w:r>
              <w:rPr>
                <w:rFonts w:ascii="Arial" w:hAnsi="Arial"/>
                <w:b/>
                <w:color w:val="FFFFFF"/>
                <w:sz w:val="16"/>
              </w:rPr>
              <w:t>Peran</w:t>
            </w:r>
          </w:p>
        </w:tc>
        <w:tc>
          <w:tcPr>
            <w:tcW w:type="dxa" w:w="1919"/>
            <w:shd w:val="clear" w:color="auto" w:fill="2251FF"/>
            <w:vAlign w:val="center"/>
          </w:tcPr>
          <w:p>
            <w:pPr>
              <w:spacing w:after="20" w:before="20" w:line="252" w:lineRule="auto"/>
            </w:pPr>
            <w:r/>
            <w:r>
              <w:rPr>
                <w:rFonts w:ascii="Arial" w:hAnsi="Arial"/>
                <w:b/>
                <w:color w:val="FFFFFF"/>
                <w:sz w:val="16"/>
              </w:rPr>
              <w:t>Kepentingan utama</w:t>
            </w:r>
          </w:p>
        </w:tc>
        <w:tc>
          <w:tcPr>
            <w:tcW w:type="dxa" w:w="1096"/>
            <w:shd w:val="clear" w:color="auto" w:fill="2251FF"/>
            <w:vAlign w:val="center"/>
          </w:tcPr>
          <w:p>
            <w:pPr>
              <w:spacing w:after="20" w:before="20" w:line="252" w:lineRule="auto"/>
            </w:pPr>
            <w:r/>
            <w:r>
              <w:rPr>
                <w:rFonts w:ascii="Arial" w:hAnsi="Arial"/>
                <w:b/>
                <w:color w:val="FFFFFF"/>
                <w:sz w:val="16"/>
              </w:rPr>
              <w:t>Pengaruh</w:t>
            </w:r>
          </w:p>
        </w:tc>
        <w:tc>
          <w:tcPr>
            <w:tcW w:type="dxa" w:w="2376"/>
            <w:shd w:val="clear" w:color="auto" w:fill="2251FF"/>
            <w:vAlign w:val="center"/>
          </w:tcPr>
          <w:p>
            <w:pPr>
              <w:spacing w:after="20" w:before="20" w:line="252" w:lineRule="auto"/>
            </w:pPr>
            <w:r/>
            <w:r>
              <w:rPr>
                <w:rFonts w:ascii="Arial" w:hAnsi="Arial"/>
                <w:b/>
                <w:color w:val="FFFFFF"/>
                <w:sz w:val="16"/>
              </w:rPr>
              <w:t>Strategi pelibatan</w:t>
            </w:r>
          </w:p>
        </w:tc>
      </w:tr>
      <w:tr>
        <w:trPr>
          <w:cantSplit/>
        </w:trPr>
        <w:tc>
          <w:tcPr>
            <w:tcW w:type="dxa" w:w="1827"/>
            <w:vAlign w:val="center"/>
          </w:tcPr>
          <w:p>
            <w:pPr>
              <w:spacing w:after="20" w:before="20" w:line="252" w:lineRule="auto"/>
            </w:pPr>
            <w:r/>
            <w:r>
              <w:rPr>
                <w:rFonts w:ascii="Arial" w:hAnsi="Arial"/>
                <w:b/>
                <w:sz w:val="16"/>
              </w:rPr>
              <w:t>Presiden, Dewan Pengawas</w:t>
            </w:r>
          </w:p>
        </w:tc>
        <w:tc>
          <w:tcPr>
            <w:tcW w:type="dxa" w:w="2193"/>
            <w:vAlign w:val="center"/>
          </w:tcPr>
          <w:p>
            <w:pPr>
              <w:spacing w:after="20" w:before="20" w:line="252" w:lineRule="auto"/>
            </w:pPr>
            <w:r/>
            <w:r>
              <w:rPr>
                <w:rFonts w:ascii="Arial" w:hAnsi="Arial"/>
                <w:b w:val="0"/>
                <w:sz w:val="16"/>
              </w:rPr>
              <w:t>Persetujuan strategis dan pinjaman/agunan Badan</w:t>
            </w:r>
          </w:p>
        </w:tc>
        <w:tc>
          <w:tcPr>
            <w:tcW w:type="dxa" w:w="1919"/>
            <w:vAlign w:val="center"/>
          </w:tcPr>
          <w:p>
            <w:pPr>
              <w:spacing w:after="20" w:before="20" w:line="252" w:lineRule="auto"/>
            </w:pPr>
            <w:r/>
            <w:r>
              <w:rPr>
                <w:rFonts w:ascii="Arial" w:hAnsi="Arial"/>
                <w:b w:val="0"/>
                <w:sz w:val="16"/>
              </w:rPr>
              <w:t>Hasil nasional; risiko fiskal</w:t>
            </w:r>
          </w:p>
        </w:tc>
        <w:tc>
          <w:tcPr>
            <w:tcW w:type="dxa" w:w="1096"/>
            <w:vAlign w:val="center"/>
          </w:tcPr>
          <w:p>
            <w:pPr>
              <w:spacing w:after="20" w:before="20" w:line="252" w:lineRule="auto"/>
            </w:pPr>
            <w:r/>
            <w:r>
              <w:rPr>
                <w:rFonts w:ascii="Arial" w:hAnsi="Arial"/>
                <w:b w:val="0"/>
                <w:sz w:val="16"/>
              </w:rPr>
              <w:t>Sangat tinggi</w:t>
            </w:r>
          </w:p>
        </w:tc>
        <w:tc>
          <w:tcPr>
            <w:tcW w:type="dxa" w:w="2376"/>
            <w:vAlign w:val="center"/>
          </w:tcPr>
          <w:p>
            <w:pPr>
              <w:spacing w:after="20" w:before="20" w:line="252" w:lineRule="auto"/>
            </w:pPr>
            <w:r/>
            <w:r>
              <w:rPr>
                <w:rFonts w:ascii="Arial" w:hAnsi="Arial"/>
                <w:b w:val="0"/>
                <w:sz w:val="16"/>
              </w:rPr>
              <w:t>Kelola dengan dekat: paket keputusan tunggal, laporan eksepsi</w:t>
            </w:r>
          </w:p>
        </w:tc>
      </w:tr>
      <w:tr>
        <w:trPr>
          <w:cantSplit/>
        </w:trPr>
        <w:tc>
          <w:tcPr>
            <w:tcW w:type="dxa" w:w="1827"/>
            <w:shd w:val="clear" w:color="auto" w:fill="E6ECFD"/>
            <w:vAlign w:val="center"/>
          </w:tcPr>
          <w:p>
            <w:pPr>
              <w:spacing w:after="20" w:before="20" w:line="252" w:lineRule="auto"/>
            </w:pPr>
            <w:r/>
            <w:r>
              <w:rPr>
                <w:rFonts w:ascii="Arial" w:hAnsi="Arial"/>
                <w:b/>
                <w:sz w:val="16"/>
              </w:rPr>
              <w:t>Kementerian Keuangan, Kemhan</w:t>
            </w:r>
          </w:p>
        </w:tc>
        <w:tc>
          <w:tcPr>
            <w:tcW w:type="dxa" w:w="2193"/>
            <w:shd w:val="clear" w:color="auto" w:fill="E6ECFD"/>
            <w:vAlign w:val="center"/>
          </w:tcPr>
          <w:p>
            <w:pPr>
              <w:spacing w:after="20" w:before="20" w:line="252" w:lineRule="auto"/>
            </w:pPr>
            <w:r/>
            <w:r>
              <w:rPr>
                <w:rFonts w:ascii="Arial" w:hAnsi="Arial"/>
                <w:b w:val="0"/>
                <w:sz w:val="16"/>
              </w:rPr>
              <w:t>Penanda tangan nilai PO; pembayar termin; alokasi anggaran</w:t>
            </w:r>
          </w:p>
        </w:tc>
        <w:tc>
          <w:tcPr>
            <w:tcW w:type="dxa" w:w="1919"/>
            <w:shd w:val="clear" w:color="auto" w:fill="E6ECFD"/>
            <w:vAlign w:val="center"/>
          </w:tcPr>
          <w:p>
            <w:pPr>
              <w:spacing w:after="20" w:before="20" w:line="252" w:lineRule="auto"/>
            </w:pPr>
            <w:r/>
            <w:r>
              <w:rPr>
                <w:rFonts w:ascii="Arial" w:hAnsi="Arial"/>
                <w:b w:val="0"/>
                <w:sz w:val="16"/>
              </w:rPr>
              <w:t>Kepatuhan fiskal; kesiapan program</w:t>
            </w:r>
          </w:p>
        </w:tc>
        <w:tc>
          <w:tcPr>
            <w:tcW w:type="dxa" w:w="1096"/>
            <w:shd w:val="clear" w:color="auto" w:fill="E6ECFD"/>
            <w:vAlign w:val="center"/>
          </w:tcPr>
          <w:p>
            <w:pPr>
              <w:spacing w:after="20" w:before="20" w:line="252" w:lineRule="auto"/>
            </w:pPr>
            <w:r/>
            <w:r>
              <w:rPr>
                <w:rFonts w:ascii="Arial" w:hAnsi="Arial"/>
                <w:b w:val="0"/>
                <w:sz w:val="16"/>
              </w:rPr>
              <w:t>Sangat tinggi</w:t>
            </w:r>
          </w:p>
        </w:tc>
        <w:tc>
          <w:tcPr>
            <w:tcW w:type="dxa" w:w="2376"/>
            <w:shd w:val="clear" w:color="auto" w:fill="E6ECFD"/>
            <w:vAlign w:val="center"/>
          </w:tcPr>
          <w:p>
            <w:pPr>
              <w:spacing w:after="20" w:before="20" w:line="252" w:lineRule="auto"/>
            </w:pPr>
            <w:r/>
            <w:r>
              <w:rPr>
                <w:rFonts w:ascii="Arial" w:hAnsi="Arial"/>
                <w:b w:val="0"/>
                <w:sz w:val="16"/>
              </w:rPr>
              <w:t>Kelola dengan dekat: persetujuan pengalihan tagihan; keselarasan jadwal pembayaran</w:t>
            </w:r>
          </w:p>
        </w:tc>
      </w:tr>
      <w:tr>
        <w:trPr>
          <w:cantSplit/>
        </w:trPr>
        <w:tc>
          <w:tcPr>
            <w:tcW w:type="dxa" w:w="1827"/>
            <w:vAlign w:val="center"/>
          </w:tcPr>
          <w:p>
            <w:pPr>
              <w:spacing w:after="20" w:before="20" w:line="252" w:lineRule="auto"/>
            </w:pPr>
            <w:r/>
            <w:r>
              <w:rPr>
                <w:rFonts w:ascii="Arial" w:hAnsi="Arial"/>
                <w:b/>
                <w:sz w:val="16"/>
              </w:rPr>
              <w:t>OJK, Bank Indonesia, BSSN</w:t>
            </w:r>
          </w:p>
        </w:tc>
        <w:tc>
          <w:tcPr>
            <w:tcW w:type="dxa" w:w="2193"/>
            <w:vAlign w:val="center"/>
          </w:tcPr>
          <w:p>
            <w:pPr>
              <w:spacing w:after="20" w:before="20" w:line="252" w:lineRule="auto"/>
            </w:pPr>
            <w:r/>
            <w:r>
              <w:rPr>
                <w:rFonts w:ascii="Arial" w:hAnsi="Arial"/>
                <w:b w:val="0"/>
                <w:sz w:val="16"/>
              </w:rPr>
              <w:t>Regulator sandbox, stabilitas, keamanan siber</w:t>
            </w:r>
          </w:p>
        </w:tc>
        <w:tc>
          <w:tcPr>
            <w:tcW w:type="dxa" w:w="1919"/>
            <w:vAlign w:val="center"/>
          </w:tcPr>
          <w:p>
            <w:pPr>
              <w:spacing w:after="20" w:before="20" w:line="252" w:lineRule="auto"/>
            </w:pPr>
            <w:r/>
            <w:r>
              <w:rPr>
                <w:rFonts w:ascii="Arial" w:hAnsi="Arial"/>
                <w:b w:val="0"/>
                <w:sz w:val="16"/>
              </w:rPr>
              <w:t>Integritas pasar, inflasi, keamanan data</w:t>
            </w:r>
          </w:p>
        </w:tc>
        <w:tc>
          <w:tcPr>
            <w:tcW w:type="dxa" w:w="1096"/>
            <w:vAlign w:val="center"/>
          </w:tcPr>
          <w:p>
            <w:pPr>
              <w:spacing w:after="20" w:before="20" w:line="252" w:lineRule="auto"/>
            </w:pPr>
            <w:r/>
            <w:r>
              <w:rPr>
                <w:rFonts w:ascii="Arial" w:hAnsi="Arial"/>
                <w:b w:val="0"/>
                <w:sz w:val="16"/>
              </w:rPr>
              <w:t>Tinggi</w:t>
            </w:r>
          </w:p>
        </w:tc>
        <w:tc>
          <w:tcPr>
            <w:tcW w:type="dxa" w:w="2376"/>
            <w:vAlign w:val="center"/>
          </w:tcPr>
          <w:p>
            <w:pPr>
              <w:spacing w:after="20" w:before="20" w:line="252" w:lineRule="auto"/>
            </w:pPr>
            <w:r/>
            <w:r>
              <w:rPr>
                <w:rFonts w:ascii="Arial" w:hAnsi="Arial"/>
                <w:b w:val="0"/>
                <w:sz w:val="16"/>
              </w:rPr>
              <w:t>Konsultasi awal; simpul pantau baca-saja</w:t>
            </w:r>
          </w:p>
        </w:tc>
      </w:tr>
      <w:tr>
        <w:trPr>
          <w:cantSplit/>
        </w:trPr>
        <w:tc>
          <w:tcPr>
            <w:tcW w:type="dxa" w:w="1827"/>
            <w:shd w:val="clear" w:color="auto" w:fill="E6ECFD"/>
            <w:vAlign w:val="center"/>
          </w:tcPr>
          <w:p>
            <w:pPr>
              <w:spacing w:after="20" w:before="20" w:line="252" w:lineRule="auto"/>
            </w:pPr>
            <w:r/>
            <w:r>
              <w:rPr>
                <w:rFonts w:ascii="Arial" w:hAnsi="Arial"/>
                <w:b/>
                <w:sz w:val="16"/>
              </w:rPr>
              <w:t>KKIP</w:t>
            </w:r>
          </w:p>
        </w:tc>
        <w:tc>
          <w:tcPr>
            <w:tcW w:type="dxa" w:w="2193"/>
            <w:shd w:val="clear" w:color="auto" w:fill="E6ECFD"/>
            <w:vAlign w:val="center"/>
          </w:tcPr>
          <w:p>
            <w:pPr>
              <w:spacing w:after="20" w:before="20" w:line="252" w:lineRule="auto"/>
            </w:pPr>
            <w:r/>
            <w:r>
              <w:rPr>
                <w:rFonts w:ascii="Arial" w:hAnsi="Arial"/>
                <w:b w:val="0"/>
                <w:sz w:val="16"/>
              </w:rPr>
              <w:t>Koordinator kebijakan industri pertahanan dan DOCK-UP</w:t>
            </w:r>
          </w:p>
        </w:tc>
        <w:tc>
          <w:tcPr>
            <w:tcW w:type="dxa" w:w="1919"/>
            <w:shd w:val="clear" w:color="auto" w:fill="E6ECFD"/>
            <w:vAlign w:val="center"/>
          </w:tcPr>
          <w:p>
            <w:pPr>
              <w:spacing w:after="20" w:before="20" w:line="252" w:lineRule="auto"/>
            </w:pPr>
            <w:r/>
            <w:r>
              <w:rPr>
                <w:rFonts w:ascii="Arial" w:hAnsi="Arial"/>
                <w:b w:val="0"/>
                <w:sz w:val="16"/>
              </w:rPr>
              <w:t>Kemandirian industri pertahanan</w:t>
            </w:r>
          </w:p>
        </w:tc>
        <w:tc>
          <w:tcPr>
            <w:tcW w:type="dxa" w:w="1096"/>
            <w:shd w:val="clear" w:color="auto" w:fill="E6ECFD"/>
            <w:vAlign w:val="center"/>
          </w:tcPr>
          <w:p>
            <w:pPr>
              <w:spacing w:after="20" w:before="20" w:line="252" w:lineRule="auto"/>
            </w:pPr>
            <w:r/>
            <w:r>
              <w:rPr>
                <w:rFonts w:ascii="Arial" w:hAnsi="Arial"/>
                <w:b w:val="0"/>
                <w:sz w:val="16"/>
              </w:rPr>
              <w:t>Tinggi</w:t>
            </w:r>
          </w:p>
        </w:tc>
        <w:tc>
          <w:tcPr>
            <w:tcW w:type="dxa" w:w="2376"/>
            <w:shd w:val="clear" w:color="auto" w:fill="E6ECFD"/>
            <w:vAlign w:val="center"/>
          </w:tcPr>
          <w:p>
            <w:pPr>
              <w:spacing w:after="20" w:before="20" w:line="252" w:lineRule="auto"/>
            </w:pPr>
            <w:r/>
            <w:r>
              <w:rPr>
                <w:rFonts w:ascii="Arial" w:hAnsi="Arial"/>
                <w:b w:val="0"/>
                <w:sz w:val="16"/>
              </w:rPr>
              <w:t>Kerja sama formal; pemilik kebijakan gerbang</w:t>
            </w:r>
          </w:p>
        </w:tc>
      </w:tr>
      <w:tr>
        <w:trPr>
          <w:cantSplit/>
        </w:trPr>
        <w:tc>
          <w:tcPr>
            <w:tcW w:type="dxa" w:w="1827"/>
            <w:vAlign w:val="center"/>
          </w:tcPr>
          <w:p>
            <w:pPr>
              <w:spacing w:after="20" w:before="20" w:line="252" w:lineRule="auto"/>
            </w:pPr>
            <w:r/>
            <w:r>
              <w:rPr>
                <w:rFonts w:ascii="Arial" w:hAnsi="Arial"/>
                <w:b/>
                <w:sz w:val="16"/>
              </w:rPr>
              <w:t>Integrator (PT PAL, DEFEND ID)</w:t>
            </w:r>
          </w:p>
        </w:tc>
        <w:tc>
          <w:tcPr>
            <w:tcW w:type="dxa" w:w="2193"/>
            <w:vAlign w:val="center"/>
          </w:tcPr>
          <w:p>
            <w:pPr>
              <w:spacing w:after="20" w:before="20" w:line="252" w:lineRule="auto"/>
            </w:pPr>
            <w:r/>
            <w:r>
              <w:rPr>
                <w:rFonts w:ascii="Arial" w:hAnsi="Arial"/>
                <w:b w:val="0"/>
                <w:sz w:val="16"/>
              </w:rPr>
              <w:t>Pesan, review bukti, dampingi UKM; peminjam dan pembangun</w:t>
            </w:r>
          </w:p>
        </w:tc>
        <w:tc>
          <w:tcPr>
            <w:tcW w:type="dxa" w:w="1919"/>
            <w:vAlign w:val="center"/>
          </w:tcPr>
          <w:p>
            <w:pPr>
              <w:spacing w:after="20" w:before="20" w:line="252" w:lineRule="auto"/>
            </w:pPr>
            <w:r/>
            <w:r>
              <w:rPr>
                <w:rFonts w:ascii="Arial" w:hAnsi="Arial"/>
                <w:b w:val="0"/>
                <w:sz w:val="16"/>
              </w:rPr>
              <w:t>Kapasitas, modal kerja, jadwal</w:t>
            </w:r>
          </w:p>
        </w:tc>
        <w:tc>
          <w:tcPr>
            <w:tcW w:type="dxa" w:w="1096"/>
            <w:vAlign w:val="center"/>
          </w:tcPr>
          <w:p>
            <w:pPr>
              <w:spacing w:after="20" w:before="20" w:line="252" w:lineRule="auto"/>
            </w:pPr>
            <w:r/>
            <w:r>
              <w:rPr>
                <w:rFonts w:ascii="Arial" w:hAnsi="Arial"/>
                <w:b w:val="0"/>
                <w:sz w:val="16"/>
              </w:rPr>
              <w:t>Tinggi</w:t>
            </w:r>
          </w:p>
        </w:tc>
        <w:tc>
          <w:tcPr>
            <w:tcW w:type="dxa" w:w="2376"/>
            <w:vAlign w:val="center"/>
          </w:tcPr>
          <w:p>
            <w:pPr>
              <w:spacing w:after="20" w:before="20" w:line="252" w:lineRule="auto"/>
            </w:pPr>
            <w:r/>
            <w:r>
              <w:rPr>
                <w:rFonts w:ascii="Arial" w:hAnsi="Arial"/>
                <w:b w:val="0"/>
                <w:sz w:val="16"/>
              </w:rPr>
              <w:t>Kontrak payung bergerbang; rencana lokalisasi</w:t>
            </w:r>
          </w:p>
        </w:tc>
      </w:tr>
      <w:tr>
        <w:trPr>
          <w:cantSplit/>
        </w:trPr>
        <w:tc>
          <w:tcPr>
            <w:tcW w:type="dxa" w:w="1827"/>
            <w:shd w:val="clear" w:color="auto" w:fill="E6ECFD"/>
            <w:vAlign w:val="center"/>
          </w:tcPr>
          <w:p>
            <w:pPr>
              <w:spacing w:after="20" w:before="20" w:line="252" w:lineRule="auto"/>
            </w:pPr>
            <w:r/>
            <w:r>
              <w:rPr>
                <w:rFonts w:ascii="Arial" w:hAnsi="Arial"/>
                <w:b/>
                <w:sz w:val="16"/>
              </w:rPr>
              <w:t>Surveyor independen (BKI), TNI AL</w:t>
            </w:r>
          </w:p>
        </w:tc>
        <w:tc>
          <w:tcPr>
            <w:tcW w:type="dxa" w:w="2193"/>
            <w:shd w:val="clear" w:color="auto" w:fill="E6ECFD"/>
            <w:vAlign w:val="center"/>
          </w:tcPr>
          <w:p>
            <w:pPr>
              <w:spacing w:after="20" w:before="20" w:line="252" w:lineRule="auto"/>
            </w:pPr>
            <w:r/>
            <w:r>
              <w:rPr>
                <w:rFonts w:ascii="Arial" w:hAnsi="Arial"/>
                <w:b w:val="0"/>
                <w:sz w:val="16"/>
              </w:rPr>
              <w:t>Verifikasi fisik dan mutu; penanda tangan 2 dari 2</w:t>
            </w:r>
          </w:p>
        </w:tc>
        <w:tc>
          <w:tcPr>
            <w:tcW w:type="dxa" w:w="1919"/>
            <w:shd w:val="clear" w:color="auto" w:fill="E6ECFD"/>
            <w:vAlign w:val="center"/>
          </w:tcPr>
          <w:p>
            <w:pPr>
              <w:spacing w:after="20" w:before="20" w:line="252" w:lineRule="auto"/>
            </w:pPr>
            <w:r/>
            <w:r>
              <w:rPr>
                <w:rFonts w:ascii="Arial" w:hAnsi="Arial"/>
                <w:b w:val="0"/>
                <w:sz w:val="16"/>
              </w:rPr>
              <w:t>Integritas verifikasi</w:t>
            </w:r>
          </w:p>
        </w:tc>
        <w:tc>
          <w:tcPr>
            <w:tcW w:type="dxa" w:w="1096"/>
            <w:shd w:val="clear" w:color="auto" w:fill="E6ECFD"/>
            <w:vAlign w:val="center"/>
          </w:tcPr>
          <w:p>
            <w:pPr>
              <w:spacing w:after="20" w:before="20" w:line="252" w:lineRule="auto"/>
            </w:pPr>
            <w:r/>
            <w:r>
              <w:rPr>
                <w:rFonts w:ascii="Arial" w:hAnsi="Arial"/>
                <w:b w:val="0"/>
                <w:sz w:val="16"/>
              </w:rPr>
              <w:t>Tinggi</w:t>
            </w:r>
          </w:p>
        </w:tc>
        <w:tc>
          <w:tcPr>
            <w:tcW w:type="dxa" w:w="2376"/>
            <w:shd w:val="clear" w:color="auto" w:fill="E6ECFD"/>
            <w:vAlign w:val="center"/>
          </w:tcPr>
          <w:p>
            <w:pPr>
              <w:spacing w:after="20" w:before="20" w:line="252" w:lineRule="auto"/>
            </w:pPr>
            <w:r/>
            <w:r>
              <w:rPr>
                <w:rFonts w:ascii="Arial" w:hAnsi="Arial"/>
                <w:b w:val="0"/>
                <w:sz w:val="16"/>
              </w:rPr>
              <w:t>Mandat independen; hindari konflik peran</w:t>
            </w:r>
          </w:p>
        </w:tc>
      </w:tr>
      <w:tr>
        <w:trPr>
          <w:cantSplit/>
        </w:trPr>
        <w:tc>
          <w:tcPr>
            <w:tcW w:type="dxa" w:w="1827"/>
            <w:vAlign w:val="center"/>
          </w:tcPr>
          <w:p>
            <w:pPr>
              <w:spacing w:after="20" w:before="20" w:line="252" w:lineRule="auto"/>
            </w:pPr>
            <w:r/>
            <w:r>
              <w:rPr>
                <w:rFonts w:ascii="Arial" w:hAnsi="Arial"/>
                <w:b/>
                <w:sz w:val="16"/>
              </w:rPr>
              <w:t>Bank (Mandiri, BRI), LPEI, penjamin</w:t>
            </w:r>
          </w:p>
        </w:tc>
        <w:tc>
          <w:tcPr>
            <w:tcW w:type="dxa" w:w="2193"/>
            <w:vAlign w:val="center"/>
          </w:tcPr>
          <w:p>
            <w:pPr>
              <w:spacing w:after="20" w:before="20" w:line="252" w:lineRule="auto"/>
            </w:pPr>
            <w:r/>
            <w:r>
              <w:rPr>
                <w:rFonts w:ascii="Arial" w:hAnsi="Arial"/>
                <w:b w:val="0"/>
                <w:sz w:val="16"/>
              </w:rPr>
              <w:t>Escrow, ko-investor, KUR, kredit</w:t>
            </w:r>
          </w:p>
        </w:tc>
        <w:tc>
          <w:tcPr>
            <w:tcW w:type="dxa" w:w="1919"/>
            <w:vAlign w:val="center"/>
          </w:tcPr>
          <w:p>
            <w:pPr>
              <w:spacing w:after="20" w:before="20" w:line="252" w:lineRule="auto"/>
            </w:pPr>
            <w:r/>
            <w:r>
              <w:rPr>
                <w:rFonts w:ascii="Arial" w:hAnsi="Arial"/>
                <w:b w:val="0"/>
                <w:sz w:val="16"/>
              </w:rPr>
              <w:t>Risiko kredit; imbal hasil</w:t>
            </w:r>
          </w:p>
        </w:tc>
        <w:tc>
          <w:tcPr>
            <w:tcW w:type="dxa" w:w="1096"/>
            <w:vAlign w:val="center"/>
          </w:tcPr>
          <w:p>
            <w:pPr>
              <w:spacing w:after="20" w:before="20" w:line="252" w:lineRule="auto"/>
            </w:pPr>
            <w:r/>
            <w:r>
              <w:rPr>
                <w:rFonts w:ascii="Arial" w:hAnsi="Arial"/>
                <w:b w:val="0"/>
                <w:sz w:val="16"/>
              </w:rPr>
              <w:t>Tinggi</w:t>
            </w:r>
          </w:p>
        </w:tc>
        <w:tc>
          <w:tcPr>
            <w:tcW w:type="dxa" w:w="2376"/>
            <w:vAlign w:val="center"/>
          </w:tcPr>
          <w:p>
            <w:pPr>
              <w:spacing w:after="20" w:before="20" w:line="252" w:lineRule="auto"/>
            </w:pPr>
            <w:r/>
            <w:r>
              <w:rPr>
                <w:rFonts w:ascii="Arial" w:hAnsi="Arial"/>
                <w:b w:val="0"/>
                <w:sz w:val="16"/>
              </w:rPr>
              <w:t>Pembiayaan per gerbang; first-loss bersama</w:t>
            </w:r>
          </w:p>
        </w:tc>
      </w:tr>
      <w:tr>
        <w:trPr>
          <w:cantSplit/>
        </w:trPr>
        <w:tc>
          <w:tcPr>
            <w:tcW w:type="dxa" w:w="1827"/>
            <w:shd w:val="clear" w:color="auto" w:fill="E6ECFD"/>
            <w:vAlign w:val="center"/>
          </w:tcPr>
          <w:p>
            <w:pPr>
              <w:spacing w:after="20" w:before="20" w:line="252" w:lineRule="auto"/>
            </w:pPr>
            <w:r/>
            <w:r>
              <w:rPr>
                <w:rFonts w:ascii="Arial" w:hAnsi="Arial"/>
                <w:b/>
                <w:sz w:val="16"/>
              </w:rPr>
              <w:t>UKM dan pemasok</w:t>
            </w:r>
          </w:p>
        </w:tc>
        <w:tc>
          <w:tcPr>
            <w:tcW w:type="dxa" w:w="2193"/>
            <w:shd w:val="clear" w:color="auto" w:fill="E6ECFD"/>
            <w:vAlign w:val="center"/>
          </w:tcPr>
          <w:p>
            <w:pPr>
              <w:spacing w:after="20" w:before="20" w:line="252" w:lineRule="auto"/>
            </w:pPr>
            <w:r/>
            <w:r>
              <w:rPr>
                <w:rFonts w:ascii="Arial" w:hAnsi="Arial"/>
                <w:b w:val="0"/>
                <w:sz w:val="16"/>
              </w:rPr>
              <w:t>Pemasok yang dikualifikasi</w:t>
            </w:r>
          </w:p>
        </w:tc>
        <w:tc>
          <w:tcPr>
            <w:tcW w:type="dxa" w:w="1919"/>
            <w:shd w:val="clear" w:color="auto" w:fill="E6ECFD"/>
            <w:vAlign w:val="center"/>
          </w:tcPr>
          <w:p>
            <w:pPr>
              <w:spacing w:after="20" w:before="20" w:line="252" w:lineRule="auto"/>
            </w:pPr>
            <w:r/>
            <w:r>
              <w:rPr>
                <w:rFonts w:ascii="Arial" w:hAnsi="Arial"/>
                <w:b w:val="0"/>
                <w:sz w:val="16"/>
              </w:rPr>
              <w:t>Pesanan, modal, sertifikasi</w:t>
            </w:r>
          </w:p>
        </w:tc>
        <w:tc>
          <w:tcPr>
            <w:tcW w:type="dxa" w:w="1096"/>
            <w:shd w:val="clear" w:color="auto" w:fill="E6ECFD"/>
            <w:vAlign w:val="center"/>
          </w:tcPr>
          <w:p>
            <w:pPr>
              <w:spacing w:after="20" w:before="20" w:line="252" w:lineRule="auto"/>
            </w:pPr>
            <w:r/>
            <w:r>
              <w:rPr>
                <w:rFonts w:ascii="Arial" w:hAnsi="Arial"/>
                <w:b w:val="0"/>
                <w:sz w:val="16"/>
              </w:rPr>
              <w:t>Sedang</w:t>
            </w:r>
          </w:p>
        </w:tc>
        <w:tc>
          <w:tcPr>
            <w:tcW w:type="dxa" w:w="2376"/>
            <w:shd w:val="clear" w:color="auto" w:fill="E6ECFD"/>
            <w:vAlign w:val="center"/>
          </w:tcPr>
          <w:p>
            <w:pPr>
              <w:spacing w:after="20" w:before="20" w:line="252" w:lineRule="auto"/>
            </w:pPr>
            <w:r/>
            <w:r>
              <w:rPr>
                <w:rFonts w:ascii="Arial" w:hAnsi="Arial"/>
                <w:b w:val="0"/>
                <w:sz w:val="16"/>
              </w:rPr>
              <w:t>Pendampingan; kejelasan aturan gerbang</w:t>
            </w:r>
          </w:p>
        </w:tc>
      </w:tr>
      <w:tr>
        <w:trPr>
          <w:cantSplit/>
        </w:trPr>
        <w:tc>
          <w:tcPr>
            <w:tcW w:type="dxa" w:w="1827"/>
            <w:vAlign w:val="center"/>
          </w:tcPr>
          <w:p>
            <w:pPr>
              <w:spacing w:after="20" w:before="20" w:line="252" w:lineRule="auto"/>
            </w:pPr>
            <w:r/>
            <w:r>
              <w:rPr>
                <w:rFonts w:ascii="Arial" w:hAnsi="Arial"/>
                <w:b/>
                <w:sz w:val="16"/>
              </w:rPr>
              <w:t>Pemerintah daerah, masyarakat</w:t>
            </w:r>
          </w:p>
        </w:tc>
        <w:tc>
          <w:tcPr>
            <w:tcW w:type="dxa" w:w="2193"/>
            <w:vAlign w:val="center"/>
          </w:tcPr>
          <w:p>
            <w:pPr>
              <w:spacing w:after="20" w:before="20" w:line="252" w:lineRule="auto"/>
            </w:pPr>
            <w:r/>
            <w:r>
              <w:rPr>
                <w:rFonts w:ascii="Arial" w:hAnsi="Arial"/>
                <w:b w:val="0"/>
                <w:sz w:val="16"/>
              </w:rPr>
              <w:t>Lahan, izin, dampak lokal, pembayaran layanan (mis. WtE)</w:t>
            </w:r>
          </w:p>
        </w:tc>
        <w:tc>
          <w:tcPr>
            <w:tcW w:type="dxa" w:w="1919"/>
            <w:vAlign w:val="center"/>
          </w:tcPr>
          <w:p>
            <w:pPr>
              <w:spacing w:after="20" w:before="20" w:line="252" w:lineRule="auto"/>
            </w:pPr>
            <w:r/>
            <w:r>
              <w:rPr>
                <w:rFonts w:ascii="Arial" w:hAnsi="Arial"/>
                <w:b w:val="0"/>
                <w:sz w:val="16"/>
              </w:rPr>
              <w:t>Layanan, lapangan kerja, lingkungan</w:t>
            </w:r>
          </w:p>
        </w:tc>
        <w:tc>
          <w:tcPr>
            <w:tcW w:type="dxa" w:w="1096"/>
            <w:vAlign w:val="center"/>
          </w:tcPr>
          <w:p>
            <w:pPr>
              <w:spacing w:after="20" w:before="20" w:line="252" w:lineRule="auto"/>
            </w:pPr>
            <w:r/>
            <w:r>
              <w:rPr>
                <w:rFonts w:ascii="Arial" w:hAnsi="Arial"/>
                <w:b w:val="0"/>
                <w:sz w:val="16"/>
              </w:rPr>
              <w:t>Sedang–tinggi</w:t>
            </w:r>
          </w:p>
        </w:tc>
        <w:tc>
          <w:tcPr>
            <w:tcW w:type="dxa" w:w="2376"/>
            <w:vAlign w:val="center"/>
          </w:tcPr>
          <w:p>
            <w:pPr>
              <w:spacing w:after="20" w:before="20" w:line="252" w:lineRule="auto"/>
            </w:pPr>
            <w:r/>
            <w:r>
              <w:rPr>
                <w:rFonts w:ascii="Arial" w:hAnsi="Arial"/>
                <w:b w:val="0"/>
                <w:sz w:val="16"/>
              </w:rPr>
              <w:t>Konsultasi dini; komunikasi risiko; inflasi daerah</w:t>
            </w:r>
          </w:p>
        </w:tc>
      </w:tr>
      <w:tr>
        <w:trPr>
          <w:cantSplit/>
        </w:trPr>
        <w:tc>
          <w:tcPr>
            <w:tcW w:type="dxa" w:w="1827"/>
            <w:shd w:val="clear" w:color="auto" w:fill="E6ECFD"/>
            <w:vAlign w:val="center"/>
          </w:tcPr>
          <w:p>
            <w:pPr>
              <w:spacing w:after="20" w:before="20" w:line="252" w:lineRule="auto"/>
            </w:pPr>
            <w:r/>
            <w:r>
              <w:rPr>
                <w:rFonts w:ascii="Arial" w:hAnsi="Arial"/>
                <w:b/>
                <w:sz w:val="16"/>
              </w:rPr>
              <w:t>Investor institusional dan publik</w:t>
            </w:r>
          </w:p>
        </w:tc>
        <w:tc>
          <w:tcPr>
            <w:tcW w:type="dxa" w:w="2193"/>
            <w:shd w:val="clear" w:color="auto" w:fill="E6ECFD"/>
            <w:vAlign w:val="center"/>
          </w:tcPr>
          <w:p>
            <w:pPr>
              <w:spacing w:after="20" w:before="20" w:line="252" w:lineRule="auto"/>
            </w:pPr>
            <w:r/>
            <w:r>
              <w:rPr>
                <w:rFonts w:ascii="Arial" w:hAnsi="Arial"/>
                <w:b w:val="0"/>
                <w:sz w:val="16"/>
              </w:rPr>
              <w:t>Pemodal surat utang dan tagihan</w:t>
            </w:r>
          </w:p>
        </w:tc>
        <w:tc>
          <w:tcPr>
            <w:tcW w:type="dxa" w:w="1919"/>
            <w:shd w:val="clear" w:color="auto" w:fill="E6ECFD"/>
            <w:vAlign w:val="center"/>
          </w:tcPr>
          <w:p>
            <w:pPr>
              <w:spacing w:after="20" w:before="20" w:line="252" w:lineRule="auto"/>
            </w:pPr>
            <w:r/>
            <w:r>
              <w:rPr>
                <w:rFonts w:ascii="Arial" w:hAnsi="Arial"/>
                <w:b w:val="0"/>
                <w:sz w:val="16"/>
              </w:rPr>
              <w:t>Kepastian bayar, transparansi</w:t>
            </w:r>
          </w:p>
        </w:tc>
        <w:tc>
          <w:tcPr>
            <w:tcW w:type="dxa" w:w="1096"/>
            <w:shd w:val="clear" w:color="auto" w:fill="E6ECFD"/>
            <w:vAlign w:val="center"/>
          </w:tcPr>
          <w:p>
            <w:pPr>
              <w:spacing w:after="20" w:before="20" w:line="252" w:lineRule="auto"/>
            </w:pPr>
            <w:r/>
            <w:r>
              <w:rPr>
                <w:rFonts w:ascii="Arial" w:hAnsi="Arial"/>
                <w:b w:val="0"/>
                <w:sz w:val="16"/>
              </w:rPr>
              <w:t>Sedang</w:t>
            </w:r>
          </w:p>
        </w:tc>
        <w:tc>
          <w:tcPr>
            <w:tcW w:type="dxa" w:w="2376"/>
            <w:shd w:val="clear" w:color="auto" w:fill="E6ECFD"/>
            <w:vAlign w:val="center"/>
          </w:tcPr>
          <w:p>
            <w:pPr>
              <w:spacing w:after="20" w:before="20" w:line="252" w:lineRule="auto"/>
            </w:pPr>
            <w:r/>
            <w:r>
              <w:rPr>
                <w:rFonts w:ascii="Arial" w:hAnsi="Arial"/>
                <w:b w:val="0"/>
                <w:sz w:val="16"/>
              </w:rPr>
              <w:t>Pengungkapan; registri instrumen</w:t>
            </w:r>
          </w:p>
        </w:tc>
      </w:tr>
    </w:tbl>
    <w:p>
      <w:pPr>
        <w:spacing w:after="160"/>
      </w:pPr>
      <w:r>
        <w:rPr>
          <w:rFonts w:ascii="Arial" w:hAnsi="Arial"/>
          <w:b w:val="0"/>
          <w:i/>
          <w:color w:val="051C5C"/>
          <w:sz w:val="17"/>
        </w:rPr>
        <w:t>Sumber: peran dari [PAL, hlm. 15; DOCK, hlm. 10; NRF-ES]; pemeringkatan dan strategi adalah analisis penulis.</w:t>
      </w:r>
    </w:p>
    <w:p>
      <w:pPr>
        <w:pStyle w:val="Heading2"/>
      </w:pPr>
      <w:r>
        <w:t>10.3  Rencana komunikasi dan irama pelaporan</w:t>
      </w:r>
    </w:p>
    <w:p>
      <w:pPr>
        <w:jc w:val="both"/>
      </w:pPr>
      <w:r>
        <w:rPr>
          <w:rFonts w:ascii="Arial" w:hAnsi="Arial"/>
          <w:b w:val="0"/>
        </w:rPr>
        <w:t>Komunikasi proyek yang efektif ditentukan oleh siapa yang membutuhkan informasi apa, kapan, dan dalam bentuk apa. Kajian Danantara mengusulkan irama pelaporan portofolio: bulanan untuk likuiditas, kemajuan konstruksi, pengecualian operasional, risiko kritis, dan hambatan lintas arm; triwulanan untuk imbal hasil investasi, transformasi BUMN, biaya dan jadwal proyek, cakupan bukti, dan perpindahan gerbang pemasok; tahunan untuk laporan teraudit, evaluasi hasil, tinjauan sejawat, dan realokasi modal; serta pada saat komisioning dan 12–24 bulan sesudahnya untuk kinerja teknis dan realisasi manfaat [K, Bab 14.6].</w:t>
      </w:r>
    </w:p>
    <w:p>
      <w:pPr>
        <w:keepNext/>
        <w:spacing w:after="60"/>
      </w:pPr>
      <w:r>
        <w:rPr>
          <w:rFonts w:ascii="Arial" w:hAnsi="Arial"/>
          <w:b/>
          <w:color w:val="051C5C"/>
          <w:sz w:val="19"/>
        </w:rPr>
        <w:t xml:space="preserve">Tabel 30: </w:t>
      </w:r>
      <w:r>
        <w:rPr>
          <w:rFonts w:ascii="Arial" w:hAnsi="Arial"/>
          <w:color w:val="051C5C"/>
          <w:sz w:val="19"/>
        </w:rPr>
        <w:t>Irama pelaporan dan audiens</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2353"/>
        <w:gridCol w:w="2353"/>
        <w:gridCol w:w="2353"/>
        <w:gridCol w:w="2353"/>
      </w:tblGrid>
      <w:tr>
        <w:trPr>
          <w:cantSplit/>
          <w:tblHeader/>
        </w:trPr>
        <w:tc>
          <w:tcPr>
            <w:tcW w:type="dxa" w:w="1882"/>
            <w:shd w:val="clear" w:color="auto" w:fill="2251FF"/>
            <w:vAlign w:val="center"/>
          </w:tcPr>
          <w:p>
            <w:pPr>
              <w:spacing w:after="20" w:before="20" w:line="252" w:lineRule="auto"/>
            </w:pPr>
            <w:r/>
            <w:r>
              <w:rPr>
                <w:rFonts w:ascii="Arial" w:hAnsi="Arial"/>
                <w:b/>
                <w:color w:val="FFFFFF"/>
                <w:sz w:val="17"/>
              </w:rPr>
              <w:t>Frekuensi</w:t>
            </w:r>
          </w:p>
        </w:tc>
        <w:tc>
          <w:tcPr>
            <w:tcW w:type="dxa" w:w="3764"/>
            <w:shd w:val="clear" w:color="auto" w:fill="2251FF"/>
            <w:vAlign w:val="center"/>
          </w:tcPr>
          <w:p>
            <w:pPr>
              <w:spacing w:after="20" w:before="20" w:line="252" w:lineRule="auto"/>
            </w:pPr>
            <w:r/>
            <w:r>
              <w:rPr>
                <w:rFonts w:ascii="Arial" w:hAnsi="Arial"/>
                <w:b/>
                <w:color w:val="FFFFFF"/>
                <w:sz w:val="17"/>
              </w:rPr>
              <w:t>Isi</w:t>
            </w:r>
          </w:p>
        </w:tc>
        <w:tc>
          <w:tcPr>
            <w:tcW w:type="dxa" w:w="2070"/>
            <w:shd w:val="clear" w:color="auto" w:fill="2251FF"/>
            <w:vAlign w:val="center"/>
          </w:tcPr>
          <w:p>
            <w:pPr>
              <w:spacing w:after="20" w:before="20" w:line="252" w:lineRule="auto"/>
            </w:pPr>
            <w:r/>
            <w:r>
              <w:rPr>
                <w:rFonts w:ascii="Arial" w:hAnsi="Arial"/>
                <w:b/>
                <w:color w:val="FFFFFF"/>
                <w:sz w:val="17"/>
              </w:rPr>
              <w:t>Audiens</w:t>
            </w:r>
          </w:p>
        </w:tc>
        <w:tc>
          <w:tcPr>
            <w:tcW w:type="dxa" w:w="1694"/>
            <w:shd w:val="clear" w:color="auto" w:fill="2251FF"/>
            <w:vAlign w:val="center"/>
          </w:tcPr>
          <w:p>
            <w:pPr>
              <w:spacing w:after="20" w:before="20" w:line="252" w:lineRule="auto"/>
            </w:pPr>
            <w:r/>
            <w:r>
              <w:rPr>
                <w:rFonts w:ascii="Arial" w:hAnsi="Arial"/>
                <w:b/>
                <w:color w:val="FFFFFF"/>
                <w:sz w:val="17"/>
              </w:rPr>
              <w:t>Bentuk</w:t>
            </w:r>
          </w:p>
        </w:tc>
      </w:tr>
      <w:tr>
        <w:trPr>
          <w:cantSplit/>
        </w:trPr>
        <w:tc>
          <w:tcPr>
            <w:tcW w:type="dxa" w:w="1882"/>
            <w:vAlign w:val="center"/>
          </w:tcPr>
          <w:p>
            <w:pPr>
              <w:spacing w:after="20" w:before="20" w:line="252" w:lineRule="auto"/>
            </w:pPr>
            <w:r/>
            <w:r>
              <w:rPr>
                <w:rFonts w:ascii="Arial" w:hAnsi="Arial"/>
                <w:b/>
                <w:sz w:val="17"/>
              </w:rPr>
              <w:t>Mingguan (proyek)</w:t>
            </w:r>
          </w:p>
        </w:tc>
        <w:tc>
          <w:tcPr>
            <w:tcW w:type="dxa" w:w="3764"/>
            <w:vAlign w:val="center"/>
          </w:tcPr>
          <w:p>
            <w:pPr>
              <w:spacing w:after="20" w:before="20" w:line="252" w:lineRule="auto"/>
            </w:pPr>
            <w:r/>
            <w:r>
              <w:rPr>
                <w:rFonts w:ascii="Arial" w:hAnsi="Arial"/>
                <w:b w:val="0"/>
                <w:sz w:val="17"/>
              </w:rPr>
              <w:t>Kemajuan, biaya, perubahan, risiko, K3, hambatan</w:t>
            </w:r>
          </w:p>
        </w:tc>
        <w:tc>
          <w:tcPr>
            <w:tcW w:type="dxa" w:w="2070"/>
            <w:vAlign w:val="center"/>
          </w:tcPr>
          <w:p>
            <w:pPr>
              <w:spacing w:after="20" w:before="20" w:line="252" w:lineRule="auto"/>
            </w:pPr>
            <w:r/>
            <w:r>
              <w:rPr>
                <w:rFonts w:ascii="Arial" w:hAnsi="Arial"/>
                <w:b w:val="0"/>
                <w:sz w:val="17"/>
              </w:rPr>
              <w:t>Project director, sponsor</w:t>
            </w:r>
          </w:p>
        </w:tc>
        <w:tc>
          <w:tcPr>
            <w:tcW w:type="dxa" w:w="1694"/>
            <w:vAlign w:val="center"/>
          </w:tcPr>
          <w:p>
            <w:pPr>
              <w:spacing w:after="20" w:before="20" w:line="252" w:lineRule="auto"/>
            </w:pPr>
            <w:r/>
            <w:r>
              <w:rPr>
                <w:rFonts w:ascii="Arial" w:hAnsi="Arial"/>
                <w:b w:val="0"/>
                <w:sz w:val="17"/>
              </w:rPr>
              <w:t>Laporan singkat, dasbor proyek</w:t>
            </w:r>
          </w:p>
        </w:tc>
      </w:tr>
      <w:tr>
        <w:trPr>
          <w:cantSplit/>
        </w:trPr>
        <w:tc>
          <w:tcPr>
            <w:tcW w:type="dxa" w:w="1882"/>
            <w:shd w:val="clear" w:color="auto" w:fill="E6ECFD"/>
            <w:vAlign w:val="center"/>
          </w:tcPr>
          <w:p>
            <w:pPr>
              <w:spacing w:after="20" w:before="20" w:line="252" w:lineRule="auto"/>
            </w:pPr>
            <w:r/>
            <w:r>
              <w:rPr>
                <w:rFonts w:ascii="Arial" w:hAnsi="Arial"/>
                <w:b/>
                <w:sz w:val="17"/>
              </w:rPr>
              <w:t>Bulanan</w:t>
            </w:r>
          </w:p>
        </w:tc>
        <w:tc>
          <w:tcPr>
            <w:tcW w:type="dxa" w:w="3764"/>
            <w:shd w:val="clear" w:color="auto" w:fill="E6ECFD"/>
            <w:vAlign w:val="center"/>
          </w:tcPr>
          <w:p>
            <w:pPr>
              <w:spacing w:after="20" w:before="20" w:line="252" w:lineRule="auto"/>
            </w:pPr>
            <w:r/>
            <w:r>
              <w:rPr>
                <w:rFonts w:ascii="Arial" w:hAnsi="Arial"/>
                <w:b w:val="0"/>
                <w:sz w:val="17"/>
              </w:rPr>
              <w:t>Laporan biaya (anggaran, komitmen, aktual, ETC, EAC), kurva-S, hambatan lintas arm, risiko kritis</w:t>
            </w:r>
          </w:p>
        </w:tc>
        <w:tc>
          <w:tcPr>
            <w:tcW w:type="dxa" w:w="2070"/>
            <w:shd w:val="clear" w:color="auto" w:fill="E6ECFD"/>
            <w:vAlign w:val="center"/>
          </w:tcPr>
          <w:p>
            <w:pPr>
              <w:spacing w:after="20" w:before="20" w:line="252" w:lineRule="auto"/>
            </w:pPr>
            <w:r/>
            <w:r>
              <w:rPr>
                <w:rFonts w:ascii="Arial" w:hAnsi="Arial"/>
                <w:b w:val="0"/>
                <w:sz w:val="17"/>
              </w:rPr>
              <w:t>Unit Industri Strategis, CFO proyek, COO</w:t>
            </w:r>
          </w:p>
        </w:tc>
        <w:tc>
          <w:tcPr>
            <w:tcW w:type="dxa" w:w="1694"/>
            <w:shd w:val="clear" w:color="auto" w:fill="E6ECFD"/>
            <w:vAlign w:val="center"/>
          </w:tcPr>
          <w:p>
            <w:pPr>
              <w:spacing w:after="20" w:before="20" w:line="252" w:lineRule="auto"/>
            </w:pPr>
            <w:r/>
            <w:r>
              <w:rPr>
                <w:rFonts w:ascii="Arial" w:hAnsi="Arial"/>
                <w:b w:val="0"/>
                <w:sz w:val="17"/>
              </w:rPr>
              <w:t>Laporan portofolio dan dasbor</w:t>
            </w:r>
          </w:p>
        </w:tc>
      </w:tr>
      <w:tr>
        <w:trPr>
          <w:cantSplit/>
        </w:trPr>
        <w:tc>
          <w:tcPr>
            <w:tcW w:type="dxa" w:w="1882"/>
            <w:vAlign w:val="center"/>
          </w:tcPr>
          <w:p>
            <w:pPr>
              <w:spacing w:after="20" w:before="20" w:line="252" w:lineRule="auto"/>
            </w:pPr>
            <w:r/>
            <w:r>
              <w:rPr>
                <w:rFonts w:ascii="Arial" w:hAnsi="Arial"/>
                <w:b/>
                <w:sz w:val="17"/>
              </w:rPr>
              <w:t>Triwulanan</w:t>
            </w:r>
          </w:p>
        </w:tc>
        <w:tc>
          <w:tcPr>
            <w:tcW w:type="dxa" w:w="3764"/>
            <w:vAlign w:val="center"/>
          </w:tcPr>
          <w:p>
            <w:pPr>
              <w:spacing w:after="20" w:before="20" w:line="252" w:lineRule="auto"/>
            </w:pPr>
            <w:r/>
            <w:r>
              <w:rPr>
                <w:rFonts w:ascii="Arial" w:hAnsi="Arial"/>
                <w:b w:val="0"/>
                <w:sz w:val="17"/>
              </w:rPr>
              <w:t>Biaya dan jadwal proyek, cakupan bukti, gerbang DOCK-UP, indikator makro</w:t>
            </w:r>
          </w:p>
        </w:tc>
        <w:tc>
          <w:tcPr>
            <w:tcW w:type="dxa" w:w="2070"/>
            <w:vAlign w:val="center"/>
          </w:tcPr>
          <w:p>
            <w:pPr>
              <w:spacing w:after="20" w:before="20" w:line="252" w:lineRule="auto"/>
            </w:pPr>
            <w:r/>
            <w:r>
              <w:rPr>
                <w:rFonts w:ascii="Arial" w:hAnsi="Arial"/>
                <w:b w:val="0"/>
                <w:sz w:val="17"/>
              </w:rPr>
              <w:t>Kepala Badan Pelaksana, komite investasi dan risiko</w:t>
            </w:r>
          </w:p>
        </w:tc>
        <w:tc>
          <w:tcPr>
            <w:tcW w:type="dxa" w:w="1694"/>
            <w:vAlign w:val="center"/>
          </w:tcPr>
          <w:p>
            <w:pPr>
              <w:spacing w:after="20" w:before="20" w:line="252" w:lineRule="auto"/>
            </w:pPr>
            <w:r/>
            <w:r>
              <w:rPr>
                <w:rFonts w:ascii="Arial" w:hAnsi="Arial"/>
                <w:b w:val="0"/>
                <w:sz w:val="17"/>
              </w:rPr>
              <w:t>Laporan scorecard</w:t>
            </w:r>
          </w:p>
        </w:tc>
      </w:tr>
      <w:tr>
        <w:trPr>
          <w:cantSplit/>
        </w:trPr>
        <w:tc>
          <w:tcPr>
            <w:tcW w:type="dxa" w:w="1882"/>
            <w:shd w:val="clear" w:color="auto" w:fill="E6ECFD"/>
            <w:vAlign w:val="center"/>
          </w:tcPr>
          <w:p>
            <w:pPr>
              <w:spacing w:after="20" w:before="20" w:line="252" w:lineRule="auto"/>
            </w:pPr>
            <w:r/>
            <w:r>
              <w:rPr>
                <w:rFonts w:ascii="Arial" w:hAnsi="Arial"/>
                <w:b/>
                <w:sz w:val="17"/>
              </w:rPr>
              <w:t>Tahunan</w:t>
            </w:r>
          </w:p>
        </w:tc>
        <w:tc>
          <w:tcPr>
            <w:tcW w:type="dxa" w:w="3764"/>
            <w:shd w:val="clear" w:color="auto" w:fill="E6ECFD"/>
            <w:vAlign w:val="center"/>
          </w:tcPr>
          <w:p>
            <w:pPr>
              <w:spacing w:after="20" w:before="20" w:line="252" w:lineRule="auto"/>
            </w:pPr>
            <w:r/>
            <w:r>
              <w:rPr>
                <w:rFonts w:ascii="Arial" w:hAnsi="Arial"/>
                <w:b w:val="0"/>
                <w:sz w:val="17"/>
              </w:rPr>
              <w:t>Laporan teraudit, evaluasi hasil, realokasi modal, laporan portofolio publik</w:t>
            </w:r>
          </w:p>
        </w:tc>
        <w:tc>
          <w:tcPr>
            <w:tcW w:type="dxa" w:w="2070"/>
            <w:shd w:val="clear" w:color="auto" w:fill="E6ECFD"/>
            <w:vAlign w:val="center"/>
          </w:tcPr>
          <w:p>
            <w:pPr>
              <w:spacing w:after="20" w:before="20" w:line="252" w:lineRule="auto"/>
            </w:pPr>
            <w:r/>
            <w:r>
              <w:rPr>
                <w:rFonts w:ascii="Arial" w:hAnsi="Arial"/>
                <w:b w:val="0"/>
                <w:sz w:val="17"/>
              </w:rPr>
              <w:t>Dewan Pengawas, publik</w:t>
            </w:r>
          </w:p>
        </w:tc>
        <w:tc>
          <w:tcPr>
            <w:tcW w:type="dxa" w:w="1694"/>
            <w:shd w:val="clear" w:color="auto" w:fill="E6ECFD"/>
            <w:vAlign w:val="center"/>
          </w:tcPr>
          <w:p>
            <w:pPr>
              <w:spacing w:after="20" w:before="20" w:line="252" w:lineRule="auto"/>
            </w:pPr>
            <w:r/>
            <w:r>
              <w:rPr>
                <w:rFonts w:ascii="Arial" w:hAnsi="Arial"/>
                <w:b w:val="0"/>
                <w:sz w:val="17"/>
              </w:rPr>
              <w:t>Laporan tahunan</w:t>
            </w:r>
          </w:p>
        </w:tc>
      </w:tr>
      <w:tr>
        <w:trPr>
          <w:cantSplit/>
        </w:trPr>
        <w:tc>
          <w:tcPr>
            <w:tcW w:type="dxa" w:w="1882"/>
            <w:vAlign w:val="center"/>
          </w:tcPr>
          <w:p>
            <w:pPr>
              <w:spacing w:after="20" w:before="20" w:line="252" w:lineRule="auto"/>
            </w:pPr>
            <w:r/>
            <w:r>
              <w:rPr>
                <w:rFonts w:ascii="Arial" w:hAnsi="Arial"/>
                <w:b/>
                <w:sz w:val="17"/>
              </w:rPr>
              <w:t>Pada komisioning dan +12–24 bulan</w:t>
            </w:r>
          </w:p>
        </w:tc>
        <w:tc>
          <w:tcPr>
            <w:tcW w:type="dxa" w:w="3764"/>
            <w:vAlign w:val="center"/>
          </w:tcPr>
          <w:p>
            <w:pPr>
              <w:spacing w:after="20" w:before="20" w:line="252" w:lineRule="auto"/>
            </w:pPr>
            <w:r/>
            <w:r>
              <w:rPr>
                <w:rFonts w:ascii="Arial" w:hAnsi="Arial"/>
                <w:b w:val="0"/>
                <w:sz w:val="17"/>
              </w:rPr>
              <w:t>Kinerja teknis, ramp-up komersial, manfaat</w:t>
            </w:r>
          </w:p>
        </w:tc>
        <w:tc>
          <w:tcPr>
            <w:tcW w:type="dxa" w:w="2070"/>
            <w:vAlign w:val="center"/>
          </w:tcPr>
          <w:p>
            <w:pPr>
              <w:spacing w:after="20" w:before="20" w:line="252" w:lineRule="auto"/>
            </w:pPr>
            <w:r/>
            <w:r>
              <w:rPr>
                <w:rFonts w:ascii="Arial" w:hAnsi="Arial"/>
                <w:b w:val="0"/>
                <w:sz w:val="17"/>
              </w:rPr>
              <w:t>Sponsor, Dewan, auditor</w:t>
            </w:r>
          </w:p>
        </w:tc>
        <w:tc>
          <w:tcPr>
            <w:tcW w:type="dxa" w:w="1694"/>
            <w:vAlign w:val="center"/>
          </w:tcPr>
          <w:p>
            <w:pPr>
              <w:spacing w:after="20" w:before="20" w:line="252" w:lineRule="auto"/>
            </w:pPr>
            <w:r/>
            <w:r>
              <w:rPr>
                <w:rFonts w:ascii="Arial" w:hAnsi="Arial"/>
                <w:b w:val="0"/>
                <w:sz w:val="17"/>
              </w:rPr>
              <w:t>Laporan evaluasi hasil (P6)</w:t>
            </w:r>
          </w:p>
        </w:tc>
      </w:tr>
    </w:tbl>
    <w:p>
      <w:pPr>
        <w:spacing w:after="160"/>
      </w:pPr>
      <w:r>
        <w:rPr>
          <w:rFonts w:ascii="Arial" w:hAnsi="Arial"/>
          <w:b w:val="0"/>
          <w:i/>
          <w:color w:val="051C5C"/>
          <w:sz w:val="17"/>
        </w:rPr>
        <w:t>Sumber: [K, Bab 14.6]; tambahan mingguan dari praktik umum.</w:t>
      </w:r>
    </w:p>
    <w:p>
      <w:pPr>
        <w:pStyle w:val="Heading2"/>
      </w:pPr>
      <w:r>
        <w:t>10.4  Tim, kompetensi, dan kapasitas</w:t>
      </w:r>
    </w:p>
    <w:p>
      <w:pPr>
        <w:jc w:val="both"/>
      </w:pPr>
      <w:r>
        <w:rPr>
          <w:rFonts w:ascii="Arial" w:hAnsi="Arial"/>
          <w:b w:val="0"/>
        </w:rPr>
        <w:t>Kapasitas manusia sering menjadi hambatan nyata yang tidak terlihat pada bagan organisasi. Kajian menegaskan bahwa kapasitas kontrak, rekayasa, model finansial, hukum, dan komisioning harus diuji sebelum menambah jabatan, dan bahwa pengisian staf unit dimulai dengan penugasan (secondment) dari fungsi yang ada [EVAL, Bagian 9; K, Bab 13.3]. Kompetensi manajer proyek strategis mencakup, menurut ICB4 (IPMA, 2015), kompetensi perspektif (strategi, tata kelola, kepatuhan), orang (kepemimpinan, komunikasi, negosiasi), dan praktik (lingkup, biaya, risiko, pengadaan). Kerangka sertifikasi internal untuk project director, manajer kontrak, pengendali proyek, dan ahli klaim akan memberi dasar objektif untuk penugasan.</w:t>
      </w:r>
    </w:p>
    <w:p>
      <w:pPr>
        <w:pStyle w:val="Heading2"/>
      </w:pPr>
      <w:r>
        <w:t>10.5  Insentif dan perilaku</w:t>
      </w:r>
    </w:p>
    <w:p>
      <w:pPr>
        <w:jc w:val="both"/>
      </w:pPr>
      <w:r>
        <w:rPr>
          <w:rFonts w:ascii="Arial" w:hAnsi="Arial"/>
          <w:b w:val="0"/>
        </w:rPr>
        <w:t>Insentif membentuk perilaku. Akar masalah BUMN Karya yang paling mendasar menurut dokumen platform adalah bahwa "keberhasilan diukur dari penyelesaian proyek, bukan profitabilitas" [PLAT, hlm. 3]. Kajian mengusulkan agar remunerasi variabel dikaitkan dengan penciptaan nilai bersih serta perbaikan operasional dan hasil yang diverifikasi, dengan penilaian tertunda untuk proyek jangka panjang, dan tidak terutama dengan dana yang dihimpun, nota kesepahaman, belanja modal, atau ekstraksi dividen [K, Bab 13.10, 6.7]. Kita menambahkan: insentif manajer proyek harus mencakup kinerja biaya dan jadwal terhadap baseline yang tidak ditetapkan ulang secara bebas, tingkat kegagalan mutu, keselamatan, dan kesehatan arus kas.</w:t>
      </w:r>
    </w:p>
    <w:p>
      <w:pPr>
        <w:pStyle w:val="Heading2"/>
      </w:pPr>
      <w:r>
        <w:t>10.6  Manajemen perubahan dan adopsi</w:t>
      </w:r>
    </w:p>
    <w:p>
      <w:pPr>
        <w:jc w:val="both"/>
      </w:pPr>
      <w:r>
        <w:rPr>
          <w:rFonts w:ascii="Arial" w:hAnsi="Arial"/>
          <w:b w:val="0"/>
        </w:rPr>
        <w:t>Sistem baru gagal bila tidak digunakan. Risiko "kegagalan adopsi" dalam register Kajian berbunyi: dasbor dibangun tetapi tidak dipakai untuk keputusan; mitigasinya melibatkan tim bisnis dalam pembangunan dan mencatat keputusan dengan bukti dari agen [K, Bab 15, risiko 11]. Metode pengelolaan perubahan yang disarankan: sponsor yang terlihat, pelibatan pengguna dari awal, pelatihan, pengukuran adopsi (pengguna aktif mingguan menurut peran; porsi keputusan yang diambil dengan melampirkan bukti dari agen), dan penghentian proses lama pada tanggal yang jelas.</w:t>
      </w:r>
    </w:p>
    <w:p>
      <w:r>
        <w:br w:type="page"/>
      </w:r>
    </w:p>
    <w:p>
      <w:pPr>
        <w:pStyle w:val="Heading1"/>
      </w:pPr>
      <w:r>
        <w:t>11  Pembiayaan proyek dan pengendalian dana</w:t>
      </w:r>
    </w:p>
    <w:p>
      <w:pPr>
        <w:pStyle w:val="Heading2"/>
      </w:pPr>
      <w:r>
        <w:t>11.1  Pembiayaan sebagai bagian dari manajemen proyek</w:t>
      </w:r>
    </w:p>
    <w:p>
      <w:pPr>
        <w:jc w:val="both"/>
      </w:pPr>
      <w:r>
        <w:rPr>
          <w:rFonts w:ascii="Arial" w:hAnsi="Arial"/>
          <w:b w:val="0"/>
        </w:rPr>
        <w:t xml:space="preserve">Proyek tidak dapat dikelola terpisah dari pembiayaannya. Struktur pendanaan menentukan kapan uang tersedia, siapa yang menanggung risiko, dan kondisi apa yang harus dipenuhi sebelum dana dicairkan. Pada pembiayaan proyek (project finance), perusahaan proyek berbadan hukum tersendiri (SPV) menerbitkan utang tanpa regres atau dengan regres terbatas kepada sponsor, dengan jaminan arus kas proyek. Ukuran kecukupan arus kas adalah </w:t>
      </w:r>
      <w:r>
        <w:rPr>
          <w:rFonts w:ascii="Arial" w:hAnsi="Arial"/>
          <w:b/>
        </w:rPr>
        <w:t>DSCR</w:t>
      </w:r>
      <w:r>
        <w:rPr>
          <w:rFonts w:ascii="Arial" w:hAnsi="Arial"/>
          <w:b w:val="0"/>
        </w:rPr>
        <w:t xml:space="preserve"> (debt service coverage ratio = arus kas yang tersedia untuk pelunasan utang / pembayaran pokok dan bunga) dan </w:t>
      </w:r>
      <w:r>
        <w:rPr>
          <w:rFonts w:ascii="Arial" w:hAnsi="Arial"/>
          <w:b/>
        </w:rPr>
        <w:t>LLCR</w:t>
      </w:r>
      <w:r>
        <w:rPr>
          <w:rFonts w:ascii="Arial" w:hAnsi="Arial"/>
          <w:b w:val="0"/>
        </w:rPr>
        <w:t xml:space="preserve"> (loan life coverage ratio = nilai kini arus kas selama umur pinjaman / saldo utang). Syarat pendahuluan (conditions precedent) harus dipenuhi sebelum penarikan pertama: kontrak berlaku efektif, izin, lahan, asuransi, dan struktur pendanaan mengikat; ini adalah isi gerbang P4 (financial close) [EVAL, Bagian 11].</w:t>
      </w:r>
    </w:p>
    <w:p>
      <w:pPr>
        <w:pStyle w:val="Heading2"/>
      </w:pPr>
      <w:r>
        <w:t>11.2  Pembiayaan mengikuti gerbang</w:t>
      </w:r>
    </w:p>
    <w:p>
      <w:pPr>
        <w:jc w:val="both"/>
      </w:pPr>
      <w:r>
        <w:rPr>
          <w:rFonts w:ascii="Arial" w:hAnsi="Arial"/>
          <w:b w:val="0"/>
        </w:rPr>
        <w:t>Prinsip yang konsisten pada seluruh dokumen sumber adalah pembiayaan mengikuti kesiapan, bukan mendahuluinya. Kajian menyusunnya dalam dua rangkaian paralel: instrumen untuk proyek (menurut gerbang P) dan instrumen untuk pemasok (menurut gerbang S) [K, Bab 10.4].</w:t>
      </w:r>
    </w:p>
    <w:p>
      <w:pPr>
        <w:keepNext/>
        <w:spacing w:after="60"/>
      </w:pPr>
      <w:r>
        <w:rPr>
          <w:rFonts w:ascii="Arial" w:hAnsi="Arial"/>
          <w:b/>
          <w:color w:val="051C5C"/>
          <w:sz w:val="19"/>
        </w:rPr>
        <w:t xml:space="preserve">Tabel 31: </w:t>
      </w:r>
      <w:r>
        <w:rPr>
          <w:rFonts w:ascii="Arial" w:hAnsi="Arial"/>
          <w:color w:val="051C5C"/>
          <w:sz w:val="19"/>
        </w:rPr>
        <w:t>Instrumen pembiayaan menurut gerbang proyek dan pemasok</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2353"/>
        <w:gridCol w:w="2353"/>
        <w:gridCol w:w="2353"/>
        <w:gridCol w:w="2353"/>
      </w:tblGrid>
      <w:tr>
        <w:trPr>
          <w:cantSplit/>
          <w:tblHeader/>
        </w:trPr>
        <w:tc>
          <w:tcPr>
            <w:tcW w:type="dxa" w:w="1534"/>
            <w:shd w:val="clear" w:color="auto" w:fill="2251FF"/>
            <w:vAlign w:val="center"/>
          </w:tcPr>
          <w:p>
            <w:pPr>
              <w:spacing w:after="20" w:before="20" w:line="252" w:lineRule="auto"/>
            </w:pPr>
            <w:r/>
            <w:r>
              <w:rPr>
                <w:rFonts w:ascii="Arial" w:hAnsi="Arial"/>
                <w:b/>
                <w:color w:val="FFFFFF"/>
                <w:sz w:val="17"/>
              </w:rPr>
              <w:t>Gerbang proyek</w:t>
            </w:r>
          </w:p>
        </w:tc>
        <w:tc>
          <w:tcPr>
            <w:tcW w:type="dxa" w:w="3273"/>
            <w:shd w:val="clear" w:color="auto" w:fill="2251FF"/>
            <w:vAlign w:val="center"/>
          </w:tcPr>
          <w:p>
            <w:pPr>
              <w:spacing w:after="20" w:before="20" w:line="252" w:lineRule="auto"/>
            </w:pPr>
            <w:r/>
            <w:r>
              <w:rPr>
                <w:rFonts w:ascii="Arial" w:hAnsi="Arial"/>
                <w:b/>
                <w:color w:val="FFFFFF"/>
                <w:sz w:val="17"/>
              </w:rPr>
              <w:t>Instrumen proyek</w:t>
            </w:r>
          </w:p>
        </w:tc>
        <w:tc>
          <w:tcPr>
            <w:tcW w:type="dxa" w:w="1228"/>
            <w:shd w:val="clear" w:color="auto" w:fill="2251FF"/>
            <w:vAlign w:val="center"/>
          </w:tcPr>
          <w:p>
            <w:pPr>
              <w:spacing w:after="20" w:before="20" w:line="252" w:lineRule="auto"/>
            </w:pPr>
            <w:r/>
            <w:r>
              <w:rPr>
                <w:rFonts w:ascii="Arial" w:hAnsi="Arial"/>
                <w:b/>
                <w:color w:val="FFFFFF"/>
                <w:sz w:val="17"/>
              </w:rPr>
              <w:t>Gerbang pemasok</w:t>
            </w:r>
          </w:p>
        </w:tc>
        <w:tc>
          <w:tcPr>
            <w:tcW w:type="dxa" w:w="3376"/>
            <w:shd w:val="clear" w:color="auto" w:fill="2251FF"/>
            <w:vAlign w:val="center"/>
          </w:tcPr>
          <w:p>
            <w:pPr>
              <w:spacing w:after="20" w:before="20" w:line="252" w:lineRule="auto"/>
            </w:pPr>
            <w:r/>
            <w:r>
              <w:rPr>
                <w:rFonts w:ascii="Arial" w:hAnsi="Arial"/>
                <w:b/>
                <w:color w:val="FFFFFF"/>
                <w:sz w:val="17"/>
              </w:rPr>
              <w:t>Instrumen pemasok (DOCK-UP)</w:t>
            </w:r>
          </w:p>
        </w:tc>
      </w:tr>
      <w:tr>
        <w:trPr>
          <w:cantSplit/>
        </w:trPr>
        <w:tc>
          <w:tcPr>
            <w:tcW w:type="dxa" w:w="1534"/>
            <w:vAlign w:val="center"/>
          </w:tcPr>
          <w:p>
            <w:pPr>
              <w:spacing w:after="20" w:before="20" w:line="252" w:lineRule="auto"/>
            </w:pPr>
            <w:r/>
            <w:r>
              <w:rPr>
                <w:rFonts w:ascii="Arial" w:hAnsi="Arial"/>
                <w:b/>
                <w:sz w:val="17"/>
              </w:rPr>
              <w:t>P0–P2 persiapan</w:t>
            </w:r>
          </w:p>
        </w:tc>
        <w:tc>
          <w:tcPr>
            <w:tcW w:type="dxa" w:w="3273"/>
            <w:vAlign w:val="center"/>
          </w:tcPr>
          <w:p>
            <w:pPr>
              <w:spacing w:after="20" w:before="20" w:line="252" w:lineRule="auto"/>
            </w:pPr>
            <w:r/>
            <w:r>
              <w:rPr>
                <w:rFonts w:ascii="Arial" w:hAnsi="Arial"/>
                <w:b w:val="0"/>
                <w:sz w:val="17"/>
              </w:rPr>
              <w:t>Dana penyiapan proyek DDMF; hibah kajian (dibatasi, dibebankan)</w:t>
            </w:r>
          </w:p>
        </w:tc>
        <w:tc>
          <w:tcPr>
            <w:tcW w:type="dxa" w:w="1228"/>
            <w:vAlign w:val="center"/>
          </w:tcPr>
          <w:p>
            <w:pPr>
              <w:spacing w:after="20" w:before="20" w:line="252" w:lineRule="auto"/>
            </w:pPr>
            <w:r/>
            <w:r>
              <w:rPr>
                <w:rFonts w:ascii="Arial" w:hAnsi="Arial"/>
                <w:b w:val="0"/>
                <w:sz w:val="17"/>
              </w:rPr>
              <w:t>Masuk</w:t>
            </w:r>
          </w:p>
        </w:tc>
        <w:tc>
          <w:tcPr>
            <w:tcW w:type="dxa" w:w="3376"/>
            <w:vAlign w:val="center"/>
          </w:tcPr>
          <w:p>
            <w:pPr>
              <w:spacing w:after="20" w:before="20" w:line="252" w:lineRule="auto"/>
            </w:pPr>
            <w:r/>
            <w:r>
              <w:rPr>
                <w:rFonts w:ascii="Arial" w:hAnsi="Arial"/>
                <w:b w:val="0"/>
                <w:sz w:val="17"/>
              </w:rPr>
              <w:t>Insinyur pendamping, pelatihan; hibah riset bagi penjelajah</w:t>
            </w:r>
          </w:p>
        </w:tc>
      </w:tr>
      <w:tr>
        <w:trPr>
          <w:cantSplit/>
        </w:trPr>
        <w:tc>
          <w:tcPr>
            <w:tcW w:type="dxa" w:w="1534"/>
            <w:shd w:val="clear" w:color="auto" w:fill="E6ECFD"/>
            <w:vAlign w:val="center"/>
          </w:tcPr>
          <w:p>
            <w:pPr>
              <w:spacing w:after="20" w:before="20" w:line="252" w:lineRule="auto"/>
            </w:pPr>
            <w:r/>
            <w:r>
              <w:rPr>
                <w:rFonts w:ascii="Arial" w:hAnsi="Arial"/>
                <w:b/>
                <w:sz w:val="17"/>
              </w:rPr>
              <w:t>P3 keputusan modal</w:t>
            </w:r>
          </w:p>
        </w:tc>
        <w:tc>
          <w:tcPr>
            <w:tcW w:type="dxa" w:w="3273"/>
            <w:shd w:val="clear" w:color="auto" w:fill="E6ECFD"/>
            <w:vAlign w:val="center"/>
          </w:tcPr>
          <w:p>
            <w:pPr>
              <w:spacing w:after="20" w:before="20" w:line="252" w:lineRule="auto"/>
            </w:pPr>
            <w:r/>
            <w:r>
              <w:rPr>
                <w:rFonts w:ascii="Arial" w:hAnsi="Arial"/>
                <w:b w:val="0"/>
                <w:sz w:val="17"/>
              </w:rPr>
              <w:t>Ekuitas Danantara; jendela industri NRF; dukungan kelayakan bila dibenarkan ekonomi</w:t>
            </w:r>
          </w:p>
        </w:tc>
        <w:tc>
          <w:tcPr>
            <w:tcW w:type="dxa" w:w="1228"/>
            <w:shd w:val="clear" w:color="auto" w:fill="E6ECFD"/>
            <w:vAlign w:val="center"/>
          </w:tcPr>
          <w:p>
            <w:pPr>
              <w:spacing w:after="20" w:before="20" w:line="252" w:lineRule="auto"/>
            </w:pPr>
            <w:r/>
            <w:r>
              <w:rPr>
                <w:rFonts w:ascii="Arial" w:hAnsi="Arial"/>
                <w:b w:val="0"/>
                <w:sz w:val="17"/>
              </w:rPr>
              <w:t>G1</w:t>
            </w:r>
          </w:p>
        </w:tc>
        <w:tc>
          <w:tcPr>
            <w:tcW w:type="dxa" w:w="3376"/>
            <w:shd w:val="clear" w:color="auto" w:fill="E6ECFD"/>
            <w:vAlign w:val="center"/>
          </w:tcPr>
          <w:p>
            <w:pPr>
              <w:spacing w:after="20" w:before="20" w:line="252" w:lineRule="auto"/>
            </w:pPr>
            <w:r/>
            <w:r>
              <w:rPr>
                <w:rFonts w:ascii="Arial" w:hAnsi="Arial"/>
                <w:b w:val="0"/>
                <w:sz w:val="17"/>
              </w:rPr>
              <w:t>Hibah pendamping, fasilitas bersama</w:t>
            </w:r>
          </w:p>
        </w:tc>
      </w:tr>
      <w:tr>
        <w:trPr>
          <w:cantSplit/>
        </w:trPr>
        <w:tc>
          <w:tcPr>
            <w:tcW w:type="dxa" w:w="1534"/>
            <w:vAlign w:val="center"/>
          </w:tcPr>
          <w:p>
            <w:pPr>
              <w:spacing w:after="20" w:before="20" w:line="252" w:lineRule="auto"/>
            </w:pPr>
            <w:r/>
            <w:r>
              <w:rPr>
                <w:rFonts w:ascii="Arial" w:hAnsi="Arial"/>
                <w:b/>
                <w:sz w:val="17"/>
              </w:rPr>
              <w:t>P4 konstruksi</w:t>
            </w:r>
          </w:p>
        </w:tc>
        <w:tc>
          <w:tcPr>
            <w:tcW w:type="dxa" w:w="3273"/>
            <w:vAlign w:val="center"/>
          </w:tcPr>
          <w:p>
            <w:pPr>
              <w:spacing w:after="20" w:before="20" w:line="252" w:lineRule="auto"/>
            </w:pPr>
            <w:r/>
            <w:r>
              <w:rPr>
                <w:rFonts w:ascii="Arial" w:hAnsi="Arial"/>
                <w:b w:val="0"/>
                <w:sz w:val="17"/>
              </w:rPr>
              <w:t>Surat tagihan proyek berdaulat; utang bank; kredit ekspor</w:t>
            </w:r>
          </w:p>
        </w:tc>
        <w:tc>
          <w:tcPr>
            <w:tcW w:type="dxa" w:w="1228"/>
            <w:vAlign w:val="center"/>
          </w:tcPr>
          <w:p>
            <w:pPr>
              <w:spacing w:after="20" w:before="20" w:line="252" w:lineRule="auto"/>
            </w:pPr>
            <w:r/>
            <w:r>
              <w:rPr>
                <w:rFonts w:ascii="Arial" w:hAnsi="Arial"/>
                <w:b w:val="0"/>
                <w:sz w:val="17"/>
              </w:rPr>
              <w:t>G2</w:t>
            </w:r>
          </w:p>
        </w:tc>
        <w:tc>
          <w:tcPr>
            <w:tcW w:type="dxa" w:w="3376"/>
            <w:vAlign w:val="center"/>
          </w:tcPr>
          <w:p>
            <w:pPr>
              <w:spacing w:after="20" w:before="20" w:line="252" w:lineRule="auto"/>
            </w:pPr>
            <w:r/>
            <w:r>
              <w:rPr>
                <w:rFonts w:ascii="Arial" w:hAnsi="Arial"/>
                <w:b w:val="0"/>
                <w:sz w:val="17"/>
              </w:rPr>
              <w:t>Pembiayaan rantai pasok, KUR</w:t>
            </w:r>
          </w:p>
        </w:tc>
      </w:tr>
      <w:tr>
        <w:trPr>
          <w:cantSplit/>
        </w:trPr>
        <w:tc>
          <w:tcPr>
            <w:tcW w:type="dxa" w:w="1534"/>
            <w:shd w:val="clear" w:color="auto" w:fill="E6ECFD"/>
            <w:vAlign w:val="center"/>
          </w:tcPr>
          <w:p>
            <w:pPr>
              <w:spacing w:after="20" w:before="20" w:line="252" w:lineRule="auto"/>
            </w:pPr>
            <w:r/>
            <w:r>
              <w:rPr>
                <w:rFonts w:ascii="Arial" w:hAnsi="Arial"/>
                <w:b/>
                <w:sz w:val="17"/>
              </w:rPr>
              <w:t>P5 komisioning</w:t>
            </w:r>
          </w:p>
        </w:tc>
        <w:tc>
          <w:tcPr>
            <w:tcW w:type="dxa" w:w="3273"/>
            <w:shd w:val="clear" w:color="auto" w:fill="E6ECFD"/>
            <w:vAlign w:val="center"/>
          </w:tcPr>
          <w:p>
            <w:pPr>
              <w:spacing w:after="20" w:before="20" w:line="252" w:lineRule="auto"/>
            </w:pPr>
            <w:r/>
            <w:r>
              <w:rPr>
                <w:rFonts w:ascii="Arial" w:hAnsi="Arial"/>
                <w:b w:val="0"/>
                <w:sz w:val="17"/>
              </w:rPr>
              <w:t>Pembiayaan kembali ke obligasi jangka panjang</w:t>
            </w:r>
          </w:p>
        </w:tc>
        <w:tc>
          <w:tcPr>
            <w:tcW w:type="dxa" w:w="1228"/>
            <w:shd w:val="clear" w:color="auto" w:fill="E6ECFD"/>
            <w:vAlign w:val="center"/>
          </w:tcPr>
          <w:p>
            <w:pPr>
              <w:spacing w:after="20" w:before="20" w:line="252" w:lineRule="auto"/>
            </w:pPr>
            <w:r/>
            <w:r>
              <w:rPr>
                <w:rFonts w:ascii="Arial" w:hAnsi="Arial"/>
                <w:b w:val="0"/>
                <w:sz w:val="17"/>
              </w:rPr>
              <w:t>G3</w:t>
            </w:r>
          </w:p>
        </w:tc>
        <w:tc>
          <w:tcPr>
            <w:tcW w:type="dxa" w:w="3376"/>
            <w:shd w:val="clear" w:color="auto" w:fill="E6ECFD"/>
            <w:vAlign w:val="center"/>
          </w:tcPr>
          <w:p>
            <w:pPr>
              <w:spacing w:after="20" w:before="20" w:line="252" w:lineRule="auto"/>
            </w:pPr>
            <w:r/>
            <w:r>
              <w:rPr>
                <w:rFonts w:ascii="Arial" w:hAnsi="Arial"/>
                <w:b w:val="0"/>
                <w:sz w:val="17"/>
              </w:rPr>
              <w:t>Kredit investasi dengan penjaminan kerugian pertama</w:t>
            </w:r>
          </w:p>
        </w:tc>
      </w:tr>
      <w:tr>
        <w:trPr>
          <w:cantSplit/>
        </w:trPr>
        <w:tc>
          <w:tcPr>
            <w:tcW w:type="dxa" w:w="1534"/>
            <w:vAlign w:val="center"/>
          </w:tcPr>
          <w:p>
            <w:pPr>
              <w:spacing w:after="20" w:before="20" w:line="252" w:lineRule="auto"/>
            </w:pPr>
            <w:r/>
            <w:r>
              <w:rPr>
                <w:rFonts w:ascii="Arial" w:hAnsi="Arial"/>
                <w:b/>
                <w:sz w:val="17"/>
              </w:rPr>
              <w:t>P6 operasi</w:t>
            </w:r>
          </w:p>
        </w:tc>
        <w:tc>
          <w:tcPr>
            <w:tcW w:type="dxa" w:w="3273"/>
            <w:vAlign w:val="center"/>
          </w:tcPr>
          <w:p>
            <w:pPr>
              <w:spacing w:after="20" w:before="20" w:line="252" w:lineRule="auto"/>
            </w:pPr>
            <w:r/>
            <w:r>
              <w:rPr>
                <w:rFonts w:ascii="Arial" w:hAnsi="Arial"/>
                <w:b w:val="0"/>
                <w:sz w:val="17"/>
              </w:rPr>
              <w:t>Daur ulang aset kepada investor swasta</w:t>
            </w:r>
          </w:p>
        </w:tc>
        <w:tc>
          <w:tcPr>
            <w:tcW w:type="dxa" w:w="1228"/>
            <w:vAlign w:val="center"/>
          </w:tcPr>
          <w:p>
            <w:pPr>
              <w:spacing w:after="20" w:before="20" w:line="252" w:lineRule="auto"/>
            </w:pPr>
            <w:r/>
            <w:r>
              <w:rPr>
                <w:rFonts w:ascii="Arial" w:hAnsi="Arial"/>
                <w:b w:val="0"/>
                <w:sz w:val="17"/>
              </w:rPr>
              <w:t>G4</w:t>
            </w:r>
          </w:p>
        </w:tc>
        <w:tc>
          <w:tcPr>
            <w:tcW w:type="dxa" w:w="3376"/>
            <w:vAlign w:val="center"/>
          </w:tcPr>
          <w:p>
            <w:pPr>
              <w:spacing w:after="20" w:before="20" w:line="252" w:lineRule="auto"/>
            </w:pPr>
            <w:r/>
            <w:r>
              <w:rPr>
                <w:rFonts w:ascii="Arial" w:hAnsi="Arial"/>
                <w:b w:val="0"/>
                <w:sz w:val="17"/>
              </w:rPr>
              <w:t>Ventura korporasi; super-deduction R&amp;D; pembiayaan ekspor LPEI</w:t>
            </w:r>
          </w:p>
        </w:tc>
      </w:tr>
    </w:tbl>
    <w:p>
      <w:pPr>
        <w:spacing w:after="160"/>
      </w:pPr>
      <w:r>
        <w:rPr>
          <w:rFonts w:ascii="Arial" w:hAnsi="Arial"/>
          <w:b w:val="0"/>
          <w:i/>
          <w:color w:val="051C5C"/>
          <w:sz w:val="17"/>
        </w:rPr>
        <w:t>Sumber: [K, Bab 10.4].</w:t>
      </w:r>
    </w:p>
    <w:p>
      <w:pPr>
        <w:pStyle w:val="Heading2"/>
      </w:pPr>
      <w:r>
        <w:t>11.3  Skala pendanaan portofolio: pelajaran bagi perencana</w:t>
      </w:r>
    </w:p>
    <w:p>
      <w:pPr>
        <w:jc w:val="both"/>
      </w:pPr>
      <w:r>
        <w:rPr>
          <w:rFonts w:ascii="Arial" w:hAnsi="Arial"/>
          <w:b w:val="0"/>
        </w:rPr>
        <w:t>Ilustrasi sumber dan penggunaan dana pada Kajian menunjukkan bahwa dua kanal pembiayaan baru, yaitu NRF dan tokenisasi proyek berdaulat, hanyalah pelengkap: alokasi strategis Danantara kira-kira Rp578 triliun selama lima tahun (US$7 miliar per tahun dikalikan lima tahun pada Rp16.500 per dolar), surat utang terkait NRF Tahap 1 sekitar Rp118 triliun, dan surat tagihan proyek berdaulat teridentifikasi sekitar Rp24 triliun, sehingga subtotal dua kanal baru sekitar Rp142 triliun atau 6,8% dari portofolio Rp2.091 triliun. Sisa sekitar Rp1.371 triliun (65,6%) harus berasal dari utang tingkat proyek, neraca BUMN, ko-investor, dan APBN [K, Bab 10.3; kelas D].</w:t>
      </w:r>
    </w:p>
    <w:p>
      <w:pPr>
        <w:keepNext/>
        <w:jc w:val="center"/>
      </w:pPr>
      <w:r>
        <w:drawing>
          <wp:inline xmlns:a="http://schemas.openxmlformats.org/drawingml/2006/main" xmlns:pic="http://schemas.openxmlformats.org/drawingml/2006/picture">
            <wp:extent cx="5580000" cy="2997639"/>
            <wp:docPr id="10" name="Picture 10"/>
            <wp:cNvGraphicFramePr>
              <a:graphicFrameLocks noChangeAspect="1"/>
            </wp:cNvGraphicFramePr>
            <a:graphic>
              <a:graphicData uri="http://schemas.openxmlformats.org/drawingml/2006/picture">
                <pic:pic>
                  <pic:nvPicPr>
                    <pic:cNvPr id="0" name="f_fin.png"/>
                    <pic:cNvPicPr/>
                  </pic:nvPicPr>
                  <pic:blipFill>
                    <a:blip r:embed="rId19"/>
                    <a:stretch>
                      <a:fillRect/>
                    </a:stretch>
                  </pic:blipFill>
                  <pic:spPr>
                    <a:xfrm>
                      <a:off x="0" y="0"/>
                      <a:ext cx="5580000" cy="2997639"/>
                    </a:xfrm>
                    <a:prstGeom prst="rect"/>
                  </pic:spPr>
                </pic:pic>
              </a:graphicData>
            </a:graphic>
          </wp:inline>
        </w:drawing>
      </w:r>
    </w:p>
    <w:p>
      <w:pPr>
        <w:keepNext w:val="0"/>
        <w:spacing w:after="60"/>
      </w:pPr>
      <w:r>
        <w:rPr>
          <w:rFonts w:ascii="Arial" w:hAnsi="Arial"/>
          <w:b/>
          <w:color w:val="051C5C"/>
          <w:sz w:val="19"/>
        </w:rPr>
        <w:t xml:space="preserve">Gambar 10: </w:t>
      </w:r>
      <w:r>
        <w:rPr>
          <w:rFonts w:ascii="Arial" w:hAnsi="Arial"/>
          <w:color w:val="051C5C"/>
          <w:sz w:val="19"/>
        </w:rPr>
        <w:t>Sumber dana ilustratif untuk portofolio Rp2.091 triliun (kelas D)</w:t>
      </w:r>
    </w:p>
    <w:p>
      <w:pPr>
        <w:spacing w:after="160"/>
      </w:pPr>
      <w:r>
        <w:rPr>
          <w:rFonts w:ascii="Arial" w:hAnsi="Arial"/>
          <w:b w:val="0"/>
          <w:i/>
          <w:color w:val="051C5C"/>
          <w:sz w:val="17"/>
        </w:rPr>
        <w:t>Sumber: [K, Bab 10.3, Tabel 41]; angka ilustratif, bukan rencana pendanaan.</w:t>
      </w:r>
    </w:p>
    <w:p>
      <w:pPr>
        <w:jc w:val="both"/>
      </w:pPr>
      <w:r>
        <w:rPr>
          <w:rFonts w:ascii="Arial" w:hAnsi="Arial"/>
          <w:b w:val="0"/>
        </w:rPr>
        <w:t>Implikasi manajemen proyek ada tiga. Pertama, tidak ada manajemen proyek yang dapat mengompensasi portofolio yang melampaui kapasitas pendanaan; urutan dan penjadwalan proyek harus mencerminkan batas ini. Kedua, pelaksanaan paralel 40 proyek memerlukan pemetaan sumber dan penggunaan per proyek, bukan angka agregat. Ketiga, pemisahan antara dana yang diamankan, dikomitmenkan, dicairkan, dibangun, dan manfaat yang tercapai harus dipertahankan dalam pelaporan; "penghimpunan dana dan belanja investasi bukan laba" [K, Bab 14.3].</w:t>
      </w:r>
    </w:p>
    <w:p>
      <w:pPr>
        <w:pStyle w:val="Heading2"/>
      </w:pPr>
      <w:r>
        <w:t>11.4  Isolasi risiko sistemik: portofolio ganda dan SPV pembiayaan campuran</w:t>
      </w:r>
    </w:p>
    <w:p>
      <w:pPr>
        <w:jc w:val="both"/>
      </w:pPr>
      <w:r>
        <w:rPr>
          <w:rFonts w:ascii="Arial" w:hAnsi="Arial"/>
          <w:b w:val="0"/>
        </w:rPr>
        <w:t>Cetak biru strategis menunjukkan bahwa pembiayaan proyek hilirisasi yang panjang dan tidak likuid tidak boleh dibebankan kepada bank BUMN komersial. Tiga bank (Mandiri Rp2.174 triliun, BRI Rp1.965 triliun, BNI Rp1.087 triliun) memegang aset sekitar Rp5.226 triliun, lebih dari separuh AUM awal; sementara defisit pembiayaan struktural proyek kedaulatan diperkirakan Rp95–125 triliun per tahun (kebutuhan capex Rp250–300 triliun dikurangi retensi dividen Rp80–90 triliun dan arus kas internal Rp70–80 triliun) [K, Bab 3.7 dan 10.7; BP, slide 5–7; kelas C]. Usulan: portofolio Alpha (komersial, target ROE di atas 15%, tanpa pinjaman paksa) dan Impact (proyek, utang non-recourse, tanpa subsidi silang), dengan SPV ring-fenced berpembiayaan campuran (ekuitas kedaulatan paling banyak 30%). Bagi manajer proyek, hal ini berarti struktur kontrak dan jaminan setiap proyek harus dirancang agar kegagalan satu proyek tidak menular ke neraca grup.</w:t>
      </w:r>
    </w:p>
    <w:p>
      <w:pPr>
        <w:pStyle w:val="Heading2"/>
      </w:pPr>
      <w:r>
        <w:t>11.5  Pencairan berbasis tonggak dan pengendalian dana</w:t>
      </w:r>
    </w:p>
    <w:p>
      <w:pPr>
        <w:jc w:val="both"/>
      </w:pPr>
      <w:r>
        <w:rPr>
          <w:rFonts w:ascii="Arial" w:hAnsi="Arial"/>
          <w:b w:val="0"/>
        </w:rPr>
        <w:t>Pengendalian dana pada tingkat proyek menggabungkan tiga kendali: dana dikunci pada rekening penampungan yang independen; pencairan hanya dengan bukti yang diverifikasi pihak independen; dan pembayaran langsung kepada penerima akhir. Ketiganya muncul pada PALCapital (escrow Mandiri, dua penanda tangan, vendor dibayar langsung), pada DOCK-UP (pembiayaan pemasok per gerbang), dan pada usulan NRF untuk jendela pemasok (pencairan hanya setelah verifikasi independen langsung kepada pemasok, target nol penyimpangan) [PAL, hlm. 8; DOCK, hlm. 6; DECK85, S84]. Pada pembiayaan negara, setiap instrumen beragun arus kas masa depan negara pada hakikatnya adalah kewajiban dan harus tunduk pada disiplin utang, pengungkapan, dan uji stres yang sama dengan pinjaman lainnya [K, Bab 1.1].</w:t>
      </w:r>
    </w:p>
    <w:p>
      <w:pPr>
        <w:pStyle w:val="Heading2"/>
      </w:pPr>
      <w:r>
        <w:t>11.6  Pemantauan inflasi sebagai kendali dampak penyaluran dana</w:t>
      </w:r>
    </w:p>
    <w:p>
      <w:pPr>
        <w:jc w:val="both"/>
      </w:pPr>
      <w:r>
        <w:rPr>
          <w:rFonts w:ascii="Arial" w:hAnsi="Arial"/>
          <w:b w:val="0"/>
        </w:rPr>
        <w:t>Penyaluran dana besar ke proyek domestik dapat menimbulkan tekanan harga. Kajian pemantauan inflasi NRF memetakan delapan jalur transmisi (C1–C8) dan lima lapis indikator, dan menyarankan buku besar yang menghubungkan setiap pencairan dengan proyek (ID register), lokasi, sektor, jenis belanja, dan penerima, sebagai data lapis kelima. Aliran Rp1.000 triliun setara sekitar 4% PDB nominal dan bila dibelanjakan cepat di dalam negeri dapat menghabiskan sebagian besar rentang toleransi inflasi ±1 poin; karena itu platform pemantau perlu dibangun sebelum rupiah pertama disalurkan [K, Bab 8.9; NRF-INF]. Ini adalah contoh langka dalam dokumen sumber tentang pengendalian dampak makro pada tingkat proyek yang memerlukan ID proyek yang konsisten.</w:t>
      </w:r>
    </w:p>
    <w:p>
      <w:r>
        <w:br w:type="page"/>
      </w:r>
    </w:p>
    <w:p>
      <w:pPr>
        <w:pStyle w:val="Heading1"/>
      </w:pPr>
      <w:r>
        <w:t>12  Manajemen manfaat dan nilai ekonomi</w:t>
      </w:r>
    </w:p>
    <w:p>
      <w:pPr>
        <w:pStyle w:val="Heading2"/>
      </w:pPr>
      <w:r>
        <w:t>12.1  Dari keluaran ke manfaat</w:t>
      </w:r>
    </w:p>
    <w:p>
      <w:pPr>
        <w:jc w:val="both"/>
      </w:pPr>
      <w:r>
        <w:rPr>
          <w:rFonts w:ascii="Arial" w:hAnsi="Arial"/>
          <w:b w:val="0"/>
        </w:rPr>
        <w:t>Proyek yang selesai tepat waktu dan sesuai anggaran masih bisa gagal bila manfaat yang dijanjikan tidak terwujud. Manajemen manfaat (benefits realization management) menambahkan siklus: mengidentifikasi manfaat, merencanakan realisasi, memantau, dan mempertahankan. Setiap manfaat memiliki pemilik, ukuran, baseline, target, waktu, dan ketergantungan. Dokumen Danantara menegaskan perbedaan keluaran dan hasil: komitmen investasi, nota kesepahaman, dan peletakan batu pertama bukan hasil; "penandatanganan PPA bukan financial close, peresmian konstruksi bukan progres yang dicapai, pengalihan kepemilikan aset bukan apresiasi nilai" [K, Bab 3.4].</w:t>
      </w:r>
    </w:p>
    <w:p>
      <w:pPr>
        <w:pStyle w:val="Heading2"/>
      </w:pPr>
      <w:r>
        <w:t>12.2  Tiga uji pembangunan industri</w:t>
      </w:r>
    </w:p>
    <w:p>
      <w:pPr>
        <w:jc w:val="both"/>
      </w:pPr>
      <w:r>
        <w:rPr>
          <w:rFonts w:ascii="Arial" w:hAnsi="Arial"/>
          <w:b w:val="0"/>
        </w:rPr>
        <w:t xml:space="preserve">Untuk proyek bermandat pembangunan, Kajian menyarankan empat uji: </w:t>
      </w:r>
      <w:r>
        <w:rPr>
          <w:rFonts w:ascii="Arial" w:hAnsi="Arial"/>
          <w:b/>
        </w:rPr>
        <w:t>adisionalitas</w:t>
      </w:r>
      <w:r>
        <w:rPr>
          <w:rFonts w:ascii="Arial" w:hAnsi="Arial"/>
          <w:b w:val="0"/>
        </w:rPr>
        <w:t xml:space="preserve"> (apakah proyek akan terjadi dengan skala, waktu, mutu, dan syarat yang sama tanpa Danantara?), </w:t>
      </w:r>
      <w:r>
        <w:rPr>
          <w:rFonts w:ascii="Arial" w:hAnsi="Arial"/>
          <w:b/>
        </w:rPr>
        <w:t>daya saing</w:t>
      </w:r>
      <w:r>
        <w:rPr>
          <w:rFonts w:ascii="Arial" w:hAnsi="Arial"/>
          <w:b w:val="0"/>
        </w:rPr>
        <w:t xml:space="preserve"> (dapatkah pabrik berproduksi dengan biaya, mutu, dan keandalan yang dapat bersaing?), </w:t>
      </w:r>
      <w:r>
        <w:rPr>
          <w:rFonts w:ascii="Arial" w:hAnsi="Arial"/>
          <w:b/>
        </w:rPr>
        <w:t>kapabilitas</w:t>
      </w:r>
      <w:r>
        <w:rPr>
          <w:rFonts w:ascii="Arial" w:hAnsi="Arial"/>
          <w:b w:val="0"/>
        </w:rPr>
        <w:t xml:space="preserve"> (dapatkah tim dalam negeri mengoperasikan, menyempurnakan, dan mereplikasi proses kritis?), serta </w:t>
      </w:r>
      <w:r>
        <w:rPr>
          <w:rFonts w:ascii="Arial" w:hAnsi="Arial"/>
          <w:b/>
        </w:rPr>
        <w:t>distribusi dan ketahanan</w:t>
      </w:r>
      <w:r>
        <w:rPr>
          <w:rFonts w:ascii="Arial" w:hAnsi="Arial"/>
          <w:b w:val="0"/>
        </w:rPr>
        <w:t xml:space="preserve"> (apakah lapangan kerja berkelanjutan dan pemasok lebih kuat?) [K, Bab 4.4]. Penilaian portofolio 40 proyek mengoperasionalkannya sebagai tiga aspek dengan enam kriteria: adisionalitas dan dampak proyek serta pasar (bobot 40%), ENPV/EIRR, biaya paling rendah dan dukungan publik (35%), dan mobilisasi teratribusi, nilai tambah domestik, serta kapabilitas teknologi (25%); total 240 pemeriksaan (40 ID × 6 kriteria) [EXEC, slide 12–16].</w:t>
      </w:r>
    </w:p>
    <w:p>
      <w:pPr>
        <w:pStyle w:val="Heading2"/>
      </w:pPr>
      <w:r>
        <w:t>12.3  Mengukur manfaat tanpa menghitung ganda</w:t>
      </w:r>
    </w:p>
    <w:p>
      <w:pPr>
        <w:keepNext/>
        <w:spacing w:after="60"/>
      </w:pPr>
      <w:r>
        <w:rPr>
          <w:rFonts w:ascii="Arial" w:hAnsi="Arial"/>
          <w:b/>
          <w:color w:val="051C5C"/>
          <w:sz w:val="19"/>
        </w:rPr>
        <w:t xml:space="preserve">Tabel 32: </w:t>
      </w:r>
      <w:r>
        <w:rPr>
          <w:rFonts w:ascii="Arial" w:hAnsi="Arial"/>
          <w:color w:val="051C5C"/>
          <w:sz w:val="19"/>
        </w:rPr>
        <w:t>Manfaat, ukuran, dan pengendalian terhadap klaim ganda</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2157"/>
            <w:shd w:val="clear" w:color="auto" w:fill="2251FF"/>
            <w:vAlign w:val="center"/>
          </w:tcPr>
          <w:p>
            <w:pPr>
              <w:spacing w:after="20" w:before="20" w:line="252" w:lineRule="auto"/>
            </w:pPr>
            <w:r/>
            <w:r>
              <w:rPr>
                <w:rFonts w:ascii="Arial" w:hAnsi="Arial"/>
                <w:b/>
                <w:color w:val="FFFFFF"/>
                <w:sz w:val="17"/>
              </w:rPr>
              <w:t>Manfaat</w:t>
            </w:r>
          </w:p>
        </w:tc>
        <w:tc>
          <w:tcPr>
            <w:tcW w:type="dxa" w:w="4313"/>
            <w:shd w:val="clear" w:color="auto" w:fill="2251FF"/>
            <w:vAlign w:val="center"/>
          </w:tcPr>
          <w:p>
            <w:pPr>
              <w:spacing w:after="20" w:before="20" w:line="252" w:lineRule="auto"/>
            </w:pPr>
            <w:r/>
            <w:r>
              <w:rPr>
                <w:rFonts w:ascii="Arial" w:hAnsi="Arial"/>
                <w:b/>
                <w:color w:val="FFFFFF"/>
                <w:sz w:val="17"/>
              </w:rPr>
              <w:t>Ukuran</w:t>
            </w:r>
          </w:p>
        </w:tc>
        <w:tc>
          <w:tcPr>
            <w:tcW w:type="dxa" w:w="2941"/>
            <w:shd w:val="clear" w:color="auto" w:fill="2251FF"/>
            <w:vAlign w:val="center"/>
          </w:tcPr>
          <w:p>
            <w:pPr>
              <w:spacing w:after="20" w:before="20" w:line="252" w:lineRule="auto"/>
            </w:pPr>
            <w:r/>
            <w:r>
              <w:rPr>
                <w:rFonts w:ascii="Arial" w:hAnsi="Arial"/>
                <w:b/>
                <w:color w:val="FFFFFF"/>
                <w:sz w:val="17"/>
              </w:rPr>
              <w:t>Pengendalian</w:t>
            </w:r>
          </w:p>
        </w:tc>
      </w:tr>
      <w:tr>
        <w:trPr>
          <w:cantSplit/>
        </w:trPr>
        <w:tc>
          <w:tcPr>
            <w:tcW w:type="dxa" w:w="2157"/>
            <w:vAlign w:val="center"/>
          </w:tcPr>
          <w:p>
            <w:pPr>
              <w:spacing w:after="20" w:before="20" w:line="252" w:lineRule="auto"/>
            </w:pPr>
            <w:r/>
            <w:r>
              <w:rPr>
                <w:rFonts w:ascii="Arial" w:hAnsi="Arial"/>
                <w:b/>
                <w:sz w:val="17"/>
              </w:rPr>
              <w:t>Nilai tambah dalam negeri (DVA)</w:t>
            </w:r>
          </w:p>
        </w:tc>
        <w:tc>
          <w:tcPr>
            <w:tcW w:type="dxa" w:w="4313"/>
            <w:vAlign w:val="center"/>
          </w:tcPr>
          <w:p>
            <w:pPr>
              <w:spacing w:after="20" w:before="20" w:line="252" w:lineRule="auto"/>
            </w:pPr>
            <w:r/>
            <w:r>
              <w:rPr>
                <w:rFonts w:ascii="Arial" w:hAnsi="Arial"/>
                <w:b w:val="0"/>
                <w:sz w:val="17"/>
              </w:rPr>
              <w:t>DVA langsung (output dikurangi konsumsi antara); DVA rantai pasok (I-O domestik, daftar material, impor tertanam); pendalaman teknologi</w:t>
            </w:r>
          </w:p>
        </w:tc>
        <w:tc>
          <w:tcPr>
            <w:tcW w:type="dxa" w:w="2941"/>
            <w:vAlign w:val="center"/>
          </w:tcPr>
          <w:p>
            <w:pPr>
              <w:spacing w:after="20" w:before="20" w:line="252" w:lineRule="auto"/>
            </w:pPr>
            <w:r/>
            <w:r>
              <w:rPr>
                <w:rFonts w:ascii="Arial" w:hAnsi="Arial"/>
                <w:b w:val="0"/>
                <w:sz w:val="17"/>
              </w:rPr>
              <w:t>Jangan samakan MoU, pembelian mesin, atau pelatihan dengan alih teknologi terbukti</w:t>
            </w:r>
          </w:p>
        </w:tc>
      </w:tr>
      <w:tr>
        <w:trPr>
          <w:cantSplit/>
        </w:trPr>
        <w:tc>
          <w:tcPr>
            <w:tcW w:type="dxa" w:w="2157"/>
            <w:shd w:val="clear" w:color="auto" w:fill="E6ECFD"/>
            <w:vAlign w:val="center"/>
          </w:tcPr>
          <w:p>
            <w:pPr>
              <w:spacing w:after="20" w:before="20" w:line="252" w:lineRule="auto"/>
            </w:pPr>
            <w:r/>
            <w:r>
              <w:rPr>
                <w:rFonts w:ascii="Arial" w:hAnsi="Arial"/>
                <w:b/>
                <w:sz w:val="17"/>
              </w:rPr>
              <w:t>Pekerjaan</w:t>
            </w:r>
          </w:p>
        </w:tc>
        <w:tc>
          <w:tcPr>
            <w:tcW w:type="dxa" w:w="4313"/>
            <w:shd w:val="clear" w:color="auto" w:fill="E6ECFD"/>
            <w:vAlign w:val="center"/>
          </w:tcPr>
          <w:p>
            <w:pPr>
              <w:spacing w:after="20" w:before="20" w:line="252" w:lineRule="auto"/>
            </w:pPr>
            <w:r/>
            <w:r>
              <w:rPr>
                <w:rFonts w:ascii="Arial" w:hAnsi="Arial"/>
                <w:b w:val="0"/>
                <w:sz w:val="17"/>
              </w:rPr>
              <w:t>Tahun-kerja langsung, tidak langsung, induksi; pekerjaan tetap; rentang dua metode</w:t>
            </w:r>
          </w:p>
        </w:tc>
        <w:tc>
          <w:tcPr>
            <w:tcW w:type="dxa" w:w="2941"/>
            <w:shd w:val="clear" w:color="auto" w:fill="E6ECFD"/>
            <w:vAlign w:val="center"/>
          </w:tcPr>
          <w:p>
            <w:pPr>
              <w:spacing w:after="20" w:before="20" w:line="252" w:lineRule="auto"/>
            </w:pPr>
            <w:r/>
            <w:r>
              <w:rPr>
                <w:rFonts w:ascii="Arial" w:hAnsi="Arial"/>
                <w:b w:val="0"/>
                <w:sz w:val="17"/>
              </w:rPr>
              <w:t>Pisahkan sementara dan permanen; kurangi pengalihan</w:t>
            </w:r>
          </w:p>
        </w:tc>
      </w:tr>
      <w:tr>
        <w:trPr>
          <w:cantSplit/>
        </w:trPr>
        <w:tc>
          <w:tcPr>
            <w:tcW w:type="dxa" w:w="2157"/>
            <w:vAlign w:val="center"/>
          </w:tcPr>
          <w:p>
            <w:pPr>
              <w:spacing w:after="20" w:before="20" w:line="252" w:lineRule="auto"/>
            </w:pPr>
            <w:r/>
            <w:r>
              <w:rPr>
                <w:rFonts w:ascii="Arial" w:hAnsi="Arial"/>
                <w:b/>
                <w:sz w:val="17"/>
              </w:rPr>
              <w:t>Mobilisasi swasta</w:t>
            </w:r>
          </w:p>
        </w:tc>
        <w:tc>
          <w:tcPr>
            <w:tcW w:type="dxa" w:w="4313"/>
            <w:vAlign w:val="center"/>
          </w:tcPr>
          <w:p>
            <w:pPr>
              <w:spacing w:after="20" w:before="20" w:line="252" w:lineRule="auto"/>
            </w:pPr>
            <w:r/>
            <w:r>
              <w:rPr>
                <w:rFonts w:ascii="Arial" w:hAnsi="Arial"/>
                <w:b w:val="0"/>
                <w:sz w:val="17"/>
              </w:rPr>
              <w:t>TPDM, PPDM, PIM menurut metodologi MDB</w:t>
            </w:r>
          </w:p>
        </w:tc>
        <w:tc>
          <w:tcPr>
            <w:tcW w:type="dxa" w:w="2941"/>
            <w:vAlign w:val="center"/>
          </w:tcPr>
          <w:p>
            <w:pPr>
              <w:spacing w:after="20" w:before="20" w:line="252" w:lineRule="auto"/>
            </w:pPr>
            <w:r/>
            <w:r>
              <w:rPr>
                <w:rFonts w:ascii="Arial" w:hAnsi="Arial"/>
                <w:b w:val="0"/>
                <w:sz w:val="17"/>
              </w:rPr>
              <w:t>Obligasi institusi bukan otomatis mobilisasi proyek; cegah klaim ganda</w:t>
            </w:r>
          </w:p>
        </w:tc>
      </w:tr>
      <w:tr>
        <w:trPr>
          <w:cantSplit/>
        </w:trPr>
        <w:tc>
          <w:tcPr>
            <w:tcW w:type="dxa" w:w="2157"/>
            <w:shd w:val="clear" w:color="auto" w:fill="E6ECFD"/>
            <w:vAlign w:val="center"/>
          </w:tcPr>
          <w:p>
            <w:pPr>
              <w:spacing w:after="20" w:before="20" w:line="252" w:lineRule="auto"/>
            </w:pPr>
            <w:r/>
            <w:r>
              <w:rPr>
                <w:rFonts w:ascii="Arial" w:hAnsi="Arial"/>
                <w:b/>
                <w:sz w:val="17"/>
              </w:rPr>
              <w:t>Dampak PDB</w:t>
            </w:r>
          </w:p>
        </w:tc>
        <w:tc>
          <w:tcPr>
            <w:tcW w:type="dxa" w:w="4313"/>
            <w:shd w:val="clear" w:color="auto" w:fill="E6ECFD"/>
            <w:vAlign w:val="center"/>
          </w:tcPr>
          <w:p>
            <w:pPr>
              <w:spacing w:after="20" w:before="20" w:line="252" w:lineRule="auto"/>
            </w:pPr>
            <w:r/>
            <w:r>
              <w:rPr>
                <w:rFonts w:ascii="Arial" w:hAnsi="Arial"/>
                <w:b w:val="0"/>
                <w:sz w:val="17"/>
              </w:rPr>
              <w:t>Selisih terhadap skenario tanpa pipeline</w:t>
            </w:r>
          </w:p>
        </w:tc>
        <w:tc>
          <w:tcPr>
            <w:tcW w:type="dxa" w:w="2941"/>
            <w:shd w:val="clear" w:color="auto" w:fill="E6ECFD"/>
            <w:vAlign w:val="center"/>
          </w:tcPr>
          <w:p>
            <w:pPr>
              <w:spacing w:after="20" w:before="20" w:line="252" w:lineRule="auto"/>
            </w:pPr>
            <w:r/>
            <w:r>
              <w:rPr>
                <w:rFonts w:ascii="Arial" w:hAnsi="Arial"/>
                <w:b w:val="0"/>
                <w:sz w:val="17"/>
              </w:rPr>
              <w:t>Kontrafaktual; rentang, bukan titik</w:t>
            </w:r>
          </w:p>
        </w:tc>
      </w:tr>
      <w:tr>
        <w:trPr>
          <w:cantSplit/>
        </w:trPr>
        <w:tc>
          <w:tcPr>
            <w:tcW w:type="dxa" w:w="2157"/>
            <w:vAlign w:val="center"/>
          </w:tcPr>
          <w:p>
            <w:pPr>
              <w:spacing w:after="20" w:before="20" w:line="252" w:lineRule="auto"/>
            </w:pPr>
            <w:r/>
            <w:r>
              <w:rPr>
                <w:rFonts w:ascii="Arial" w:hAnsi="Arial"/>
                <w:b/>
                <w:sz w:val="17"/>
              </w:rPr>
              <w:t>Devisa neto</w:t>
            </w:r>
          </w:p>
        </w:tc>
        <w:tc>
          <w:tcPr>
            <w:tcW w:type="dxa" w:w="4313"/>
            <w:vAlign w:val="center"/>
          </w:tcPr>
          <w:p>
            <w:pPr>
              <w:spacing w:after="20" w:before="20" w:line="252" w:lineRule="auto"/>
            </w:pPr>
            <w:r/>
            <w:r>
              <w:rPr>
                <w:rFonts w:ascii="Arial" w:hAnsi="Arial"/>
                <w:b w:val="0"/>
                <w:sz w:val="17"/>
              </w:rPr>
              <w:t>Ekspor dan impor yang dihindari dikurangi impor tertanam</w:t>
            </w:r>
          </w:p>
        </w:tc>
        <w:tc>
          <w:tcPr>
            <w:tcW w:type="dxa" w:w="2941"/>
            <w:vAlign w:val="center"/>
          </w:tcPr>
          <w:p>
            <w:pPr>
              <w:spacing w:after="20" w:before="20" w:line="252" w:lineRule="auto"/>
            </w:pPr>
            <w:r/>
            <w:r>
              <w:rPr>
                <w:rFonts w:ascii="Arial" w:hAnsi="Arial"/>
                <w:b w:val="0"/>
                <w:sz w:val="17"/>
              </w:rPr>
              <w:t>Kurangi impor capex</w:t>
            </w:r>
          </w:p>
        </w:tc>
      </w:tr>
      <w:tr>
        <w:trPr>
          <w:cantSplit/>
        </w:trPr>
        <w:tc>
          <w:tcPr>
            <w:tcW w:type="dxa" w:w="2157"/>
            <w:shd w:val="clear" w:color="auto" w:fill="E6ECFD"/>
            <w:vAlign w:val="center"/>
          </w:tcPr>
          <w:p>
            <w:pPr>
              <w:spacing w:after="20" w:before="20" w:line="252" w:lineRule="auto"/>
            </w:pPr>
            <w:r/>
            <w:r>
              <w:rPr>
                <w:rFonts w:ascii="Arial" w:hAnsi="Arial"/>
                <w:b/>
                <w:sz w:val="17"/>
              </w:rPr>
              <w:t>Imbal hasil investasi</w:t>
            </w:r>
          </w:p>
        </w:tc>
        <w:tc>
          <w:tcPr>
            <w:tcW w:type="dxa" w:w="4313"/>
            <w:shd w:val="clear" w:color="auto" w:fill="E6ECFD"/>
            <w:vAlign w:val="center"/>
          </w:tcPr>
          <w:p>
            <w:pPr>
              <w:spacing w:after="20" w:before="20" w:line="252" w:lineRule="auto"/>
            </w:pPr>
            <w:r/>
            <w:r>
              <w:rPr>
                <w:rFonts w:ascii="Arial" w:hAnsi="Arial"/>
                <w:b w:val="0"/>
                <w:sz w:val="17"/>
              </w:rPr>
              <w:t>Jembatan NAV dari awal ke akhir periode</w:t>
            </w:r>
          </w:p>
        </w:tc>
        <w:tc>
          <w:tcPr>
            <w:tcW w:type="dxa" w:w="2941"/>
            <w:shd w:val="clear" w:color="auto" w:fill="E6ECFD"/>
            <w:vAlign w:val="center"/>
          </w:tcPr>
          <w:p>
            <w:pPr>
              <w:spacing w:after="20" w:before="20" w:line="252" w:lineRule="auto"/>
            </w:pPr>
            <w:r/>
            <w:r>
              <w:rPr>
                <w:rFonts w:ascii="Arial" w:hAnsi="Arial"/>
                <w:b w:val="0"/>
                <w:sz w:val="17"/>
              </w:rPr>
              <w:t>Aset yang dialihkan bukan imbal hasil</w:t>
            </w:r>
          </w:p>
        </w:tc>
      </w:tr>
    </w:tbl>
    <w:p>
      <w:pPr>
        <w:spacing w:after="160"/>
      </w:pPr>
      <w:r>
        <w:rPr>
          <w:rFonts w:ascii="Arial" w:hAnsi="Arial"/>
          <w:b w:val="0"/>
          <w:i/>
          <w:color w:val="051C5C"/>
          <w:sz w:val="17"/>
        </w:rPr>
        <w:t>Sumber: [K, Bab 14.4]; [EXEC, slide 14–16].</w:t>
      </w:r>
    </w:p>
    <w:p>
      <w:pPr>
        <w:pStyle w:val="Heading2"/>
      </w:pPr>
      <w:r>
        <w:t>12.4  Dampak makro portofolio: orde besaran sebagai hipotesis uji</w:t>
      </w:r>
    </w:p>
    <w:p>
      <w:pPr>
        <w:jc w:val="both"/>
      </w:pPr>
      <w:r>
        <w:rPr>
          <w:rFonts w:ascii="Arial" w:hAnsi="Arial"/>
          <w:b w:val="0"/>
        </w:rPr>
        <w:t>Model yang disusun dalam dokumen sumber menghasilkan perkiraan dampak (kelas D) yang berguna untuk menetapkan target pemantauan, bukan sebagai klaim. Pipeline Rp2.091 triliun menaikkan level PDB sekitar 1,5% pada puncak 2030 dan 0,74% secara permanen; mendukung sekitar 11,4 juta tahun-kerja selama konstruksi dan sekitar 976 ribu pekerjaan tetap (402 ribu langsung); dan memuat impor sekitar US$38,8 miliar. Infrastruktur menyumbang porsi terbesar. Model pekerjaan memetakan 35 proyek berbiaya ke tujuh jenis proyek dengan koefisien tahun-kerja per Rp1 miliar dari analisis input-output proyek strategis, disesuaikan harga ke 2025 dengan faktor 1,2987 (rasio PDB per pekerja 2025/2019), menambahkan efek induksi 35%, dan pekerjaan tetap operasi tidak langsung 0,8 per pekerjaan langsung [K, Bab 5.7; EMP].</w:t>
      </w:r>
    </w:p>
    <w:p>
      <w:pPr>
        <w:keepNext/>
        <w:spacing w:after="60"/>
      </w:pPr>
      <w:r>
        <w:rPr>
          <w:rFonts w:ascii="Arial" w:hAnsi="Arial"/>
          <w:b/>
          <w:color w:val="051C5C"/>
          <w:sz w:val="19"/>
        </w:rPr>
        <w:t xml:space="preserve">Tabel 33: </w:t>
      </w:r>
      <w:r>
        <w:rPr>
          <w:rFonts w:ascii="Arial" w:hAnsi="Arial"/>
          <w:color w:val="051C5C"/>
          <w:sz w:val="19"/>
        </w:rPr>
        <w:t>Dampak pipeline per klaster menurut model (kelas D)</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1569"/>
        <w:gridCol w:w="1569"/>
        <w:gridCol w:w="1569"/>
        <w:gridCol w:w="1569"/>
        <w:gridCol w:w="1569"/>
        <w:gridCol w:w="1569"/>
      </w:tblGrid>
      <w:tr>
        <w:trPr>
          <w:cantSplit/>
          <w:tblHeader/>
        </w:trPr>
        <w:tc>
          <w:tcPr>
            <w:tcW w:type="dxa" w:w="2030"/>
            <w:shd w:val="clear" w:color="auto" w:fill="2251FF"/>
            <w:vAlign w:val="center"/>
          </w:tcPr>
          <w:p>
            <w:pPr>
              <w:spacing w:after="20" w:before="20" w:line="252" w:lineRule="auto"/>
            </w:pPr>
            <w:r/>
            <w:r>
              <w:rPr>
                <w:rFonts w:ascii="Arial" w:hAnsi="Arial"/>
                <w:b/>
                <w:color w:val="FFFFFF"/>
                <w:sz w:val="17"/>
              </w:rPr>
              <w:t>Klaster</w:t>
            </w:r>
          </w:p>
        </w:tc>
        <w:tc>
          <w:tcPr>
            <w:tcW w:type="dxa" w:w="1845"/>
            <w:shd w:val="clear" w:color="auto" w:fill="2251FF"/>
            <w:vAlign w:val="center"/>
          </w:tcPr>
          <w:p>
            <w:pPr>
              <w:spacing w:after="20" w:before="20" w:line="252" w:lineRule="auto"/>
            </w:pPr>
            <w:r/>
            <w:r>
              <w:rPr>
                <w:rFonts w:ascii="Arial" w:hAnsi="Arial"/>
                <w:b/>
                <w:color w:val="FFFFFF"/>
                <w:sz w:val="17"/>
              </w:rPr>
              <w:t>Investasi 2027–2032 (Rp T)</w:t>
            </w:r>
          </w:p>
        </w:tc>
        <w:tc>
          <w:tcPr>
            <w:tcW w:type="dxa" w:w="1476"/>
            <w:shd w:val="clear" w:color="auto" w:fill="2251FF"/>
            <w:vAlign w:val="center"/>
          </w:tcPr>
          <w:p>
            <w:pPr>
              <w:spacing w:after="20" w:before="20" w:line="252" w:lineRule="auto"/>
            </w:pPr>
            <w:r/>
            <w:r>
              <w:rPr>
                <w:rFonts w:ascii="Arial" w:hAnsi="Arial"/>
                <w:b/>
                <w:color w:val="FFFFFF"/>
                <w:sz w:val="17"/>
              </w:rPr>
              <w:t>Puncak dampak level PDB</w:t>
            </w:r>
          </w:p>
        </w:tc>
        <w:tc>
          <w:tcPr>
            <w:tcW w:type="dxa" w:w="1292"/>
            <w:shd w:val="clear" w:color="auto" w:fill="2251FF"/>
            <w:vAlign w:val="center"/>
          </w:tcPr>
          <w:p>
            <w:pPr>
              <w:spacing w:after="20" w:before="20" w:line="252" w:lineRule="auto"/>
            </w:pPr>
            <w:r/>
            <w:r>
              <w:rPr>
                <w:rFonts w:ascii="Arial" w:hAnsi="Arial"/>
                <w:b/>
                <w:color w:val="FFFFFF"/>
                <w:sz w:val="17"/>
              </w:rPr>
              <w:t>Tahun-kerja (juta)</w:t>
            </w:r>
          </w:p>
        </w:tc>
        <w:tc>
          <w:tcPr>
            <w:tcW w:type="dxa" w:w="1661"/>
            <w:shd w:val="clear" w:color="auto" w:fill="2251FF"/>
            <w:vAlign w:val="center"/>
          </w:tcPr>
          <w:p>
            <w:pPr>
              <w:spacing w:after="20" w:before="20" w:line="252" w:lineRule="auto"/>
            </w:pPr>
            <w:r/>
            <w:r>
              <w:rPr>
                <w:rFonts w:ascii="Arial" w:hAnsi="Arial"/>
                <w:b/>
                <w:color w:val="FFFFFF"/>
                <w:sz w:val="17"/>
              </w:rPr>
              <w:t>Pekerjaan tetap total (ribu)</w:t>
            </w:r>
          </w:p>
        </w:tc>
        <w:tc>
          <w:tcPr>
            <w:tcW w:type="dxa" w:w="1107"/>
            <w:shd w:val="clear" w:color="auto" w:fill="2251FF"/>
            <w:vAlign w:val="center"/>
          </w:tcPr>
          <w:p>
            <w:pPr>
              <w:spacing w:after="20" w:before="20" w:line="252" w:lineRule="auto"/>
            </w:pPr>
            <w:r/>
            <w:r>
              <w:rPr>
                <w:rFonts w:ascii="Arial" w:hAnsi="Arial"/>
                <w:b/>
                <w:color w:val="FFFFFF"/>
                <w:sz w:val="17"/>
              </w:rPr>
              <w:t>Impor (US$ M)</w:t>
            </w:r>
          </w:p>
        </w:tc>
      </w:tr>
      <w:tr>
        <w:trPr>
          <w:cantSplit/>
        </w:trPr>
        <w:tc>
          <w:tcPr>
            <w:tcW w:type="dxa" w:w="2030"/>
            <w:vAlign w:val="center"/>
          </w:tcPr>
          <w:p>
            <w:pPr>
              <w:spacing w:after="20" w:before="20" w:line="252" w:lineRule="auto"/>
            </w:pPr>
            <w:r/>
            <w:r>
              <w:rPr>
                <w:rFonts w:ascii="Arial" w:hAnsi="Arial"/>
                <w:b/>
                <w:sz w:val="17"/>
              </w:rPr>
              <w:t>Sumber daya alam</w:t>
            </w:r>
          </w:p>
        </w:tc>
        <w:tc>
          <w:tcPr>
            <w:tcW w:type="dxa" w:w="1845"/>
            <w:vAlign w:val="center"/>
          </w:tcPr>
          <w:p>
            <w:pPr>
              <w:spacing w:after="20" w:before="20" w:line="252" w:lineRule="auto"/>
            </w:pPr>
            <w:r/>
            <w:r>
              <w:rPr>
                <w:rFonts w:ascii="Arial" w:hAnsi="Arial"/>
                <w:b w:val="0"/>
                <w:sz w:val="17"/>
              </w:rPr>
              <w:t>648</w:t>
            </w:r>
          </w:p>
        </w:tc>
        <w:tc>
          <w:tcPr>
            <w:tcW w:type="dxa" w:w="1476"/>
            <w:vAlign w:val="center"/>
          </w:tcPr>
          <w:p>
            <w:pPr>
              <w:spacing w:after="20" w:before="20" w:line="252" w:lineRule="auto"/>
            </w:pPr>
            <w:r/>
            <w:r>
              <w:rPr>
                <w:rFonts w:ascii="Arial" w:hAnsi="Arial"/>
                <w:b w:val="0"/>
                <w:sz w:val="17"/>
              </w:rPr>
              <w:t>0,44%</w:t>
            </w:r>
          </w:p>
        </w:tc>
        <w:tc>
          <w:tcPr>
            <w:tcW w:type="dxa" w:w="1292"/>
            <w:vAlign w:val="center"/>
          </w:tcPr>
          <w:p>
            <w:pPr>
              <w:spacing w:after="20" w:before="20" w:line="252" w:lineRule="auto"/>
            </w:pPr>
            <w:r/>
            <w:r>
              <w:rPr>
                <w:rFonts w:ascii="Arial" w:hAnsi="Arial"/>
                <w:b w:val="0"/>
                <w:sz w:val="17"/>
              </w:rPr>
              <w:t>3,01</w:t>
            </w:r>
          </w:p>
        </w:tc>
        <w:tc>
          <w:tcPr>
            <w:tcW w:type="dxa" w:w="1661"/>
            <w:vAlign w:val="center"/>
          </w:tcPr>
          <w:p>
            <w:pPr>
              <w:spacing w:after="20" w:before="20" w:line="252" w:lineRule="auto"/>
            </w:pPr>
            <w:r/>
            <w:r>
              <w:rPr>
                <w:rFonts w:ascii="Arial" w:hAnsi="Arial"/>
                <w:b w:val="0"/>
                <w:sz w:val="17"/>
              </w:rPr>
              <w:t>344</w:t>
            </w:r>
          </w:p>
        </w:tc>
        <w:tc>
          <w:tcPr>
            <w:tcW w:type="dxa" w:w="1107"/>
            <w:vAlign w:val="center"/>
          </w:tcPr>
          <w:p>
            <w:pPr>
              <w:spacing w:after="20" w:before="20" w:line="252" w:lineRule="auto"/>
            </w:pPr>
            <w:r/>
            <w:r>
              <w:rPr>
                <w:rFonts w:ascii="Arial" w:hAnsi="Arial"/>
                <w:b w:val="0"/>
                <w:sz w:val="17"/>
              </w:rPr>
              <w:t>16,4</w:t>
            </w:r>
          </w:p>
        </w:tc>
      </w:tr>
      <w:tr>
        <w:trPr>
          <w:cantSplit/>
        </w:trPr>
        <w:tc>
          <w:tcPr>
            <w:tcW w:type="dxa" w:w="2030"/>
            <w:shd w:val="clear" w:color="auto" w:fill="E6ECFD"/>
            <w:vAlign w:val="center"/>
          </w:tcPr>
          <w:p>
            <w:pPr>
              <w:spacing w:after="20" w:before="20" w:line="252" w:lineRule="auto"/>
            </w:pPr>
            <w:r/>
            <w:r>
              <w:rPr>
                <w:rFonts w:ascii="Arial" w:hAnsi="Arial"/>
                <w:b/>
                <w:sz w:val="17"/>
              </w:rPr>
              <w:t>Infrastruktur</w:t>
            </w:r>
          </w:p>
        </w:tc>
        <w:tc>
          <w:tcPr>
            <w:tcW w:type="dxa" w:w="1845"/>
            <w:shd w:val="clear" w:color="auto" w:fill="E6ECFD"/>
            <w:vAlign w:val="center"/>
          </w:tcPr>
          <w:p>
            <w:pPr>
              <w:spacing w:after="20" w:before="20" w:line="252" w:lineRule="auto"/>
            </w:pPr>
            <w:r/>
            <w:r>
              <w:rPr>
                <w:rFonts w:ascii="Arial" w:hAnsi="Arial"/>
                <w:b w:val="0"/>
                <w:sz w:val="17"/>
              </w:rPr>
              <w:t>1.113</w:t>
            </w:r>
          </w:p>
        </w:tc>
        <w:tc>
          <w:tcPr>
            <w:tcW w:type="dxa" w:w="1476"/>
            <w:shd w:val="clear" w:color="auto" w:fill="E6ECFD"/>
            <w:vAlign w:val="center"/>
          </w:tcPr>
          <w:p>
            <w:pPr>
              <w:spacing w:after="20" w:before="20" w:line="252" w:lineRule="auto"/>
            </w:pPr>
            <w:r/>
            <w:r>
              <w:rPr>
                <w:rFonts w:ascii="Arial" w:hAnsi="Arial"/>
                <w:b w:val="0"/>
                <w:sz w:val="17"/>
              </w:rPr>
              <w:t>1,07%</w:t>
            </w:r>
          </w:p>
        </w:tc>
        <w:tc>
          <w:tcPr>
            <w:tcW w:type="dxa" w:w="1292"/>
            <w:shd w:val="clear" w:color="auto" w:fill="E6ECFD"/>
            <w:vAlign w:val="center"/>
          </w:tcPr>
          <w:p>
            <w:pPr>
              <w:spacing w:after="20" w:before="20" w:line="252" w:lineRule="auto"/>
            </w:pPr>
            <w:r/>
            <w:r>
              <w:rPr>
                <w:rFonts w:ascii="Arial" w:hAnsi="Arial"/>
                <w:b w:val="0"/>
                <w:sz w:val="17"/>
              </w:rPr>
              <w:t>6,98</w:t>
            </w:r>
          </w:p>
        </w:tc>
        <w:tc>
          <w:tcPr>
            <w:tcW w:type="dxa" w:w="1661"/>
            <w:shd w:val="clear" w:color="auto" w:fill="E6ECFD"/>
            <w:vAlign w:val="center"/>
          </w:tcPr>
          <w:p>
            <w:pPr>
              <w:spacing w:after="20" w:before="20" w:line="252" w:lineRule="auto"/>
            </w:pPr>
            <w:r/>
            <w:r>
              <w:rPr>
                <w:rFonts w:ascii="Arial" w:hAnsi="Arial"/>
                <w:b w:val="0"/>
                <w:sz w:val="17"/>
              </w:rPr>
              <w:t>296</w:t>
            </w:r>
          </w:p>
        </w:tc>
        <w:tc>
          <w:tcPr>
            <w:tcW w:type="dxa" w:w="1107"/>
            <w:shd w:val="clear" w:color="auto" w:fill="E6ECFD"/>
            <w:vAlign w:val="center"/>
          </w:tcPr>
          <w:p>
            <w:pPr>
              <w:spacing w:after="20" w:before="20" w:line="252" w:lineRule="auto"/>
            </w:pPr>
            <w:r/>
            <w:r>
              <w:rPr>
                <w:rFonts w:ascii="Arial" w:hAnsi="Arial"/>
                <w:b w:val="0"/>
                <w:sz w:val="17"/>
              </w:rPr>
              <w:t>12,5</w:t>
            </w:r>
          </w:p>
        </w:tc>
      </w:tr>
      <w:tr>
        <w:trPr>
          <w:cantSplit/>
        </w:trPr>
        <w:tc>
          <w:tcPr>
            <w:tcW w:type="dxa" w:w="2030"/>
            <w:vAlign w:val="center"/>
          </w:tcPr>
          <w:p>
            <w:pPr>
              <w:spacing w:after="20" w:before="20" w:line="252" w:lineRule="auto"/>
            </w:pPr>
            <w:r/>
            <w:r>
              <w:rPr>
                <w:rFonts w:ascii="Arial" w:hAnsi="Arial"/>
                <w:b/>
                <w:sz w:val="17"/>
              </w:rPr>
              <w:t>Pertahanan</w:t>
            </w:r>
          </w:p>
        </w:tc>
        <w:tc>
          <w:tcPr>
            <w:tcW w:type="dxa" w:w="1845"/>
            <w:vAlign w:val="center"/>
          </w:tcPr>
          <w:p>
            <w:pPr>
              <w:spacing w:after="20" w:before="20" w:line="252" w:lineRule="auto"/>
            </w:pPr>
            <w:r/>
            <w:r>
              <w:rPr>
                <w:rFonts w:ascii="Arial" w:hAnsi="Arial"/>
                <w:b w:val="0"/>
                <w:sz w:val="17"/>
              </w:rPr>
              <w:t>225</w:t>
            </w:r>
          </w:p>
        </w:tc>
        <w:tc>
          <w:tcPr>
            <w:tcW w:type="dxa" w:w="1476"/>
            <w:vAlign w:val="center"/>
          </w:tcPr>
          <w:p>
            <w:pPr>
              <w:spacing w:after="20" w:before="20" w:line="252" w:lineRule="auto"/>
            </w:pPr>
            <w:r/>
            <w:r>
              <w:rPr>
                <w:rFonts w:ascii="Arial" w:hAnsi="Arial"/>
                <w:b w:val="0"/>
                <w:sz w:val="17"/>
              </w:rPr>
              <w:t>0,10%</w:t>
            </w:r>
          </w:p>
        </w:tc>
        <w:tc>
          <w:tcPr>
            <w:tcW w:type="dxa" w:w="1292"/>
            <w:vAlign w:val="center"/>
          </w:tcPr>
          <w:p>
            <w:pPr>
              <w:spacing w:after="20" w:before="20" w:line="252" w:lineRule="auto"/>
            </w:pPr>
            <w:r/>
            <w:r>
              <w:rPr>
                <w:rFonts w:ascii="Arial" w:hAnsi="Arial"/>
                <w:b w:val="0"/>
                <w:sz w:val="17"/>
              </w:rPr>
              <w:t>0,82</w:t>
            </w:r>
          </w:p>
        </w:tc>
        <w:tc>
          <w:tcPr>
            <w:tcW w:type="dxa" w:w="1661"/>
            <w:vAlign w:val="center"/>
          </w:tcPr>
          <w:p>
            <w:pPr>
              <w:spacing w:after="20" w:before="20" w:line="252" w:lineRule="auto"/>
            </w:pPr>
            <w:r/>
            <w:r>
              <w:rPr>
                <w:rFonts w:ascii="Arial" w:hAnsi="Arial"/>
                <w:b w:val="0"/>
                <w:sz w:val="17"/>
              </w:rPr>
              <w:t>67</w:t>
            </w:r>
          </w:p>
        </w:tc>
        <w:tc>
          <w:tcPr>
            <w:tcW w:type="dxa" w:w="1107"/>
            <w:vAlign w:val="center"/>
          </w:tcPr>
          <w:p>
            <w:pPr>
              <w:spacing w:after="20" w:before="20" w:line="252" w:lineRule="auto"/>
            </w:pPr>
            <w:r/>
            <w:r>
              <w:rPr>
                <w:rFonts w:ascii="Arial" w:hAnsi="Arial"/>
                <w:b w:val="0"/>
                <w:sz w:val="17"/>
              </w:rPr>
              <w:t>7,0</w:t>
            </w:r>
          </w:p>
        </w:tc>
      </w:tr>
      <w:tr>
        <w:trPr>
          <w:cantSplit/>
        </w:trPr>
        <w:tc>
          <w:tcPr>
            <w:tcW w:type="dxa" w:w="2030"/>
            <w:shd w:val="clear" w:color="auto" w:fill="E6ECFD"/>
            <w:vAlign w:val="center"/>
          </w:tcPr>
          <w:p>
            <w:pPr>
              <w:spacing w:after="20" w:before="20" w:line="252" w:lineRule="auto"/>
            </w:pPr>
            <w:r/>
            <w:r>
              <w:rPr>
                <w:rFonts w:ascii="Arial" w:hAnsi="Arial"/>
                <w:b/>
                <w:sz w:val="17"/>
              </w:rPr>
              <w:t>Lainnya</w:t>
            </w:r>
          </w:p>
        </w:tc>
        <w:tc>
          <w:tcPr>
            <w:tcW w:type="dxa" w:w="1845"/>
            <w:shd w:val="clear" w:color="auto" w:fill="E6ECFD"/>
            <w:vAlign w:val="center"/>
          </w:tcPr>
          <w:p>
            <w:pPr>
              <w:spacing w:after="20" w:before="20" w:line="252" w:lineRule="auto"/>
            </w:pPr>
            <w:r/>
            <w:r>
              <w:rPr>
                <w:rFonts w:ascii="Arial" w:hAnsi="Arial"/>
                <w:b w:val="0"/>
                <w:sz w:val="17"/>
              </w:rPr>
              <w:t>106</w:t>
            </w:r>
          </w:p>
        </w:tc>
        <w:tc>
          <w:tcPr>
            <w:tcW w:type="dxa" w:w="1476"/>
            <w:shd w:val="clear" w:color="auto" w:fill="E6ECFD"/>
            <w:vAlign w:val="center"/>
          </w:tcPr>
          <w:p>
            <w:pPr>
              <w:spacing w:after="20" w:before="20" w:line="252" w:lineRule="auto"/>
            </w:pPr>
            <w:r/>
            <w:r>
              <w:rPr>
                <w:rFonts w:ascii="Arial" w:hAnsi="Arial"/>
                <w:b w:val="0"/>
                <w:sz w:val="17"/>
              </w:rPr>
              <w:t>0,07%</w:t>
            </w:r>
          </w:p>
        </w:tc>
        <w:tc>
          <w:tcPr>
            <w:tcW w:type="dxa" w:w="1292"/>
            <w:shd w:val="clear" w:color="auto" w:fill="E6ECFD"/>
            <w:vAlign w:val="center"/>
          </w:tcPr>
          <w:p>
            <w:pPr>
              <w:spacing w:after="20" w:before="20" w:line="252" w:lineRule="auto"/>
            </w:pPr>
            <w:r/>
            <w:r>
              <w:rPr>
                <w:rFonts w:ascii="Arial" w:hAnsi="Arial"/>
                <w:b w:val="0"/>
                <w:sz w:val="17"/>
              </w:rPr>
              <w:t>0,60</w:t>
            </w:r>
          </w:p>
        </w:tc>
        <w:tc>
          <w:tcPr>
            <w:tcW w:type="dxa" w:w="1661"/>
            <w:shd w:val="clear" w:color="auto" w:fill="E6ECFD"/>
            <w:vAlign w:val="center"/>
          </w:tcPr>
          <w:p>
            <w:pPr>
              <w:spacing w:after="20" w:before="20" w:line="252" w:lineRule="auto"/>
            </w:pPr>
            <w:r/>
            <w:r>
              <w:rPr>
                <w:rFonts w:ascii="Arial" w:hAnsi="Arial"/>
                <w:b w:val="0"/>
                <w:sz w:val="17"/>
              </w:rPr>
              <w:t>270</w:t>
            </w:r>
          </w:p>
        </w:tc>
        <w:tc>
          <w:tcPr>
            <w:tcW w:type="dxa" w:w="1107"/>
            <w:shd w:val="clear" w:color="auto" w:fill="E6ECFD"/>
            <w:vAlign w:val="center"/>
          </w:tcPr>
          <w:p>
            <w:pPr>
              <w:spacing w:after="20" w:before="20" w:line="252" w:lineRule="auto"/>
            </w:pPr>
            <w:r/>
            <w:r>
              <w:rPr>
                <w:rFonts w:ascii="Arial" w:hAnsi="Arial"/>
                <w:b w:val="0"/>
                <w:sz w:val="17"/>
              </w:rPr>
              <w:t>3,0</w:t>
            </w:r>
          </w:p>
        </w:tc>
      </w:tr>
      <w:tr>
        <w:trPr>
          <w:cantSplit/>
        </w:trPr>
        <w:tc>
          <w:tcPr>
            <w:tcW w:type="dxa" w:w="2030"/>
            <w:vAlign w:val="center"/>
          </w:tcPr>
          <w:p>
            <w:pPr>
              <w:spacing w:after="20" w:before="20" w:line="252" w:lineRule="auto"/>
            </w:pPr>
            <w:r/>
            <w:r>
              <w:rPr>
                <w:rFonts w:ascii="Arial" w:hAnsi="Arial"/>
                <w:b/>
                <w:sz w:val="17"/>
              </w:rPr>
              <w:t>('Total', True)</w:t>
            </w:r>
          </w:p>
        </w:tc>
        <w:tc>
          <w:tcPr>
            <w:tcW w:type="dxa" w:w="1845"/>
            <w:vAlign w:val="center"/>
          </w:tcPr>
          <w:p>
            <w:pPr>
              <w:spacing w:after="20" w:before="20" w:line="252" w:lineRule="auto"/>
            </w:pPr>
            <w:r/>
            <w:r>
              <w:rPr>
                <w:rFonts w:ascii="Arial" w:hAnsi="Arial"/>
                <w:b w:val="0"/>
                <w:sz w:val="17"/>
              </w:rPr>
              <w:t>('2.091', True)</w:t>
            </w:r>
          </w:p>
        </w:tc>
        <w:tc>
          <w:tcPr>
            <w:tcW w:type="dxa" w:w="1476"/>
            <w:vAlign w:val="center"/>
          </w:tcPr>
          <w:p>
            <w:pPr>
              <w:spacing w:after="20" w:before="20" w:line="252" w:lineRule="auto"/>
            </w:pPr>
            <w:r/>
            <w:r>
              <w:rPr>
                <w:rFonts w:ascii="Arial" w:hAnsi="Arial"/>
                <w:b w:val="0"/>
                <w:sz w:val="17"/>
              </w:rPr>
              <w:t>('1,55%', True)</w:t>
            </w:r>
          </w:p>
        </w:tc>
        <w:tc>
          <w:tcPr>
            <w:tcW w:type="dxa" w:w="1292"/>
            <w:vAlign w:val="center"/>
          </w:tcPr>
          <w:p>
            <w:pPr>
              <w:spacing w:after="20" w:before="20" w:line="252" w:lineRule="auto"/>
            </w:pPr>
            <w:r/>
            <w:r>
              <w:rPr>
                <w:rFonts w:ascii="Arial" w:hAnsi="Arial"/>
                <w:b w:val="0"/>
                <w:sz w:val="17"/>
              </w:rPr>
              <w:t>('11,41', True)</w:t>
            </w:r>
          </w:p>
        </w:tc>
        <w:tc>
          <w:tcPr>
            <w:tcW w:type="dxa" w:w="1661"/>
            <w:vAlign w:val="center"/>
          </w:tcPr>
          <w:p>
            <w:pPr>
              <w:spacing w:after="20" w:before="20" w:line="252" w:lineRule="auto"/>
            </w:pPr>
            <w:r/>
            <w:r>
              <w:rPr>
                <w:rFonts w:ascii="Arial" w:hAnsi="Arial"/>
                <w:b w:val="0"/>
                <w:sz w:val="17"/>
              </w:rPr>
              <w:t>('976', True)</w:t>
            </w:r>
          </w:p>
        </w:tc>
        <w:tc>
          <w:tcPr>
            <w:tcW w:type="dxa" w:w="1107"/>
            <w:vAlign w:val="center"/>
          </w:tcPr>
          <w:p>
            <w:pPr>
              <w:spacing w:after="20" w:before="20" w:line="252" w:lineRule="auto"/>
            </w:pPr>
            <w:r/>
            <w:r>
              <w:rPr>
                <w:rFonts w:ascii="Arial" w:hAnsi="Arial"/>
                <w:b w:val="0"/>
                <w:sz w:val="17"/>
              </w:rPr>
              <w:t>('38,8', True)</w:t>
            </w:r>
          </w:p>
        </w:tc>
      </w:tr>
    </w:tbl>
    <w:p>
      <w:pPr>
        <w:spacing w:after="160"/>
      </w:pPr>
      <w:r>
        <w:rPr>
          <w:rFonts w:ascii="Arial" w:hAnsi="Arial"/>
          <w:b w:val="0"/>
          <w:i/>
          <w:color w:val="051C5C"/>
          <w:sz w:val="17"/>
        </w:rPr>
        <w:t>Sumber: [K, Bab 5.7, Tabel 20 dan 22]; angka bruto, belum dikurangi efek pengalihan. Total puncak tahun berbeda per klaster.</w:t>
      </w:r>
    </w:p>
    <w:p>
      <w:pPr>
        <w:jc w:val="both"/>
      </w:pPr>
      <w:r>
        <w:rPr>
          <w:rFonts w:ascii="Arial" w:hAnsi="Arial"/>
          <w:b w:val="0"/>
        </w:rPr>
        <w:t xml:space="preserve">Pelajaran bagi manajemen proyek ada pada tiga catatan model. Pertama, pekerjaan bruto tidak sama dengan pekerjaan baru: Indonesia memiliki sekitar 10,7 juta setengah penganggur dan sekitar 1,9 juta pendatang baru angkatan kerja per tahun. Kedua, investasi turun dari sekitar Rp409 triliun (2031) menjadi Rp87 triliun (2032) karena hampir semua linimasa proyek berakhir 2031, sehingga pertumbuhan 2032 sekitar 0,7 poin lebih rendah; ini adalah </w:t>
      </w:r>
      <w:r>
        <w:rPr>
          <w:rFonts w:ascii="Arial" w:hAnsi="Arial"/>
          <w:b/>
        </w:rPr>
        <w:t>risiko portofolio jadwal</w:t>
      </w:r>
      <w:r>
        <w:rPr>
          <w:rFonts w:ascii="Arial" w:hAnsi="Arial"/>
          <w:b w:val="0"/>
        </w:rPr>
        <w:t>, bukan hanya risiko proyek: perlu pipeline penerus sejak 2030. Ketiga, target pertumbuhan 8% bergantung pada efisiensi investasi (ICOR) dan reformasi di luar kendali Danantara; yang berada dalam kendalinya adalah ICOR proyek, biaya per satuan kapasitas, dan kandungan domestik [K, Bab 5.7].</w:t>
      </w:r>
    </w:p>
    <w:p>
      <w:pPr>
        <w:keepNext/>
        <w:spacing w:after="60"/>
      </w:pPr>
      <w:r>
        <w:rPr>
          <w:rFonts w:ascii="Arial" w:hAnsi="Arial"/>
          <w:b/>
          <w:color w:val="051C5C"/>
          <w:sz w:val="19"/>
        </w:rPr>
        <w:t xml:space="preserve">Tabel 34: </w:t>
      </w:r>
      <w:r>
        <w:rPr>
          <w:rFonts w:ascii="Arial" w:hAnsi="Arial"/>
          <w:color w:val="051C5C"/>
          <w:sz w:val="19"/>
        </w:rPr>
        <w:t>Pertumbuhan, investasi, dan ICOR: tiga skenario menuju 8% pada 2029</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2353"/>
        <w:gridCol w:w="2353"/>
        <w:gridCol w:w="2353"/>
        <w:gridCol w:w="2353"/>
      </w:tblGrid>
      <w:tr>
        <w:trPr>
          <w:cantSplit/>
          <w:tblHeader/>
        </w:trPr>
        <w:tc>
          <w:tcPr>
            <w:tcW w:type="dxa" w:w="2881"/>
            <w:shd w:val="clear" w:color="auto" w:fill="2251FF"/>
            <w:vAlign w:val="center"/>
          </w:tcPr>
          <w:p>
            <w:pPr>
              <w:spacing w:after="20" w:before="20" w:line="252" w:lineRule="auto"/>
            </w:pPr>
            <w:r/>
          </w:p>
        </w:tc>
        <w:tc>
          <w:tcPr>
            <w:tcW w:type="dxa" w:w="2113"/>
            <w:shd w:val="clear" w:color="auto" w:fill="2251FF"/>
            <w:vAlign w:val="center"/>
          </w:tcPr>
          <w:p>
            <w:pPr>
              <w:spacing w:after="20" w:before="20" w:line="252" w:lineRule="auto"/>
            </w:pPr>
            <w:r/>
            <w:r>
              <w:rPr>
                <w:rFonts w:ascii="Arial" w:hAnsi="Arial"/>
                <w:b/>
                <w:color w:val="FFFFFF"/>
                <w:sz w:val="17"/>
              </w:rPr>
              <w:t>S1 Efisiensi lebih dulu</w:t>
            </w:r>
          </w:p>
        </w:tc>
        <w:tc>
          <w:tcPr>
            <w:tcW w:type="dxa" w:w="2113"/>
            <w:shd w:val="clear" w:color="auto" w:fill="2251FF"/>
            <w:vAlign w:val="center"/>
          </w:tcPr>
          <w:p>
            <w:pPr>
              <w:spacing w:after="20" w:before="20" w:line="252" w:lineRule="auto"/>
            </w:pPr>
            <w:r/>
            <w:r>
              <w:rPr>
                <w:rFonts w:ascii="Arial" w:hAnsi="Arial"/>
                <w:b/>
                <w:color w:val="FFFFFF"/>
                <w:sz w:val="17"/>
              </w:rPr>
              <w:t>S2 Dorongan besar</w:t>
            </w:r>
          </w:p>
        </w:tc>
        <w:tc>
          <w:tcPr>
            <w:tcW w:type="dxa" w:w="2305"/>
            <w:shd w:val="clear" w:color="auto" w:fill="2251FF"/>
            <w:vAlign w:val="center"/>
          </w:tcPr>
          <w:p>
            <w:pPr>
              <w:spacing w:after="20" w:before="20" w:line="252" w:lineRule="auto"/>
            </w:pPr>
            <w:r/>
            <w:r>
              <w:rPr>
                <w:rFonts w:ascii="Arial" w:hAnsi="Arial"/>
                <w:b/>
                <w:color w:val="FFFFFF"/>
                <w:sz w:val="17"/>
              </w:rPr>
              <w:t>S3 Lompatan industri dan ekspor</w:t>
            </w:r>
          </w:p>
        </w:tc>
      </w:tr>
      <w:tr>
        <w:trPr>
          <w:cantSplit/>
        </w:trPr>
        <w:tc>
          <w:tcPr>
            <w:tcW w:type="dxa" w:w="2881"/>
            <w:vAlign w:val="center"/>
          </w:tcPr>
          <w:p>
            <w:pPr>
              <w:spacing w:after="20" w:before="20" w:line="252" w:lineRule="auto"/>
            </w:pPr>
            <w:r/>
            <w:r>
              <w:rPr>
                <w:rFonts w:ascii="Arial" w:hAnsi="Arial"/>
                <w:b/>
                <w:sz w:val="17"/>
              </w:rPr>
              <w:t>Investasi, % PDB (2029)</w:t>
            </w:r>
          </w:p>
        </w:tc>
        <w:tc>
          <w:tcPr>
            <w:tcW w:type="dxa" w:w="2113"/>
            <w:vAlign w:val="center"/>
          </w:tcPr>
          <w:p>
            <w:pPr>
              <w:spacing w:after="20" w:before="20" w:line="252" w:lineRule="auto"/>
            </w:pPr>
            <w:r/>
            <w:r>
              <w:rPr>
                <w:rFonts w:ascii="Arial" w:hAnsi="Arial"/>
                <w:b w:val="0"/>
                <w:sz w:val="17"/>
              </w:rPr>
              <w:t>31,5</w:t>
            </w:r>
          </w:p>
        </w:tc>
        <w:tc>
          <w:tcPr>
            <w:tcW w:type="dxa" w:w="2113"/>
            <w:vAlign w:val="center"/>
          </w:tcPr>
          <w:p>
            <w:pPr>
              <w:spacing w:after="20" w:before="20" w:line="252" w:lineRule="auto"/>
            </w:pPr>
            <w:r/>
            <w:r>
              <w:rPr>
                <w:rFonts w:ascii="Arial" w:hAnsi="Arial"/>
                <w:b w:val="0"/>
                <w:sz w:val="17"/>
              </w:rPr>
              <w:t>38,5</w:t>
            </w:r>
          </w:p>
        </w:tc>
        <w:tc>
          <w:tcPr>
            <w:tcW w:type="dxa" w:w="2305"/>
            <w:vAlign w:val="center"/>
          </w:tcPr>
          <w:p>
            <w:pPr>
              <w:spacing w:after="20" w:before="20" w:line="252" w:lineRule="auto"/>
            </w:pPr>
            <w:r/>
            <w:r>
              <w:rPr>
                <w:rFonts w:ascii="Arial" w:hAnsi="Arial"/>
                <w:b w:val="0"/>
                <w:sz w:val="17"/>
              </w:rPr>
              <w:t>34,5</w:t>
            </w:r>
          </w:p>
        </w:tc>
      </w:tr>
      <w:tr>
        <w:trPr>
          <w:cantSplit/>
        </w:trPr>
        <w:tc>
          <w:tcPr>
            <w:tcW w:type="dxa" w:w="2881"/>
            <w:shd w:val="clear" w:color="auto" w:fill="E6ECFD"/>
            <w:vAlign w:val="center"/>
          </w:tcPr>
          <w:p>
            <w:pPr>
              <w:spacing w:after="20" w:before="20" w:line="252" w:lineRule="auto"/>
            </w:pPr>
            <w:r/>
            <w:r>
              <w:rPr>
                <w:rFonts w:ascii="Arial" w:hAnsi="Arial"/>
                <w:b/>
                <w:sz w:val="17"/>
              </w:rPr>
              <w:t>ICOR (2029)</w:t>
            </w:r>
          </w:p>
        </w:tc>
        <w:tc>
          <w:tcPr>
            <w:tcW w:type="dxa" w:w="2113"/>
            <w:shd w:val="clear" w:color="auto" w:fill="E6ECFD"/>
            <w:vAlign w:val="center"/>
          </w:tcPr>
          <w:p>
            <w:pPr>
              <w:spacing w:after="20" w:before="20" w:line="252" w:lineRule="auto"/>
            </w:pPr>
            <w:r/>
            <w:r>
              <w:rPr>
                <w:rFonts w:ascii="Arial" w:hAnsi="Arial"/>
                <w:b w:val="0"/>
                <w:sz w:val="17"/>
              </w:rPr>
              <w:t>3,95</w:t>
            </w:r>
          </w:p>
        </w:tc>
        <w:tc>
          <w:tcPr>
            <w:tcW w:type="dxa" w:w="2113"/>
            <w:shd w:val="clear" w:color="auto" w:fill="E6ECFD"/>
            <w:vAlign w:val="center"/>
          </w:tcPr>
          <w:p>
            <w:pPr>
              <w:spacing w:after="20" w:before="20" w:line="252" w:lineRule="auto"/>
            </w:pPr>
            <w:r/>
            <w:r>
              <w:rPr>
                <w:rFonts w:ascii="Arial" w:hAnsi="Arial"/>
                <w:b w:val="0"/>
                <w:sz w:val="17"/>
              </w:rPr>
              <w:t>4,8</w:t>
            </w:r>
          </w:p>
        </w:tc>
        <w:tc>
          <w:tcPr>
            <w:tcW w:type="dxa" w:w="2305"/>
            <w:shd w:val="clear" w:color="auto" w:fill="E6ECFD"/>
            <w:vAlign w:val="center"/>
          </w:tcPr>
          <w:p>
            <w:pPr>
              <w:spacing w:after="20" w:before="20" w:line="252" w:lineRule="auto"/>
            </w:pPr>
            <w:r/>
            <w:r>
              <w:rPr>
                <w:rFonts w:ascii="Arial" w:hAnsi="Arial"/>
                <w:b w:val="0"/>
                <w:sz w:val="17"/>
              </w:rPr>
              <w:t>4,3</w:t>
            </w:r>
          </w:p>
        </w:tc>
      </w:tr>
      <w:tr>
        <w:trPr>
          <w:cantSplit/>
        </w:trPr>
        <w:tc>
          <w:tcPr>
            <w:tcW w:type="dxa" w:w="2881"/>
            <w:vAlign w:val="center"/>
          </w:tcPr>
          <w:p>
            <w:pPr>
              <w:spacing w:after="20" w:before="20" w:line="252" w:lineRule="auto"/>
            </w:pPr>
            <w:r/>
            <w:r>
              <w:rPr>
                <w:rFonts w:ascii="Arial" w:hAnsi="Arial"/>
                <w:b/>
                <w:sz w:val="17"/>
              </w:rPr>
              <w:t>Tambahan investasi per tahun (2029)</w:t>
            </w:r>
          </w:p>
        </w:tc>
        <w:tc>
          <w:tcPr>
            <w:tcW w:type="dxa" w:w="2113"/>
            <w:vAlign w:val="center"/>
          </w:tcPr>
          <w:p>
            <w:pPr>
              <w:spacing w:after="20" w:before="20" w:line="252" w:lineRule="auto"/>
            </w:pPr>
            <w:r/>
            <w:r>
              <w:rPr>
                <w:rFonts w:ascii="Arial" w:hAnsi="Arial"/>
                <w:b w:val="0"/>
                <w:sz w:val="17"/>
              </w:rPr>
              <w:t>Rp834 T (US$47 M)</w:t>
            </w:r>
          </w:p>
        </w:tc>
        <w:tc>
          <w:tcPr>
            <w:tcW w:type="dxa" w:w="2113"/>
            <w:vAlign w:val="center"/>
          </w:tcPr>
          <w:p>
            <w:pPr>
              <w:spacing w:after="20" w:before="20" w:line="252" w:lineRule="auto"/>
            </w:pPr>
            <w:r/>
            <w:r>
              <w:rPr>
                <w:rFonts w:ascii="Arial" w:hAnsi="Arial"/>
                <w:b w:val="0"/>
                <w:sz w:val="17"/>
              </w:rPr>
              <w:t>Rp3.058 T (US$172 M)</w:t>
            </w:r>
          </w:p>
        </w:tc>
        <w:tc>
          <w:tcPr>
            <w:tcW w:type="dxa" w:w="2305"/>
            <w:vAlign w:val="center"/>
          </w:tcPr>
          <w:p>
            <w:pPr>
              <w:spacing w:after="20" w:before="20" w:line="252" w:lineRule="auto"/>
            </w:pPr>
            <w:r/>
            <w:r>
              <w:rPr>
                <w:rFonts w:ascii="Arial" w:hAnsi="Arial"/>
                <w:b w:val="0"/>
                <w:sz w:val="17"/>
              </w:rPr>
              <w:t>Rp1.765 T (US$99 M)</w:t>
            </w:r>
          </w:p>
        </w:tc>
      </w:tr>
      <w:tr>
        <w:trPr>
          <w:cantSplit/>
        </w:trPr>
        <w:tc>
          <w:tcPr>
            <w:tcW w:type="dxa" w:w="2881"/>
            <w:shd w:val="clear" w:color="auto" w:fill="E6ECFD"/>
            <w:vAlign w:val="center"/>
          </w:tcPr>
          <w:p>
            <w:pPr>
              <w:spacing w:after="20" w:before="20" w:line="252" w:lineRule="auto"/>
            </w:pPr>
            <w:r/>
            <w:r>
              <w:rPr>
                <w:rFonts w:ascii="Arial" w:hAnsi="Arial"/>
                <w:b/>
                <w:sz w:val="17"/>
              </w:rPr>
              <w:t>Transaksi berjalan 2029</w:t>
            </w:r>
          </w:p>
        </w:tc>
        <w:tc>
          <w:tcPr>
            <w:tcW w:type="dxa" w:w="2113"/>
            <w:shd w:val="clear" w:color="auto" w:fill="E6ECFD"/>
            <w:vAlign w:val="center"/>
          </w:tcPr>
          <w:p>
            <w:pPr>
              <w:spacing w:after="20" w:before="20" w:line="252" w:lineRule="auto"/>
            </w:pPr>
            <w:r/>
            <w:r>
              <w:rPr>
                <w:rFonts w:ascii="Arial" w:hAnsi="Arial"/>
                <w:b w:val="0"/>
                <w:sz w:val="17"/>
              </w:rPr>
              <w:t>−1,3% PDB</w:t>
            </w:r>
          </w:p>
        </w:tc>
        <w:tc>
          <w:tcPr>
            <w:tcW w:type="dxa" w:w="2113"/>
            <w:shd w:val="clear" w:color="auto" w:fill="E6ECFD"/>
            <w:vAlign w:val="center"/>
          </w:tcPr>
          <w:p>
            <w:pPr>
              <w:spacing w:after="20" w:before="20" w:line="252" w:lineRule="auto"/>
            </w:pPr>
            <w:r/>
            <w:r>
              <w:rPr>
                <w:rFonts w:ascii="Arial" w:hAnsi="Arial"/>
                <w:b w:val="0"/>
                <w:sz w:val="17"/>
              </w:rPr>
              <w:t>−3,8% PDB</w:t>
            </w:r>
          </w:p>
        </w:tc>
        <w:tc>
          <w:tcPr>
            <w:tcW w:type="dxa" w:w="2305"/>
            <w:shd w:val="clear" w:color="auto" w:fill="E6ECFD"/>
            <w:vAlign w:val="center"/>
          </w:tcPr>
          <w:p>
            <w:pPr>
              <w:spacing w:after="20" w:before="20" w:line="252" w:lineRule="auto"/>
            </w:pPr>
            <w:r/>
            <w:r>
              <w:rPr>
                <w:rFonts w:ascii="Arial" w:hAnsi="Arial"/>
                <w:b w:val="0"/>
                <w:sz w:val="17"/>
              </w:rPr>
              <w:t>−1,8% PDB</w:t>
            </w:r>
          </w:p>
        </w:tc>
      </w:tr>
      <w:tr>
        <w:trPr>
          <w:cantSplit/>
        </w:trPr>
        <w:tc>
          <w:tcPr>
            <w:tcW w:type="dxa" w:w="2881"/>
            <w:vAlign w:val="center"/>
          </w:tcPr>
          <w:p>
            <w:pPr>
              <w:spacing w:after="20" w:before="20" w:line="252" w:lineRule="auto"/>
            </w:pPr>
            <w:r/>
            <w:r>
              <w:rPr>
                <w:rFonts w:ascii="Arial" w:hAnsi="Arial"/>
                <w:b/>
                <w:sz w:val="17"/>
              </w:rPr>
              <w:t>Asumsi terberat</w:t>
            </w:r>
          </w:p>
        </w:tc>
        <w:tc>
          <w:tcPr>
            <w:tcW w:type="dxa" w:w="2113"/>
            <w:vAlign w:val="center"/>
          </w:tcPr>
          <w:p>
            <w:pPr>
              <w:spacing w:after="20" w:before="20" w:line="252" w:lineRule="auto"/>
            </w:pPr>
            <w:r/>
            <w:r>
              <w:rPr>
                <w:rFonts w:ascii="Arial" w:hAnsi="Arial"/>
                <w:b w:val="0"/>
                <w:sz w:val="17"/>
              </w:rPr>
              <w:t>ICOR 3,95 dalam empat tahun</w:t>
            </w:r>
          </w:p>
        </w:tc>
        <w:tc>
          <w:tcPr>
            <w:tcW w:type="dxa" w:w="2113"/>
            <w:vAlign w:val="center"/>
          </w:tcPr>
          <w:p>
            <w:pPr>
              <w:spacing w:after="20" w:before="20" w:line="252" w:lineRule="auto"/>
            </w:pPr>
            <w:r/>
            <w:r>
              <w:rPr>
                <w:rFonts w:ascii="Arial" w:hAnsi="Arial"/>
                <w:b w:val="0"/>
                <w:sz w:val="17"/>
              </w:rPr>
              <w:t>Investasi tumbuh 15% per tahun</w:t>
            </w:r>
          </w:p>
        </w:tc>
        <w:tc>
          <w:tcPr>
            <w:tcW w:type="dxa" w:w="2305"/>
            <w:vAlign w:val="center"/>
          </w:tcPr>
          <w:p>
            <w:pPr>
              <w:spacing w:after="20" w:before="20" w:line="252" w:lineRule="auto"/>
            </w:pPr>
            <w:r/>
            <w:r>
              <w:rPr>
                <w:rFonts w:ascii="Arial" w:hAnsi="Arial"/>
                <w:b w:val="0"/>
                <w:sz w:val="17"/>
              </w:rPr>
              <w:t>Industri pengolahan tumbuh 11,5% per tahun</w:t>
            </w:r>
          </w:p>
        </w:tc>
      </w:tr>
      <w:tr>
        <w:trPr>
          <w:cantSplit/>
        </w:trPr>
        <w:tc>
          <w:tcPr>
            <w:tcW w:type="dxa" w:w="2881"/>
            <w:shd w:val="clear" w:color="auto" w:fill="E6ECFD"/>
            <w:vAlign w:val="center"/>
          </w:tcPr>
          <w:p>
            <w:pPr>
              <w:spacing w:after="20" w:before="20" w:line="252" w:lineRule="auto"/>
            </w:pPr>
            <w:r/>
            <w:r>
              <w:rPr>
                <w:rFonts w:ascii="Arial" w:hAnsi="Arial"/>
                <w:b/>
                <w:sz w:val="17"/>
              </w:rPr>
              <w:t>Risiko utama</w:t>
            </w:r>
          </w:p>
        </w:tc>
        <w:tc>
          <w:tcPr>
            <w:tcW w:type="dxa" w:w="2113"/>
            <w:shd w:val="clear" w:color="auto" w:fill="E6ECFD"/>
            <w:vAlign w:val="center"/>
          </w:tcPr>
          <w:p>
            <w:pPr>
              <w:spacing w:after="20" w:before="20" w:line="252" w:lineRule="auto"/>
            </w:pPr>
            <w:r/>
            <w:r>
              <w:rPr>
                <w:rFonts w:ascii="Arial" w:hAnsi="Arial"/>
                <w:b w:val="0"/>
                <w:sz w:val="17"/>
              </w:rPr>
              <w:t>Politik reformasi</w:t>
            </w:r>
          </w:p>
        </w:tc>
        <w:tc>
          <w:tcPr>
            <w:tcW w:type="dxa" w:w="2113"/>
            <w:shd w:val="clear" w:color="auto" w:fill="E6ECFD"/>
            <w:vAlign w:val="center"/>
          </w:tcPr>
          <w:p>
            <w:pPr>
              <w:spacing w:after="20" w:before="20" w:line="252" w:lineRule="auto"/>
            </w:pPr>
            <w:r/>
            <w:r>
              <w:rPr>
                <w:rFonts w:ascii="Arial" w:hAnsi="Arial"/>
                <w:b w:val="0"/>
                <w:sz w:val="17"/>
              </w:rPr>
              <w:t>Neraca pembayaran</w:t>
            </w:r>
          </w:p>
        </w:tc>
        <w:tc>
          <w:tcPr>
            <w:tcW w:type="dxa" w:w="2305"/>
            <w:shd w:val="clear" w:color="auto" w:fill="E6ECFD"/>
            <w:vAlign w:val="center"/>
          </w:tcPr>
          <w:p>
            <w:pPr>
              <w:spacing w:after="20" w:before="20" w:line="252" w:lineRule="auto"/>
            </w:pPr>
            <w:r/>
            <w:r>
              <w:rPr>
                <w:rFonts w:ascii="Arial" w:hAnsi="Arial"/>
                <w:b w:val="0"/>
                <w:sz w:val="17"/>
              </w:rPr>
              <w:t>Pasar global</w:t>
            </w:r>
          </w:p>
        </w:tc>
      </w:tr>
    </w:tbl>
    <w:p>
      <w:pPr>
        <w:spacing w:after="160"/>
      </w:pPr>
      <w:r>
        <w:rPr>
          <w:rFonts w:ascii="Arial" w:hAnsi="Arial"/>
          <w:b w:val="0"/>
          <w:i/>
          <w:color w:val="051C5C"/>
          <w:sz w:val="17"/>
        </w:rPr>
        <w:t>Sumber: [K, Bab 5.7, Tabel 25]; skenario ilustratif, bukan proyeksi.</w:t>
      </w:r>
    </w:p>
    <w:tbl>
      <w:tblPr>
        <w:tblW w:type="auto" w:w="0"/>
        <w:jc w:val="center"/>
        <w:tblLook w:firstColumn="1" w:firstRow="1" w:lastColumn="0" w:lastRow="0" w:noHBand="0" w:noVBand="1" w:val="04A0"/>
      </w:tblPr>
      <w:tblGrid>
        <w:gridCol w:w="9412"/>
      </w:tblGrid>
      <w:tr>
        <w:tc>
          <w:tcPr>
            <w:tcW w:type="dxa" w:w="9412"/>
            <w:tcBorders>
              <w:left w:val="single" w:sz="36" w:color="2251FF"/>
            </w:tcBorders>
            <w:shd w:val="clear" w:color="auto" w:fill="E6ECFD"/>
          </w:tcPr>
          <w:p>
            <w:pPr>
              <w:spacing w:after="40"/>
            </w:pPr>
            <w:r/>
            <w:r>
              <w:rPr>
                <w:rFonts w:ascii="Arial" w:hAnsi="Arial"/>
                <w:b/>
                <w:color w:val="051C5C"/>
                <w:sz w:val="21"/>
              </w:rPr>
              <w:t>Implikasi untuk project controls</w:t>
            </w:r>
          </w:p>
          <w:p>
            <w:pPr>
              <w:spacing w:after="40"/>
            </w:pPr>
            <w:r>
              <w:rPr>
                <w:rFonts w:ascii="Arial" w:hAnsi="Arial"/>
                <w:b w:val="0"/>
                <w:sz w:val="20"/>
              </w:rPr>
              <w:t xml:space="preserve">Pertumbuhan kira-kira sama dengan rasio investasi terhadap PDB dibagi ICOR (28,8% ÷ 5,6 ≈ 5,1% pada 2025). Jalur yang direkomendasikan dokumen sumber memadukan investasi sekitar 33,5% PDB dan ICOR sekitar 4,2 (33,5 ÷ 4,2 ≈ 8,0). Bagi Danantara, </w:t>
            </w:r>
            <w:r>
              <w:rPr>
                <w:rFonts w:ascii="Arial" w:hAnsi="Arial"/>
                <w:b/>
                <w:sz w:val="20"/>
              </w:rPr>
              <w:t>ICOR proyek</w:t>
            </w:r>
            <w:r>
              <w:rPr>
                <w:rFonts w:ascii="Arial" w:hAnsi="Arial"/>
                <w:b w:val="0"/>
                <w:sz w:val="20"/>
              </w:rPr>
              <w:t xml:space="preserve"> (biaya modal per unit tambahan output) menjadi indikator pengendalian proyek yang menghubungkan efisiensi proyek dengan sasaran makro; ia harus diukur sejak studi kelayakan dan diperbarui pada setiap gerbang [K, Bab 14.7].</w:t>
            </w:r>
          </w:p>
        </w:tc>
      </w:tr>
    </w:tbl>
    <w:p>
      <w:pPr>
        <w:spacing w:after="40"/>
      </w:pPr>
    </w:p>
    <w:p>
      <w:r>
        <w:br w:type="page"/>
      </w:r>
    </w:p>
    <w:p>
      <w:pPr>
        <w:pStyle w:val="Heading1"/>
      </w:pPr>
      <w:r>
        <w:t>13  Pengukuran kinerja, pelaporan, dan data</w:t>
      </w:r>
    </w:p>
    <w:p>
      <w:pPr>
        <w:pStyle w:val="Heading2"/>
      </w:pPr>
      <w:r>
        <w:t>13.1  Prinsip pengukuran</w:t>
      </w:r>
    </w:p>
    <w:p>
      <w:pPr>
        <w:jc w:val="both"/>
      </w:pPr>
      <w:r>
        <w:rPr>
          <w:rFonts w:ascii="Arial" w:hAnsi="Arial"/>
          <w:b w:val="0"/>
        </w:rPr>
        <w:t>Indikator kinerja yang baik memenuhi syarat: terkait tujuan, dapat diukur dengan data yang tersedia, memiliki definisi dan pemilik, dan memicu tindakan. Indikator terbagi atas indikator tertinggal (hasil: biaya akhir, manfaat) dan indikator pendahulu (CPI/SPI, kemajuan gerbang, umur hambatan). Kerangka Balanced Scorecard (Kaplan dan Norton, 1996) mengingatkan keseimbangan perspektif keuangan, pelanggan atau pemangku kepentingan, proses internal, dan pembelajaran. Pada portofolio publik, ada pula tuntutan kehati-hatian: apa yang tidak dapat diukur tidak boleh dianggap nol atau gagal.</w:t>
      </w:r>
    </w:p>
    <w:p>
      <w:pPr>
        <w:pStyle w:val="Heading2"/>
      </w:pPr>
      <w:r>
        <w:t>13.2  Arsitektur tiga scorecard Danantara</w:t>
      </w:r>
    </w:p>
    <w:p>
      <w:pPr>
        <w:jc w:val="both"/>
      </w:pPr>
      <w:r>
        <w:rPr>
          <w:rFonts w:ascii="Arial" w:hAnsi="Arial"/>
          <w:b w:val="0"/>
        </w:rPr>
        <w:t>Kajian mengadopsi tiga scorecard yang saling terkait dari evaluasi kinerja: Investasi (I01–I12; bobot awal 40%), Operasi BUMN (O01–O15; 35%), dan Pembangunan ekonomi dan industri (D01–D12; 25%), ditambah gerbang tata kelola dengan enam pengendalian yang bersifat lulus atau gagal. Aturan penilaian: setiap metrik memiliki jangkar buruk, target, dan stretch dengan skor 0, 80, dan 100 dengan interpolasi linear yang dibatasi 0–100; paling sedikit 80% bobot metrik yang berlaku harus dapat dinilai pada setiap aliran; metrik yang tidak tersedia tetap NR, tidak pernah nol; hanya bukti kelas A atau B dengan cakupan yang sebanding yang layak dinilai [K, Bab 14.1].</w:t>
      </w:r>
    </w:p>
    <w:p>
      <w:pPr>
        <w:keepNext/>
        <w:spacing w:after="60"/>
      </w:pPr>
      <w:r>
        <w:rPr>
          <w:rFonts w:ascii="Arial" w:hAnsi="Arial"/>
          <w:b/>
          <w:color w:val="051C5C"/>
          <w:sz w:val="19"/>
        </w:rPr>
        <w:t xml:space="preserve">Tabel 35: </w:t>
      </w:r>
      <w:r>
        <w:rPr>
          <w:rFonts w:ascii="Arial" w:hAnsi="Arial"/>
          <w:color w:val="051C5C"/>
          <w:sz w:val="19"/>
        </w:rPr>
        <w:t>Metrik yang relevan dengan pelaksanaan proyek</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2353"/>
        <w:gridCol w:w="2353"/>
        <w:gridCol w:w="2353"/>
        <w:gridCol w:w="2353"/>
      </w:tblGrid>
      <w:tr>
        <w:trPr>
          <w:cantSplit/>
          <w:tblHeader/>
        </w:trPr>
        <w:tc>
          <w:tcPr>
            <w:tcW w:type="dxa" w:w="941"/>
            <w:shd w:val="clear" w:color="auto" w:fill="2251FF"/>
            <w:vAlign w:val="center"/>
          </w:tcPr>
          <w:p>
            <w:pPr>
              <w:spacing w:after="20" w:before="20" w:line="252" w:lineRule="auto"/>
            </w:pPr>
            <w:r/>
            <w:r>
              <w:rPr>
                <w:rFonts w:ascii="Arial" w:hAnsi="Arial"/>
                <w:b/>
                <w:color w:val="FFFFFF"/>
                <w:sz w:val="16"/>
              </w:rPr>
              <w:t>Kode</w:t>
            </w:r>
          </w:p>
        </w:tc>
        <w:tc>
          <w:tcPr>
            <w:tcW w:type="dxa" w:w="2259"/>
            <w:shd w:val="clear" w:color="auto" w:fill="2251FF"/>
            <w:vAlign w:val="center"/>
          </w:tcPr>
          <w:p>
            <w:pPr>
              <w:spacing w:after="20" w:before="20" w:line="252" w:lineRule="auto"/>
            </w:pPr>
            <w:r/>
            <w:r>
              <w:rPr>
                <w:rFonts w:ascii="Arial" w:hAnsi="Arial"/>
                <w:b/>
                <w:color w:val="FFFFFF"/>
                <w:sz w:val="16"/>
              </w:rPr>
              <w:t>Metrik</w:t>
            </w:r>
          </w:p>
        </w:tc>
        <w:tc>
          <w:tcPr>
            <w:tcW w:type="dxa" w:w="3576"/>
            <w:shd w:val="clear" w:color="auto" w:fill="2251FF"/>
            <w:vAlign w:val="center"/>
          </w:tcPr>
          <w:p>
            <w:pPr>
              <w:spacing w:after="20" w:before="20" w:line="252" w:lineRule="auto"/>
            </w:pPr>
            <w:r/>
            <w:r>
              <w:rPr>
                <w:rFonts w:ascii="Arial" w:hAnsi="Arial"/>
                <w:b/>
                <w:color w:val="FFFFFF"/>
                <w:sz w:val="16"/>
              </w:rPr>
              <w:t>Definisi singkat</w:t>
            </w:r>
          </w:p>
        </w:tc>
        <w:tc>
          <w:tcPr>
            <w:tcW w:type="dxa" w:w="2635"/>
            <w:shd w:val="clear" w:color="auto" w:fill="2251FF"/>
            <w:vAlign w:val="center"/>
          </w:tcPr>
          <w:p>
            <w:pPr>
              <w:spacing w:after="20" w:before="20" w:line="252" w:lineRule="auto"/>
            </w:pPr>
            <w:r/>
            <w:r>
              <w:rPr>
                <w:rFonts w:ascii="Arial" w:hAnsi="Arial"/>
                <w:b/>
                <w:color w:val="FFFFFF"/>
                <w:sz w:val="16"/>
              </w:rPr>
              <w:t>Catatan baseline</w:t>
            </w:r>
          </w:p>
        </w:tc>
      </w:tr>
      <w:tr>
        <w:trPr>
          <w:cantSplit/>
        </w:trPr>
        <w:tc>
          <w:tcPr>
            <w:tcW w:type="dxa" w:w="941"/>
            <w:vAlign w:val="center"/>
          </w:tcPr>
          <w:p>
            <w:pPr>
              <w:spacing w:after="20" w:before="20" w:line="252" w:lineRule="auto"/>
            </w:pPr>
            <w:r/>
            <w:r>
              <w:rPr>
                <w:rFonts w:ascii="Arial" w:hAnsi="Arial"/>
                <w:b/>
                <w:sz w:val="16"/>
              </w:rPr>
              <w:t>D08</w:t>
            </w:r>
          </w:p>
        </w:tc>
        <w:tc>
          <w:tcPr>
            <w:tcW w:type="dxa" w:w="2259"/>
            <w:vAlign w:val="center"/>
          </w:tcPr>
          <w:p>
            <w:pPr>
              <w:spacing w:after="20" w:before="20" w:line="252" w:lineRule="auto"/>
            </w:pPr>
            <w:r/>
            <w:r>
              <w:rPr>
                <w:rFonts w:ascii="Arial" w:hAnsi="Arial"/>
                <w:b w:val="0"/>
                <w:sz w:val="16"/>
              </w:rPr>
              <w:t>Komisioning tepat waktu dan tepat anggaran</w:t>
            </w:r>
          </w:p>
        </w:tc>
        <w:tc>
          <w:tcPr>
            <w:tcW w:type="dxa" w:w="3576"/>
            <w:vAlign w:val="center"/>
          </w:tcPr>
          <w:p>
            <w:pPr>
              <w:spacing w:after="20" w:before="20" w:line="252" w:lineRule="auto"/>
            </w:pPr>
            <w:r/>
            <w:r>
              <w:rPr>
                <w:rFonts w:ascii="Arial" w:hAnsi="Arial"/>
                <w:b w:val="0"/>
                <w:sz w:val="16"/>
              </w:rPr>
              <w:t>Kapasitas tertimbang modal yang memenuhi biaya dan tanggal semula dibagi kapasitas yang jatuh tempo</w:t>
            </w:r>
          </w:p>
        </w:tc>
        <w:tc>
          <w:tcPr>
            <w:tcW w:type="dxa" w:w="2635"/>
            <w:vAlign w:val="center"/>
          </w:tcPr>
          <w:p>
            <w:pPr>
              <w:spacing w:after="20" w:before="20" w:line="252" w:lineRule="auto"/>
            </w:pPr>
            <w:r/>
            <w:r>
              <w:rPr>
                <w:rFonts w:ascii="Arial" w:hAnsi="Arial"/>
                <w:b w:val="0"/>
                <w:sz w:val="16"/>
              </w:rPr>
              <w:t>Penetapan ulang baseline tidak dapat menghapus keterlambatan</w:t>
            </w:r>
          </w:p>
        </w:tc>
      </w:tr>
      <w:tr>
        <w:trPr>
          <w:cantSplit/>
        </w:trPr>
        <w:tc>
          <w:tcPr>
            <w:tcW w:type="dxa" w:w="941"/>
            <w:shd w:val="clear" w:color="auto" w:fill="E6ECFD"/>
            <w:vAlign w:val="center"/>
          </w:tcPr>
          <w:p>
            <w:pPr>
              <w:spacing w:after="20" w:before="20" w:line="252" w:lineRule="auto"/>
            </w:pPr>
            <w:r/>
            <w:r>
              <w:rPr>
                <w:rFonts w:ascii="Arial" w:hAnsi="Arial"/>
                <w:b/>
                <w:sz w:val="16"/>
              </w:rPr>
              <w:t>I11</w:t>
            </w:r>
          </w:p>
        </w:tc>
        <w:tc>
          <w:tcPr>
            <w:tcW w:type="dxa" w:w="2259"/>
            <w:shd w:val="clear" w:color="auto" w:fill="E6ECFD"/>
            <w:vAlign w:val="center"/>
          </w:tcPr>
          <w:p>
            <w:pPr>
              <w:spacing w:after="20" w:before="20" w:line="252" w:lineRule="auto"/>
            </w:pPr>
            <w:r/>
            <w:r>
              <w:rPr>
                <w:rFonts w:ascii="Arial" w:hAnsi="Arial"/>
                <w:b w:val="0"/>
                <w:sz w:val="16"/>
              </w:rPr>
              <w:t>Capaian tonggak strategis</w:t>
            </w:r>
          </w:p>
        </w:tc>
        <w:tc>
          <w:tcPr>
            <w:tcW w:type="dxa" w:w="3576"/>
            <w:shd w:val="clear" w:color="auto" w:fill="E6ECFD"/>
            <w:vAlign w:val="center"/>
          </w:tcPr>
          <w:p>
            <w:pPr>
              <w:spacing w:after="20" w:before="20" w:line="252" w:lineRule="auto"/>
            </w:pPr>
            <w:r/>
            <w:r>
              <w:rPr>
                <w:rFonts w:ascii="Arial" w:hAnsi="Arial"/>
                <w:b w:val="0"/>
                <w:sz w:val="16"/>
              </w:rPr>
              <w:t>Pencapaian terhadap baseline tonggak yang dibekukan</w:t>
            </w:r>
          </w:p>
        </w:tc>
        <w:tc>
          <w:tcPr>
            <w:tcW w:type="dxa" w:w="2635"/>
            <w:shd w:val="clear" w:color="auto" w:fill="E6ECFD"/>
            <w:vAlign w:val="center"/>
          </w:tcPr>
          <w:p>
            <w:pPr>
              <w:spacing w:after="20" w:before="20" w:line="252" w:lineRule="auto"/>
            </w:pPr>
            <w:r/>
            <w:r>
              <w:rPr>
                <w:rFonts w:ascii="Arial" w:hAnsi="Arial"/>
                <w:b w:val="0"/>
                <w:sz w:val="16"/>
              </w:rPr>
              <w:t>Baseline harus disahkan sebelum investasi</w:t>
            </w:r>
          </w:p>
        </w:tc>
      </w:tr>
      <w:tr>
        <w:trPr>
          <w:cantSplit/>
        </w:trPr>
        <w:tc>
          <w:tcPr>
            <w:tcW w:type="dxa" w:w="941"/>
            <w:vAlign w:val="center"/>
          </w:tcPr>
          <w:p>
            <w:pPr>
              <w:spacing w:after="20" w:before="20" w:line="252" w:lineRule="auto"/>
            </w:pPr>
            <w:r/>
            <w:r>
              <w:rPr>
                <w:rFonts w:ascii="Arial" w:hAnsi="Arial"/>
                <w:b/>
                <w:sz w:val="16"/>
              </w:rPr>
              <w:t>O04</w:t>
            </w:r>
          </w:p>
        </w:tc>
        <w:tc>
          <w:tcPr>
            <w:tcW w:type="dxa" w:w="2259"/>
            <w:vAlign w:val="center"/>
          </w:tcPr>
          <w:p>
            <w:pPr>
              <w:spacing w:after="20" w:before="20" w:line="252" w:lineRule="auto"/>
            </w:pPr>
            <w:r/>
            <w:r>
              <w:rPr>
                <w:rFonts w:ascii="Arial" w:hAnsi="Arial"/>
                <w:b w:val="0"/>
                <w:sz w:val="16"/>
              </w:rPr>
              <w:t>Konversi kas operasi</w:t>
            </w:r>
          </w:p>
        </w:tc>
        <w:tc>
          <w:tcPr>
            <w:tcW w:type="dxa" w:w="3576"/>
            <w:vAlign w:val="center"/>
          </w:tcPr>
          <w:p>
            <w:pPr>
              <w:spacing w:after="20" w:before="20" w:line="252" w:lineRule="auto"/>
            </w:pPr>
            <w:r/>
            <w:r>
              <w:rPr>
                <w:rFonts w:ascii="Arial" w:hAnsi="Arial"/>
                <w:b w:val="0"/>
                <w:sz w:val="16"/>
              </w:rPr>
              <w:t>Arus kas operasi terhadap laba operasi</w:t>
            </w:r>
          </w:p>
        </w:tc>
        <w:tc>
          <w:tcPr>
            <w:tcW w:type="dxa" w:w="2635"/>
            <w:vAlign w:val="center"/>
          </w:tcPr>
          <w:p>
            <w:pPr>
              <w:spacing w:after="20" w:before="20" w:line="252" w:lineRule="auto"/>
            </w:pPr>
            <w:r/>
            <w:r>
              <w:rPr>
                <w:rFonts w:ascii="Arial" w:hAnsi="Arial"/>
                <w:b w:val="0"/>
                <w:sz w:val="16"/>
              </w:rPr>
              <w:t>Jangan beri penghargaan atas utang pemasok tertunggak</w:t>
            </w:r>
          </w:p>
        </w:tc>
      </w:tr>
      <w:tr>
        <w:trPr>
          <w:cantSplit/>
        </w:trPr>
        <w:tc>
          <w:tcPr>
            <w:tcW w:type="dxa" w:w="941"/>
            <w:shd w:val="clear" w:color="auto" w:fill="E6ECFD"/>
            <w:vAlign w:val="center"/>
          </w:tcPr>
          <w:p>
            <w:pPr>
              <w:spacing w:after="20" w:before="20" w:line="252" w:lineRule="auto"/>
            </w:pPr>
            <w:r/>
            <w:r>
              <w:rPr>
                <w:rFonts w:ascii="Arial" w:hAnsi="Arial"/>
                <w:b/>
                <w:sz w:val="16"/>
              </w:rPr>
              <w:t>O08</w:t>
            </w:r>
          </w:p>
        </w:tc>
        <w:tc>
          <w:tcPr>
            <w:tcW w:type="dxa" w:w="2259"/>
            <w:shd w:val="clear" w:color="auto" w:fill="E6ECFD"/>
            <w:vAlign w:val="center"/>
          </w:tcPr>
          <w:p>
            <w:pPr>
              <w:spacing w:after="20" w:before="20" w:line="252" w:lineRule="auto"/>
            </w:pPr>
            <w:r/>
            <w:r>
              <w:rPr>
                <w:rFonts w:ascii="Arial" w:hAnsi="Arial"/>
                <w:b w:val="0"/>
                <w:sz w:val="16"/>
              </w:rPr>
              <w:t>Utang bersih / EBITDA</w:t>
            </w:r>
          </w:p>
        </w:tc>
        <w:tc>
          <w:tcPr>
            <w:tcW w:type="dxa" w:w="3576"/>
            <w:shd w:val="clear" w:color="auto" w:fill="E6ECFD"/>
            <w:vAlign w:val="center"/>
          </w:tcPr>
          <w:p>
            <w:pPr>
              <w:spacing w:after="20" w:before="20" w:line="252" w:lineRule="auto"/>
            </w:pPr>
            <w:r/>
            <w:r>
              <w:rPr>
                <w:rFonts w:ascii="Arial" w:hAnsi="Arial"/>
                <w:b w:val="0"/>
                <w:sz w:val="16"/>
              </w:rPr>
              <w:t>Solvabilitas dan ruang pembiayaan kembali</w:t>
            </w:r>
          </w:p>
        </w:tc>
        <w:tc>
          <w:tcPr>
            <w:tcW w:type="dxa" w:w="2635"/>
            <w:shd w:val="clear" w:color="auto" w:fill="E6ECFD"/>
            <w:vAlign w:val="center"/>
          </w:tcPr>
          <w:p>
            <w:pPr>
              <w:spacing w:after="20" w:before="20" w:line="252" w:lineRule="auto"/>
            </w:pPr>
            <w:r/>
            <w:r>
              <w:rPr>
                <w:rFonts w:ascii="Arial" w:hAnsi="Arial"/>
                <w:b w:val="0"/>
                <w:sz w:val="16"/>
              </w:rPr>
              <w:t>Tentukan perlakuan EBITDA negatif</w:t>
            </w:r>
          </w:p>
        </w:tc>
      </w:tr>
      <w:tr>
        <w:trPr>
          <w:cantSplit/>
        </w:trPr>
        <w:tc>
          <w:tcPr>
            <w:tcW w:type="dxa" w:w="941"/>
            <w:vAlign w:val="center"/>
          </w:tcPr>
          <w:p>
            <w:pPr>
              <w:spacing w:after="20" w:before="20" w:line="252" w:lineRule="auto"/>
            </w:pPr>
            <w:r/>
            <w:r>
              <w:rPr>
                <w:rFonts w:ascii="Arial" w:hAnsi="Arial"/>
                <w:b/>
                <w:sz w:val="16"/>
              </w:rPr>
              <w:t>O09</w:t>
            </w:r>
          </w:p>
        </w:tc>
        <w:tc>
          <w:tcPr>
            <w:tcW w:type="dxa" w:w="2259"/>
            <w:vAlign w:val="center"/>
          </w:tcPr>
          <w:p>
            <w:pPr>
              <w:spacing w:after="20" w:before="20" w:line="252" w:lineRule="auto"/>
            </w:pPr>
            <w:r/>
            <w:r>
              <w:rPr>
                <w:rFonts w:ascii="Arial" w:hAnsi="Arial"/>
                <w:b w:val="0"/>
                <w:sz w:val="16"/>
              </w:rPr>
              <w:t>Manfaat transformasi bersih terverifikasi</w:t>
            </w:r>
          </w:p>
        </w:tc>
        <w:tc>
          <w:tcPr>
            <w:tcW w:type="dxa" w:w="3576"/>
            <w:vAlign w:val="center"/>
          </w:tcPr>
          <w:p>
            <w:pPr>
              <w:spacing w:after="20" w:before="20" w:line="252" w:lineRule="auto"/>
            </w:pPr>
            <w:r/>
            <w:r>
              <w:rPr>
                <w:rFonts w:ascii="Arial" w:hAnsi="Arial"/>
                <w:b w:val="0"/>
                <w:sz w:val="16"/>
              </w:rPr>
              <w:t>Manfaat kas yang terealisasi setelah biaya implementasi</w:t>
            </w:r>
          </w:p>
        </w:tc>
        <w:tc>
          <w:tcPr>
            <w:tcW w:type="dxa" w:w="2635"/>
            <w:vAlign w:val="center"/>
          </w:tcPr>
          <w:p>
            <w:pPr>
              <w:spacing w:after="20" w:before="20" w:line="252" w:lineRule="auto"/>
            </w:pPr>
            <w:r/>
            <w:r>
              <w:rPr>
                <w:rFonts w:ascii="Arial" w:hAnsi="Arial"/>
                <w:b w:val="0"/>
                <w:sz w:val="16"/>
              </w:rPr>
              <w:t>Pengurangan jumlah entitas bukan manfaat</w:t>
            </w:r>
          </w:p>
        </w:tc>
      </w:tr>
      <w:tr>
        <w:trPr>
          <w:cantSplit/>
        </w:trPr>
        <w:tc>
          <w:tcPr>
            <w:tcW w:type="dxa" w:w="941"/>
            <w:shd w:val="clear" w:color="auto" w:fill="E6ECFD"/>
            <w:vAlign w:val="center"/>
          </w:tcPr>
          <w:p>
            <w:pPr>
              <w:spacing w:after="20" w:before="20" w:line="252" w:lineRule="auto"/>
            </w:pPr>
            <w:r/>
            <w:r>
              <w:rPr>
                <w:rFonts w:ascii="Arial" w:hAnsi="Arial"/>
                <w:b/>
                <w:sz w:val="16"/>
              </w:rPr>
              <w:t>D02</w:t>
            </w:r>
          </w:p>
        </w:tc>
        <w:tc>
          <w:tcPr>
            <w:tcW w:type="dxa" w:w="2259"/>
            <w:shd w:val="clear" w:color="auto" w:fill="E6ECFD"/>
            <w:vAlign w:val="center"/>
          </w:tcPr>
          <w:p>
            <w:pPr>
              <w:spacing w:after="20" w:before="20" w:line="252" w:lineRule="auto"/>
            </w:pPr>
            <w:r/>
            <w:r>
              <w:rPr>
                <w:rFonts w:ascii="Arial" w:hAnsi="Arial"/>
                <w:b w:val="0"/>
                <w:sz w:val="16"/>
              </w:rPr>
              <w:t>Nilai tambah dalam negeri tambahan</w:t>
            </w:r>
          </w:p>
        </w:tc>
        <w:tc>
          <w:tcPr>
            <w:tcW w:type="dxa" w:w="3576"/>
            <w:shd w:val="clear" w:color="auto" w:fill="E6ECFD"/>
            <w:vAlign w:val="center"/>
          </w:tcPr>
          <w:p>
            <w:pPr>
              <w:spacing w:after="20" w:before="20" w:line="252" w:lineRule="auto"/>
            </w:pPr>
            <w:r/>
            <w:r>
              <w:rPr>
                <w:rFonts w:ascii="Arial" w:hAnsi="Arial"/>
                <w:b w:val="0"/>
                <w:sz w:val="16"/>
              </w:rPr>
              <w:t>Nilai tambah domestik riil di atas kontrafaktual</w:t>
            </w:r>
          </w:p>
        </w:tc>
        <w:tc>
          <w:tcPr>
            <w:tcW w:type="dxa" w:w="2635"/>
            <w:shd w:val="clear" w:color="auto" w:fill="E6ECFD"/>
            <w:vAlign w:val="center"/>
          </w:tcPr>
          <w:p>
            <w:pPr>
              <w:spacing w:after="20" w:before="20" w:line="252" w:lineRule="auto"/>
            </w:pPr>
            <w:r/>
            <w:r>
              <w:rPr>
                <w:rFonts w:ascii="Arial" w:hAnsi="Arial"/>
                <w:b w:val="0"/>
                <w:sz w:val="16"/>
              </w:rPr>
              <w:t>Kurangi impor dan pengalihan</w:t>
            </w:r>
          </w:p>
        </w:tc>
      </w:tr>
      <w:tr>
        <w:trPr>
          <w:cantSplit/>
        </w:trPr>
        <w:tc>
          <w:tcPr>
            <w:tcW w:type="dxa" w:w="941"/>
            <w:vAlign w:val="center"/>
          </w:tcPr>
          <w:p>
            <w:pPr>
              <w:spacing w:after="20" w:before="20" w:line="252" w:lineRule="auto"/>
            </w:pPr>
            <w:r/>
            <w:r>
              <w:rPr>
                <w:rFonts w:ascii="Arial" w:hAnsi="Arial"/>
                <w:b/>
                <w:sz w:val="16"/>
              </w:rPr>
              <w:t>D05</w:t>
            </w:r>
          </w:p>
        </w:tc>
        <w:tc>
          <w:tcPr>
            <w:tcW w:type="dxa" w:w="2259"/>
            <w:vAlign w:val="center"/>
          </w:tcPr>
          <w:p>
            <w:pPr>
              <w:spacing w:after="20" w:before="20" w:line="252" w:lineRule="auto"/>
            </w:pPr>
            <w:r/>
            <w:r>
              <w:rPr>
                <w:rFonts w:ascii="Arial" w:hAnsi="Arial"/>
                <w:b w:val="0"/>
                <w:sz w:val="16"/>
              </w:rPr>
              <w:t>Porsi nilai tambah dalam negeri pada paket jangkar</w:t>
            </w:r>
          </w:p>
        </w:tc>
        <w:tc>
          <w:tcPr>
            <w:tcW w:type="dxa" w:w="3576"/>
            <w:vAlign w:val="center"/>
          </w:tcPr>
          <w:p>
            <w:pPr>
              <w:spacing w:after="20" w:before="20" w:line="252" w:lineRule="auto"/>
            </w:pPr>
            <w:r/>
            <w:r>
              <w:rPr>
                <w:rFonts w:ascii="Arial" w:hAnsi="Arial"/>
                <w:b w:val="0"/>
                <w:sz w:val="16"/>
              </w:rPr>
              <w:t>DVA terverifikasi / nilai paket</w:t>
            </w:r>
          </w:p>
        </w:tc>
        <w:tc>
          <w:tcPr>
            <w:tcW w:type="dxa" w:w="2635"/>
            <w:vAlign w:val="center"/>
          </w:tcPr>
          <w:p>
            <w:pPr>
              <w:spacing w:after="20" w:before="20" w:line="252" w:lineRule="auto"/>
            </w:pPr>
            <w:r/>
            <w:r>
              <w:rPr>
                <w:rFonts w:ascii="Arial" w:hAnsi="Arial"/>
                <w:b w:val="0"/>
                <w:sz w:val="16"/>
              </w:rPr>
              <w:t>Tidak identik dengan sertifikat TKDN</w:t>
            </w:r>
          </w:p>
        </w:tc>
      </w:tr>
      <w:tr>
        <w:trPr>
          <w:cantSplit/>
        </w:trPr>
        <w:tc>
          <w:tcPr>
            <w:tcW w:type="dxa" w:w="941"/>
            <w:shd w:val="clear" w:color="auto" w:fill="E6ECFD"/>
            <w:vAlign w:val="center"/>
          </w:tcPr>
          <w:p>
            <w:pPr>
              <w:spacing w:after="20" w:before="20" w:line="252" w:lineRule="auto"/>
            </w:pPr>
            <w:r/>
            <w:r>
              <w:rPr>
                <w:rFonts w:ascii="Arial" w:hAnsi="Arial"/>
                <w:b/>
                <w:sz w:val="16"/>
              </w:rPr>
              <w:t>D06</w:t>
            </w:r>
          </w:p>
        </w:tc>
        <w:tc>
          <w:tcPr>
            <w:tcW w:type="dxa" w:w="2259"/>
            <w:shd w:val="clear" w:color="auto" w:fill="E6ECFD"/>
            <w:vAlign w:val="center"/>
          </w:tcPr>
          <w:p>
            <w:pPr>
              <w:spacing w:after="20" w:before="20" w:line="252" w:lineRule="auto"/>
            </w:pPr>
            <w:r/>
            <w:r>
              <w:rPr>
                <w:rFonts w:ascii="Arial" w:hAnsi="Arial"/>
                <w:b w:val="0"/>
                <w:sz w:val="16"/>
              </w:rPr>
              <w:t>Tonggak kapabilitas teknologi terverifikasi</w:t>
            </w:r>
          </w:p>
        </w:tc>
        <w:tc>
          <w:tcPr>
            <w:tcW w:type="dxa" w:w="3576"/>
            <w:shd w:val="clear" w:color="auto" w:fill="E6ECFD"/>
            <w:vAlign w:val="center"/>
          </w:tcPr>
          <w:p>
            <w:pPr>
              <w:spacing w:after="20" w:before="20" w:line="252" w:lineRule="auto"/>
            </w:pPr>
            <w:r/>
            <w:r>
              <w:rPr>
                <w:rFonts w:ascii="Arial" w:hAnsi="Arial"/>
                <w:b w:val="0"/>
                <w:sz w:val="16"/>
              </w:rPr>
              <w:t>Tonggak tertimbang yang diterima / yang jatuh tempo</w:t>
            </w:r>
          </w:p>
        </w:tc>
        <w:tc>
          <w:tcPr>
            <w:tcW w:type="dxa" w:w="2635"/>
            <w:shd w:val="clear" w:color="auto" w:fill="E6ECFD"/>
            <w:vAlign w:val="center"/>
          </w:tcPr>
          <w:p>
            <w:pPr>
              <w:spacing w:after="20" w:before="20" w:line="252" w:lineRule="auto"/>
            </w:pPr>
            <w:r/>
            <w:r>
              <w:rPr>
                <w:rFonts w:ascii="Arial" w:hAnsi="Arial"/>
                <w:b w:val="0"/>
                <w:sz w:val="16"/>
              </w:rPr>
              <w:t>Hak desain, kendali proses, pasokan lokal bersertifikat</w:t>
            </w:r>
          </w:p>
        </w:tc>
      </w:tr>
      <w:tr>
        <w:trPr>
          <w:cantSplit/>
        </w:trPr>
        <w:tc>
          <w:tcPr>
            <w:tcW w:type="dxa" w:w="941"/>
            <w:vAlign w:val="center"/>
          </w:tcPr>
          <w:p>
            <w:pPr>
              <w:spacing w:after="20" w:before="20" w:line="252" w:lineRule="auto"/>
            </w:pPr>
            <w:r/>
            <w:r>
              <w:rPr>
                <w:rFonts w:ascii="Arial" w:hAnsi="Arial"/>
                <w:b/>
                <w:sz w:val="16"/>
              </w:rPr>
              <w:t>K01–K05</w:t>
            </w:r>
          </w:p>
        </w:tc>
        <w:tc>
          <w:tcPr>
            <w:tcW w:type="dxa" w:w="2259"/>
            <w:vAlign w:val="center"/>
          </w:tcPr>
          <w:p>
            <w:pPr>
              <w:spacing w:after="20" w:before="20" w:line="252" w:lineRule="auto"/>
            </w:pPr>
            <w:r/>
            <w:r>
              <w:rPr>
                <w:rFonts w:ascii="Arial" w:hAnsi="Arial"/>
                <w:b w:val="0"/>
                <w:sz w:val="16"/>
              </w:rPr>
              <w:t>Kapabilitas platform</w:t>
            </w:r>
          </w:p>
        </w:tc>
        <w:tc>
          <w:tcPr>
            <w:tcW w:type="dxa" w:w="3576"/>
            <w:vAlign w:val="center"/>
          </w:tcPr>
          <w:p>
            <w:pPr>
              <w:spacing w:after="20" w:before="20" w:line="252" w:lineRule="auto"/>
            </w:pPr>
            <w:r/>
            <w:r>
              <w:rPr>
                <w:rFonts w:ascii="Arial" w:hAnsi="Arial"/>
                <w:b w:val="0"/>
                <w:sz w:val="16"/>
              </w:rPr>
              <w:t>Pemasok per gerbang; nilai pesanan; kandungan lokal berbasis kapabilitas; waktu siklus gerbang; kegagalan mutu pasca-pesanan</w:t>
            </w:r>
          </w:p>
        </w:tc>
        <w:tc>
          <w:tcPr>
            <w:tcW w:type="dxa" w:w="2635"/>
            <w:vAlign w:val="center"/>
          </w:tcPr>
          <w:p>
            <w:pPr>
              <w:spacing w:after="20" w:before="20" w:line="252" w:lineRule="auto"/>
            </w:pPr>
            <w:r/>
            <w:r>
              <w:rPr>
                <w:rFonts w:ascii="Arial" w:hAnsi="Arial"/>
                <w:b w:val="0"/>
                <w:sz w:val="16"/>
              </w:rPr>
              <w:t>Usulan Kajian [K, Bab 6.3]</w:t>
            </w:r>
          </w:p>
        </w:tc>
      </w:tr>
    </w:tbl>
    <w:p>
      <w:pPr>
        <w:spacing w:after="160"/>
      </w:pPr>
      <w:r>
        <w:rPr>
          <w:rFonts w:ascii="Arial" w:hAnsi="Arial"/>
          <w:b w:val="0"/>
          <w:i/>
          <w:color w:val="051C5C"/>
          <w:sz w:val="17"/>
        </w:rPr>
        <w:t>Sumber: [K, Lampiran A dan Bab 6.3]. Kode D02–D08 dan O04–O09 dari kamus metrik Kajian.</w:t>
      </w:r>
    </w:p>
    <w:p>
      <w:pPr>
        <w:pStyle w:val="Heading2"/>
      </w:pPr>
      <w:r>
        <w:t>13.3  Lima belas KPI kepemimpinan</w:t>
      </w:r>
    </w:p>
    <w:p>
      <w:pPr>
        <w:jc w:val="both"/>
      </w:pPr>
      <w:r>
        <w:rPr>
          <w:rFonts w:ascii="Arial" w:hAnsi="Arial"/>
          <w:b w:val="0"/>
        </w:rPr>
        <w:t xml:space="preserve">Untuk Kepala Badan Pelaksana dan Dewan Pengawas, Kajian mengusulkan lima belas KPI yang menghubungkan data, keputusan, investasi, BUMN, pembangunan, pemasok, dan pembiayaan, dengan target yang ditetapkan setelah baseline tersedia. Contoh yang paling relevan untuk manajemen proyek: </w:t>
      </w:r>
      <w:r>
        <w:rPr>
          <w:rFonts w:ascii="Arial" w:hAnsi="Arial"/>
          <w:b/>
        </w:rPr>
        <w:t>mutu register</w:t>
      </w:r>
      <w:r>
        <w:rPr>
          <w:rFonts w:ascii="Arial" w:hAnsi="Arial"/>
          <w:b w:val="0"/>
        </w:rPr>
        <w:t xml:space="preserve"> (100% identitas terpetakan dalam 30 hari), </w:t>
      </w:r>
      <w:r>
        <w:rPr>
          <w:rFonts w:ascii="Arial" w:hAnsi="Arial"/>
          <w:b/>
        </w:rPr>
        <w:t>waktu keputusan</w:t>
      </w:r>
      <w:r>
        <w:rPr>
          <w:rFonts w:ascii="Arial" w:hAnsi="Arial"/>
          <w:b w:val="0"/>
        </w:rPr>
        <w:t xml:space="preserve"> (median dan persentil ke-90 dari dokumen lengkap hingga keputusan; usulan −30% median dalam enam bulan setelah baseline), </w:t>
      </w:r>
      <w:r>
        <w:rPr>
          <w:rFonts w:ascii="Arial" w:hAnsi="Arial"/>
          <w:b/>
        </w:rPr>
        <w:t>penyelesaian hambatan</w:t>
      </w:r>
      <w:r>
        <w:rPr>
          <w:rFonts w:ascii="Arial" w:hAnsi="Arial"/>
          <w:b w:val="0"/>
        </w:rPr>
        <w:t xml:space="preserve"> (isu yang diselesaikan secara sah terhadap yang jatuh tempo, beserta umurnya), </w:t>
      </w:r>
      <w:r>
        <w:rPr>
          <w:rFonts w:ascii="Arial" w:hAnsi="Arial"/>
          <w:b/>
        </w:rPr>
        <w:t>kesiapan investasi</w:t>
      </w:r>
      <w:r>
        <w:rPr>
          <w:rFonts w:ascii="Arial" w:hAnsi="Arial"/>
          <w:b w:val="0"/>
        </w:rPr>
        <w:t xml:space="preserve"> (proyek yang memenuhi bukti G2 dan persetujuan G3 sebelum komitmen tak dapat dibatalkan: 100%), dan </w:t>
      </w:r>
      <w:r>
        <w:rPr>
          <w:rFonts w:ascii="Arial" w:hAnsi="Arial"/>
          <w:b/>
        </w:rPr>
        <w:t>ketepatan jadwal dan biaya</w:t>
      </w:r>
      <w:r>
        <w:rPr>
          <w:rFonts w:ascii="Arial" w:hAnsi="Arial"/>
          <w:b w:val="0"/>
        </w:rPr>
        <w:t xml:space="preserve"> terhadap baseline yang disahkan [K, Bab 14.5; EVAL, Bagian 17].</w:t>
      </w:r>
    </w:p>
    <w:p>
      <w:pPr>
        <w:pStyle w:val="Heading2"/>
      </w:pPr>
      <w:r>
        <w:t>13.4  Lima tahap modal dan kelas bukti</w:t>
      </w:r>
    </w:p>
    <w:p>
      <w:pPr>
        <w:keepNext/>
        <w:jc w:val="center"/>
      </w:pPr>
      <w:r>
        <w:drawing>
          <wp:inline xmlns:a="http://schemas.openxmlformats.org/drawingml/2006/main" xmlns:pic="http://schemas.openxmlformats.org/drawingml/2006/picture">
            <wp:extent cx="5580000" cy="2456938"/>
            <wp:docPr id="11" name="Picture 11"/>
            <wp:cNvGraphicFramePr>
              <a:graphicFrameLocks noChangeAspect="1"/>
            </wp:cNvGraphicFramePr>
            <a:graphic>
              <a:graphicData uri="http://schemas.openxmlformats.org/drawingml/2006/picture">
                <pic:pic>
                  <pic:nvPicPr>
                    <pic:cNvPr id="0" name="f_stages.png"/>
                    <pic:cNvPicPr/>
                  </pic:nvPicPr>
                  <pic:blipFill>
                    <a:blip r:embed="rId20"/>
                    <a:stretch>
                      <a:fillRect/>
                    </a:stretch>
                  </pic:blipFill>
                  <pic:spPr>
                    <a:xfrm>
                      <a:off x="0" y="0"/>
                      <a:ext cx="5580000" cy="2456938"/>
                    </a:xfrm>
                    <a:prstGeom prst="rect"/>
                  </pic:spPr>
                </pic:pic>
              </a:graphicData>
            </a:graphic>
          </wp:inline>
        </w:drawing>
      </w:r>
    </w:p>
    <w:p>
      <w:pPr>
        <w:keepNext w:val="0"/>
        <w:spacing w:after="60"/>
      </w:pPr>
      <w:r>
        <w:rPr>
          <w:rFonts w:ascii="Arial" w:hAnsi="Arial"/>
          <w:b/>
          <w:color w:val="051C5C"/>
          <w:sz w:val="19"/>
        </w:rPr>
        <w:t xml:space="preserve">Gambar 11: </w:t>
      </w:r>
      <w:r>
        <w:rPr>
          <w:rFonts w:ascii="Arial" w:hAnsi="Arial"/>
          <w:color w:val="051C5C"/>
          <w:sz w:val="19"/>
        </w:rPr>
        <w:t>Lima tahap modal dan lima kelas bukti sebagai disiplin pelaporan</w:t>
      </w:r>
    </w:p>
    <w:p>
      <w:pPr>
        <w:spacing w:after="160"/>
      </w:pPr>
      <w:r>
        <w:rPr>
          <w:rFonts w:ascii="Arial" w:hAnsi="Arial"/>
          <w:b w:val="0"/>
          <w:i/>
          <w:color w:val="051C5C"/>
          <w:sz w:val="17"/>
        </w:rPr>
        <w:t>Sumber: [K, Bab 14.3 dan 2.4].</w:t>
      </w:r>
    </w:p>
    <w:p>
      <w:pPr>
        <w:jc w:val="both"/>
      </w:pPr>
      <w:r>
        <w:rPr>
          <w:rFonts w:ascii="Arial" w:hAnsi="Arial"/>
          <w:b w:val="0"/>
        </w:rPr>
        <w:t>Setiap tahap memerlukan buktinya sendiri, dan tahap yang lebih lanjut tidak pernah dapat disimpulkan dari tahap sebelumnya. Kelas bukti memberi label pada kepercayaan angka: A (teraudit), B (dilaporkan resmi), C (pengumuman, proyeksi, estimasi), D (ilustrasi atau asumsi), dan NR (tidak dapat dinilai). Bagi laporan proyek, aturan sederhana: setiap angka di dasbor membawa kelas bukti, sumber, dan tanggal.</w:t>
      </w:r>
    </w:p>
    <w:p>
      <w:pPr>
        <w:pStyle w:val="Heading2"/>
      </w:pPr>
      <w:r>
        <w:t>13.5  Data induk dan identitas tunggal</w:t>
      </w:r>
    </w:p>
    <w:p>
      <w:pPr>
        <w:jc w:val="both"/>
      </w:pPr>
      <w:r>
        <w:rPr>
          <w:rFonts w:ascii="Arial" w:hAnsi="Arial"/>
          <w:b w:val="0"/>
        </w:rPr>
        <w:t>Pengukuran mensyaratkan data yang konsisten. Platform AI yang diusulkan memakai master data: Project ID, WBS, Cost Code, Activity Code, Material Code, Supplier ID, Contract ID, Variation Order ID, Payment Certificate ID, dan Asset ID [PLAT, hlm. 6]. Kajian memperluasnya menjadi satu register identitas: ID proyek yang sama pada register 40 proyek, scorecard, dan menara kendali proyek; ID pemasok yang sama pada agen pengadaan dan register kesiapan DOCK-UP; ID entitas dan aset untuk jembatan perimeter; serta ID seri dan ID kontrak untuk instrumen pembiayaan [K, Bab 12.2]. Tanpa identitas tunggal, penghitungan ganda hampir tidak terhindarkan: aset yang dialihkan dilaporkan sebagai imbal hasil, laba BUMN dan dividennya dijumlahkan, seluruh biaya proyek disebut investasi Danantara, atau investasi yang sama diklaim beberapa pemberi dana [K, Bab 14.4].</w:t>
      </w:r>
    </w:p>
    <w:p>
      <w:pPr>
        <w:keepNext/>
        <w:spacing w:after="60"/>
      </w:pPr>
      <w:r>
        <w:rPr>
          <w:rFonts w:ascii="Arial" w:hAnsi="Arial"/>
          <w:b/>
          <w:color w:val="051C5C"/>
          <w:sz w:val="19"/>
        </w:rPr>
        <w:t xml:space="preserve">Tabel 36: </w:t>
      </w:r>
      <w:r>
        <w:rPr>
          <w:rFonts w:ascii="Arial" w:hAnsi="Arial"/>
          <w:color w:val="051C5C"/>
          <w:sz w:val="19"/>
        </w:rPr>
        <w:t>Sepuluh potensi salah saji dan pengendaliannya (ringkasan)</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4706"/>
        <w:gridCol w:w="4706"/>
      </w:tblGrid>
      <w:tr>
        <w:trPr>
          <w:cantSplit/>
          <w:tblHeader/>
        </w:trPr>
        <w:tc>
          <w:tcPr>
            <w:tcW w:type="dxa" w:w="3683"/>
            <w:shd w:val="clear" w:color="auto" w:fill="2251FF"/>
            <w:vAlign w:val="center"/>
          </w:tcPr>
          <w:p>
            <w:pPr>
              <w:spacing w:after="20" w:before="20" w:line="252" w:lineRule="auto"/>
            </w:pPr>
            <w:r/>
            <w:r>
              <w:rPr>
                <w:rFonts w:ascii="Arial" w:hAnsi="Arial"/>
                <w:b/>
                <w:color w:val="FFFFFF"/>
                <w:sz w:val="17"/>
              </w:rPr>
              <w:t>Potensi salah saji</w:t>
            </w:r>
          </w:p>
        </w:tc>
        <w:tc>
          <w:tcPr>
            <w:tcW w:type="dxa" w:w="5728"/>
            <w:shd w:val="clear" w:color="auto" w:fill="2251FF"/>
            <w:vAlign w:val="center"/>
          </w:tcPr>
          <w:p>
            <w:pPr>
              <w:spacing w:after="20" w:before="20" w:line="252" w:lineRule="auto"/>
            </w:pPr>
            <w:r/>
            <w:r>
              <w:rPr>
                <w:rFonts w:ascii="Arial" w:hAnsi="Arial"/>
                <w:b/>
                <w:color w:val="FFFFFF"/>
                <w:sz w:val="17"/>
              </w:rPr>
              <w:t>Pengendalian yang diwajibkan</w:t>
            </w:r>
          </w:p>
        </w:tc>
      </w:tr>
      <w:tr>
        <w:trPr>
          <w:cantSplit/>
        </w:trPr>
        <w:tc>
          <w:tcPr>
            <w:tcW w:type="dxa" w:w="3683"/>
            <w:vAlign w:val="center"/>
          </w:tcPr>
          <w:p>
            <w:pPr>
              <w:spacing w:after="20" w:before="20" w:line="252" w:lineRule="auto"/>
            </w:pPr>
            <w:r/>
            <w:r>
              <w:rPr>
                <w:rFonts w:ascii="Arial" w:hAnsi="Arial"/>
                <w:b/>
                <w:sz w:val="17"/>
              </w:rPr>
              <w:t>Pengalihan aset disebut imbal hasil investasi</w:t>
            </w:r>
          </w:p>
        </w:tc>
        <w:tc>
          <w:tcPr>
            <w:tcW w:type="dxa" w:w="5728"/>
            <w:vAlign w:val="center"/>
          </w:tcPr>
          <w:p>
            <w:pPr>
              <w:spacing w:after="20" w:before="20" w:line="252" w:lineRule="auto"/>
            </w:pPr>
            <w:r/>
            <w:r>
              <w:rPr>
                <w:rFonts w:ascii="Arial" w:hAnsi="Arial"/>
                <w:b w:val="0"/>
                <w:sz w:val="17"/>
              </w:rPr>
              <w:t>Rekonsiliasi NAV awal + modal eksternal + hasil investasi − distribusi = NAV akhir</w:t>
            </w:r>
          </w:p>
        </w:tc>
      </w:tr>
      <w:tr>
        <w:trPr>
          <w:cantSplit/>
        </w:trPr>
        <w:tc>
          <w:tcPr>
            <w:tcW w:type="dxa" w:w="3683"/>
            <w:shd w:val="clear" w:color="auto" w:fill="E6ECFD"/>
            <w:vAlign w:val="center"/>
          </w:tcPr>
          <w:p>
            <w:pPr>
              <w:spacing w:after="20" w:before="20" w:line="252" w:lineRule="auto"/>
            </w:pPr>
            <w:r/>
            <w:r>
              <w:rPr>
                <w:rFonts w:ascii="Arial" w:hAnsi="Arial"/>
                <w:b/>
                <w:sz w:val="17"/>
              </w:rPr>
              <w:t>Laba BUMN dan dividennya sama-sama dijumlahkan</w:t>
            </w:r>
          </w:p>
        </w:tc>
        <w:tc>
          <w:tcPr>
            <w:tcW w:type="dxa" w:w="5728"/>
            <w:shd w:val="clear" w:color="auto" w:fill="E6ECFD"/>
            <w:vAlign w:val="center"/>
          </w:tcPr>
          <w:p>
            <w:pPr>
              <w:spacing w:after="20" w:before="20" w:line="252" w:lineRule="auto"/>
            </w:pPr>
            <w:r/>
            <w:r>
              <w:rPr>
                <w:rFonts w:ascii="Arial" w:hAnsi="Arial"/>
                <w:b w:val="0"/>
                <w:sz w:val="17"/>
              </w:rPr>
              <w:t>Eliminasi konsolidasi; setoran kas sebagai ukuran kapasitas pembiayaan tersendiri</w:t>
            </w:r>
          </w:p>
        </w:tc>
      </w:tr>
      <w:tr>
        <w:trPr>
          <w:cantSplit/>
        </w:trPr>
        <w:tc>
          <w:tcPr>
            <w:tcW w:type="dxa" w:w="3683"/>
            <w:vAlign w:val="center"/>
          </w:tcPr>
          <w:p>
            <w:pPr>
              <w:spacing w:after="20" w:before="20" w:line="252" w:lineRule="auto"/>
            </w:pPr>
            <w:r/>
            <w:r>
              <w:rPr>
                <w:rFonts w:ascii="Arial" w:hAnsi="Arial"/>
                <w:b/>
                <w:sz w:val="17"/>
              </w:rPr>
              <w:t>Seluruh biaya proyek disebut investasi Danantara</w:t>
            </w:r>
          </w:p>
        </w:tc>
        <w:tc>
          <w:tcPr>
            <w:tcW w:type="dxa" w:w="5728"/>
            <w:vAlign w:val="center"/>
          </w:tcPr>
          <w:p>
            <w:pPr>
              <w:spacing w:after="20" w:before="20" w:line="252" w:lineRule="auto"/>
            </w:pPr>
            <w:r/>
            <w:r>
              <w:rPr>
                <w:rFonts w:ascii="Arial" w:hAnsi="Arial"/>
                <w:b w:val="0"/>
                <w:sz w:val="17"/>
              </w:rPr>
              <w:t>Catat total capex, ekuitas/utang Danantara, modal publik lain, dan pendanaan swasta terpisah</w:t>
            </w:r>
          </w:p>
        </w:tc>
      </w:tr>
      <w:tr>
        <w:trPr>
          <w:cantSplit/>
        </w:trPr>
        <w:tc>
          <w:tcPr>
            <w:tcW w:type="dxa" w:w="3683"/>
            <w:shd w:val="clear" w:color="auto" w:fill="E6ECFD"/>
            <w:vAlign w:val="center"/>
          </w:tcPr>
          <w:p>
            <w:pPr>
              <w:spacing w:after="20" w:before="20" w:line="252" w:lineRule="auto"/>
            </w:pPr>
            <w:r/>
            <w:r>
              <w:rPr>
                <w:rFonts w:ascii="Arial" w:hAnsi="Arial"/>
                <w:b/>
                <w:sz w:val="17"/>
              </w:rPr>
              <w:t>Investasi sama diklaim banyak pembiaya</w:t>
            </w:r>
          </w:p>
        </w:tc>
        <w:tc>
          <w:tcPr>
            <w:tcW w:type="dxa" w:w="5728"/>
            <w:shd w:val="clear" w:color="auto" w:fill="E6ECFD"/>
            <w:vAlign w:val="center"/>
          </w:tcPr>
          <w:p>
            <w:pPr>
              <w:spacing w:after="20" w:before="20" w:line="252" w:lineRule="auto"/>
            </w:pPr>
            <w:r/>
            <w:r>
              <w:rPr>
                <w:rFonts w:ascii="Arial" w:hAnsi="Arial"/>
                <w:b w:val="0"/>
                <w:sz w:val="17"/>
              </w:rPr>
              <w:t>Atribusi selaras MDB; bedakan mobilisasi langsung, tidak langsung, dan total</w:t>
            </w:r>
          </w:p>
        </w:tc>
      </w:tr>
      <w:tr>
        <w:trPr>
          <w:cantSplit/>
        </w:trPr>
        <w:tc>
          <w:tcPr>
            <w:tcW w:type="dxa" w:w="3683"/>
            <w:vAlign w:val="center"/>
          </w:tcPr>
          <w:p>
            <w:pPr>
              <w:spacing w:after="20" w:before="20" w:line="252" w:lineRule="auto"/>
            </w:pPr>
            <w:r/>
            <w:r>
              <w:rPr>
                <w:rFonts w:ascii="Arial" w:hAnsi="Arial"/>
                <w:b/>
                <w:sz w:val="17"/>
              </w:rPr>
              <w:t>Penjualan proyek, penjualan pemasok, dan manfaat PDB dijumlahkan</w:t>
            </w:r>
          </w:p>
        </w:tc>
        <w:tc>
          <w:tcPr>
            <w:tcW w:type="dxa" w:w="5728"/>
            <w:vAlign w:val="center"/>
          </w:tcPr>
          <w:p>
            <w:pPr>
              <w:spacing w:after="20" w:before="20" w:line="252" w:lineRule="auto"/>
            </w:pPr>
            <w:r/>
            <w:r>
              <w:rPr>
                <w:rFonts w:ascii="Arial" w:hAnsi="Arial"/>
                <w:b w:val="0"/>
                <w:sz w:val="17"/>
              </w:rPr>
              <w:t>Nilai tambah dan I-O terekonsiliasi; kurangi impor dan transaksi antara</w:t>
            </w:r>
          </w:p>
        </w:tc>
      </w:tr>
      <w:tr>
        <w:trPr>
          <w:cantSplit/>
        </w:trPr>
        <w:tc>
          <w:tcPr>
            <w:tcW w:type="dxa" w:w="3683"/>
            <w:shd w:val="clear" w:color="auto" w:fill="E6ECFD"/>
            <w:vAlign w:val="center"/>
          </w:tcPr>
          <w:p>
            <w:pPr>
              <w:spacing w:after="20" w:before="20" w:line="252" w:lineRule="auto"/>
            </w:pPr>
            <w:r/>
            <w:r>
              <w:rPr>
                <w:rFonts w:ascii="Arial" w:hAnsi="Arial"/>
                <w:b/>
                <w:sz w:val="17"/>
              </w:rPr>
              <w:t>Pekerjaan bruto dilaporkan sebagai pekerjaan baru</w:t>
            </w:r>
          </w:p>
        </w:tc>
        <w:tc>
          <w:tcPr>
            <w:tcW w:type="dxa" w:w="5728"/>
            <w:shd w:val="clear" w:color="auto" w:fill="E6ECFD"/>
            <w:vAlign w:val="center"/>
          </w:tcPr>
          <w:p>
            <w:pPr>
              <w:spacing w:after="20" w:before="20" w:line="252" w:lineRule="auto"/>
            </w:pPr>
            <w:r/>
            <w:r>
              <w:rPr>
                <w:rFonts w:ascii="Arial" w:hAnsi="Arial"/>
                <w:b w:val="0"/>
                <w:sz w:val="17"/>
              </w:rPr>
              <w:t>Pisahkan langsung, tidak langsung, induksi, permanen, pengalihan; laporkan rentang dua metode</w:t>
            </w:r>
          </w:p>
        </w:tc>
      </w:tr>
    </w:tbl>
    <w:p>
      <w:pPr>
        <w:spacing w:after="160"/>
      </w:pPr>
      <w:r>
        <w:rPr>
          <w:rFonts w:ascii="Arial" w:hAnsi="Arial"/>
          <w:b w:val="0"/>
          <w:i/>
          <w:color w:val="051C5C"/>
          <w:sz w:val="17"/>
        </w:rPr>
        <w:t>Sumber: [K, Bab 14.4], diringkas dari sebelas butir.</w:t>
      </w:r>
    </w:p>
    <w:p>
      <w:r>
        <w:br w:type="page"/>
      </w:r>
    </w:p>
    <w:p>
      <w:pPr>
        <w:pStyle w:val="Heading1"/>
      </w:pPr>
      <w:r>
        <w:t>14  Digitalisasi dan AI multi-agen dalam manajemen proyek</w:t>
      </w:r>
    </w:p>
    <w:p>
      <w:pPr>
        <w:pStyle w:val="Heading2"/>
      </w:pPr>
      <w:r>
        <w:t>14.1  Fondasi: data sebelum kecerdasan</w:t>
      </w:r>
    </w:p>
    <w:p>
      <w:pPr>
        <w:jc w:val="both"/>
      </w:pPr>
      <w:r>
        <w:rPr>
          <w:rFonts w:ascii="Arial" w:hAnsi="Arial"/>
          <w:b w:val="0"/>
        </w:rPr>
        <w:t>Teknologi tidak memperbaiki proses yang tidak ada. Prasyarat digitalisasi pengendalian proyek adalah proses yang terdefinisi (Bab 3 sampai 13) dan data induk yang konsisten. Kajian menyatakan hal ini dengan tegas: "agen hanya sebaik master data dan integrasi ERP; Fase 1 harus memvalidasi data model sebelum perluasan" [K, Bab 12.8]. Lapisan teknologi proyek modal pada umumnya terdiri dari ERP (keuangan, proyek, pengadaan), sistem penjadwalan (misalnya Primavera P6), lingkungan data bersama dan BIM (CDE), e-procurement, manajemen kontrak, sistem K3 dan mutu, serta data lapangan (aplikasi seluler, drone, CCTV, sensor IoT, pemindaian digital).</w:t>
      </w:r>
    </w:p>
    <w:p>
      <w:pPr>
        <w:pStyle w:val="Heading2"/>
      </w:pPr>
      <w:r>
        <w:t>14.2  Rancangan sistem operasi proyek berbasis AI multi-agen</w:t>
      </w:r>
    </w:p>
    <w:p>
      <w:pPr>
        <w:jc w:val="both"/>
      </w:pPr>
      <w:r>
        <w:rPr>
          <w:rFonts w:ascii="Arial" w:hAnsi="Arial"/>
          <w:b w:val="0"/>
        </w:rPr>
        <w:t>Dokumen platform mengusulkan bukan chatbot, tetapi "sistem operasi proyek berbasis AI yang memberikan pengawasan menyeluruh dari proyek hingga portofolio", dengan tujuan melindungi arus kas, mendeteksi potensi kerugian lebih awal, meningkatkan produktivitas, dan mengoordinasikan portofolio proyek BUMN Konstruksi secara terintegrasi [PLAT, hlm. 5]. Arsitekturnya berlapis enam: Danantara Portfolio Control Tower, SOE Enterprise Orchestrator, kelompok agen AI korporat (komersial, keuangan, eksekusi), Project Control Tower per proyek dengan dua belas agen, intelijen lapangan, dan platform data perusahaan [PLAT, hlm. 6].</w:t>
      </w:r>
    </w:p>
    <w:p>
      <w:pPr>
        <w:keepNext/>
        <w:jc w:val="center"/>
      </w:pPr>
      <w:r>
        <w:drawing>
          <wp:inline xmlns:a="http://schemas.openxmlformats.org/drawingml/2006/main" xmlns:pic="http://schemas.openxmlformats.org/drawingml/2006/picture">
            <wp:extent cx="5580000" cy="3610588"/>
            <wp:docPr id="12" name="Picture 12"/>
            <wp:cNvGraphicFramePr>
              <a:graphicFrameLocks noChangeAspect="1"/>
            </wp:cNvGraphicFramePr>
            <a:graphic>
              <a:graphicData uri="http://schemas.openxmlformats.org/drawingml/2006/picture">
                <pic:pic>
                  <pic:nvPicPr>
                    <pic:cNvPr id="0" name="f_agents.png"/>
                    <pic:cNvPicPr/>
                  </pic:nvPicPr>
                  <pic:blipFill>
                    <a:blip r:embed="rId21"/>
                    <a:stretch>
                      <a:fillRect/>
                    </a:stretch>
                  </pic:blipFill>
                  <pic:spPr>
                    <a:xfrm>
                      <a:off x="0" y="0"/>
                      <a:ext cx="5580000" cy="3610588"/>
                    </a:xfrm>
                    <a:prstGeom prst="rect"/>
                  </pic:spPr>
                </pic:pic>
              </a:graphicData>
            </a:graphic>
          </wp:inline>
        </w:drawing>
      </w:r>
    </w:p>
    <w:p>
      <w:pPr>
        <w:keepNext w:val="0"/>
        <w:spacing w:after="60"/>
      </w:pPr>
      <w:r>
        <w:rPr>
          <w:rFonts w:ascii="Arial" w:hAnsi="Arial"/>
          <w:b/>
          <w:color w:val="051C5C"/>
          <w:sz w:val="19"/>
        </w:rPr>
        <w:t xml:space="preserve">Gambar 12: </w:t>
      </w:r>
      <w:r>
        <w:rPr>
          <w:rFonts w:ascii="Arial" w:hAnsi="Arial"/>
          <w:color w:val="051C5C"/>
          <w:sz w:val="19"/>
        </w:rPr>
        <w:t>Arsitektur berlapis sistem operasi proyek berbasis AI multi-agen</w:t>
      </w:r>
    </w:p>
    <w:p>
      <w:pPr>
        <w:spacing w:after="160"/>
      </w:pPr>
      <w:r>
        <w:rPr>
          <w:rFonts w:ascii="Arial" w:hAnsi="Arial"/>
          <w:b w:val="0"/>
          <w:i/>
          <w:color w:val="051C5C"/>
          <w:sz w:val="17"/>
        </w:rPr>
        <w:t>Sumber: [PLAT, hlm. 5–6; K, Bab 12.2], digambar ulang.</w:t>
      </w:r>
    </w:p>
    <w:p>
      <w:pPr>
        <w:pStyle w:val="Heading2"/>
      </w:pPr>
      <w:r>
        <w:t>14.3  Agen dan fungsi pengendalian proyek yang dilayani</w:t>
      </w:r>
    </w:p>
    <w:p>
      <w:pPr>
        <w:keepNext/>
        <w:spacing w:after="60"/>
      </w:pPr>
      <w:r>
        <w:rPr>
          <w:rFonts w:ascii="Arial" w:hAnsi="Arial"/>
          <w:b/>
          <w:color w:val="051C5C"/>
          <w:sz w:val="19"/>
        </w:rPr>
        <w:t xml:space="preserve">Tabel 37: </w:t>
      </w:r>
      <w:r>
        <w:rPr>
          <w:rFonts w:ascii="Arial" w:hAnsi="Arial"/>
          <w:color w:val="051C5C"/>
          <w:sz w:val="19"/>
        </w:rPr>
        <w:t>Agen prioritas dan hubungannya dengan area pengetahuan</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2353"/>
        <w:gridCol w:w="2353"/>
        <w:gridCol w:w="2353"/>
        <w:gridCol w:w="2353"/>
      </w:tblGrid>
      <w:tr>
        <w:trPr>
          <w:cantSplit/>
          <w:tblHeader/>
        </w:trPr>
        <w:tc>
          <w:tcPr>
            <w:tcW w:type="dxa" w:w="1961"/>
            <w:shd w:val="clear" w:color="auto" w:fill="2251FF"/>
            <w:vAlign w:val="center"/>
          </w:tcPr>
          <w:p>
            <w:pPr>
              <w:spacing w:after="20" w:before="20" w:line="252" w:lineRule="auto"/>
            </w:pPr>
            <w:r/>
            <w:r>
              <w:rPr>
                <w:rFonts w:ascii="Arial" w:hAnsi="Arial"/>
                <w:b/>
                <w:color w:val="FFFFFF"/>
                <w:sz w:val="16"/>
              </w:rPr>
              <w:t>Agen</w:t>
            </w:r>
          </w:p>
        </w:tc>
        <w:tc>
          <w:tcPr>
            <w:tcW w:type="dxa" w:w="2941"/>
            <w:shd w:val="clear" w:color="auto" w:fill="2251FF"/>
            <w:vAlign w:val="center"/>
          </w:tcPr>
          <w:p>
            <w:pPr>
              <w:spacing w:after="20" w:before="20" w:line="252" w:lineRule="auto"/>
            </w:pPr>
            <w:r/>
            <w:r>
              <w:rPr>
                <w:rFonts w:ascii="Arial" w:hAnsi="Arial"/>
                <w:b/>
                <w:color w:val="FFFFFF"/>
                <w:sz w:val="16"/>
              </w:rPr>
              <w:t>Fungsi (menurut sumber)</w:t>
            </w:r>
          </w:p>
        </w:tc>
        <w:tc>
          <w:tcPr>
            <w:tcW w:type="dxa" w:w="1765"/>
            <w:shd w:val="clear" w:color="auto" w:fill="2251FF"/>
            <w:vAlign w:val="center"/>
          </w:tcPr>
          <w:p>
            <w:pPr>
              <w:spacing w:after="20" w:before="20" w:line="252" w:lineRule="auto"/>
            </w:pPr>
            <w:r/>
            <w:r>
              <w:rPr>
                <w:rFonts w:ascii="Arial" w:hAnsi="Arial"/>
                <w:b/>
                <w:color w:val="FFFFFF"/>
                <w:sz w:val="16"/>
              </w:rPr>
              <w:t>Area manajemen proyek</w:t>
            </w:r>
          </w:p>
        </w:tc>
        <w:tc>
          <w:tcPr>
            <w:tcW w:type="dxa" w:w="2745"/>
            <w:shd w:val="clear" w:color="auto" w:fill="2251FF"/>
            <w:vAlign w:val="center"/>
          </w:tcPr>
          <w:p>
            <w:pPr>
              <w:spacing w:after="20" w:before="20" w:line="252" w:lineRule="auto"/>
            </w:pPr>
            <w:r/>
            <w:r>
              <w:rPr>
                <w:rFonts w:ascii="Arial" w:hAnsi="Arial"/>
                <w:b/>
                <w:color w:val="FFFFFF"/>
                <w:sz w:val="16"/>
              </w:rPr>
              <w:t>Aturan kendali yang dapat dikodekan</w:t>
            </w:r>
          </w:p>
        </w:tc>
      </w:tr>
      <w:tr>
        <w:trPr>
          <w:cantSplit/>
        </w:trPr>
        <w:tc>
          <w:tcPr>
            <w:tcW w:type="dxa" w:w="1961"/>
            <w:vAlign w:val="center"/>
          </w:tcPr>
          <w:p>
            <w:pPr>
              <w:spacing w:after="20" w:before="20" w:line="252" w:lineRule="auto"/>
            </w:pPr>
            <w:r/>
            <w:r>
              <w:rPr>
                <w:rFonts w:ascii="Arial" w:hAnsi="Arial"/>
                <w:b/>
                <w:sz w:val="16"/>
              </w:rPr>
              <w:t>Project Document Agent</w:t>
            </w:r>
          </w:p>
        </w:tc>
        <w:tc>
          <w:tcPr>
            <w:tcW w:type="dxa" w:w="2941"/>
            <w:vAlign w:val="center"/>
          </w:tcPr>
          <w:p>
            <w:pPr>
              <w:spacing w:after="20" w:before="20" w:line="252" w:lineRule="auto"/>
            </w:pPr>
            <w:r/>
            <w:r>
              <w:rPr>
                <w:rFonts w:ascii="Arial" w:hAnsi="Arial"/>
                <w:b w:val="0"/>
                <w:sz w:val="16"/>
              </w:rPr>
              <w:t>Ekstraksi dan klasifikasi kontrak, gambar, laporan</w:t>
            </w:r>
          </w:p>
        </w:tc>
        <w:tc>
          <w:tcPr>
            <w:tcW w:type="dxa" w:w="1765"/>
            <w:vAlign w:val="center"/>
          </w:tcPr>
          <w:p>
            <w:pPr>
              <w:spacing w:after="20" w:before="20" w:line="252" w:lineRule="auto"/>
            </w:pPr>
            <w:r/>
            <w:r>
              <w:rPr>
                <w:rFonts w:ascii="Arial" w:hAnsi="Arial"/>
                <w:b w:val="0"/>
                <w:sz w:val="16"/>
              </w:rPr>
              <w:t>Lingkup, kontrak, dokumentasi</w:t>
            </w:r>
          </w:p>
        </w:tc>
        <w:tc>
          <w:tcPr>
            <w:tcW w:type="dxa" w:w="2745"/>
            <w:vAlign w:val="center"/>
          </w:tcPr>
          <w:p>
            <w:pPr>
              <w:spacing w:after="20" w:before="20" w:line="252" w:lineRule="auto"/>
            </w:pPr>
            <w:r/>
            <w:r>
              <w:rPr>
                <w:rFonts w:ascii="Arial" w:hAnsi="Arial"/>
                <w:b w:val="0"/>
                <w:sz w:val="16"/>
              </w:rPr>
              <w:t>Daftar kewajiban kontrak; tenggat pemberitahuan klaim</w:t>
            </w:r>
          </w:p>
        </w:tc>
      </w:tr>
      <w:tr>
        <w:trPr>
          <w:cantSplit/>
        </w:trPr>
        <w:tc>
          <w:tcPr>
            <w:tcW w:type="dxa" w:w="1961"/>
            <w:shd w:val="clear" w:color="auto" w:fill="E6ECFD"/>
            <w:vAlign w:val="center"/>
          </w:tcPr>
          <w:p>
            <w:pPr>
              <w:spacing w:after="20" w:before="20" w:line="252" w:lineRule="auto"/>
            </w:pPr>
            <w:r/>
            <w:r>
              <w:rPr>
                <w:rFonts w:ascii="Arial" w:hAnsi="Arial"/>
                <w:b/>
                <w:sz w:val="16"/>
              </w:rPr>
              <w:t>Cost Agent</w:t>
            </w:r>
          </w:p>
        </w:tc>
        <w:tc>
          <w:tcPr>
            <w:tcW w:type="dxa" w:w="2941"/>
            <w:shd w:val="clear" w:color="auto" w:fill="E6ECFD"/>
            <w:vAlign w:val="center"/>
          </w:tcPr>
          <w:p>
            <w:pPr>
              <w:spacing w:after="20" w:before="20" w:line="252" w:lineRule="auto"/>
            </w:pPr>
            <w:r/>
            <w:r>
              <w:rPr>
                <w:rFonts w:ascii="Arial" w:hAnsi="Arial"/>
                <w:b w:val="0"/>
                <w:sz w:val="16"/>
              </w:rPr>
              <w:t>Estimasi biaya independen dari data historis dan harga pasar; deteksi risiko biaya</w:t>
            </w:r>
          </w:p>
        </w:tc>
        <w:tc>
          <w:tcPr>
            <w:tcW w:type="dxa" w:w="1765"/>
            <w:shd w:val="clear" w:color="auto" w:fill="E6ECFD"/>
            <w:vAlign w:val="center"/>
          </w:tcPr>
          <w:p>
            <w:pPr>
              <w:spacing w:after="20" w:before="20" w:line="252" w:lineRule="auto"/>
            </w:pPr>
            <w:r/>
            <w:r>
              <w:rPr>
                <w:rFonts w:ascii="Arial" w:hAnsi="Arial"/>
                <w:b w:val="0"/>
                <w:sz w:val="16"/>
              </w:rPr>
              <w:t>Biaya</w:t>
            </w:r>
          </w:p>
        </w:tc>
        <w:tc>
          <w:tcPr>
            <w:tcW w:type="dxa" w:w="2745"/>
            <w:shd w:val="clear" w:color="auto" w:fill="E6ECFD"/>
            <w:vAlign w:val="center"/>
          </w:tcPr>
          <w:p>
            <w:pPr>
              <w:spacing w:after="20" w:before="20" w:line="252" w:lineRule="auto"/>
            </w:pPr>
            <w:r/>
            <w:r>
              <w:rPr>
                <w:rFonts w:ascii="Arial" w:hAnsi="Arial"/>
                <w:b w:val="0"/>
                <w:sz w:val="16"/>
              </w:rPr>
              <w:t>Rantai estimasi → anggaran → komitmen → aktual; tren dan EAC</w:t>
            </w:r>
          </w:p>
        </w:tc>
      </w:tr>
      <w:tr>
        <w:trPr>
          <w:cantSplit/>
        </w:trPr>
        <w:tc>
          <w:tcPr>
            <w:tcW w:type="dxa" w:w="1961"/>
            <w:vAlign w:val="center"/>
          </w:tcPr>
          <w:p>
            <w:pPr>
              <w:spacing w:after="20" w:before="20" w:line="252" w:lineRule="auto"/>
            </w:pPr>
            <w:r/>
            <w:r>
              <w:rPr>
                <w:rFonts w:ascii="Arial" w:hAnsi="Arial"/>
                <w:b/>
                <w:sz w:val="16"/>
              </w:rPr>
              <w:t>Cash and Receivables Agent</w:t>
            </w:r>
          </w:p>
        </w:tc>
        <w:tc>
          <w:tcPr>
            <w:tcW w:type="dxa" w:w="2941"/>
            <w:vAlign w:val="center"/>
          </w:tcPr>
          <w:p>
            <w:pPr>
              <w:spacing w:after="20" w:before="20" w:line="252" w:lineRule="auto"/>
            </w:pPr>
            <w:r/>
            <w:r>
              <w:rPr>
                <w:rFonts w:ascii="Arial" w:hAnsi="Arial"/>
                <w:b w:val="0"/>
                <w:sz w:val="16"/>
              </w:rPr>
              <w:t>Pemantauan faktur dan sertifikat; deteksi keterlambatan; prediksi gagal bayar</w:t>
            </w:r>
          </w:p>
        </w:tc>
        <w:tc>
          <w:tcPr>
            <w:tcW w:type="dxa" w:w="1765"/>
            <w:vAlign w:val="center"/>
          </w:tcPr>
          <w:p>
            <w:pPr>
              <w:spacing w:after="20" w:before="20" w:line="252" w:lineRule="auto"/>
            </w:pPr>
            <w:r/>
            <w:r>
              <w:rPr>
                <w:rFonts w:ascii="Arial" w:hAnsi="Arial"/>
                <w:b w:val="0"/>
                <w:sz w:val="16"/>
              </w:rPr>
              <w:t>Biaya, kontrak, kas</w:t>
            </w:r>
          </w:p>
        </w:tc>
        <w:tc>
          <w:tcPr>
            <w:tcW w:type="dxa" w:w="2745"/>
            <w:vAlign w:val="center"/>
          </w:tcPr>
          <w:p>
            <w:pPr>
              <w:spacing w:after="20" w:before="20" w:line="252" w:lineRule="auto"/>
            </w:pPr>
            <w:r/>
            <w:r>
              <w:rPr>
                <w:rFonts w:ascii="Arial" w:hAnsi="Arial"/>
                <w:b w:val="0"/>
                <w:sz w:val="16"/>
              </w:rPr>
              <w:t>Umur piutang; pekerjaan belum ditagih; retensi; DSO</w:t>
            </w:r>
          </w:p>
        </w:tc>
      </w:tr>
      <w:tr>
        <w:trPr>
          <w:cantSplit/>
        </w:trPr>
        <w:tc>
          <w:tcPr>
            <w:tcW w:type="dxa" w:w="1961"/>
            <w:shd w:val="clear" w:color="auto" w:fill="E6ECFD"/>
            <w:vAlign w:val="center"/>
          </w:tcPr>
          <w:p>
            <w:pPr>
              <w:spacing w:after="20" w:before="20" w:line="252" w:lineRule="auto"/>
            </w:pPr>
            <w:r/>
            <w:r>
              <w:rPr>
                <w:rFonts w:ascii="Arial" w:hAnsi="Arial"/>
                <w:b/>
                <w:sz w:val="16"/>
              </w:rPr>
              <w:t>Procurement Agent</w:t>
            </w:r>
          </w:p>
        </w:tc>
        <w:tc>
          <w:tcPr>
            <w:tcW w:type="dxa" w:w="2941"/>
            <w:shd w:val="clear" w:color="auto" w:fill="E6ECFD"/>
            <w:vAlign w:val="center"/>
          </w:tcPr>
          <w:p>
            <w:pPr>
              <w:spacing w:after="20" w:before="20" w:line="252" w:lineRule="auto"/>
            </w:pPr>
            <w:r/>
            <w:r>
              <w:rPr>
                <w:rFonts w:ascii="Arial" w:hAnsi="Arial"/>
                <w:b w:val="0"/>
                <w:sz w:val="16"/>
              </w:rPr>
              <w:t>Analisis pemasok dan harga; risiko pemasok; pemantauan kontrak dan pengiriman</w:t>
            </w:r>
          </w:p>
        </w:tc>
        <w:tc>
          <w:tcPr>
            <w:tcW w:type="dxa" w:w="1765"/>
            <w:shd w:val="clear" w:color="auto" w:fill="E6ECFD"/>
            <w:vAlign w:val="center"/>
          </w:tcPr>
          <w:p>
            <w:pPr>
              <w:spacing w:after="20" w:before="20" w:line="252" w:lineRule="auto"/>
            </w:pPr>
            <w:r/>
            <w:r>
              <w:rPr>
                <w:rFonts w:ascii="Arial" w:hAnsi="Arial"/>
                <w:b w:val="0"/>
                <w:sz w:val="16"/>
              </w:rPr>
              <w:t>Pengadaan</w:t>
            </w:r>
          </w:p>
        </w:tc>
        <w:tc>
          <w:tcPr>
            <w:tcW w:type="dxa" w:w="2745"/>
            <w:shd w:val="clear" w:color="auto" w:fill="E6ECFD"/>
            <w:vAlign w:val="center"/>
          </w:tcPr>
          <w:p>
            <w:pPr>
              <w:spacing w:after="20" w:before="20" w:line="252" w:lineRule="auto"/>
            </w:pPr>
            <w:r/>
            <w:r>
              <w:rPr>
                <w:rFonts w:ascii="Arial" w:hAnsi="Arial"/>
                <w:b w:val="0"/>
                <w:sz w:val="16"/>
              </w:rPr>
              <w:t>Tiga pemeriksaan PR; pencocokan tiga arah; lead time</w:t>
            </w:r>
          </w:p>
        </w:tc>
      </w:tr>
      <w:tr>
        <w:trPr>
          <w:cantSplit/>
        </w:trPr>
        <w:tc>
          <w:tcPr>
            <w:tcW w:type="dxa" w:w="1961"/>
            <w:vAlign w:val="center"/>
          </w:tcPr>
          <w:p>
            <w:pPr>
              <w:spacing w:after="20" w:before="20" w:line="252" w:lineRule="auto"/>
            </w:pPr>
            <w:r/>
            <w:r>
              <w:rPr>
                <w:rFonts w:ascii="Arial" w:hAnsi="Arial"/>
                <w:b/>
                <w:sz w:val="16"/>
              </w:rPr>
              <w:t>Schedule Agent</w:t>
            </w:r>
          </w:p>
        </w:tc>
        <w:tc>
          <w:tcPr>
            <w:tcW w:type="dxa" w:w="2941"/>
            <w:vAlign w:val="center"/>
          </w:tcPr>
          <w:p>
            <w:pPr>
              <w:spacing w:after="20" w:before="20" w:line="252" w:lineRule="auto"/>
            </w:pPr>
            <w:r/>
            <w:r>
              <w:rPr>
                <w:rFonts w:ascii="Arial" w:hAnsi="Arial"/>
                <w:b w:val="0"/>
                <w:sz w:val="16"/>
              </w:rPr>
              <w:t>Kemajuan fisik terhadap rencana; analisis keterlambatan; dampak ke biaya dan margin</w:t>
            </w:r>
          </w:p>
        </w:tc>
        <w:tc>
          <w:tcPr>
            <w:tcW w:type="dxa" w:w="1765"/>
            <w:vAlign w:val="center"/>
          </w:tcPr>
          <w:p>
            <w:pPr>
              <w:spacing w:after="20" w:before="20" w:line="252" w:lineRule="auto"/>
            </w:pPr>
            <w:r/>
            <w:r>
              <w:rPr>
                <w:rFonts w:ascii="Arial" w:hAnsi="Arial"/>
                <w:b w:val="0"/>
                <w:sz w:val="16"/>
              </w:rPr>
              <w:t>Jadwal</w:t>
            </w:r>
          </w:p>
        </w:tc>
        <w:tc>
          <w:tcPr>
            <w:tcW w:type="dxa" w:w="2745"/>
            <w:vAlign w:val="center"/>
          </w:tcPr>
          <w:p>
            <w:pPr>
              <w:spacing w:after="20" w:before="20" w:line="252" w:lineRule="auto"/>
            </w:pPr>
            <w:r/>
            <w:r>
              <w:rPr>
                <w:rFonts w:ascii="Arial" w:hAnsi="Arial"/>
                <w:b w:val="0"/>
                <w:sz w:val="16"/>
              </w:rPr>
              <w:t>SPI; perubahan jalur kritis; item lead time panjang</w:t>
            </w:r>
          </w:p>
        </w:tc>
      </w:tr>
      <w:tr>
        <w:trPr>
          <w:cantSplit/>
        </w:trPr>
        <w:tc>
          <w:tcPr>
            <w:tcW w:type="dxa" w:w="1961"/>
            <w:shd w:val="clear" w:color="auto" w:fill="E6ECFD"/>
            <w:vAlign w:val="center"/>
          </w:tcPr>
          <w:p>
            <w:pPr>
              <w:spacing w:after="20" w:before="20" w:line="252" w:lineRule="auto"/>
            </w:pPr>
            <w:r/>
            <w:r>
              <w:rPr>
                <w:rFonts w:ascii="Arial" w:hAnsi="Arial"/>
                <w:b/>
                <w:sz w:val="16"/>
              </w:rPr>
              <w:t>Project Manager Orchestrator</w:t>
            </w:r>
          </w:p>
        </w:tc>
        <w:tc>
          <w:tcPr>
            <w:tcW w:type="dxa" w:w="2941"/>
            <w:shd w:val="clear" w:color="auto" w:fill="E6ECFD"/>
            <w:vAlign w:val="center"/>
          </w:tcPr>
          <w:p>
            <w:pPr>
              <w:spacing w:after="20" w:before="20" w:line="252" w:lineRule="auto"/>
            </w:pPr>
            <w:r/>
            <w:r>
              <w:rPr>
                <w:rFonts w:ascii="Arial" w:hAnsi="Arial"/>
                <w:b w:val="0"/>
                <w:sz w:val="16"/>
              </w:rPr>
              <w:t>Mengoordinasikan agen, menyelesaikan konflik keluaran, eskalasi ke manusia</w:t>
            </w:r>
          </w:p>
        </w:tc>
        <w:tc>
          <w:tcPr>
            <w:tcW w:type="dxa" w:w="1765"/>
            <w:shd w:val="clear" w:color="auto" w:fill="E6ECFD"/>
            <w:vAlign w:val="center"/>
          </w:tcPr>
          <w:p>
            <w:pPr>
              <w:spacing w:after="20" w:before="20" w:line="252" w:lineRule="auto"/>
            </w:pPr>
            <w:r/>
            <w:r>
              <w:rPr>
                <w:rFonts w:ascii="Arial" w:hAnsi="Arial"/>
                <w:b w:val="0"/>
                <w:sz w:val="16"/>
              </w:rPr>
              <w:t>Integrasi</w:t>
            </w:r>
          </w:p>
        </w:tc>
        <w:tc>
          <w:tcPr>
            <w:tcW w:type="dxa" w:w="2745"/>
            <w:shd w:val="clear" w:color="auto" w:fill="E6ECFD"/>
            <w:vAlign w:val="center"/>
          </w:tcPr>
          <w:p>
            <w:pPr>
              <w:spacing w:after="20" w:before="20" w:line="252" w:lineRule="auto"/>
            </w:pPr>
            <w:r/>
            <w:r>
              <w:rPr>
                <w:rFonts w:ascii="Arial" w:hAnsi="Arial"/>
                <w:b w:val="0"/>
                <w:sz w:val="16"/>
              </w:rPr>
              <w:t>Prioritas; klasifikasi Hijau/Kuning/Merah/Hitam</w:t>
            </w:r>
          </w:p>
        </w:tc>
      </w:tr>
      <w:tr>
        <w:trPr>
          <w:cantSplit/>
        </w:trPr>
        <w:tc>
          <w:tcPr>
            <w:tcW w:type="dxa" w:w="1961"/>
            <w:vAlign w:val="center"/>
          </w:tcPr>
          <w:p>
            <w:pPr>
              <w:spacing w:after="20" w:before="20" w:line="252" w:lineRule="auto"/>
            </w:pPr>
            <w:r/>
            <w:r>
              <w:rPr>
                <w:rFonts w:ascii="Arial" w:hAnsi="Arial"/>
                <w:b/>
                <w:sz w:val="16"/>
              </w:rPr>
              <w:t>Agen Risiko Portofolio</w:t>
            </w:r>
          </w:p>
        </w:tc>
        <w:tc>
          <w:tcPr>
            <w:tcW w:type="dxa" w:w="2941"/>
            <w:vAlign w:val="center"/>
          </w:tcPr>
          <w:p>
            <w:pPr>
              <w:spacing w:after="20" w:before="20" w:line="252" w:lineRule="auto"/>
            </w:pPr>
            <w:r/>
            <w:r>
              <w:rPr>
                <w:rFonts w:ascii="Arial" w:hAnsi="Arial"/>
                <w:b w:val="0"/>
                <w:sz w:val="16"/>
              </w:rPr>
              <w:t>Peringkat proyek dan anak usaha menurut risiko; deteksi dini kerugian; rencana pemulihan</w:t>
            </w:r>
          </w:p>
        </w:tc>
        <w:tc>
          <w:tcPr>
            <w:tcW w:type="dxa" w:w="1765"/>
            <w:vAlign w:val="center"/>
          </w:tcPr>
          <w:p>
            <w:pPr>
              <w:spacing w:after="20" w:before="20" w:line="252" w:lineRule="auto"/>
            </w:pPr>
            <w:r/>
            <w:r>
              <w:rPr>
                <w:rFonts w:ascii="Arial" w:hAnsi="Arial"/>
                <w:b w:val="0"/>
                <w:sz w:val="16"/>
              </w:rPr>
              <w:t>Risiko, portofolio</w:t>
            </w:r>
          </w:p>
        </w:tc>
        <w:tc>
          <w:tcPr>
            <w:tcW w:type="dxa" w:w="2745"/>
            <w:vAlign w:val="center"/>
          </w:tcPr>
          <w:p>
            <w:pPr>
              <w:spacing w:after="20" w:before="20" w:line="252" w:lineRule="auto"/>
            </w:pPr>
            <w:r/>
            <w:r>
              <w:rPr>
                <w:rFonts w:ascii="Arial" w:hAnsi="Arial"/>
                <w:b w:val="0"/>
                <w:sz w:val="16"/>
              </w:rPr>
              <w:t>Ambang risiko; eskalasi</w:t>
            </w:r>
          </w:p>
        </w:tc>
      </w:tr>
      <w:tr>
        <w:trPr>
          <w:cantSplit/>
        </w:trPr>
        <w:tc>
          <w:tcPr>
            <w:tcW w:type="dxa" w:w="1961"/>
            <w:shd w:val="clear" w:color="auto" w:fill="E6ECFD"/>
            <w:vAlign w:val="center"/>
          </w:tcPr>
          <w:p>
            <w:pPr>
              <w:spacing w:after="20" w:before="20" w:line="252" w:lineRule="auto"/>
            </w:pPr>
            <w:r/>
            <w:r>
              <w:rPr>
                <w:rFonts w:ascii="Arial" w:hAnsi="Arial"/>
                <w:b/>
                <w:sz w:val="16"/>
              </w:rPr>
              <w:t>Agen Bid / No-Bid</w:t>
            </w:r>
          </w:p>
        </w:tc>
        <w:tc>
          <w:tcPr>
            <w:tcW w:type="dxa" w:w="2941"/>
            <w:shd w:val="clear" w:color="auto" w:fill="E6ECFD"/>
            <w:vAlign w:val="center"/>
          </w:tcPr>
          <w:p>
            <w:pPr>
              <w:spacing w:after="20" w:before="20" w:line="252" w:lineRule="auto"/>
            </w:pPr>
            <w:r/>
            <w:r>
              <w:rPr>
                <w:rFonts w:ascii="Arial" w:hAnsi="Arial"/>
                <w:b w:val="0"/>
                <w:sz w:val="16"/>
              </w:rPr>
              <w:t>Kelayakan tender; margin historis; risiko kontrak; kebutuhan modal kerja; simulasi skenario</w:t>
            </w:r>
          </w:p>
        </w:tc>
        <w:tc>
          <w:tcPr>
            <w:tcW w:type="dxa" w:w="1765"/>
            <w:shd w:val="clear" w:color="auto" w:fill="E6ECFD"/>
            <w:vAlign w:val="center"/>
          </w:tcPr>
          <w:p>
            <w:pPr>
              <w:spacing w:after="20" w:before="20" w:line="252" w:lineRule="auto"/>
            </w:pPr>
            <w:r/>
            <w:r>
              <w:rPr>
                <w:rFonts w:ascii="Arial" w:hAnsi="Arial"/>
                <w:b w:val="0"/>
                <w:sz w:val="16"/>
              </w:rPr>
              <w:t>Pengadaan (sisi penjual), risiko</w:t>
            </w:r>
          </w:p>
        </w:tc>
        <w:tc>
          <w:tcPr>
            <w:tcW w:type="dxa" w:w="2745"/>
            <w:shd w:val="clear" w:color="auto" w:fill="E6ECFD"/>
            <w:vAlign w:val="center"/>
          </w:tcPr>
          <w:p>
            <w:pPr>
              <w:spacing w:after="20" w:before="20" w:line="252" w:lineRule="auto"/>
            </w:pPr>
            <w:r/>
            <w:r>
              <w:rPr>
                <w:rFonts w:ascii="Arial" w:hAnsi="Arial"/>
                <w:b w:val="0"/>
                <w:sz w:val="16"/>
              </w:rPr>
              <w:t>Margin minimum disesuaikan risiko; jaminan pembayaran</w:t>
            </w:r>
          </w:p>
        </w:tc>
      </w:tr>
    </w:tbl>
    <w:p>
      <w:pPr>
        <w:spacing w:after="160"/>
      </w:pPr>
      <w:r>
        <w:rPr>
          <w:rFonts w:ascii="Arial" w:hAnsi="Arial"/>
          <w:b w:val="0"/>
          <w:i/>
          <w:color w:val="051C5C"/>
          <w:sz w:val="17"/>
        </w:rPr>
        <w:t>Sumber: [PLAT, hlm. 5–7; K, Bab 12.3, Lampiran C]. Kolom aturan kendali adalah penerapan dari [EPC, §4–§7] dan analisis penulis.</w:t>
      </w:r>
    </w:p>
    <w:p>
      <w:pPr>
        <w:jc w:val="both"/>
      </w:pPr>
      <w:r>
        <w:rPr>
          <w:rFonts w:ascii="Arial" w:hAnsi="Arial"/>
          <w:b w:val="0"/>
        </w:rPr>
        <w:t xml:space="preserve">Perhatikan bahwa kolom keempat menunjukkan bahwa kecerdasan agen sebagian besar adalah </w:t>
      </w:r>
      <w:r>
        <w:rPr>
          <w:rFonts w:ascii="Arial" w:hAnsi="Arial"/>
          <w:b/>
        </w:rPr>
        <w:t>disiplin proses yang dikodekan</w:t>
      </w:r>
      <w:r>
        <w:rPr>
          <w:rFonts w:ascii="Arial" w:hAnsi="Arial"/>
          <w:b w:val="0"/>
        </w:rPr>
        <w:t>. Kajian merekomendasikan agar rilis pertama mengodekan rantai anggaran EPC standar (estimasi, anggaran, komitmen, aktual, kas), tiga pemeriksaan pada permintaan pembelian, pencocokan tiga arah, nilai terhasil, dan perlindungan pendapatan (pekerjaan belum ditagih, perubahan belum disetujui, retensi, pengembalian uang muka) [K, Bab 12.4].</w:t>
      </w:r>
    </w:p>
    <w:p>
      <w:pPr>
        <w:pStyle w:val="Heading2"/>
      </w:pPr>
      <w:r>
        <w:t>14.4  Klasifikasi risiko dan otonomi bertingkat</w:t>
      </w:r>
    </w:p>
    <w:p>
      <w:pPr>
        <w:jc w:val="both"/>
      </w:pPr>
      <w:r>
        <w:rPr>
          <w:rFonts w:ascii="Arial" w:hAnsi="Arial"/>
          <w:b w:val="0"/>
        </w:rPr>
        <w:t>Agen portofolio mengklasifikasikan proyek menjadi Hijau, Kuning, Merah, dan Hitam [PLAT, hlm. 5]. Sumber tidak menetapkan ambang; berikut contoh aturan yang bersifat ilustratif untuk didiskusikan.</w:t>
      </w:r>
    </w:p>
    <w:p>
      <w:pPr>
        <w:keepNext/>
        <w:spacing w:after="60"/>
      </w:pPr>
      <w:r>
        <w:rPr>
          <w:rFonts w:ascii="Arial" w:hAnsi="Arial"/>
          <w:b/>
          <w:color w:val="051C5C"/>
          <w:sz w:val="19"/>
        </w:rPr>
        <w:t xml:space="preserve">Tabel 38: </w:t>
      </w:r>
      <w:r>
        <w:rPr>
          <w:rFonts w:ascii="Arial" w:hAnsi="Arial"/>
          <w:color w:val="051C5C"/>
          <w:sz w:val="19"/>
        </w:rPr>
        <w:t>Contoh aturan klasifikasi proyek (ilustratif, tidak ada dalam sumber)</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1176"/>
            <w:shd w:val="clear" w:color="auto" w:fill="2251FF"/>
            <w:vAlign w:val="center"/>
          </w:tcPr>
          <w:p>
            <w:pPr>
              <w:spacing w:after="20" w:before="20" w:line="252" w:lineRule="auto"/>
            </w:pPr>
            <w:r/>
            <w:r>
              <w:rPr>
                <w:rFonts w:ascii="Arial" w:hAnsi="Arial"/>
                <w:b/>
                <w:color w:val="FFFFFF"/>
                <w:sz w:val="17"/>
              </w:rPr>
              <w:t>Kelas</w:t>
            </w:r>
          </w:p>
        </w:tc>
        <w:tc>
          <w:tcPr>
            <w:tcW w:type="dxa" w:w="5098"/>
            <w:shd w:val="clear" w:color="auto" w:fill="2251FF"/>
            <w:vAlign w:val="center"/>
          </w:tcPr>
          <w:p>
            <w:pPr>
              <w:spacing w:after="20" w:before="20" w:line="252" w:lineRule="auto"/>
            </w:pPr>
            <w:r/>
            <w:r>
              <w:rPr>
                <w:rFonts w:ascii="Arial" w:hAnsi="Arial"/>
                <w:b/>
                <w:color w:val="FFFFFF"/>
                <w:sz w:val="17"/>
              </w:rPr>
              <w:t>Indikator contoh</w:t>
            </w:r>
          </w:p>
        </w:tc>
        <w:tc>
          <w:tcPr>
            <w:tcW w:type="dxa" w:w="3137"/>
            <w:shd w:val="clear" w:color="auto" w:fill="2251FF"/>
            <w:vAlign w:val="center"/>
          </w:tcPr>
          <w:p>
            <w:pPr>
              <w:spacing w:after="20" w:before="20" w:line="252" w:lineRule="auto"/>
            </w:pPr>
            <w:r/>
            <w:r>
              <w:rPr>
                <w:rFonts w:ascii="Arial" w:hAnsi="Arial"/>
                <w:b/>
                <w:color w:val="FFFFFF"/>
                <w:sz w:val="17"/>
              </w:rPr>
              <w:t>Respons</w:t>
            </w:r>
          </w:p>
        </w:tc>
      </w:tr>
      <w:tr>
        <w:trPr>
          <w:cantSplit/>
        </w:trPr>
        <w:tc>
          <w:tcPr>
            <w:tcW w:type="dxa" w:w="1176"/>
            <w:vAlign w:val="center"/>
          </w:tcPr>
          <w:p>
            <w:pPr>
              <w:spacing w:after="20" w:before="20" w:line="252" w:lineRule="auto"/>
            </w:pPr>
            <w:r/>
            <w:r>
              <w:rPr>
                <w:rFonts w:ascii="Arial" w:hAnsi="Arial"/>
                <w:b/>
                <w:sz w:val="17"/>
              </w:rPr>
              <w:t>Hijau</w:t>
            </w:r>
          </w:p>
        </w:tc>
        <w:tc>
          <w:tcPr>
            <w:tcW w:type="dxa" w:w="5098"/>
            <w:vAlign w:val="center"/>
          </w:tcPr>
          <w:p>
            <w:pPr>
              <w:spacing w:after="20" w:before="20" w:line="252" w:lineRule="auto"/>
            </w:pPr>
            <w:r/>
            <w:r>
              <w:rPr>
                <w:rFonts w:ascii="Arial" w:hAnsi="Arial"/>
                <w:b w:val="0"/>
                <w:sz w:val="17"/>
              </w:rPr>
              <w:t>CPI dan SPI ≥ 0,95; DSO dalam batas; tidak ada risiko kritis terbuka</w:t>
            </w:r>
          </w:p>
        </w:tc>
        <w:tc>
          <w:tcPr>
            <w:tcW w:type="dxa" w:w="3137"/>
            <w:vAlign w:val="center"/>
          </w:tcPr>
          <w:p>
            <w:pPr>
              <w:spacing w:after="20" w:before="20" w:line="252" w:lineRule="auto"/>
            </w:pPr>
            <w:r/>
            <w:r>
              <w:rPr>
                <w:rFonts w:ascii="Arial" w:hAnsi="Arial"/>
                <w:b w:val="0"/>
                <w:sz w:val="17"/>
              </w:rPr>
              <w:t>Pemantauan rutin</w:t>
            </w:r>
          </w:p>
        </w:tc>
      </w:tr>
      <w:tr>
        <w:trPr>
          <w:cantSplit/>
        </w:trPr>
        <w:tc>
          <w:tcPr>
            <w:tcW w:type="dxa" w:w="1176"/>
            <w:shd w:val="clear" w:color="auto" w:fill="E6ECFD"/>
            <w:vAlign w:val="center"/>
          </w:tcPr>
          <w:p>
            <w:pPr>
              <w:spacing w:after="20" w:before="20" w:line="252" w:lineRule="auto"/>
            </w:pPr>
            <w:r/>
            <w:r>
              <w:rPr>
                <w:rFonts w:ascii="Arial" w:hAnsi="Arial"/>
                <w:b/>
                <w:sz w:val="17"/>
              </w:rPr>
              <w:t>Kuning</w:t>
            </w:r>
          </w:p>
        </w:tc>
        <w:tc>
          <w:tcPr>
            <w:tcW w:type="dxa" w:w="5098"/>
            <w:shd w:val="clear" w:color="auto" w:fill="E6ECFD"/>
            <w:vAlign w:val="center"/>
          </w:tcPr>
          <w:p>
            <w:pPr>
              <w:spacing w:after="20" w:before="20" w:line="252" w:lineRule="auto"/>
            </w:pPr>
            <w:r/>
            <w:r>
              <w:rPr>
                <w:rFonts w:ascii="Arial" w:hAnsi="Arial"/>
                <w:b w:val="0"/>
                <w:sz w:val="17"/>
              </w:rPr>
              <w:t>CPI atau SPI 0,90–0,95; piutang jatuh tempo meningkat; satu risiko tinggi terbuka</w:t>
            </w:r>
          </w:p>
        </w:tc>
        <w:tc>
          <w:tcPr>
            <w:tcW w:type="dxa" w:w="3137"/>
            <w:shd w:val="clear" w:color="auto" w:fill="E6ECFD"/>
            <w:vAlign w:val="center"/>
          </w:tcPr>
          <w:p>
            <w:pPr>
              <w:spacing w:after="20" w:before="20" w:line="252" w:lineRule="auto"/>
            </w:pPr>
            <w:r/>
            <w:r>
              <w:rPr>
                <w:rFonts w:ascii="Arial" w:hAnsi="Arial"/>
                <w:b w:val="0"/>
                <w:sz w:val="17"/>
              </w:rPr>
              <w:t>Rencana perbaikan di tingkat proyek</w:t>
            </w:r>
          </w:p>
        </w:tc>
      </w:tr>
      <w:tr>
        <w:trPr>
          <w:cantSplit/>
        </w:trPr>
        <w:tc>
          <w:tcPr>
            <w:tcW w:type="dxa" w:w="1176"/>
            <w:vAlign w:val="center"/>
          </w:tcPr>
          <w:p>
            <w:pPr>
              <w:spacing w:after="20" w:before="20" w:line="252" w:lineRule="auto"/>
            </w:pPr>
            <w:r/>
            <w:r>
              <w:rPr>
                <w:rFonts w:ascii="Arial" w:hAnsi="Arial"/>
                <w:b/>
                <w:sz w:val="17"/>
              </w:rPr>
              <w:t>Merah</w:t>
            </w:r>
          </w:p>
        </w:tc>
        <w:tc>
          <w:tcPr>
            <w:tcW w:type="dxa" w:w="5098"/>
            <w:vAlign w:val="center"/>
          </w:tcPr>
          <w:p>
            <w:pPr>
              <w:spacing w:after="20" w:before="20" w:line="252" w:lineRule="auto"/>
            </w:pPr>
            <w:r/>
            <w:r>
              <w:rPr>
                <w:rFonts w:ascii="Arial" w:hAnsi="Arial"/>
                <w:b w:val="0"/>
                <w:sz w:val="17"/>
              </w:rPr>
              <w:t>CPI atau SPI &lt; 0,90; arus kas negatif; klaim besar tanpa penyelesaian</w:t>
            </w:r>
          </w:p>
        </w:tc>
        <w:tc>
          <w:tcPr>
            <w:tcW w:type="dxa" w:w="3137"/>
            <w:vAlign w:val="center"/>
          </w:tcPr>
          <w:p>
            <w:pPr>
              <w:spacing w:after="20" w:before="20" w:line="252" w:lineRule="auto"/>
            </w:pPr>
            <w:r/>
            <w:r>
              <w:rPr>
                <w:rFonts w:ascii="Arial" w:hAnsi="Arial"/>
                <w:b w:val="0"/>
                <w:sz w:val="17"/>
              </w:rPr>
              <w:t>Eskalasi ke COO dan komite risiko; rencana pemulihan</w:t>
            </w:r>
          </w:p>
        </w:tc>
      </w:tr>
      <w:tr>
        <w:trPr>
          <w:cantSplit/>
        </w:trPr>
        <w:tc>
          <w:tcPr>
            <w:tcW w:type="dxa" w:w="1176"/>
            <w:shd w:val="clear" w:color="auto" w:fill="E6ECFD"/>
            <w:vAlign w:val="center"/>
          </w:tcPr>
          <w:p>
            <w:pPr>
              <w:spacing w:after="20" w:before="20" w:line="252" w:lineRule="auto"/>
            </w:pPr>
            <w:r/>
            <w:r>
              <w:rPr>
                <w:rFonts w:ascii="Arial" w:hAnsi="Arial"/>
                <w:b/>
                <w:sz w:val="17"/>
              </w:rPr>
              <w:t>Hitam</w:t>
            </w:r>
          </w:p>
        </w:tc>
        <w:tc>
          <w:tcPr>
            <w:tcW w:type="dxa" w:w="5098"/>
            <w:shd w:val="clear" w:color="auto" w:fill="E6ECFD"/>
            <w:vAlign w:val="center"/>
          </w:tcPr>
          <w:p>
            <w:pPr>
              <w:spacing w:after="20" w:before="20" w:line="252" w:lineRule="auto"/>
            </w:pPr>
            <w:r/>
            <w:r>
              <w:rPr>
                <w:rFonts w:ascii="Arial" w:hAnsi="Arial"/>
                <w:b w:val="0"/>
                <w:sz w:val="17"/>
              </w:rPr>
              <w:t>Ancaman keberlanjutan proyek atau perusahaan; kegagalan kontraktor; pelanggaran keselamatan serius</w:t>
            </w:r>
          </w:p>
        </w:tc>
        <w:tc>
          <w:tcPr>
            <w:tcW w:type="dxa" w:w="3137"/>
            <w:shd w:val="clear" w:color="auto" w:fill="E6ECFD"/>
            <w:vAlign w:val="center"/>
          </w:tcPr>
          <w:p>
            <w:pPr>
              <w:spacing w:after="20" w:before="20" w:line="252" w:lineRule="auto"/>
            </w:pPr>
            <w:r/>
            <w:r>
              <w:rPr>
                <w:rFonts w:ascii="Arial" w:hAnsi="Arial"/>
                <w:b w:val="0"/>
                <w:sz w:val="17"/>
              </w:rPr>
              <w:t>Tinjauan Dewan; opsi hentikan, restrukturisasi, atau keluar</w:t>
            </w:r>
          </w:p>
        </w:tc>
      </w:tr>
    </w:tbl>
    <w:p>
      <w:pPr>
        <w:spacing w:after="160"/>
      </w:pPr>
      <w:r>
        <w:rPr>
          <w:rFonts w:ascii="Arial" w:hAnsi="Arial"/>
          <w:b w:val="0"/>
          <w:i/>
          <w:color w:val="051C5C"/>
          <w:sz w:val="17"/>
        </w:rPr>
        <w:t>Ambang adalah ilustrasi penulis; penetapan ambang memerlukan baseline per jenis proyek.</w:t>
      </w:r>
    </w:p>
    <w:p>
      <w:pPr>
        <w:keepNext/>
        <w:spacing w:after="60"/>
      </w:pPr>
      <w:r>
        <w:rPr>
          <w:rFonts w:ascii="Arial" w:hAnsi="Arial"/>
          <w:b/>
          <w:color w:val="051C5C"/>
          <w:sz w:val="19"/>
        </w:rPr>
        <w:t xml:space="preserve">Tabel 39: </w:t>
      </w:r>
      <w:r>
        <w:rPr>
          <w:rFonts w:ascii="Arial" w:hAnsi="Arial"/>
          <w:color w:val="051C5C"/>
          <w:sz w:val="19"/>
        </w:rPr>
        <w:t>Tingkat otonomi agen</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2353"/>
        <w:gridCol w:w="2353"/>
        <w:gridCol w:w="2353"/>
        <w:gridCol w:w="2353"/>
      </w:tblGrid>
      <w:tr>
        <w:trPr>
          <w:cantSplit/>
          <w:tblHeader/>
        </w:trPr>
        <w:tc>
          <w:tcPr>
            <w:tcW w:type="dxa" w:w="1961"/>
            <w:shd w:val="clear" w:color="auto" w:fill="2251FF"/>
            <w:vAlign w:val="center"/>
          </w:tcPr>
          <w:p>
            <w:pPr>
              <w:spacing w:after="20" w:before="20" w:line="252" w:lineRule="auto"/>
            </w:pPr>
            <w:r/>
            <w:r>
              <w:rPr>
                <w:rFonts w:ascii="Arial" w:hAnsi="Arial"/>
                <w:b/>
                <w:color w:val="FFFFFF"/>
                <w:sz w:val="17"/>
              </w:rPr>
              <w:t>Tingkat</w:t>
            </w:r>
          </w:p>
        </w:tc>
        <w:tc>
          <w:tcPr>
            <w:tcW w:type="dxa" w:w="2549"/>
            <w:shd w:val="clear" w:color="auto" w:fill="2251FF"/>
            <w:vAlign w:val="center"/>
          </w:tcPr>
          <w:p>
            <w:pPr>
              <w:spacing w:after="20" w:before="20" w:line="252" w:lineRule="auto"/>
            </w:pPr>
            <w:r/>
            <w:r>
              <w:rPr>
                <w:rFonts w:ascii="Arial" w:hAnsi="Arial"/>
                <w:b/>
                <w:color w:val="FFFFFF"/>
                <w:sz w:val="17"/>
              </w:rPr>
              <w:t>Agen boleh</w:t>
            </w:r>
          </w:p>
        </w:tc>
        <w:tc>
          <w:tcPr>
            <w:tcW w:type="dxa" w:w="2745"/>
            <w:shd w:val="clear" w:color="auto" w:fill="2251FF"/>
            <w:vAlign w:val="center"/>
          </w:tcPr>
          <w:p>
            <w:pPr>
              <w:spacing w:after="20" w:before="20" w:line="252" w:lineRule="auto"/>
            </w:pPr>
            <w:r/>
            <w:r>
              <w:rPr>
                <w:rFonts w:ascii="Arial" w:hAnsi="Arial"/>
                <w:b/>
                <w:color w:val="FFFFFF"/>
                <w:sz w:val="17"/>
              </w:rPr>
              <w:t>Contoh</w:t>
            </w:r>
          </w:p>
        </w:tc>
        <w:tc>
          <w:tcPr>
            <w:tcW w:type="dxa" w:w="2157"/>
            <w:shd w:val="clear" w:color="auto" w:fill="2251FF"/>
            <w:vAlign w:val="center"/>
          </w:tcPr>
          <w:p>
            <w:pPr>
              <w:spacing w:after="20" w:before="20" w:line="252" w:lineRule="auto"/>
            </w:pPr>
            <w:r/>
            <w:r>
              <w:rPr>
                <w:rFonts w:ascii="Arial" w:hAnsi="Arial"/>
                <w:b/>
                <w:color w:val="FFFFFF"/>
                <w:sz w:val="17"/>
              </w:rPr>
              <w:t>Tidak pernah diizinkan</w:t>
            </w:r>
          </w:p>
        </w:tc>
      </w:tr>
      <w:tr>
        <w:trPr>
          <w:cantSplit/>
        </w:trPr>
        <w:tc>
          <w:tcPr>
            <w:tcW w:type="dxa" w:w="1961"/>
            <w:vAlign w:val="center"/>
          </w:tcPr>
          <w:p>
            <w:pPr>
              <w:spacing w:after="20" w:before="20" w:line="252" w:lineRule="auto"/>
            </w:pPr>
            <w:r/>
            <w:r>
              <w:rPr>
                <w:rFonts w:ascii="Arial" w:hAnsi="Arial"/>
                <w:b/>
                <w:sz w:val="17"/>
              </w:rPr>
              <w:t>L0 Menginformasikan</w:t>
            </w:r>
          </w:p>
        </w:tc>
        <w:tc>
          <w:tcPr>
            <w:tcW w:type="dxa" w:w="2549"/>
            <w:vAlign w:val="center"/>
          </w:tcPr>
          <w:p>
            <w:pPr>
              <w:spacing w:after="20" w:before="20" w:line="252" w:lineRule="auto"/>
            </w:pPr>
            <w:r/>
            <w:r>
              <w:rPr>
                <w:rFonts w:ascii="Arial" w:hAnsi="Arial"/>
                <w:b w:val="0"/>
                <w:sz w:val="17"/>
              </w:rPr>
              <w:t>Melaporkan dan memberi peringatan</w:t>
            </w:r>
          </w:p>
        </w:tc>
        <w:tc>
          <w:tcPr>
            <w:tcW w:type="dxa" w:w="2745"/>
            <w:vAlign w:val="center"/>
          </w:tcPr>
          <w:p>
            <w:pPr>
              <w:spacing w:after="20" w:before="20" w:line="252" w:lineRule="auto"/>
            </w:pPr>
            <w:r/>
            <w:r>
              <w:rPr>
                <w:rFonts w:ascii="Arial" w:hAnsi="Arial"/>
                <w:b w:val="0"/>
                <w:sz w:val="17"/>
              </w:rPr>
              <w:t>Peringatan piutang jatuh tempo; CPI di bawah ambang</w:t>
            </w:r>
          </w:p>
        </w:tc>
        <w:tc>
          <w:tcPr>
            <w:tcW w:type="dxa" w:w="2157"/>
            <w:vAlign w:val="center"/>
          </w:tcPr>
          <w:p>
            <w:pPr>
              <w:spacing w:after="20" w:before="20" w:line="252" w:lineRule="auto"/>
            </w:pPr>
            <w:r/>
            <w:r>
              <w:rPr>
                <w:rFonts w:ascii="Arial" w:hAnsi="Arial"/>
                <w:b w:val="0"/>
                <w:sz w:val="17"/>
              </w:rPr>
              <w:t>—</w:t>
            </w:r>
          </w:p>
        </w:tc>
      </w:tr>
      <w:tr>
        <w:trPr>
          <w:cantSplit/>
        </w:trPr>
        <w:tc>
          <w:tcPr>
            <w:tcW w:type="dxa" w:w="1961"/>
            <w:shd w:val="clear" w:color="auto" w:fill="E6ECFD"/>
            <w:vAlign w:val="center"/>
          </w:tcPr>
          <w:p>
            <w:pPr>
              <w:spacing w:after="20" w:before="20" w:line="252" w:lineRule="auto"/>
            </w:pPr>
            <w:r/>
            <w:r>
              <w:rPr>
                <w:rFonts w:ascii="Arial" w:hAnsi="Arial"/>
                <w:b/>
                <w:sz w:val="17"/>
              </w:rPr>
              <w:t>L1 Merekomendasikan</w:t>
            </w:r>
          </w:p>
        </w:tc>
        <w:tc>
          <w:tcPr>
            <w:tcW w:type="dxa" w:w="2549"/>
            <w:shd w:val="clear" w:color="auto" w:fill="E6ECFD"/>
            <w:vAlign w:val="center"/>
          </w:tcPr>
          <w:p>
            <w:pPr>
              <w:spacing w:after="20" w:before="20" w:line="252" w:lineRule="auto"/>
            </w:pPr>
            <w:r/>
            <w:r>
              <w:rPr>
                <w:rFonts w:ascii="Arial" w:hAnsi="Arial"/>
                <w:b w:val="0"/>
                <w:sz w:val="17"/>
              </w:rPr>
              <w:t>Mengusulkan tindakan beserta bukti dan alternatif</w:t>
            </w:r>
          </w:p>
        </w:tc>
        <w:tc>
          <w:tcPr>
            <w:tcW w:type="dxa" w:w="2745"/>
            <w:shd w:val="clear" w:color="auto" w:fill="E6ECFD"/>
            <w:vAlign w:val="center"/>
          </w:tcPr>
          <w:p>
            <w:pPr>
              <w:spacing w:after="20" w:before="20" w:line="252" w:lineRule="auto"/>
            </w:pPr>
            <w:r/>
            <w:r>
              <w:rPr>
                <w:rFonts w:ascii="Arial" w:hAnsi="Arial"/>
                <w:b w:val="0"/>
                <w:sz w:val="17"/>
              </w:rPr>
              <w:t>Rekomendasi bid/no-bid; rencana pemulihan</w:t>
            </w:r>
          </w:p>
        </w:tc>
        <w:tc>
          <w:tcPr>
            <w:tcW w:type="dxa" w:w="2157"/>
            <w:shd w:val="clear" w:color="auto" w:fill="E6ECFD"/>
            <w:vAlign w:val="center"/>
          </w:tcPr>
          <w:p>
            <w:pPr>
              <w:spacing w:after="20" w:before="20" w:line="252" w:lineRule="auto"/>
            </w:pPr>
            <w:r/>
            <w:r>
              <w:rPr>
                <w:rFonts w:ascii="Arial" w:hAnsi="Arial"/>
                <w:b w:val="0"/>
                <w:sz w:val="17"/>
              </w:rPr>
              <w:t>—</w:t>
            </w:r>
          </w:p>
        </w:tc>
      </w:tr>
      <w:tr>
        <w:trPr>
          <w:cantSplit/>
        </w:trPr>
        <w:tc>
          <w:tcPr>
            <w:tcW w:type="dxa" w:w="1961"/>
            <w:vAlign w:val="center"/>
          </w:tcPr>
          <w:p>
            <w:pPr>
              <w:spacing w:after="20" w:before="20" w:line="252" w:lineRule="auto"/>
            </w:pPr>
            <w:r/>
            <w:r>
              <w:rPr>
                <w:rFonts w:ascii="Arial" w:hAnsi="Arial"/>
                <w:b/>
                <w:sz w:val="17"/>
              </w:rPr>
              <w:t>L2 Menyiapkan</w:t>
            </w:r>
          </w:p>
        </w:tc>
        <w:tc>
          <w:tcPr>
            <w:tcW w:type="dxa" w:w="2549"/>
            <w:vAlign w:val="center"/>
          </w:tcPr>
          <w:p>
            <w:pPr>
              <w:spacing w:after="20" w:before="20" w:line="252" w:lineRule="auto"/>
            </w:pPr>
            <w:r/>
            <w:r>
              <w:rPr>
                <w:rFonts w:ascii="Arial" w:hAnsi="Arial"/>
                <w:b w:val="0"/>
                <w:sz w:val="17"/>
              </w:rPr>
              <w:t>Menyusun draf untuk disetujui manusia</w:t>
            </w:r>
          </w:p>
        </w:tc>
        <w:tc>
          <w:tcPr>
            <w:tcW w:type="dxa" w:w="2745"/>
            <w:vAlign w:val="center"/>
          </w:tcPr>
          <w:p>
            <w:pPr>
              <w:spacing w:after="20" w:before="20" w:line="252" w:lineRule="auto"/>
            </w:pPr>
            <w:r/>
            <w:r>
              <w:rPr>
                <w:rFonts w:ascii="Arial" w:hAnsi="Arial"/>
                <w:b w:val="0"/>
                <w:sz w:val="17"/>
              </w:rPr>
              <w:t>Draf surat penagihan; draf penilaian perubahan</w:t>
            </w:r>
          </w:p>
        </w:tc>
        <w:tc>
          <w:tcPr>
            <w:tcW w:type="dxa" w:w="2157"/>
            <w:vAlign w:val="center"/>
          </w:tcPr>
          <w:p>
            <w:pPr>
              <w:spacing w:after="20" w:before="20" w:line="252" w:lineRule="auto"/>
            </w:pPr>
            <w:r/>
            <w:r>
              <w:rPr>
                <w:rFonts w:ascii="Arial" w:hAnsi="Arial"/>
                <w:b w:val="0"/>
                <w:sz w:val="17"/>
              </w:rPr>
              <w:t>Mengajukan tanpa persetujuan</w:t>
            </w:r>
          </w:p>
        </w:tc>
      </w:tr>
      <w:tr>
        <w:trPr>
          <w:cantSplit/>
        </w:trPr>
        <w:tc>
          <w:tcPr>
            <w:tcW w:type="dxa" w:w="1961"/>
            <w:shd w:val="clear" w:color="auto" w:fill="E6ECFD"/>
            <w:vAlign w:val="center"/>
          </w:tcPr>
          <w:p>
            <w:pPr>
              <w:spacing w:after="20" w:before="20" w:line="252" w:lineRule="auto"/>
            </w:pPr>
            <w:r/>
            <w:r>
              <w:rPr>
                <w:rFonts w:ascii="Arial" w:hAnsi="Arial"/>
                <w:b/>
                <w:sz w:val="17"/>
              </w:rPr>
              <w:t>L3 Melaksanakan dalam batas</w:t>
            </w:r>
          </w:p>
        </w:tc>
        <w:tc>
          <w:tcPr>
            <w:tcW w:type="dxa" w:w="2549"/>
            <w:shd w:val="clear" w:color="auto" w:fill="E6ECFD"/>
            <w:vAlign w:val="center"/>
          </w:tcPr>
          <w:p>
            <w:pPr>
              <w:spacing w:after="20" w:before="20" w:line="252" w:lineRule="auto"/>
            </w:pPr>
            <w:r/>
            <w:r>
              <w:rPr>
                <w:rFonts w:ascii="Arial" w:hAnsi="Arial"/>
                <w:b w:val="0"/>
                <w:sz w:val="17"/>
              </w:rPr>
              <w:t>Tindakan berisiko rendah dan dapat dibatalkan dalam batas yang ditetapkan</w:t>
            </w:r>
          </w:p>
        </w:tc>
        <w:tc>
          <w:tcPr>
            <w:tcW w:type="dxa" w:w="2745"/>
            <w:shd w:val="clear" w:color="auto" w:fill="E6ECFD"/>
            <w:vAlign w:val="center"/>
          </w:tcPr>
          <w:p>
            <w:pPr>
              <w:spacing w:after="20" w:before="20" w:line="252" w:lineRule="auto"/>
            </w:pPr>
            <w:r/>
            <w:r>
              <w:rPr>
                <w:rFonts w:ascii="Arial" w:hAnsi="Arial"/>
                <w:b w:val="0"/>
                <w:sz w:val="17"/>
              </w:rPr>
              <w:t>Mengirim pengingat; memperbarui dasbor</w:t>
            </w:r>
          </w:p>
        </w:tc>
        <w:tc>
          <w:tcPr>
            <w:tcW w:type="dxa" w:w="2157"/>
            <w:shd w:val="clear" w:color="auto" w:fill="E6ECFD"/>
            <w:vAlign w:val="center"/>
          </w:tcPr>
          <w:p>
            <w:pPr>
              <w:spacing w:after="20" w:before="20" w:line="252" w:lineRule="auto"/>
            </w:pPr>
            <w:r/>
            <w:r>
              <w:rPr>
                <w:rFonts w:ascii="Arial" w:hAnsi="Arial"/>
                <w:b w:val="0"/>
                <w:sz w:val="17"/>
              </w:rPr>
              <w:t>Mengikat perusahaan secara hukum; keputusan keselamatan</w:t>
            </w:r>
          </w:p>
        </w:tc>
      </w:tr>
    </w:tbl>
    <w:p>
      <w:pPr>
        <w:spacing w:after="160"/>
      </w:pPr>
      <w:r>
        <w:rPr>
          <w:rFonts w:ascii="Arial" w:hAnsi="Arial"/>
          <w:b w:val="0"/>
          <w:i/>
          <w:color w:val="051C5C"/>
          <w:sz w:val="17"/>
        </w:rPr>
        <w:t>Sumber: [K, Bab 12.5].</w:t>
      </w:r>
    </w:p>
    <w:p>
      <w:pPr>
        <w:pStyle w:val="Heading2"/>
      </w:pPr>
      <w:r>
        <w:t>14.5  MVP tiga bulan, tim, dan sumber daya</w:t>
      </w:r>
    </w:p>
    <w:p>
      <w:pPr>
        <w:jc w:val="both"/>
      </w:pPr>
      <w:r>
        <w:rPr>
          <w:rFonts w:ascii="Arial" w:hAnsi="Arial"/>
          <w:b w:val="0"/>
        </w:rPr>
        <w:t>Rencana tiga bulan pada dokumen platform membangun menara kendali AI terintegrasi dengan ERP yang ada, dengan enam agen prioritas dan pilot pada dua sampai tiga proyek. Bulan pertama: fondasi dan integrasi data (ruang lingkup, integrasi ERP baca-saja, lapisan data dan master data, infrastruktur dan keamanan, kerangka multi-agen, perekrutan tim, rancangan dasbor awal). Bulan kedua: pengembangan enam agen dan pengujian internal dengan pengguna kunci. Bulan ketiga: integrasi, pilot, uji penerimaan pengguna (UAT), pelatihan, dokumentasi, SOP, dan evaluasi hasil [PLAT, hlm. 7].</w:t>
      </w:r>
    </w:p>
    <w:p>
      <w:pPr>
        <w:keepNext/>
        <w:spacing w:after="60"/>
      </w:pPr>
      <w:r>
        <w:rPr>
          <w:rFonts w:ascii="Arial" w:hAnsi="Arial"/>
          <w:b/>
          <w:color w:val="051C5C"/>
          <w:sz w:val="19"/>
        </w:rPr>
        <w:t xml:space="preserve">Tabel 40: </w:t>
      </w:r>
      <w:r>
        <w:rPr>
          <w:rFonts w:ascii="Arial" w:hAnsi="Arial"/>
          <w:color w:val="051C5C"/>
          <w:sz w:val="19"/>
        </w:rPr>
        <w:t>Sumber daya MVP dan jalur peningkatan skala (usulan, kelas C/D)</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2353"/>
        <w:gridCol w:w="2353"/>
        <w:gridCol w:w="2353"/>
        <w:gridCol w:w="2353"/>
      </w:tblGrid>
      <w:tr>
        <w:trPr>
          <w:cantSplit/>
          <w:tblHeader/>
        </w:trPr>
        <w:tc>
          <w:tcPr>
            <w:tcW w:type="dxa" w:w="1176"/>
            <w:shd w:val="clear" w:color="auto" w:fill="2251FF"/>
            <w:vAlign w:val="center"/>
          </w:tcPr>
          <w:p>
            <w:pPr>
              <w:spacing w:after="20" w:before="20" w:line="252" w:lineRule="auto"/>
            </w:pPr>
            <w:r/>
            <w:r>
              <w:rPr>
                <w:rFonts w:ascii="Arial" w:hAnsi="Arial"/>
                <w:b/>
                <w:color w:val="FFFFFF"/>
                <w:sz w:val="17"/>
              </w:rPr>
              <w:t>Fase</w:t>
            </w:r>
          </w:p>
        </w:tc>
        <w:tc>
          <w:tcPr>
            <w:tcW w:type="dxa" w:w="1372"/>
            <w:shd w:val="clear" w:color="auto" w:fill="2251FF"/>
            <w:vAlign w:val="center"/>
          </w:tcPr>
          <w:p>
            <w:pPr>
              <w:spacing w:after="20" w:before="20" w:line="252" w:lineRule="auto"/>
            </w:pPr>
            <w:r/>
            <w:r>
              <w:rPr>
                <w:rFonts w:ascii="Arial" w:hAnsi="Arial"/>
                <w:b/>
                <w:color w:val="FFFFFF"/>
                <w:sz w:val="17"/>
              </w:rPr>
              <w:t>Waktu</w:t>
            </w:r>
          </w:p>
        </w:tc>
        <w:tc>
          <w:tcPr>
            <w:tcW w:type="dxa" w:w="5098"/>
            <w:shd w:val="clear" w:color="auto" w:fill="2251FF"/>
            <w:vAlign w:val="center"/>
          </w:tcPr>
          <w:p>
            <w:pPr>
              <w:spacing w:after="20" w:before="20" w:line="252" w:lineRule="auto"/>
            </w:pPr>
            <w:r/>
            <w:r>
              <w:rPr>
                <w:rFonts w:ascii="Arial" w:hAnsi="Arial"/>
                <w:b/>
                <w:color w:val="FFFFFF"/>
                <w:sz w:val="17"/>
              </w:rPr>
              <w:t>Cakupan</w:t>
            </w:r>
          </w:p>
        </w:tc>
        <w:tc>
          <w:tcPr>
            <w:tcW w:type="dxa" w:w="1765"/>
            <w:shd w:val="clear" w:color="auto" w:fill="2251FF"/>
            <w:vAlign w:val="center"/>
          </w:tcPr>
          <w:p>
            <w:pPr>
              <w:spacing w:after="20" w:before="20" w:line="252" w:lineRule="auto"/>
            </w:pPr>
            <w:r/>
            <w:r>
              <w:rPr>
                <w:rFonts w:ascii="Arial" w:hAnsi="Arial"/>
                <w:b/>
                <w:color w:val="FFFFFF"/>
                <w:sz w:val="17"/>
              </w:rPr>
              <w:t>GPU</w:t>
            </w:r>
          </w:p>
        </w:tc>
      </w:tr>
      <w:tr>
        <w:trPr>
          <w:cantSplit/>
        </w:trPr>
        <w:tc>
          <w:tcPr>
            <w:tcW w:type="dxa" w:w="1176"/>
            <w:vAlign w:val="center"/>
          </w:tcPr>
          <w:p>
            <w:pPr>
              <w:spacing w:after="20" w:before="20" w:line="252" w:lineRule="auto"/>
            </w:pPr>
            <w:r/>
            <w:r>
              <w:rPr>
                <w:rFonts w:ascii="Arial" w:hAnsi="Arial"/>
                <w:b/>
                <w:sz w:val="17"/>
              </w:rPr>
              <w:t>1 Pilot</w:t>
            </w:r>
          </w:p>
        </w:tc>
        <w:tc>
          <w:tcPr>
            <w:tcW w:type="dxa" w:w="1372"/>
            <w:vAlign w:val="center"/>
          </w:tcPr>
          <w:p>
            <w:pPr>
              <w:spacing w:after="20" w:before="20" w:line="252" w:lineRule="auto"/>
            </w:pPr>
            <w:r/>
            <w:r>
              <w:rPr>
                <w:rFonts w:ascii="Arial" w:hAnsi="Arial"/>
                <w:b w:val="0"/>
                <w:sz w:val="17"/>
              </w:rPr>
              <w:t>0–3 bulan</w:t>
            </w:r>
          </w:p>
        </w:tc>
        <w:tc>
          <w:tcPr>
            <w:tcW w:type="dxa" w:w="5098"/>
            <w:vAlign w:val="center"/>
          </w:tcPr>
          <w:p>
            <w:pPr>
              <w:spacing w:after="20" w:before="20" w:line="252" w:lineRule="auto"/>
            </w:pPr>
            <w:r/>
            <w:r>
              <w:rPr>
                <w:rFonts w:ascii="Arial" w:hAnsi="Arial"/>
                <w:b w:val="0"/>
                <w:sz w:val="17"/>
              </w:rPr>
              <w:t>1 BUMN, 2–3 proyek, 6 agen utama, pengguna terbatas; validasi arsitektur dan model data</w:t>
            </w:r>
          </w:p>
        </w:tc>
        <w:tc>
          <w:tcPr>
            <w:tcW w:type="dxa" w:w="1765"/>
            <w:vAlign w:val="center"/>
          </w:tcPr>
          <w:p>
            <w:pPr>
              <w:spacing w:after="20" w:before="20" w:line="252" w:lineRule="auto"/>
            </w:pPr>
            <w:r/>
            <w:r>
              <w:rPr>
                <w:rFonts w:ascii="Arial" w:hAnsi="Arial"/>
                <w:b w:val="0"/>
                <w:sz w:val="17"/>
              </w:rPr>
              <w:t>4 GPU (1 lokasi)</w:t>
            </w:r>
          </w:p>
        </w:tc>
      </w:tr>
      <w:tr>
        <w:trPr>
          <w:cantSplit/>
        </w:trPr>
        <w:tc>
          <w:tcPr>
            <w:tcW w:type="dxa" w:w="1176"/>
            <w:shd w:val="clear" w:color="auto" w:fill="E6ECFD"/>
            <w:vAlign w:val="center"/>
          </w:tcPr>
          <w:p>
            <w:pPr>
              <w:spacing w:after="20" w:before="20" w:line="252" w:lineRule="auto"/>
            </w:pPr>
            <w:r/>
            <w:r>
              <w:rPr>
                <w:rFonts w:ascii="Arial" w:hAnsi="Arial"/>
                <w:b/>
                <w:sz w:val="17"/>
              </w:rPr>
              <w:t>2</w:t>
            </w:r>
          </w:p>
        </w:tc>
        <w:tc>
          <w:tcPr>
            <w:tcW w:type="dxa" w:w="1372"/>
            <w:shd w:val="clear" w:color="auto" w:fill="E6ECFD"/>
            <w:vAlign w:val="center"/>
          </w:tcPr>
          <w:p>
            <w:pPr>
              <w:spacing w:after="20" w:before="20" w:line="252" w:lineRule="auto"/>
            </w:pPr>
            <w:r/>
            <w:r>
              <w:rPr>
                <w:rFonts w:ascii="Arial" w:hAnsi="Arial"/>
                <w:b w:val="0"/>
                <w:sz w:val="17"/>
              </w:rPr>
              <w:t>6–12 bulan</w:t>
            </w:r>
          </w:p>
        </w:tc>
        <w:tc>
          <w:tcPr>
            <w:tcW w:type="dxa" w:w="5098"/>
            <w:shd w:val="clear" w:color="auto" w:fill="E6ECFD"/>
            <w:vAlign w:val="center"/>
          </w:tcPr>
          <w:p>
            <w:pPr>
              <w:spacing w:after="20" w:before="20" w:line="252" w:lineRule="auto"/>
            </w:pPr>
            <w:r/>
            <w:r>
              <w:rPr>
                <w:rFonts w:ascii="Arial" w:hAnsi="Arial"/>
                <w:b w:val="0"/>
                <w:sz w:val="17"/>
              </w:rPr>
              <w:t>2–3 BUMN, 20–50 proyek; agen tambahan; ketersediaan tinggi</w:t>
            </w:r>
          </w:p>
        </w:tc>
        <w:tc>
          <w:tcPr>
            <w:tcW w:type="dxa" w:w="1765"/>
            <w:shd w:val="clear" w:color="auto" w:fill="E6ECFD"/>
            <w:vAlign w:val="center"/>
          </w:tcPr>
          <w:p>
            <w:pPr>
              <w:spacing w:after="20" w:before="20" w:line="252" w:lineRule="auto"/>
            </w:pPr>
            <w:r/>
            <w:r>
              <w:rPr>
                <w:rFonts w:ascii="Arial" w:hAnsi="Arial"/>
                <w:b w:val="0"/>
                <w:sz w:val="17"/>
              </w:rPr>
              <w:t>8 GPU (2 lokasi)</w:t>
            </w:r>
          </w:p>
        </w:tc>
      </w:tr>
      <w:tr>
        <w:trPr>
          <w:cantSplit/>
        </w:trPr>
        <w:tc>
          <w:tcPr>
            <w:tcW w:type="dxa" w:w="1176"/>
            <w:vAlign w:val="center"/>
          </w:tcPr>
          <w:p>
            <w:pPr>
              <w:spacing w:after="20" w:before="20" w:line="252" w:lineRule="auto"/>
            </w:pPr>
            <w:r/>
            <w:r>
              <w:rPr>
                <w:rFonts w:ascii="Arial" w:hAnsi="Arial"/>
                <w:b/>
                <w:sz w:val="17"/>
              </w:rPr>
              <w:t>3</w:t>
            </w:r>
          </w:p>
        </w:tc>
        <w:tc>
          <w:tcPr>
            <w:tcW w:type="dxa" w:w="1372"/>
            <w:vAlign w:val="center"/>
          </w:tcPr>
          <w:p>
            <w:pPr>
              <w:spacing w:after="20" w:before="20" w:line="252" w:lineRule="auto"/>
            </w:pPr>
            <w:r/>
            <w:r>
              <w:rPr>
                <w:rFonts w:ascii="Arial" w:hAnsi="Arial"/>
                <w:b w:val="0"/>
                <w:sz w:val="17"/>
              </w:rPr>
              <w:t>12–24 bulan</w:t>
            </w:r>
          </w:p>
        </w:tc>
        <w:tc>
          <w:tcPr>
            <w:tcW w:type="dxa" w:w="5098"/>
            <w:vAlign w:val="center"/>
          </w:tcPr>
          <w:p>
            <w:pPr>
              <w:spacing w:after="20" w:before="20" w:line="252" w:lineRule="auto"/>
            </w:pPr>
            <w:r/>
            <w:r>
              <w:rPr>
                <w:rFonts w:ascii="Arial" w:hAnsi="Arial"/>
                <w:b w:val="0"/>
                <w:sz w:val="17"/>
              </w:rPr>
              <w:t>Seluruh BUMN Karya, 100+ proyek; agen portofolio Danantara; computer vision skala besar</w:t>
            </w:r>
          </w:p>
        </w:tc>
        <w:tc>
          <w:tcPr>
            <w:tcW w:type="dxa" w:w="1765"/>
            <w:vAlign w:val="center"/>
          </w:tcPr>
          <w:p>
            <w:pPr>
              <w:spacing w:after="20" w:before="20" w:line="252" w:lineRule="auto"/>
            </w:pPr>
            <w:r/>
            <w:r>
              <w:rPr>
                <w:rFonts w:ascii="Arial" w:hAnsi="Arial"/>
                <w:b w:val="0"/>
                <w:sz w:val="17"/>
              </w:rPr>
              <w:t>16 GPU (klaster)</w:t>
            </w:r>
          </w:p>
        </w:tc>
      </w:tr>
      <w:tr>
        <w:trPr>
          <w:cantSplit/>
        </w:trPr>
        <w:tc>
          <w:tcPr>
            <w:tcW w:type="dxa" w:w="1176"/>
            <w:shd w:val="clear" w:color="auto" w:fill="E6ECFD"/>
            <w:vAlign w:val="center"/>
          </w:tcPr>
          <w:p>
            <w:pPr>
              <w:spacing w:after="20" w:before="20" w:line="252" w:lineRule="auto"/>
            </w:pPr>
            <w:r/>
            <w:r>
              <w:rPr>
                <w:rFonts w:ascii="Arial" w:hAnsi="Arial"/>
                <w:b/>
                <w:sz w:val="17"/>
              </w:rPr>
              <w:t>4 Nasional</w:t>
            </w:r>
          </w:p>
        </w:tc>
        <w:tc>
          <w:tcPr>
            <w:tcW w:type="dxa" w:w="1372"/>
            <w:shd w:val="clear" w:color="auto" w:fill="E6ECFD"/>
            <w:vAlign w:val="center"/>
          </w:tcPr>
          <w:p>
            <w:pPr>
              <w:spacing w:after="20" w:before="20" w:line="252" w:lineRule="auto"/>
            </w:pPr>
            <w:r/>
            <w:r>
              <w:rPr>
                <w:rFonts w:ascii="Arial" w:hAnsi="Arial"/>
                <w:b w:val="0"/>
                <w:sz w:val="17"/>
              </w:rPr>
              <w:t>&gt; 24 bulan</w:t>
            </w:r>
          </w:p>
        </w:tc>
        <w:tc>
          <w:tcPr>
            <w:tcW w:type="dxa" w:w="5098"/>
            <w:shd w:val="clear" w:color="auto" w:fill="E6ECFD"/>
            <w:vAlign w:val="center"/>
          </w:tcPr>
          <w:p>
            <w:pPr>
              <w:spacing w:after="20" w:before="20" w:line="252" w:lineRule="auto"/>
            </w:pPr>
            <w:r/>
            <w:r>
              <w:rPr>
                <w:rFonts w:ascii="Arial" w:hAnsi="Arial"/>
                <w:b w:val="0"/>
                <w:sz w:val="17"/>
              </w:rPr>
              <w:t>Ratusan proyek; analitik lintas BUMN; integrasi ekosistem; pemulihan bencana</w:t>
            </w:r>
          </w:p>
        </w:tc>
        <w:tc>
          <w:tcPr>
            <w:tcW w:type="dxa" w:w="1765"/>
            <w:shd w:val="clear" w:color="auto" w:fill="E6ECFD"/>
            <w:vAlign w:val="center"/>
          </w:tcPr>
          <w:p>
            <w:pPr>
              <w:spacing w:after="20" w:before="20" w:line="252" w:lineRule="auto"/>
            </w:pPr>
            <w:r/>
            <w:r>
              <w:rPr>
                <w:rFonts w:ascii="Arial" w:hAnsi="Arial"/>
                <w:b w:val="0"/>
                <w:sz w:val="17"/>
              </w:rPr>
              <w:t>16–24+ GPU, multi-lokasi</w:t>
            </w:r>
          </w:p>
        </w:tc>
      </w:tr>
    </w:tbl>
    <w:p>
      <w:pPr>
        <w:spacing w:after="160"/>
      </w:pPr>
      <w:r>
        <w:rPr>
          <w:rFonts w:ascii="Arial" w:hAnsi="Arial"/>
          <w:b w:val="0"/>
          <w:i/>
          <w:color w:val="051C5C"/>
          <w:sz w:val="17"/>
        </w:rPr>
        <w:t>Sumber: [PLAT, hlm. 8; K, Bab 12.7]. Tim Fase 1: 14 teknis (3 AI/agen, 3 backend, 2 data, 1 AI/ML, 2 frontend, 1 DevOps, 1 keamanan, 1 QA) dan 6–8 pakar bisnis. Tidak ada anggaran Rp dalam sumber.</w:t>
      </w:r>
    </w:p>
    <w:tbl>
      <w:tblPr>
        <w:tblW w:type="auto" w:w="0"/>
        <w:jc w:val="center"/>
        <w:tblLook w:firstColumn="1" w:firstRow="1" w:lastColumn="0" w:lastRow="0" w:noHBand="0" w:noVBand="1" w:val="04A0"/>
      </w:tblPr>
      <w:tblGrid>
        <w:gridCol w:w="9412"/>
      </w:tblGrid>
      <w:tr>
        <w:tc>
          <w:tcPr>
            <w:tcW w:type="dxa" w:w="9412"/>
            <w:tcBorders>
              <w:left w:val="single" w:sz="36" w:color="000000"/>
            </w:tcBorders>
            <w:shd w:val="clear" w:color="auto" w:fill="F2F2F2"/>
          </w:tcPr>
          <w:p>
            <w:pPr>
              <w:spacing w:after="40"/>
            </w:pPr>
            <w:r/>
            <w:r>
              <w:rPr>
                <w:rFonts w:ascii="Arial" w:hAnsi="Arial"/>
                <w:b/>
                <w:color w:val="051C5C"/>
                <w:sz w:val="21"/>
              </w:rPr>
              <w:t>Catatan konsistensi</w:t>
            </w:r>
          </w:p>
          <w:p>
            <w:pPr>
              <w:spacing w:after="40"/>
            </w:pPr>
            <w:r>
              <w:rPr>
                <w:rFonts w:ascii="Arial" w:hAnsi="Arial"/>
                <w:b w:val="0"/>
                <w:sz w:val="20"/>
              </w:rPr>
              <w:t>Dokumen platform menyebut rencana "3 bulan", sedangkan diagram rinci berjalan M1–M12 dan halaman peningkatan skala memuat 24 bulan. Kajian membaca tiga bulan sebagai MVP dan 24 bulan sebagai perluasan [K, Lampiran E butir 3]. Rincian peran tim juga berbeda antara halaman 7 dan 8 dokumen platform (DevOps dan keamanan satu peran atau dua).</w:t>
            </w:r>
          </w:p>
        </w:tc>
      </w:tr>
    </w:tbl>
    <w:p>
      <w:pPr>
        <w:spacing w:after="40"/>
      </w:pPr>
    </w:p>
    <w:p>
      <w:pPr>
        <w:pStyle w:val="Heading2"/>
      </w:pPr>
      <w:r>
        <w:t>14.6  Tata kelola AI dan manfaat bersih</w:t>
      </w:r>
    </w:p>
    <w:p>
      <w:pPr>
        <w:keepNext/>
        <w:spacing w:after="60"/>
      </w:pPr>
      <w:r>
        <w:rPr>
          <w:rFonts w:ascii="Arial" w:hAnsi="Arial"/>
          <w:b/>
          <w:color w:val="051C5C"/>
          <w:sz w:val="19"/>
        </w:rPr>
        <w:t xml:space="preserve">Tabel 41: </w:t>
      </w:r>
      <w:r>
        <w:rPr>
          <w:rFonts w:ascii="Arial" w:hAnsi="Arial"/>
          <w:color w:val="051C5C"/>
          <w:sz w:val="19"/>
        </w:rPr>
        <w:t>Tata kelola sistem AI proyek</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4706"/>
        <w:gridCol w:w="4706"/>
      </w:tblGrid>
      <w:tr>
        <w:trPr>
          <w:cantSplit/>
          <w:tblHeader/>
        </w:trPr>
        <w:tc>
          <w:tcPr>
            <w:tcW w:type="dxa" w:w="2157"/>
            <w:shd w:val="clear" w:color="auto" w:fill="2251FF"/>
            <w:vAlign w:val="center"/>
          </w:tcPr>
          <w:p>
            <w:pPr>
              <w:spacing w:after="20" w:before="20" w:line="252" w:lineRule="auto"/>
            </w:pPr>
            <w:r/>
            <w:r>
              <w:rPr>
                <w:rFonts w:ascii="Arial" w:hAnsi="Arial"/>
                <w:b/>
                <w:color w:val="FFFFFF"/>
                <w:sz w:val="17"/>
              </w:rPr>
              <w:t>Area</w:t>
            </w:r>
          </w:p>
        </w:tc>
        <w:tc>
          <w:tcPr>
            <w:tcW w:type="dxa" w:w="7254"/>
            <w:shd w:val="clear" w:color="auto" w:fill="2251FF"/>
            <w:vAlign w:val="center"/>
          </w:tcPr>
          <w:p>
            <w:pPr>
              <w:spacing w:after="20" w:before="20" w:line="252" w:lineRule="auto"/>
            </w:pPr>
            <w:r/>
            <w:r>
              <w:rPr>
                <w:rFonts w:ascii="Arial" w:hAnsi="Arial"/>
                <w:b/>
                <w:color w:val="FFFFFF"/>
                <w:sz w:val="17"/>
              </w:rPr>
              <w:t>Persyaratan</w:t>
            </w:r>
          </w:p>
        </w:tc>
      </w:tr>
      <w:tr>
        <w:trPr>
          <w:cantSplit/>
        </w:trPr>
        <w:tc>
          <w:tcPr>
            <w:tcW w:type="dxa" w:w="2157"/>
            <w:vAlign w:val="center"/>
          </w:tcPr>
          <w:p>
            <w:pPr>
              <w:spacing w:after="20" w:before="20" w:line="252" w:lineRule="auto"/>
            </w:pPr>
            <w:r/>
            <w:r>
              <w:rPr>
                <w:rFonts w:ascii="Arial" w:hAnsi="Arial"/>
                <w:b/>
                <w:sz w:val="17"/>
              </w:rPr>
              <w:t>Kedaulatan data</w:t>
            </w:r>
          </w:p>
        </w:tc>
        <w:tc>
          <w:tcPr>
            <w:tcW w:type="dxa" w:w="7254"/>
            <w:vAlign w:val="center"/>
          </w:tcPr>
          <w:p>
            <w:pPr>
              <w:spacing w:after="20" w:before="20" w:line="252" w:lineRule="auto"/>
            </w:pPr>
            <w:r/>
            <w:r>
              <w:rPr>
                <w:rFonts w:ascii="Arial" w:hAnsi="Arial"/>
                <w:b w:val="0"/>
                <w:sz w:val="17"/>
              </w:rPr>
              <w:t>Infrastruktur lokal dan model open-weight; data rahasia atau sensitif tidak keluar dari lingkungan terkendali; data pertahanan sesuai C3</w:t>
            </w:r>
          </w:p>
        </w:tc>
      </w:tr>
      <w:tr>
        <w:trPr>
          <w:cantSplit/>
        </w:trPr>
        <w:tc>
          <w:tcPr>
            <w:tcW w:type="dxa" w:w="2157"/>
            <w:shd w:val="clear" w:color="auto" w:fill="E6ECFD"/>
            <w:vAlign w:val="center"/>
          </w:tcPr>
          <w:p>
            <w:pPr>
              <w:spacing w:after="20" w:before="20" w:line="252" w:lineRule="auto"/>
            </w:pPr>
            <w:r/>
            <w:r>
              <w:rPr>
                <w:rFonts w:ascii="Arial" w:hAnsi="Arial"/>
                <w:b/>
                <w:sz w:val="17"/>
              </w:rPr>
              <w:t>Keamanan</w:t>
            </w:r>
          </w:p>
        </w:tc>
        <w:tc>
          <w:tcPr>
            <w:tcW w:type="dxa" w:w="7254"/>
            <w:shd w:val="clear" w:color="auto" w:fill="E6ECFD"/>
            <w:vAlign w:val="center"/>
          </w:tcPr>
          <w:p>
            <w:pPr>
              <w:spacing w:after="20" w:before="20" w:line="252" w:lineRule="auto"/>
            </w:pPr>
            <w:r/>
            <w:r>
              <w:rPr>
                <w:rFonts w:ascii="Arial" w:hAnsi="Arial"/>
                <w:b w:val="0"/>
                <w:sz w:val="17"/>
              </w:rPr>
              <w:t>Akses berbasis peran; isolasi antar-BUMN; log audit atas setiap tindakan agen; selaras BSSN</w:t>
            </w:r>
          </w:p>
        </w:tc>
      </w:tr>
      <w:tr>
        <w:trPr>
          <w:cantSplit/>
        </w:trPr>
        <w:tc>
          <w:tcPr>
            <w:tcW w:type="dxa" w:w="2157"/>
            <w:vAlign w:val="center"/>
          </w:tcPr>
          <w:p>
            <w:pPr>
              <w:spacing w:after="20" w:before="20" w:line="252" w:lineRule="auto"/>
            </w:pPr>
            <w:r/>
            <w:r>
              <w:rPr>
                <w:rFonts w:ascii="Arial" w:hAnsi="Arial"/>
                <w:b/>
                <w:sz w:val="17"/>
              </w:rPr>
              <w:t>Risiko model</w:t>
            </w:r>
          </w:p>
        </w:tc>
        <w:tc>
          <w:tcPr>
            <w:tcW w:type="dxa" w:w="7254"/>
            <w:vAlign w:val="center"/>
          </w:tcPr>
          <w:p>
            <w:pPr>
              <w:spacing w:after="20" w:before="20" w:line="252" w:lineRule="auto"/>
            </w:pPr>
            <w:r/>
            <w:r>
              <w:rPr>
                <w:rFonts w:ascii="Arial" w:hAnsi="Arial"/>
                <w:b w:val="0"/>
                <w:sz w:val="17"/>
              </w:rPr>
              <w:t>Set evaluasi per agen; guardrail; setiap rekomendasi mengutip catatan sumber; tinjauan akurasi berkala</w:t>
            </w:r>
          </w:p>
        </w:tc>
      </w:tr>
      <w:tr>
        <w:trPr>
          <w:cantSplit/>
        </w:trPr>
        <w:tc>
          <w:tcPr>
            <w:tcW w:type="dxa" w:w="2157"/>
            <w:shd w:val="clear" w:color="auto" w:fill="E6ECFD"/>
            <w:vAlign w:val="center"/>
          </w:tcPr>
          <w:p>
            <w:pPr>
              <w:spacing w:after="20" w:before="20" w:line="252" w:lineRule="auto"/>
            </w:pPr>
            <w:r/>
            <w:r>
              <w:rPr>
                <w:rFonts w:ascii="Arial" w:hAnsi="Arial"/>
                <w:b/>
                <w:sz w:val="17"/>
              </w:rPr>
              <w:t>Baca-saja dahulu</w:t>
            </w:r>
          </w:p>
        </w:tc>
        <w:tc>
          <w:tcPr>
            <w:tcW w:type="dxa" w:w="7254"/>
            <w:shd w:val="clear" w:color="auto" w:fill="E6ECFD"/>
            <w:vAlign w:val="center"/>
          </w:tcPr>
          <w:p>
            <w:pPr>
              <w:spacing w:after="20" w:before="20" w:line="252" w:lineRule="auto"/>
            </w:pPr>
            <w:r/>
            <w:r>
              <w:rPr>
                <w:rFonts w:ascii="Arial" w:hAnsi="Arial"/>
                <w:b w:val="0"/>
                <w:sz w:val="17"/>
              </w:rPr>
              <w:t>Integrasi Fase 1 ke ERP baca-saja; penulisan balik setelah pengendalian terbukti</w:t>
            </w:r>
          </w:p>
        </w:tc>
      </w:tr>
      <w:tr>
        <w:trPr>
          <w:cantSplit/>
        </w:trPr>
        <w:tc>
          <w:tcPr>
            <w:tcW w:type="dxa" w:w="2157"/>
            <w:vAlign w:val="center"/>
          </w:tcPr>
          <w:p>
            <w:pPr>
              <w:spacing w:after="20" w:before="20" w:line="252" w:lineRule="auto"/>
            </w:pPr>
            <w:r/>
            <w:r>
              <w:rPr>
                <w:rFonts w:ascii="Arial" w:hAnsi="Arial"/>
                <w:b/>
                <w:sz w:val="17"/>
              </w:rPr>
              <w:t>Akuntabilitas</w:t>
            </w:r>
          </w:p>
        </w:tc>
        <w:tc>
          <w:tcPr>
            <w:tcW w:type="dxa" w:w="7254"/>
            <w:vAlign w:val="center"/>
          </w:tcPr>
          <w:p>
            <w:pPr>
              <w:spacing w:after="20" w:before="20" w:line="252" w:lineRule="auto"/>
            </w:pPr>
            <w:r/>
            <w:r>
              <w:rPr>
                <w:rFonts w:ascii="Arial" w:hAnsi="Arial"/>
                <w:b w:val="0"/>
                <w:sz w:val="17"/>
              </w:rPr>
              <w:t>Pemilik bisnis per agen; persetujuan manusia untuk keputusan material; keputusan bid/no-bid dan penghentian proyek tetap pada organ perusahaan</w:t>
            </w:r>
          </w:p>
        </w:tc>
      </w:tr>
      <w:tr>
        <w:trPr>
          <w:cantSplit/>
        </w:trPr>
        <w:tc>
          <w:tcPr>
            <w:tcW w:type="dxa" w:w="2157"/>
            <w:shd w:val="clear" w:color="auto" w:fill="E6ECFD"/>
            <w:vAlign w:val="center"/>
          </w:tcPr>
          <w:p>
            <w:pPr>
              <w:spacing w:after="20" w:before="20" w:line="252" w:lineRule="auto"/>
            </w:pPr>
            <w:r/>
            <w:r>
              <w:rPr>
                <w:rFonts w:ascii="Arial" w:hAnsi="Arial"/>
                <w:b/>
                <w:sz w:val="17"/>
              </w:rPr>
              <w:t>Manfaat</w:t>
            </w:r>
          </w:p>
        </w:tc>
        <w:tc>
          <w:tcPr>
            <w:tcW w:type="dxa" w:w="7254"/>
            <w:shd w:val="clear" w:color="auto" w:fill="E6ECFD"/>
            <w:vAlign w:val="center"/>
          </w:tcPr>
          <w:p>
            <w:pPr>
              <w:spacing w:after="20" w:before="20" w:line="252" w:lineRule="auto"/>
            </w:pPr>
            <w:r/>
            <w:r>
              <w:rPr>
                <w:rFonts w:ascii="Arial" w:hAnsi="Arial"/>
                <w:b w:val="0"/>
                <w:sz w:val="17"/>
              </w:rPr>
              <w:t>Diukur sebagai manfaat bersih terverifikasi setelah biaya implementasi dan operasi (O09), bukan jam hemat atau laporan</w:t>
            </w:r>
          </w:p>
        </w:tc>
      </w:tr>
      <w:tr>
        <w:trPr>
          <w:cantSplit/>
        </w:trPr>
        <w:tc>
          <w:tcPr>
            <w:tcW w:type="dxa" w:w="2157"/>
            <w:vAlign w:val="center"/>
          </w:tcPr>
          <w:p>
            <w:pPr>
              <w:spacing w:after="20" w:before="20" w:line="252" w:lineRule="auto"/>
            </w:pPr>
            <w:r/>
            <w:r>
              <w:rPr>
                <w:rFonts w:ascii="Arial" w:hAnsi="Arial"/>
                <w:b/>
                <w:sz w:val="17"/>
              </w:rPr>
              <w:t>Independensi vendor</w:t>
            </w:r>
          </w:p>
        </w:tc>
        <w:tc>
          <w:tcPr>
            <w:tcW w:type="dxa" w:w="7254"/>
            <w:vAlign w:val="center"/>
          </w:tcPr>
          <w:p>
            <w:pPr>
              <w:spacing w:after="20" w:before="20" w:line="252" w:lineRule="auto"/>
            </w:pPr>
            <w:r/>
            <w:r>
              <w:rPr>
                <w:rFonts w:ascii="Arial" w:hAnsi="Arial"/>
                <w:b w:val="0"/>
                <w:sz w:val="17"/>
              </w:rPr>
              <w:t>Antarmuka terbuka dan model portabel</w:t>
            </w:r>
          </w:p>
        </w:tc>
      </w:tr>
    </w:tbl>
    <w:p>
      <w:pPr>
        <w:spacing w:after="160"/>
      </w:pPr>
      <w:r>
        <w:rPr>
          <w:rFonts w:ascii="Arial" w:hAnsi="Arial"/>
          <w:b w:val="0"/>
          <w:i/>
          <w:color w:val="051C5C"/>
          <w:sz w:val="17"/>
        </w:rPr>
        <w:t>Sumber: [K, Bab 12.8].</w:t>
      </w:r>
    </w:p>
    <w:p>
      <w:pPr>
        <w:jc w:val="both"/>
      </w:pPr>
      <w:r>
        <w:rPr>
          <w:rFonts w:ascii="Arial" w:hAnsi="Arial"/>
          <w:b w:val="0"/>
        </w:rPr>
        <w:t>Satu ilustrasi manfaat dapat dihitung: untuk perusahaan dengan pendapatan Rp20 triliun, penurunan umur piutang 10 hari melepaskan kas sekitar Rp20.000 miliar × 10/365 ≈ Rp0,55 triliun; pada biaya modal 10% hal ini bernilai sekitar Rp55 miliar per tahun (ilustrasi kelas D) [K, Lampiran C]. Kajian mencatat bahwa dokumen platform tidak menghitung biaya program, sehingga kasus bisnis harus disusun sebelum Fase 2.</w:t>
      </w:r>
    </w:p>
    <w:p>
      <w:r>
        <w:br w:type="page"/>
      </w:r>
    </w:p>
    <w:p>
      <w:pPr>
        <w:pStyle w:val="Heading1"/>
      </w:pPr>
      <w:r>
        <w:t>15  Studi kasus 1: manajemen proyek pada BUMN Karya</w:t>
      </w:r>
    </w:p>
    <w:p>
      <w:pPr>
        <w:pStyle w:val="Heading2"/>
      </w:pPr>
      <w:r>
        <w:t>15.1  Kondisi</w:t>
      </w:r>
    </w:p>
    <w:p>
      <w:pPr>
        <w:jc w:val="both"/>
      </w:pPr>
      <w:r>
        <w:rPr>
          <w:rFonts w:ascii="Arial" w:hAnsi="Arial"/>
          <w:b w:val="0"/>
        </w:rPr>
        <w:t>Empat BUMN Karya mencatat estimasi kerugian 2025 sekitar Rp28 triliun: WIKA Rp10,14 triliun, PP Rp8,0 triliun, Adhi Karya Rp5,4 triliun, dan Waskita Rp4,48 triliun (jumlah baris 28,02, kelas C, harus digantikan angka teraudit). Anggaran infrastruktur turun dari sekitar Rp110,95 triliun menjadi Rp61,38 triliun, sekitar 45% [PLAT, hlm. 3; K, Bab 11]. Diagnosis dokumen platform: BUMN konstruksi telah bergeser dari kontraktor ke "konglomerasi investasi infrastruktur" yang dibiayai utang: kontraktor utama, kontraktor EPC, pengembang proyek, investor jalan tol, pengembang properti, pemilik aset, dan pembiaya proyek pemerintah sekaligus.</w:t>
      </w:r>
    </w:p>
    <w:p>
      <w:pPr>
        <w:keepNext/>
        <w:jc w:val="center"/>
      </w:pPr>
      <w:r>
        <w:drawing>
          <wp:inline xmlns:a="http://schemas.openxmlformats.org/drawingml/2006/main" xmlns:pic="http://schemas.openxmlformats.org/drawingml/2006/picture">
            <wp:extent cx="5580000" cy="2365086"/>
            <wp:docPr id="13" name="Picture 13"/>
            <wp:cNvGraphicFramePr>
              <a:graphicFrameLocks noChangeAspect="1"/>
            </wp:cNvGraphicFramePr>
            <a:graphic>
              <a:graphicData uri="http://schemas.openxmlformats.org/drawingml/2006/picture">
                <pic:pic>
                  <pic:nvPicPr>
                    <pic:cNvPr id="0" name="f_karya.png"/>
                    <pic:cNvPicPr/>
                  </pic:nvPicPr>
                  <pic:blipFill>
                    <a:blip r:embed="rId22"/>
                    <a:stretch>
                      <a:fillRect/>
                    </a:stretch>
                  </pic:blipFill>
                  <pic:spPr>
                    <a:xfrm>
                      <a:off x="0" y="0"/>
                      <a:ext cx="5580000" cy="2365086"/>
                    </a:xfrm>
                    <a:prstGeom prst="rect"/>
                  </pic:spPr>
                </pic:pic>
              </a:graphicData>
            </a:graphic>
          </wp:inline>
        </w:drawing>
      </w:r>
    </w:p>
    <w:p>
      <w:pPr>
        <w:keepNext w:val="0"/>
        <w:spacing w:after="60"/>
      </w:pPr>
      <w:r>
        <w:rPr>
          <w:rFonts w:ascii="Arial" w:hAnsi="Arial"/>
          <w:b/>
          <w:color w:val="051C5C"/>
          <w:sz w:val="19"/>
        </w:rPr>
        <w:t xml:space="preserve">Gambar 13: </w:t>
      </w:r>
      <w:r>
        <w:rPr>
          <w:rFonts w:ascii="Arial" w:hAnsi="Arial"/>
          <w:color w:val="051C5C"/>
          <w:sz w:val="19"/>
        </w:rPr>
        <w:t>Estimasi kerugian 2025 empat BUMN Karya dan penurunan anggaran infrastruktur</w:t>
      </w:r>
    </w:p>
    <w:p>
      <w:pPr>
        <w:spacing w:after="160"/>
      </w:pPr>
      <w:r>
        <w:rPr>
          <w:rFonts w:ascii="Arial" w:hAnsi="Arial"/>
          <w:b w:val="0"/>
          <w:i/>
          <w:color w:val="051C5C"/>
          <w:sz w:val="17"/>
        </w:rPr>
        <w:t>Sumber: [PLAT, hlm. 3; K, Bab 11.1]; kelas C.</w:t>
      </w:r>
    </w:p>
    <w:p>
      <w:pPr>
        <w:pStyle w:val="Heading2"/>
      </w:pPr>
      <w:r>
        <w:t>15.2  Akar masalah dibaca sebagai kegagalan manajemen proyek</w:t>
      </w:r>
    </w:p>
    <w:p>
      <w:pPr>
        <w:keepNext/>
        <w:spacing w:after="60"/>
      </w:pPr>
      <w:r>
        <w:rPr>
          <w:rFonts w:ascii="Arial" w:hAnsi="Arial"/>
          <w:b/>
          <w:color w:val="051C5C"/>
          <w:sz w:val="19"/>
        </w:rPr>
        <w:t xml:space="preserve">Tabel 42: </w:t>
      </w:r>
      <w:r>
        <w:rPr>
          <w:rFonts w:ascii="Arial" w:hAnsi="Arial"/>
          <w:color w:val="051C5C"/>
          <w:sz w:val="19"/>
        </w:rPr>
        <w:t>Akar masalah BUMN Karya, kegagalan manajemen proyek, dan kendali yang diusulkan</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3012"/>
            <w:shd w:val="clear" w:color="auto" w:fill="2251FF"/>
            <w:vAlign w:val="center"/>
          </w:tcPr>
          <w:p>
            <w:pPr>
              <w:spacing w:after="20" w:before="20" w:line="252" w:lineRule="auto"/>
            </w:pPr>
            <w:r/>
            <w:r>
              <w:rPr>
                <w:rFonts w:ascii="Arial" w:hAnsi="Arial"/>
                <w:b/>
                <w:color w:val="FFFFFF"/>
                <w:sz w:val="16"/>
              </w:rPr>
              <w:t>Akar masalah (sumber)</w:t>
            </w:r>
          </w:p>
        </w:tc>
        <w:tc>
          <w:tcPr>
            <w:tcW w:type="dxa" w:w="3106"/>
            <w:shd w:val="clear" w:color="auto" w:fill="2251FF"/>
            <w:vAlign w:val="center"/>
          </w:tcPr>
          <w:p>
            <w:pPr>
              <w:spacing w:after="20" w:before="20" w:line="252" w:lineRule="auto"/>
            </w:pPr>
            <w:r/>
            <w:r>
              <w:rPr>
                <w:rFonts w:ascii="Arial" w:hAnsi="Arial"/>
                <w:b/>
                <w:color w:val="FFFFFF"/>
                <w:sz w:val="16"/>
              </w:rPr>
              <w:t>Kegagalan manajemen proyek</w:t>
            </w:r>
          </w:p>
        </w:tc>
        <w:tc>
          <w:tcPr>
            <w:tcW w:type="dxa" w:w="3294"/>
            <w:shd w:val="clear" w:color="auto" w:fill="2251FF"/>
            <w:vAlign w:val="center"/>
          </w:tcPr>
          <w:p>
            <w:pPr>
              <w:spacing w:after="20" w:before="20" w:line="252" w:lineRule="auto"/>
            </w:pPr>
            <w:r/>
            <w:r>
              <w:rPr>
                <w:rFonts w:ascii="Arial" w:hAnsi="Arial"/>
                <w:b/>
                <w:color w:val="FFFFFF"/>
                <w:sz w:val="16"/>
              </w:rPr>
              <w:t>Kendali yang diusulkan</w:t>
            </w:r>
          </w:p>
        </w:tc>
      </w:tr>
      <w:tr>
        <w:trPr>
          <w:cantSplit/>
        </w:trPr>
        <w:tc>
          <w:tcPr>
            <w:tcW w:type="dxa" w:w="3012"/>
            <w:vAlign w:val="center"/>
          </w:tcPr>
          <w:p>
            <w:pPr>
              <w:spacing w:after="20" w:before="20" w:line="252" w:lineRule="auto"/>
            </w:pPr>
            <w:r/>
            <w:r>
              <w:rPr>
                <w:rFonts w:ascii="Arial" w:hAnsi="Arial"/>
                <w:b/>
                <w:sz w:val="16"/>
              </w:rPr>
              <w:t>Ekspansi infrastruktur agresif dalam waktu singkat</w:t>
            </w:r>
          </w:p>
        </w:tc>
        <w:tc>
          <w:tcPr>
            <w:tcW w:type="dxa" w:w="3106"/>
            <w:vAlign w:val="center"/>
          </w:tcPr>
          <w:p>
            <w:pPr>
              <w:spacing w:after="20" w:before="20" w:line="252" w:lineRule="auto"/>
            </w:pPr>
            <w:r/>
            <w:r>
              <w:rPr>
                <w:rFonts w:ascii="Arial" w:hAnsi="Arial"/>
                <w:b w:val="0"/>
                <w:sz w:val="16"/>
              </w:rPr>
              <w:t>Tidak ada seleksi portofolio dan batas kapasitas; gerbang bid/no-bid lemah</w:t>
            </w:r>
          </w:p>
        </w:tc>
        <w:tc>
          <w:tcPr>
            <w:tcW w:type="dxa" w:w="3294"/>
            <w:vAlign w:val="center"/>
          </w:tcPr>
          <w:p>
            <w:pPr>
              <w:spacing w:after="20" w:before="20" w:line="252" w:lineRule="auto"/>
            </w:pPr>
            <w:r/>
            <w:r>
              <w:rPr>
                <w:rFonts w:ascii="Arial" w:hAnsi="Arial"/>
                <w:b w:val="0"/>
                <w:sz w:val="16"/>
              </w:rPr>
              <w:t>Disiplin penawaran: gerbang bid/no-bid dengan margin minimum disesuaikan risiko dan jaminan pembayaran</w:t>
            </w:r>
          </w:p>
        </w:tc>
      </w:tr>
      <w:tr>
        <w:trPr>
          <w:cantSplit/>
        </w:trPr>
        <w:tc>
          <w:tcPr>
            <w:tcW w:type="dxa" w:w="3012"/>
            <w:shd w:val="clear" w:color="auto" w:fill="E6ECFD"/>
            <w:vAlign w:val="center"/>
          </w:tcPr>
          <w:p>
            <w:pPr>
              <w:spacing w:after="20" w:before="20" w:line="252" w:lineRule="auto"/>
            </w:pPr>
            <w:r/>
            <w:r>
              <w:rPr>
                <w:rFonts w:ascii="Arial" w:hAnsi="Arial"/>
                <w:b/>
                <w:sz w:val="16"/>
              </w:rPr>
              <w:t>Margin konstruksi rendah; proyek penugasan tanpa kompensasi penuh</w:t>
            </w:r>
          </w:p>
        </w:tc>
        <w:tc>
          <w:tcPr>
            <w:tcW w:type="dxa" w:w="3106"/>
            <w:shd w:val="clear" w:color="auto" w:fill="E6ECFD"/>
            <w:vAlign w:val="center"/>
          </w:tcPr>
          <w:p>
            <w:pPr>
              <w:spacing w:after="20" w:before="20" w:line="252" w:lineRule="auto"/>
            </w:pPr>
            <w:r/>
            <w:r>
              <w:rPr>
                <w:rFonts w:ascii="Arial" w:hAnsi="Arial"/>
                <w:b w:val="0"/>
                <w:sz w:val="16"/>
              </w:rPr>
              <w:t>Estimasi dan kontingensi tidak mencerminkan risiko; margin tidak dilindungi</w:t>
            </w:r>
          </w:p>
        </w:tc>
        <w:tc>
          <w:tcPr>
            <w:tcW w:type="dxa" w:w="3294"/>
            <w:shd w:val="clear" w:color="auto" w:fill="E6ECFD"/>
            <w:vAlign w:val="center"/>
          </w:tcPr>
          <w:p>
            <w:pPr>
              <w:spacing w:after="20" w:before="20" w:line="252" w:lineRule="auto"/>
            </w:pPr>
            <w:r/>
            <w:r>
              <w:rPr>
                <w:rFonts w:ascii="Arial" w:hAnsi="Arial"/>
                <w:b w:val="0"/>
                <w:sz w:val="16"/>
              </w:rPr>
              <w:t>Estimasi independen (Agen Estimasi Biaya), kontingensi berbasis risiko, pemisahan kompensasi penugasan</w:t>
            </w:r>
          </w:p>
        </w:tc>
      </w:tr>
      <w:tr>
        <w:trPr>
          <w:cantSplit/>
        </w:trPr>
        <w:tc>
          <w:tcPr>
            <w:tcW w:type="dxa" w:w="3012"/>
            <w:vAlign w:val="center"/>
          </w:tcPr>
          <w:p>
            <w:pPr>
              <w:spacing w:after="20" w:before="20" w:line="252" w:lineRule="auto"/>
            </w:pPr>
            <w:r/>
            <w:r>
              <w:rPr>
                <w:rFonts w:ascii="Arial" w:hAnsi="Arial"/>
                <w:b/>
                <w:sz w:val="16"/>
              </w:rPr>
              <w:t>Pembayaran pemerintah dan pemilik proyek terlambat</w:t>
            </w:r>
          </w:p>
        </w:tc>
        <w:tc>
          <w:tcPr>
            <w:tcW w:type="dxa" w:w="3106"/>
            <w:vAlign w:val="center"/>
          </w:tcPr>
          <w:p>
            <w:pPr>
              <w:spacing w:after="20" w:before="20" w:line="252" w:lineRule="auto"/>
            </w:pPr>
            <w:r/>
            <w:r>
              <w:rPr>
                <w:rFonts w:ascii="Arial" w:hAnsi="Arial"/>
                <w:b w:val="0"/>
                <w:sz w:val="16"/>
              </w:rPr>
              <w:t>Siklus kas tidak dikelola; piutang menjadi masalah pendanaan</w:t>
            </w:r>
          </w:p>
        </w:tc>
        <w:tc>
          <w:tcPr>
            <w:tcW w:type="dxa" w:w="3294"/>
            <w:vAlign w:val="center"/>
          </w:tcPr>
          <w:p>
            <w:pPr>
              <w:spacing w:after="20" w:before="20" w:line="252" w:lineRule="auto"/>
            </w:pPr>
            <w:r/>
            <w:r>
              <w:rPr>
                <w:rFonts w:ascii="Arial" w:hAnsi="Arial"/>
                <w:b w:val="0"/>
                <w:sz w:val="16"/>
              </w:rPr>
              <w:t>Eskalasi piutang jatuh tempo; kontrak layanan publik yang didanai; penagihan tonggak</w:t>
            </w:r>
          </w:p>
        </w:tc>
      </w:tr>
      <w:tr>
        <w:trPr>
          <w:cantSplit/>
        </w:trPr>
        <w:tc>
          <w:tcPr>
            <w:tcW w:type="dxa" w:w="3012"/>
            <w:shd w:val="clear" w:color="auto" w:fill="E6ECFD"/>
            <w:vAlign w:val="center"/>
          </w:tcPr>
          <w:p>
            <w:pPr>
              <w:spacing w:after="20" w:before="20" w:line="252" w:lineRule="auto"/>
            </w:pPr>
            <w:r/>
            <w:r>
              <w:rPr>
                <w:rFonts w:ascii="Arial" w:hAnsi="Arial"/>
                <w:b/>
                <w:sz w:val="16"/>
              </w:rPr>
              <w:t>Risiko turnkey dan EPC ditanggung kontraktor</w:t>
            </w:r>
          </w:p>
        </w:tc>
        <w:tc>
          <w:tcPr>
            <w:tcW w:type="dxa" w:w="3106"/>
            <w:shd w:val="clear" w:color="auto" w:fill="E6ECFD"/>
            <w:vAlign w:val="center"/>
          </w:tcPr>
          <w:p>
            <w:pPr>
              <w:spacing w:after="20" w:before="20" w:line="252" w:lineRule="auto"/>
            </w:pPr>
            <w:r/>
            <w:r>
              <w:rPr>
                <w:rFonts w:ascii="Arial" w:hAnsi="Arial"/>
                <w:b w:val="0"/>
                <w:sz w:val="16"/>
              </w:rPr>
              <w:t>Alokasi risiko kontrak tidak seimbang; lingkup kurang matang</w:t>
            </w:r>
          </w:p>
        </w:tc>
        <w:tc>
          <w:tcPr>
            <w:tcW w:type="dxa" w:w="3294"/>
            <w:shd w:val="clear" w:color="auto" w:fill="E6ECFD"/>
            <w:vAlign w:val="center"/>
          </w:tcPr>
          <w:p>
            <w:pPr>
              <w:spacing w:after="20" w:before="20" w:line="252" w:lineRule="auto"/>
            </w:pPr>
            <w:r/>
            <w:r>
              <w:rPr>
                <w:rFonts w:ascii="Arial" w:hAnsi="Arial"/>
                <w:b w:val="0"/>
                <w:sz w:val="16"/>
              </w:rPr>
              <w:t>Pilih bentuk kontrak menurut kematangan definisi; pengendalian perubahan dan klaim</w:t>
            </w:r>
          </w:p>
        </w:tc>
      </w:tr>
      <w:tr>
        <w:trPr>
          <w:cantSplit/>
        </w:trPr>
        <w:tc>
          <w:tcPr>
            <w:tcW w:type="dxa" w:w="3012"/>
            <w:vAlign w:val="center"/>
          </w:tcPr>
          <w:p>
            <w:pPr>
              <w:spacing w:after="20" w:before="20" w:line="252" w:lineRule="auto"/>
            </w:pPr>
            <w:r/>
            <w:r>
              <w:rPr>
                <w:rFonts w:ascii="Arial" w:hAnsi="Arial"/>
                <w:b/>
                <w:sz w:val="16"/>
              </w:rPr>
              <w:t>Tata kelola dan insentif: sukses = penyelesaian proyek</w:t>
            </w:r>
          </w:p>
        </w:tc>
        <w:tc>
          <w:tcPr>
            <w:tcW w:type="dxa" w:w="3106"/>
            <w:vAlign w:val="center"/>
          </w:tcPr>
          <w:p>
            <w:pPr>
              <w:spacing w:after="20" w:before="20" w:line="252" w:lineRule="auto"/>
            </w:pPr>
            <w:r/>
            <w:r>
              <w:rPr>
                <w:rFonts w:ascii="Arial" w:hAnsi="Arial"/>
                <w:b w:val="0"/>
                <w:sz w:val="16"/>
              </w:rPr>
              <w:t>Insentif tidak mengukur laba dan kas</w:t>
            </w:r>
          </w:p>
        </w:tc>
        <w:tc>
          <w:tcPr>
            <w:tcW w:type="dxa" w:w="3294"/>
            <w:vAlign w:val="center"/>
          </w:tcPr>
          <w:p>
            <w:pPr>
              <w:spacing w:after="20" w:before="20" w:line="252" w:lineRule="auto"/>
            </w:pPr>
            <w:r/>
            <w:r>
              <w:rPr>
                <w:rFonts w:ascii="Arial" w:hAnsi="Arial"/>
                <w:b w:val="0"/>
                <w:sz w:val="16"/>
              </w:rPr>
              <w:t>KPI: laba ekonomi inkremental, konversi kas, margin backlog; remunerasi ditunda</w:t>
            </w:r>
          </w:p>
        </w:tc>
      </w:tr>
      <w:tr>
        <w:trPr>
          <w:cantSplit/>
        </w:trPr>
        <w:tc>
          <w:tcPr>
            <w:tcW w:type="dxa" w:w="3012"/>
            <w:shd w:val="clear" w:color="auto" w:fill="E6ECFD"/>
            <w:vAlign w:val="center"/>
          </w:tcPr>
          <w:p>
            <w:pPr>
              <w:spacing w:after="20" w:before="20" w:line="252" w:lineRule="auto"/>
            </w:pPr>
            <w:r/>
            <w:r>
              <w:rPr>
                <w:rFonts w:ascii="Arial" w:hAnsi="Arial"/>
                <w:b/>
                <w:sz w:val="16"/>
              </w:rPr>
              <w:t>Pembiayaan proyek infrastruktur dan tol dengan utang perusahaan</w:t>
            </w:r>
          </w:p>
        </w:tc>
        <w:tc>
          <w:tcPr>
            <w:tcW w:type="dxa" w:w="3106"/>
            <w:shd w:val="clear" w:color="auto" w:fill="E6ECFD"/>
            <w:vAlign w:val="center"/>
          </w:tcPr>
          <w:p>
            <w:pPr>
              <w:spacing w:after="20" w:before="20" w:line="252" w:lineRule="auto"/>
            </w:pPr>
            <w:r/>
            <w:r>
              <w:rPr>
                <w:rFonts w:ascii="Arial" w:hAnsi="Arial"/>
                <w:b w:val="0"/>
                <w:sz w:val="16"/>
              </w:rPr>
              <w:t>Struktur pendanaan tidak mengikuti gerbang; aset jangka panjang di neraca kontraktor</w:t>
            </w:r>
          </w:p>
        </w:tc>
        <w:tc>
          <w:tcPr>
            <w:tcW w:type="dxa" w:w="3294"/>
            <w:shd w:val="clear" w:color="auto" w:fill="E6ECFD"/>
            <w:vAlign w:val="center"/>
          </w:tcPr>
          <w:p>
            <w:pPr>
              <w:spacing w:after="20" w:before="20" w:line="252" w:lineRule="auto"/>
            </w:pPr>
            <w:r/>
            <w:r>
              <w:rPr>
                <w:rFonts w:ascii="Arial" w:hAnsi="Arial"/>
                <w:b w:val="0"/>
                <w:sz w:val="16"/>
              </w:rPr>
              <w:t>Pendanaan proyek dari pemilik; pisahkan aset warisan ke wahana tersendiri</w:t>
            </w:r>
          </w:p>
        </w:tc>
      </w:tr>
    </w:tbl>
    <w:p>
      <w:pPr>
        <w:spacing w:after="160"/>
      </w:pPr>
      <w:r>
        <w:rPr>
          <w:rFonts w:ascii="Arial" w:hAnsi="Arial"/>
          <w:b w:val="0"/>
          <w:i/>
          <w:color w:val="051C5C"/>
          <w:sz w:val="17"/>
        </w:rPr>
        <w:t>Sumber: kolom pertama dari [PLAT, hlm. 3; K, Bab 11.1]; kolom kedua dan ketiga adalah analisis penulis yang menerapkan Bab 3–9 dan 14.</w:t>
      </w:r>
    </w:p>
    <w:p>
      <w:pPr>
        <w:pStyle w:val="Heading2"/>
      </w:pPr>
      <w:r>
        <w:t>15.3  Model sasaran dan urutan pemulihan</w:t>
      </w:r>
    </w:p>
    <w:p>
      <w:pPr>
        <w:jc w:val="both"/>
      </w:pPr>
      <w:r>
        <w:rPr>
          <w:rFonts w:ascii="Arial" w:hAnsi="Arial"/>
          <w:b w:val="0"/>
        </w:rPr>
        <w:t>Model sasaran yang diusulkan: fokus pada bisnis inti konstruksi; selektif pada proyek bermargin sehat; tidak memiliki aset jangka panjang secara berlebihan; pendanaan proyek dari pemilik, bukan dari utang perusahaan; manajemen risiko proyek yang kuat; tata kelola profesional dan independen; dan kapabilitas operasional dengan produktivitas tinggi [PLAT, hlm. 3; K, Bab 11.2]. Aset yang menjadi beban (jalan tol, properti hunian, bandara, pembangkit, pelabuhan, konsesi tambang, hotel, kawasan industri, dan pabrik) disarankan ditempatkan pada perusahaan investasi terpisah. Kajian memberi catatan penting: pembentukan wahana tersebut adalah keputusan yang memerlukan bukti, penilaian independen pada saat pengalihan, dan pemisahan kewajiban warisan; diagnostik aset per aset, termasuk divestasi, harus mendahului keputusan struktur [K, Bab 11.2, 11.4].</w:t>
      </w:r>
    </w:p>
    <w:p>
      <w:pPr>
        <w:keepNext/>
        <w:spacing w:after="60"/>
      </w:pPr>
      <w:r>
        <w:rPr>
          <w:rFonts w:ascii="Arial" w:hAnsi="Arial"/>
          <w:b/>
          <w:color w:val="051C5C"/>
          <w:sz w:val="19"/>
        </w:rPr>
        <w:t xml:space="preserve">Tabel 43: </w:t>
      </w:r>
      <w:r>
        <w:rPr>
          <w:rFonts w:ascii="Arial" w:hAnsi="Arial"/>
          <w:color w:val="051C5C"/>
          <w:sz w:val="19"/>
        </w:rPr>
        <w:t>Urutan pemulihan BUMN Karya (usulan)</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1569"/>
            <w:shd w:val="clear" w:color="auto" w:fill="2251FF"/>
            <w:vAlign w:val="center"/>
          </w:tcPr>
          <w:p>
            <w:pPr>
              <w:spacing w:after="20" w:before="20" w:line="252" w:lineRule="auto"/>
            </w:pPr>
            <w:r/>
            <w:r>
              <w:rPr>
                <w:rFonts w:ascii="Arial" w:hAnsi="Arial"/>
                <w:b/>
                <w:color w:val="FFFFFF"/>
                <w:sz w:val="17"/>
              </w:rPr>
              <w:t>Periode</w:t>
            </w:r>
          </w:p>
        </w:tc>
        <w:tc>
          <w:tcPr>
            <w:tcW w:type="dxa" w:w="4902"/>
            <w:shd w:val="clear" w:color="auto" w:fill="2251FF"/>
            <w:vAlign w:val="center"/>
          </w:tcPr>
          <w:p>
            <w:pPr>
              <w:spacing w:after="20" w:before="20" w:line="252" w:lineRule="auto"/>
            </w:pPr>
            <w:r/>
            <w:r>
              <w:rPr>
                <w:rFonts w:ascii="Arial" w:hAnsi="Arial"/>
                <w:b/>
                <w:color w:val="FFFFFF"/>
                <w:sz w:val="17"/>
              </w:rPr>
              <w:t>Pekerjaan</w:t>
            </w:r>
          </w:p>
        </w:tc>
        <w:tc>
          <w:tcPr>
            <w:tcW w:type="dxa" w:w="2941"/>
            <w:shd w:val="clear" w:color="auto" w:fill="2251FF"/>
            <w:vAlign w:val="center"/>
          </w:tcPr>
          <w:p>
            <w:pPr>
              <w:spacing w:after="20" w:before="20" w:line="252" w:lineRule="auto"/>
            </w:pPr>
            <w:r/>
            <w:r>
              <w:rPr>
                <w:rFonts w:ascii="Arial" w:hAnsi="Arial"/>
                <w:b/>
                <w:color w:val="FFFFFF"/>
                <w:sz w:val="17"/>
              </w:rPr>
              <w:t>Keluaran</w:t>
            </w:r>
          </w:p>
        </w:tc>
      </w:tr>
      <w:tr>
        <w:trPr>
          <w:cantSplit/>
        </w:trPr>
        <w:tc>
          <w:tcPr>
            <w:tcW w:type="dxa" w:w="1569"/>
            <w:vAlign w:val="center"/>
          </w:tcPr>
          <w:p>
            <w:pPr>
              <w:spacing w:after="20" w:before="20" w:line="252" w:lineRule="auto"/>
            </w:pPr>
            <w:r/>
            <w:r>
              <w:rPr>
                <w:rFonts w:ascii="Arial" w:hAnsi="Arial"/>
                <w:b/>
                <w:sz w:val="17"/>
              </w:rPr>
              <w:t>Hari 0–30</w:t>
            </w:r>
          </w:p>
        </w:tc>
        <w:tc>
          <w:tcPr>
            <w:tcW w:type="dxa" w:w="4902"/>
            <w:vAlign w:val="center"/>
          </w:tcPr>
          <w:p>
            <w:pPr>
              <w:spacing w:after="20" w:before="20" w:line="252" w:lineRule="auto"/>
            </w:pPr>
            <w:r/>
            <w:r>
              <w:rPr>
                <w:rFonts w:ascii="Arial" w:hAnsi="Arial"/>
                <w:b w:val="0"/>
                <w:sz w:val="17"/>
              </w:rPr>
              <w:t>Permintaan data: laporan teraudit TB2025, piutang, kontrak, aset</w:t>
            </w:r>
          </w:p>
        </w:tc>
        <w:tc>
          <w:tcPr>
            <w:tcW w:type="dxa" w:w="2941"/>
            <w:vAlign w:val="center"/>
          </w:tcPr>
          <w:p>
            <w:pPr>
              <w:spacing w:after="20" w:before="20" w:line="252" w:lineRule="auto"/>
            </w:pPr>
            <w:r/>
            <w:r>
              <w:rPr>
                <w:rFonts w:ascii="Arial" w:hAnsi="Arial"/>
                <w:b w:val="0"/>
                <w:sz w:val="17"/>
              </w:rPr>
              <w:t>Paket data per BUMN</w:t>
            </w:r>
          </w:p>
        </w:tc>
      </w:tr>
      <w:tr>
        <w:trPr>
          <w:cantSplit/>
        </w:trPr>
        <w:tc>
          <w:tcPr>
            <w:tcW w:type="dxa" w:w="1569"/>
            <w:shd w:val="clear" w:color="auto" w:fill="E6ECFD"/>
            <w:vAlign w:val="center"/>
          </w:tcPr>
          <w:p>
            <w:pPr>
              <w:spacing w:after="20" w:before="20" w:line="252" w:lineRule="auto"/>
            </w:pPr>
            <w:r/>
            <w:r>
              <w:rPr>
                <w:rFonts w:ascii="Arial" w:hAnsi="Arial"/>
                <w:b/>
                <w:sz w:val="17"/>
              </w:rPr>
              <w:t>Hari 31–90</w:t>
            </w:r>
          </w:p>
        </w:tc>
        <w:tc>
          <w:tcPr>
            <w:tcW w:type="dxa" w:w="4902"/>
            <w:shd w:val="clear" w:color="auto" w:fill="E6ECFD"/>
            <w:vAlign w:val="center"/>
          </w:tcPr>
          <w:p>
            <w:pPr>
              <w:spacing w:after="20" w:before="20" w:line="252" w:lineRule="auto"/>
            </w:pPr>
            <w:r/>
            <w:r>
              <w:rPr>
                <w:rFonts w:ascii="Arial" w:hAnsi="Arial"/>
                <w:b w:val="0"/>
                <w:sz w:val="17"/>
              </w:rPr>
              <w:t>Diagnostik per perusahaan dan per aset; rencana pemulihan</w:t>
            </w:r>
          </w:p>
        </w:tc>
        <w:tc>
          <w:tcPr>
            <w:tcW w:type="dxa" w:w="2941"/>
            <w:shd w:val="clear" w:color="auto" w:fill="E6ECFD"/>
            <w:vAlign w:val="center"/>
          </w:tcPr>
          <w:p>
            <w:pPr>
              <w:spacing w:after="20" w:before="20" w:line="252" w:lineRule="auto"/>
            </w:pPr>
            <w:r/>
            <w:r>
              <w:rPr>
                <w:rFonts w:ascii="Arial" w:hAnsi="Arial"/>
                <w:b w:val="0"/>
                <w:sz w:val="17"/>
              </w:rPr>
              <w:t>Laporan diagnostik; ketentuan disiplin penawaran</w:t>
            </w:r>
          </w:p>
        </w:tc>
      </w:tr>
      <w:tr>
        <w:trPr>
          <w:cantSplit/>
        </w:trPr>
        <w:tc>
          <w:tcPr>
            <w:tcW w:type="dxa" w:w="1569"/>
            <w:vAlign w:val="center"/>
          </w:tcPr>
          <w:p>
            <w:pPr>
              <w:spacing w:after="20" w:before="20" w:line="252" w:lineRule="auto"/>
            </w:pPr>
            <w:r/>
            <w:r>
              <w:rPr>
                <w:rFonts w:ascii="Arial" w:hAnsi="Arial"/>
                <w:b/>
                <w:sz w:val="17"/>
              </w:rPr>
              <w:t>Bulan 4–12</w:t>
            </w:r>
          </w:p>
        </w:tc>
        <w:tc>
          <w:tcPr>
            <w:tcW w:type="dxa" w:w="4902"/>
            <w:vAlign w:val="center"/>
          </w:tcPr>
          <w:p>
            <w:pPr>
              <w:spacing w:after="20" w:before="20" w:line="252" w:lineRule="auto"/>
            </w:pPr>
            <w:r/>
            <w:r>
              <w:rPr>
                <w:rFonts w:ascii="Arial" w:hAnsi="Arial"/>
                <w:b w:val="0"/>
                <w:sz w:val="17"/>
              </w:rPr>
              <w:t>Seleksi proyek, penagihan, opsi aset warisan, perlindungan kas</w:t>
            </w:r>
          </w:p>
        </w:tc>
        <w:tc>
          <w:tcPr>
            <w:tcW w:type="dxa" w:w="2941"/>
            <w:vAlign w:val="center"/>
          </w:tcPr>
          <w:p>
            <w:pPr>
              <w:spacing w:after="20" w:before="20" w:line="252" w:lineRule="auto"/>
            </w:pPr>
            <w:r/>
            <w:r>
              <w:rPr>
                <w:rFonts w:ascii="Arial" w:hAnsi="Arial"/>
                <w:b w:val="0"/>
                <w:sz w:val="17"/>
              </w:rPr>
              <w:t>Aset warisan dipisahkan; kas dilindungi sepanjang siklus</w:t>
            </w:r>
          </w:p>
        </w:tc>
      </w:tr>
      <w:tr>
        <w:trPr>
          <w:cantSplit/>
        </w:trPr>
        <w:tc>
          <w:tcPr>
            <w:tcW w:type="dxa" w:w="1569"/>
            <w:shd w:val="clear" w:color="auto" w:fill="E6ECFD"/>
            <w:vAlign w:val="center"/>
          </w:tcPr>
          <w:p>
            <w:pPr>
              <w:spacing w:after="20" w:before="20" w:line="252" w:lineRule="auto"/>
            </w:pPr>
            <w:r/>
            <w:r>
              <w:rPr>
                <w:rFonts w:ascii="Arial" w:hAnsi="Arial"/>
                <w:b/>
                <w:sz w:val="17"/>
              </w:rPr>
              <w:t>Bulan 12–24</w:t>
            </w:r>
          </w:p>
        </w:tc>
        <w:tc>
          <w:tcPr>
            <w:tcW w:type="dxa" w:w="4902"/>
            <w:shd w:val="clear" w:color="auto" w:fill="E6ECFD"/>
            <w:vAlign w:val="center"/>
          </w:tcPr>
          <w:p>
            <w:pPr>
              <w:spacing w:after="20" w:before="20" w:line="252" w:lineRule="auto"/>
            </w:pPr>
            <w:r/>
            <w:r>
              <w:rPr>
                <w:rFonts w:ascii="Arial" w:hAnsi="Arial"/>
                <w:b w:val="0"/>
                <w:sz w:val="17"/>
              </w:rPr>
              <w:t>Keputusan struktur berdasarkan bukti</w:t>
            </w:r>
          </w:p>
        </w:tc>
        <w:tc>
          <w:tcPr>
            <w:tcW w:type="dxa" w:w="2941"/>
            <w:shd w:val="clear" w:color="auto" w:fill="E6ECFD"/>
            <w:vAlign w:val="center"/>
          </w:tcPr>
          <w:p>
            <w:pPr>
              <w:spacing w:after="20" w:before="20" w:line="252" w:lineRule="auto"/>
            </w:pPr>
            <w:r/>
            <w:r>
              <w:rPr>
                <w:rFonts w:ascii="Arial" w:hAnsi="Arial"/>
                <w:b w:val="0"/>
                <w:sz w:val="17"/>
              </w:rPr>
              <w:t>Kontraktor disiplin; konversi kas operasi positif pada sedikitnya dua perusahaan</w:t>
            </w:r>
          </w:p>
        </w:tc>
      </w:tr>
    </w:tbl>
    <w:p>
      <w:pPr>
        <w:spacing w:after="160"/>
      </w:pPr>
      <w:r>
        <w:rPr>
          <w:rFonts w:ascii="Arial" w:hAnsi="Arial"/>
          <w:b w:val="0"/>
          <w:i/>
          <w:color w:val="051C5C"/>
          <w:sz w:val="17"/>
        </w:rPr>
        <w:t>Sumber: [K, Bab 11.4, 16, dan 1.5].</w:t>
      </w:r>
    </w:p>
    <w:p>
      <w:pPr>
        <w:pStyle w:val="Heading2"/>
      </w:pPr>
      <w:r>
        <w:t>15.4  Metrik pemulihan</w:t>
      </w:r>
    </w:p>
    <w:p>
      <w:pPr>
        <w:keepNext/>
        <w:spacing w:after="60"/>
      </w:pPr>
      <w:r>
        <w:rPr>
          <w:rFonts w:ascii="Arial" w:hAnsi="Arial"/>
          <w:b/>
          <w:color w:val="051C5C"/>
          <w:sz w:val="19"/>
        </w:rPr>
        <w:t xml:space="preserve">Tabel 44: </w:t>
      </w:r>
      <w:r>
        <w:rPr>
          <w:rFonts w:ascii="Arial" w:hAnsi="Arial"/>
          <w:color w:val="051C5C"/>
          <w:sz w:val="19"/>
        </w:rPr>
        <w:t>Metrik pemulihan dan makna manajemen proyeknya</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4706"/>
        <w:gridCol w:w="4706"/>
      </w:tblGrid>
      <w:tr>
        <w:trPr>
          <w:cantSplit/>
          <w:tblHeader/>
        </w:trPr>
        <w:tc>
          <w:tcPr>
            <w:tcW w:type="dxa" w:w="3921"/>
            <w:shd w:val="clear" w:color="auto" w:fill="2251FF"/>
            <w:vAlign w:val="center"/>
          </w:tcPr>
          <w:p>
            <w:pPr>
              <w:spacing w:after="20" w:before="20" w:line="252" w:lineRule="auto"/>
            </w:pPr>
            <w:r/>
            <w:r>
              <w:rPr>
                <w:rFonts w:ascii="Arial" w:hAnsi="Arial"/>
                <w:b/>
                <w:color w:val="FFFFFF"/>
                <w:sz w:val="17"/>
              </w:rPr>
              <w:t>Metrik</w:t>
            </w:r>
          </w:p>
        </w:tc>
        <w:tc>
          <w:tcPr>
            <w:tcW w:type="dxa" w:w="5490"/>
            <w:shd w:val="clear" w:color="auto" w:fill="2251FF"/>
            <w:vAlign w:val="center"/>
          </w:tcPr>
          <w:p>
            <w:pPr>
              <w:spacing w:after="20" w:before="20" w:line="252" w:lineRule="auto"/>
            </w:pPr>
            <w:r/>
            <w:r>
              <w:rPr>
                <w:rFonts w:ascii="Arial" w:hAnsi="Arial"/>
                <w:b/>
                <w:color w:val="FFFFFF"/>
                <w:sz w:val="17"/>
              </w:rPr>
              <w:t>Mengapa penting</w:t>
            </w:r>
          </w:p>
        </w:tc>
      </w:tr>
      <w:tr>
        <w:trPr>
          <w:cantSplit/>
        </w:trPr>
        <w:tc>
          <w:tcPr>
            <w:tcW w:type="dxa" w:w="3921"/>
            <w:vAlign w:val="center"/>
          </w:tcPr>
          <w:p>
            <w:pPr>
              <w:spacing w:after="20" w:before="20" w:line="252" w:lineRule="auto"/>
            </w:pPr>
            <w:r/>
            <w:r>
              <w:rPr>
                <w:rFonts w:ascii="Arial" w:hAnsi="Arial"/>
                <w:b/>
                <w:sz w:val="17"/>
              </w:rPr>
              <w:t>Laba ekonomi inkremental (O02)</w:t>
            </w:r>
          </w:p>
        </w:tc>
        <w:tc>
          <w:tcPr>
            <w:tcW w:type="dxa" w:w="5490"/>
            <w:vAlign w:val="center"/>
          </w:tcPr>
          <w:p>
            <w:pPr>
              <w:spacing w:after="20" w:before="20" w:line="252" w:lineRule="auto"/>
            </w:pPr>
            <w:r/>
            <w:r>
              <w:rPr>
                <w:rFonts w:ascii="Arial" w:hAnsi="Arial"/>
                <w:b w:val="0"/>
                <w:sz w:val="17"/>
              </w:rPr>
              <w:t>Menguji penciptaan nilai di atas biaya modal terhadap jalur tanpa intervensi</w:t>
            </w:r>
          </w:p>
        </w:tc>
      </w:tr>
      <w:tr>
        <w:trPr>
          <w:cantSplit/>
        </w:trPr>
        <w:tc>
          <w:tcPr>
            <w:tcW w:type="dxa" w:w="3921"/>
            <w:shd w:val="clear" w:color="auto" w:fill="E6ECFD"/>
            <w:vAlign w:val="center"/>
          </w:tcPr>
          <w:p>
            <w:pPr>
              <w:spacing w:after="20" w:before="20" w:line="252" w:lineRule="auto"/>
            </w:pPr>
            <w:r/>
            <w:r>
              <w:rPr>
                <w:rFonts w:ascii="Arial" w:hAnsi="Arial"/>
                <w:b/>
                <w:sz w:val="17"/>
              </w:rPr>
              <w:t>Konversi kas operasi (O04) dan DSO</w:t>
            </w:r>
          </w:p>
        </w:tc>
        <w:tc>
          <w:tcPr>
            <w:tcW w:type="dxa" w:w="5490"/>
            <w:shd w:val="clear" w:color="auto" w:fill="E6ECFD"/>
            <w:vAlign w:val="center"/>
          </w:tcPr>
          <w:p>
            <w:pPr>
              <w:spacing w:after="20" w:before="20" w:line="252" w:lineRule="auto"/>
            </w:pPr>
            <w:r/>
            <w:r>
              <w:rPr>
                <w:rFonts w:ascii="Arial" w:hAnsi="Arial"/>
                <w:b w:val="0"/>
                <w:sz w:val="17"/>
              </w:rPr>
              <w:t>Margin harus menjadi kas; tidak memberi insentif menunda pembayaran kepada pemasok</w:t>
            </w:r>
          </w:p>
        </w:tc>
      </w:tr>
      <w:tr>
        <w:trPr>
          <w:cantSplit/>
        </w:trPr>
        <w:tc>
          <w:tcPr>
            <w:tcW w:type="dxa" w:w="3921"/>
            <w:vAlign w:val="center"/>
          </w:tcPr>
          <w:p>
            <w:pPr>
              <w:spacing w:after="20" w:before="20" w:line="252" w:lineRule="auto"/>
            </w:pPr>
            <w:r/>
            <w:r>
              <w:rPr>
                <w:rFonts w:ascii="Arial" w:hAnsi="Arial"/>
                <w:b/>
                <w:sz w:val="17"/>
              </w:rPr>
              <w:t>Utang bersih / EBITDA (O08); cakupan bunga; utang bersih / ekuitas; ketahanan likuiditas</w:t>
            </w:r>
          </w:p>
        </w:tc>
        <w:tc>
          <w:tcPr>
            <w:tcW w:type="dxa" w:w="5490"/>
            <w:vAlign w:val="center"/>
          </w:tcPr>
          <w:p>
            <w:pPr>
              <w:spacing w:after="20" w:before="20" w:line="252" w:lineRule="auto"/>
            </w:pPr>
            <w:r/>
            <w:r>
              <w:rPr>
                <w:rFonts w:ascii="Arial" w:hAnsi="Arial"/>
                <w:b w:val="0"/>
                <w:sz w:val="17"/>
              </w:rPr>
              <w:t>Solvabilitas dan ruang pembiayaan kembali</w:t>
            </w:r>
          </w:p>
        </w:tc>
      </w:tr>
      <w:tr>
        <w:trPr>
          <w:cantSplit/>
        </w:trPr>
        <w:tc>
          <w:tcPr>
            <w:tcW w:type="dxa" w:w="3921"/>
            <w:shd w:val="clear" w:color="auto" w:fill="E6ECFD"/>
            <w:vAlign w:val="center"/>
          </w:tcPr>
          <w:p>
            <w:pPr>
              <w:spacing w:after="20" w:before="20" w:line="252" w:lineRule="auto"/>
            </w:pPr>
            <w:r/>
            <w:r>
              <w:rPr>
                <w:rFonts w:ascii="Arial" w:hAnsi="Arial"/>
                <w:b/>
                <w:sz w:val="17"/>
              </w:rPr>
              <w:t>Margin backlog saat penawaran dibandingkan saat penyelesaian</w:t>
            </w:r>
          </w:p>
        </w:tc>
        <w:tc>
          <w:tcPr>
            <w:tcW w:type="dxa" w:w="5490"/>
            <w:shd w:val="clear" w:color="auto" w:fill="E6ECFD"/>
            <w:vAlign w:val="center"/>
          </w:tcPr>
          <w:p>
            <w:pPr>
              <w:spacing w:after="20" w:before="20" w:line="252" w:lineRule="auto"/>
            </w:pPr>
            <w:r/>
            <w:r>
              <w:rPr>
                <w:rFonts w:ascii="Arial" w:hAnsi="Arial"/>
                <w:b w:val="0"/>
                <w:sz w:val="17"/>
              </w:rPr>
              <w:t>Menguji disiplin penawaran dan kualitas estimasi</w:t>
            </w:r>
          </w:p>
        </w:tc>
      </w:tr>
      <w:tr>
        <w:trPr>
          <w:cantSplit/>
        </w:trPr>
        <w:tc>
          <w:tcPr>
            <w:tcW w:type="dxa" w:w="3921"/>
            <w:vAlign w:val="center"/>
          </w:tcPr>
          <w:p>
            <w:pPr>
              <w:spacing w:after="20" w:before="20" w:line="252" w:lineRule="auto"/>
            </w:pPr>
            <w:r/>
            <w:r>
              <w:rPr>
                <w:rFonts w:ascii="Arial" w:hAnsi="Arial"/>
                <w:b/>
                <w:sz w:val="17"/>
              </w:rPr>
              <w:t>CPI dan SPI</w:t>
            </w:r>
          </w:p>
        </w:tc>
        <w:tc>
          <w:tcPr>
            <w:tcW w:type="dxa" w:w="5490"/>
            <w:vAlign w:val="center"/>
          </w:tcPr>
          <w:p>
            <w:pPr>
              <w:spacing w:after="20" w:before="20" w:line="252" w:lineRule="auto"/>
            </w:pPr>
            <w:r/>
            <w:r>
              <w:rPr>
                <w:rFonts w:ascii="Arial" w:hAnsi="Arial"/>
                <w:b w:val="0"/>
                <w:sz w:val="17"/>
              </w:rPr>
              <w:t>Peringatan dini atas pembengkakan pada proyek</w:t>
            </w:r>
          </w:p>
        </w:tc>
      </w:tr>
      <w:tr>
        <w:trPr>
          <w:cantSplit/>
        </w:trPr>
        <w:tc>
          <w:tcPr>
            <w:tcW w:type="dxa" w:w="3921"/>
            <w:shd w:val="clear" w:color="auto" w:fill="E6ECFD"/>
            <w:vAlign w:val="center"/>
          </w:tcPr>
          <w:p>
            <w:pPr>
              <w:spacing w:after="20" w:before="20" w:line="252" w:lineRule="auto"/>
            </w:pPr>
            <w:r/>
            <w:r>
              <w:rPr>
                <w:rFonts w:ascii="Arial" w:hAnsi="Arial"/>
                <w:b/>
                <w:sz w:val="17"/>
              </w:rPr>
              <w:t>Klaim dan perubahan yang dipulihkan terhadap yang diajukan</w:t>
            </w:r>
          </w:p>
        </w:tc>
        <w:tc>
          <w:tcPr>
            <w:tcW w:type="dxa" w:w="5490"/>
            <w:shd w:val="clear" w:color="auto" w:fill="E6ECFD"/>
            <w:vAlign w:val="center"/>
          </w:tcPr>
          <w:p>
            <w:pPr>
              <w:spacing w:after="20" w:before="20" w:line="252" w:lineRule="auto"/>
            </w:pPr>
            <w:r/>
            <w:r>
              <w:rPr>
                <w:rFonts w:ascii="Arial" w:hAnsi="Arial"/>
                <w:b w:val="0"/>
                <w:sz w:val="17"/>
              </w:rPr>
              <w:t>Kapabilitas manajemen komersial</w:t>
            </w:r>
          </w:p>
        </w:tc>
      </w:tr>
      <w:tr>
        <w:trPr>
          <w:cantSplit/>
        </w:trPr>
        <w:tc>
          <w:tcPr>
            <w:tcW w:type="dxa" w:w="3921"/>
            <w:vAlign w:val="center"/>
          </w:tcPr>
          <w:p>
            <w:pPr>
              <w:spacing w:after="20" w:before="20" w:line="252" w:lineRule="auto"/>
            </w:pPr>
            <w:r/>
            <w:r>
              <w:rPr>
                <w:rFonts w:ascii="Arial" w:hAnsi="Arial"/>
                <w:b/>
                <w:sz w:val="17"/>
              </w:rPr>
              <w:t>Manfaat transformasi bersih terverifikasi (O09)</w:t>
            </w:r>
          </w:p>
        </w:tc>
        <w:tc>
          <w:tcPr>
            <w:tcW w:type="dxa" w:w="5490"/>
            <w:vAlign w:val="center"/>
          </w:tcPr>
          <w:p>
            <w:pPr>
              <w:spacing w:after="20" w:before="20" w:line="252" w:lineRule="auto"/>
            </w:pPr>
            <w:r/>
            <w:r>
              <w:rPr>
                <w:rFonts w:ascii="Arial" w:hAnsi="Arial"/>
                <w:b w:val="0"/>
                <w:sz w:val="17"/>
              </w:rPr>
              <w:t>Manfaat kas riil setelah biaya implementasi</w:t>
            </w:r>
          </w:p>
        </w:tc>
      </w:tr>
    </w:tbl>
    <w:p>
      <w:pPr>
        <w:spacing w:after="160"/>
      </w:pPr>
      <w:r>
        <w:rPr>
          <w:rFonts w:ascii="Arial" w:hAnsi="Arial"/>
          <w:b w:val="0"/>
          <w:i/>
          <w:color w:val="051C5C"/>
          <w:sz w:val="17"/>
        </w:rPr>
        <w:t>Sumber: [K, Bab 11.4].</w:t>
      </w:r>
    </w:p>
    <w:p>
      <w:pPr>
        <w:pStyle w:val="Heading2"/>
      </w:pPr>
      <w:r>
        <w:t>15.5  Peran baru dalam proyek jangkar</w:t>
      </w:r>
    </w:p>
    <w:p>
      <w:pPr>
        <w:jc w:val="both"/>
      </w:pPr>
      <w:r>
        <w:rPr>
          <w:rFonts w:ascii="Arial" w:hAnsi="Arial"/>
          <w:b w:val="0"/>
        </w:rPr>
        <w:t>Setelah pulih, BUMN Karya dapat berperan sebagai kontraktor EPC yang disiplin sekaligus integrator dan off-taker utama bagi pemasok domestik pada proyek jangkar seperti Giant Sea Wall dan Program 3 Juta Rumah. Syaratnya, pemulihan tidak boleh sekadar memeras pemasok; prinsip pembayaran tepat waktu dan volume sesuai gerbang kesiapan tetap berlaku [K, Bab 11.4]. Dengan demikian BUMN Karya menjadi contoh pertama penerapan sistem manajemen proyek terpadu pada Bab 17.</w:t>
      </w:r>
    </w:p>
    <w:p>
      <w:r>
        <w:br w:type="page"/>
      </w:r>
    </w:p>
    <w:p>
      <w:pPr>
        <w:pStyle w:val="Heading1"/>
      </w:pPr>
      <w:r>
        <w:t>16  Studi kasus 2: portofolio 40 proyek strategis</w:t>
      </w:r>
    </w:p>
    <w:p>
      <w:pPr>
        <w:pStyle w:val="Heading2"/>
      </w:pPr>
      <w:r>
        <w:t>16.1  Apa yang dikelola</w:t>
      </w:r>
    </w:p>
    <w:p>
      <w:pPr>
        <w:jc w:val="both"/>
      </w:pPr>
      <w:r>
        <w:rPr>
          <w:rFonts w:ascii="Arial" w:hAnsi="Arial"/>
          <w:b w:val="0"/>
        </w:rPr>
        <w:t xml:space="preserve">Portofolio yang menjadi ruang lingkup kerja terdiri dari 40 slot proyek strategis dengan nilai dinyatakan Rp2.091,46 triliun, berasal dari grafik pada bahan diskusi. Slot ini bukan daftar Proyek Strategis Nasional yang ditetapkan secara hukum dan bukan 40 badan hukum proyek yang telah diverifikasi [K, Bab 2.5; EXEC]. Register kerja per 1 Oktober 2026 memiliki 19 kolom (ID, klaster, nama proyek, status identifikasi, klaster bisnis, kelompok penanggung jawab, operator atau kandidat, bukti penugasan, tonggak saat ini, horizon, anggaran grafik, estimasi konversi, jumlah perencanaan, teknologi atau kondisi lingkup, mitra global potensial, risiko utama, urutan tonggak, sumber anggaran, dan bukti pemetaan) [VERO, Projects 40]. Yang </w:t>
      </w:r>
      <w:r>
        <w:rPr>
          <w:rFonts w:ascii="Arial" w:hAnsi="Arial"/>
          <w:b/>
        </w:rPr>
        <w:t>tidak</w:t>
      </w:r>
      <w:r>
        <w:rPr>
          <w:rFonts w:ascii="Arial" w:hAnsi="Arial"/>
          <w:b w:val="0"/>
        </w:rPr>
        <w:t xml:space="preserve"> ada di register: bukti penunjukan sponsor, badan hukum SPV, lokasi, kapasitas, arus kas, baseline yang disetujui, izin, tanggal jadwal, persentase kemajuan, dan realisasi.</w:t>
      </w:r>
    </w:p>
    <w:p>
      <w:pPr>
        <w:pStyle w:val="Heading2"/>
      </w:pPr>
      <w:r>
        <w:t>16.2  Temuan data</w:t>
      </w:r>
    </w:p>
    <w:p>
      <w:pPr>
        <w:keepNext/>
        <w:spacing w:after="60"/>
      </w:pPr>
      <w:r>
        <w:rPr>
          <w:rFonts w:ascii="Arial" w:hAnsi="Arial"/>
          <w:b/>
          <w:color w:val="051C5C"/>
          <w:sz w:val="19"/>
        </w:rPr>
        <w:t xml:space="preserve">Tabel 45: </w:t>
      </w:r>
      <w:r>
        <w:rPr>
          <w:rFonts w:ascii="Arial" w:hAnsi="Arial"/>
          <w:color w:val="051C5C"/>
          <w:sz w:val="19"/>
        </w:rPr>
        <w:t>Ringkasan temuan kualitas data portofolio</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485"/>
            <w:shd w:val="clear" w:color="auto" w:fill="2251FF"/>
            <w:vAlign w:val="center"/>
          </w:tcPr>
          <w:p>
            <w:pPr>
              <w:spacing w:after="20" w:before="20" w:line="252" w:lineRule="auto"/>
            </w:pPr>
            <w:r/>
            <w:r>
              <w:rPr>
                <w:rFonts w:ascii="Arial" w:hAnsi="Arial"/>
                <w:b/>
                <w:color w:val="FFFFFF"/>
                <w:sz w:val="17"/>
              </w:rPr>
              <w:t>#</w:t>
            </w:r>
          </w:p>
        </w:tc>
        <w:tc>
          <w:tcPr>
            <w:tcW w:type="dxa" w:w="5821"/>
            <w:shd w:val="clear" w:color="auto" w:fill="2251FF"/>
            <w:vAlign w:val="center"/>
          </w:tcPr>
          <w:p>
            <w:pPr>
              <w:spacing w:after="20" w:before="20" w:line="252" w:lineRule="auto"/>
            </w:pPr>
            <w:r/>
            <w:r>
              <w:rPr>
                <w:rFonts w:ascii="Arial" w:hAnsi="Arial"/>
                <w:b/>
                <w:color w:val="FFFFFF"/>
                <w:sz w:val="17"/>
              </w:rPr>
              <w:t>Temuan</w:t>
            </w:r>
          </w:p>
        </w:tc>
        <w:tc>
          <w:tcPr>
            <w:tcW w:type="dxa" w:w="3105"/>
            <w:shd w:val="clear" w:color="auto" w:fill="2251FF"/>
            <w:vAlign w:val="center"/>
          </w:tcPr>
          <w:p>
            <w:pPr>
              <w:spacing w:after="20" w:before="20" w:line="252" w:lineRule="auto"/>
            </w:pPr>
            <w:r/>
            <w:r>
              <w:rPr>
                <w:rFonts w:ascii="Arial" w:hAnsi="Arial"/>
                <w:b/>
                <w:color w:val="FFFFFF"/>
                <w:sz w:val="17"/>
              </w:rPr>
              <w:t>Akibat bagi manajemen proyek</w:t>
            </w:r>
          </w:p>
        </w:tc>
      </w:tr>
      <w:tr>
        <w:trPr>
          <w:cantSplit/>
        </w:trPr>
        <w:tc>
          <w:tcPr>
            <w:tcW w:type="dxa" w:w="485"/>
            <w:vAlign w:val="center"/>
          </w:tcPr>
          <w:p>
            <w:pPr>
              <w:spacing w:after="20" w:before="20" w:line="252" w:lineRule="auto"/>
            </w:pPr>
            <w:r/>
            <w:r>
              <w:rPr>
                <w:rFonts w:ascii="Arial" w:hAnsi="Arial"/>
                <w:b/>
                <w:sz w:val="17"/>
              </w:rPr>
              <w:t>1</w:t>
            </w:r>
          </w:p>
        </w:tc>
        <w:tc>
          <w:tcPr>
            <w:tcW w:type="dxa" w:w="5821"/>
            <w:vAlign w:val="center"/>
          </w:tcPr>
          <w:p>
            <w:pPr>
              <w:spacing w:after="20" w:before="20" w:line="252" w:lineRule="auto"/>
            </w:pPr>
            <w:r/>
            <w:r>
              <w:rPr>
                <w:rFonts w:ascii="Arial" w:hAnsi="Arial"/>
                <w:b w:val="0"/>
                <w:sz w:val="17"/>
              </w:rPr>
              <w:t>Hanya 18 dari 40 slot bernama (Rp604,97 T = 28,9% dari headline); 22 slot tanpa nama, sponsor, kapasitas, lokasi, atau anggaran</w:t>
            </w:r>
          </w:p>
        </w:tc>
        <w:tc>
          <w:tcPr>
            <w:tcW w:type="dxa" w:w="3105"/>
            <w:vAlign w:val="center"/>
          </w:tcPr>
          <w:p>
            <w:pPr>
              <w:spacing w:after="20" w:before="20" w:line="252" w:lineRule="auto"/>
            </w:pPr>
            <w:r/>
            <w:r>
              <w:rPr>
                <w:rFonts w:ascii="Arial" w:hAnsi="Arial"/>
                <w:b w:val="0"/>
                <w:sz w:val="17"/>
              </w:rPr>
              <w:t>Tidak ada akuntabilitas; tidak ada baseline</w:t>
            </w:r>
          </w:p>
        </w:tc>
      </w:tr>
      <w:tr>
        <w:trPr>
          <w:cantSplit/>
        </w:trPr>
        <w:tc>
          <w:tcPr>
            <w:tcW w:type="dxa" w:w="485"/>
            <w:shd w:val="clear" w:color="auto" w:fill="E6ECFD"/>
            <w:vAlign w:val="center"/>
          </w:tcPr>
          <w:p>
            <w:pPr>
              <w:spacing w:after="20" w:before="20" w:line="252" w:lineRule="auto"/>
            </w:pPr>
            <w:r/>
            <w:r>
              <w:rPr>
                <w:rFonts w:ascii="Arial" w:hAnsi="Arial"/>
                <w:b/>
                <w:sz w:val="17"/>
              </w:rPr>
              <w:t>2</w:t>
            </w:r>
          </w:p>
        </w:tc>
        <w:tc>
          <w:tcPr>
            <w:tcW w:type="dxa" w:w="5821"/>
            <w:shd w:val="clear" w:color="auto" w:fill="E6ECFD"/>
            <w:vAlign w:val="center"/>
          </w:tcPr>
          <w:p>
            <w:pPr>
              <w:spacing w:after="20" w:before="20" w:line="252" w:lineRule="auto"/>
            </w:pPr>
            <w:r/>
            <w:r>
              <w:rPr>
                <w:rFonts w:ascii="Arial" w:hAnsi="Arial"/>
                <w:b w:val="0"/>
                <w:sz w:val="17"/>
              </w:rPr>
              <w:t>Dua total berbeda dalam grafik sumber: Rp2.072,53 T dan Rp2.091,46 T (selisih Rp18,93 T); komposisi klaster berbeda jauh</w:t>
            </w:r>
          </w:p>
        </w:tc>
        <w:tc>
          <w:tcPr>
            <w:tcW w:type="dxa" w:w="3105"/>
            <w:shd w:val="clear" w:color="auto" w:fill="E6ECFD"/>
            <w:vAlign w:val="center"/>
          </w:tcPr>
          <w:p>
            <w:pPr>
              <w:spacing w:after="20" w:before="20" w:line="252" w:lineRule="auto"/>
            </w:pPr>
            <w:r/>
            <w:r>
              <w:rPr>
                <w:rFonts w:ascii="Arial" w:hAnsi="Arial"/>
                <w:b w:val="0"/>
                <w:sz w:val="17"/>
              </w:rPr>
              <w:t>Plafon anggaran tidak dapat ditetapkan</w:t>
            </w:r>
          </w:p>
        </w:tc>
      </w:tr>
      <w:tr>
        <w:trPr>
          <w:cantSplit/>
        </w:trPr>
        <w:tc>
          <w:tcPr>
            <w:tcW w:type="dxa" w:w="485"/>
            <w:vAlign w:val="center"/>
          </w:tcPr>
          <w:p>
            <w:pPr>
              <w:spacing w:after="20" w:before="20" w:line="252" w:lineRule="auto"/>
            </w:pPr>
            <w:r/>
            <w:r>
              <w:rPr>
                <w:rFonts w:ascii="Arial" w:hAnsi="Arial"/>
                <w:b/>
                <w:sz w:val="17"/>
              </w:rPr>
              <w:t>3</w:t>
            </w:r>
          </w:p>
        </w:tc>
        <w:tc>
          <w:tcPr>
            <w:tcW w:type="dxa" w:w="5821"/>
            <w:vAlign w:val="center"/>
          </w:tcPr>
          <w:p>
            <w:pPr>
              <w:spacing w:after="20" w:before="20" w:line="252" w:lineRule="auto"/>
            </w:pPr>
            <w:r/>
            <w:r>
              <w:rPr>
                <w:rFonts w:ascii="Arial" w:hAnsi="Arial"/>
                <w:b w:val="0"/>
                <w:sz w:val="17"/>
              </w:rPr>
              <w:t>Nol dari 40 proyek memiliki gerbang saat ini yang terverifikasi</w:t>
            </w:r>
          </w:p>
        </w:tc>
        <w:tc>
          <w:tcPr>
            <w:tcW w:type="dxa" w:w="3105"/>
            <w:vAlign w:val="center"/>
          </w:tcPr>
          <w:p>
            <w:pPr>
              <w:spacing w:after="20" w:before="20" w:line="252" w:lineRule="auto"/>
            </w:pPr>
            <w:r/>
            <w:r>
              <w:rPr>
                <w:rFonts w:ascii="Arial" w:hAnsi="Arial"/>
                <w:b w:val="0"/>
                <w:sz w:val="17"/>
              </w:rPr>
              <w:t>Keputusan tahap tidak dapat dibenarkan oleh bukti</w:t>
            </w:r>
          </w:p>
        </w:tc>
      </w:tr>
      <w:tr>
        <w:trPr>
          <w:cantSplit/>
        </w:trPr>
        <w:tc>
          <w:tcPr>
            <w:tcW w:type="dxa" w:w="485"/>
            <w:shd w:val="clear" w:color="auto" w:fill="E6ECFD"/>
            <w:vAlign w:val="center"/>
          </w:tcPr>
          <w:p>
            <w:pPr>
              <w:spacing w:after="20" w:before="20" w:line="252" w:lineRule="auto"/>
            </w:pPr>
            <w:r/>
            <w:r>
              <w:rPr>
                <w:rFonts w:ascii="Arial" w:hAnsi="Arial"/>
                <w:b/>
                <w:sz w:val="17"/>
              </w:rPr>
              <w:t>4</w:t>
            </w:r>
          </w:p>
        </w:tc>
        <w:tc>
          <w:tcPr>
            <w:tcW w:type="dxa" w:w="5821"/>
            <w:shd w:val="clear" w:color="auto" w:fill="E6ECFD"/>
            <w:vAlign w:val="center"/>
          </w:tcPr>
          <w:p>
            <w:pPr>
              <w:spacing w:after="20" w:before="20" w:line="252" w:lineRule="auto"/>
            </w:pPr>
            <w:r/>
            <w:r>
              <w:rPr>
                <w:rFonts w:ascii="Arial" w:hAnsi="Arial"/>
                <w:b w:val="0"/>
                <w:sz w:val="17"/>
              </w:rPr>
              <w:t>Tanggal dan basis estimasi tidak dinyatakan; anggaran sumber tidak memenuhi kelas AACE tertentu</w:t>
            </w:r>
          </w:p>
        </w:tc>
        <w:tc>
          <w:tcPr>
            <w:tcW w:type="dxa" w:w="3105"/>
            <w:shd w:val="clear" w:color="auto" w:fill="E6ECFD"/>
            <w:vAlign w:val="center"/>
          </w:tcPr>
          <w:p>
            <w:pPr>
              <w:spacing w:after="20" w:before="20" w:line="252" w:lineRule="auto"/>
            </w:pPr>
            <w:r/>
            <w:r>
              <w:rPr>
                <w:rFonts w:ascii="Arial" w:hAnsi="Arial"/>
                <w:b w:val="0"/>
                <w:sz w:val="17"/>
              </w:rPr>
              <w:t>Akurasi tidak dapat dikuantifikasi; kontingensi tidak dapat ditetapkan</w:t>
            </w:r>
          </w:p>
        </w:tc>
      </w:tr>
      <w:tr>
        <w:trPr>
          <w:cantSplit/>
        </w:trPr>
        <w:tc>
          <w:tcPr>
            <w:tcW w:type="dxa" w:w="485"/>
            <w:vAlign w:val="center"/>
          </w:tcPr>
          <w:p>
            <w:pPr>
              <w:spacing w:after="20" w:before="20" w:line="252" w:lineRule="auto"/>
            </w:pPr>
            <w:r/>
            <w:r>
              <w:rPr>
                <w:rFonts w:ascii="Arial" w:hAnsi="Arial"/>
                <w:b/>
                <w:sz w:val="17"/>
              </w:rPr>
              <w:t>5</w:t>
            </w:r>
          </w:p>
        </w:tc>
        <w:tc>
          <w:tcPr>
            <w:tcW w:type="dxa" w:w="5821"/>
            <w:vAlign w:val="center"/>
          </w:tcPr>
          <w:p>
            <w:pPr>
              <w:spacing w:after="20" w:before="20" w:line="252" w:lineRule="auto"/>
            </w:pPr>
            <w:r/>
            <w:r>
              <w:rPr>
                <w:rFonts w:ascii="Arial" w:hAnsi="Arial"/>
                <w:b w:val="0"/>
                <w:sz w:val="17"/>
              </w:rPr>
              <w:t>PLTS 100 GW: Rp231,4 T pada register vs Rp1.130 T pernyataan resmi (4,88×); batas lingkup tidak jelas</w:t>
            </w:r>
          </w:p>
        </w:tc>
        <w:tc>
          <w:tcPr>
            <w:tcW w:type="dxa" w:w="3105"/>
            <w:vAlign w:val="center"/>
          </w:tcPr>
          <w:p>
            <w:pPr>
              <w:spacing w:after="20" w:before="20" w:line="252" w:lineRule="auto"/>
            </w:pPr>
            <w:r/>
            <w:r>
              <w:rPr>
                <w:rFonts w:ascii="Arial" w:hAnsi="Arial"/>
                <w:b w:val="0"/>
                <w:sz w:val="17"/>
              </w:rPr>
              <w:t>Risiko salah penetapan skala; perlu rekonsiliasi lingkup</w:t>
            </w:r>
          </w:p>
        </w:tc>
      </w:tr>
      <w:tr>
        <w:trPr>
          <w:cantSplit/>
        </w:trPr>
        <w:tc>
          <w:tcPr>
            <w:tcW w:type="dxa" w:w="485"/>
            <w:shd w:val="clear" w:color="auto" w:fill="E6ECFD"/>
            <w:vAlign w:val="center"/>
          </w:tcPr>
          <w:p>
            <w:pPr>
              <w:spacing w:after="20" w:before="20" w:line="252" w:lineRule="auto"/>
            </w:pPr>
            <w:r/>
            <w:r>
              <w:rPr>
                <w:rFonts w:ascii="Arial" w:hAnsi="Arial"/>
                <w:b/>
                <w:sz w:val="17"/>
              </w:rPr>
              <w:t>6</w:t>
            </w:r>
          </w:p>
        </w:tc>
        <w:tc>
          <w:tcPr>
            <w:tcW w:type="dxa" w:w="5821"/>
            <w:shd w:val="clear" w:color="auto" w:fill="E6ECFD"/>
            <w:vAlign w:val="center"/>
          </w:tcPr>
          <w:p>
            <w:pPr>
              <w:spacing w:after="20" w:before="20" w:line="252" w:lineRule="auto"/>
            </w:pPr>
            <w:r/>
            <w:r>
              <w:rPr>
                <w:rFonts w:ascii="Arial" w:hAnsi="Arial"/>
                <w:b w:val="0"/>
                <w:sz w:val="17"/>
              </w:rPr>
              <w:t>Label tidak terselesaikan (Atoma/LTi, CDME, CPE); klaster berbeda antar sumber</w:t>
            </w:r>
          </w:p>
        </w:tc>
        <w:tc>
          <w:tcPr>
            <w:tcW w:type="dxa" w:w="3105"/>
            <w:shd w:val="clear" w:color="auto" w:fill="E6ECFD"/>
            <w:vAlign w:val="center"/>
          </w:tcPr>
          <w:p>
            <w:pPr>
              <w:spacing w:after="20" w:before="20" w:line="252" w:lineRule="auto"/>
            </w:pPr>
            <w:r/>
            <w:r>
              <w:rPr>
                <w:rFonts w:ascii="Arial" w:hAnsi="Arial"/>
                <w:b w:val="0"/>
                <w:sz w:val="17"/>
              </w:rPr>
              <w:t>Duplikasi dan celah lingkup; taksonomi harus satu</w:t>
            </w:r>
          </w:p>
        </w:tc>
      </w:tr>
      <w:tr>
        <w:trPr>
          <w:cantSplit/>
        </w:trPr>
        <w:tc>
          <w:tcPr>
            <w:tcW w:type="dxa" w:w="485"/>
            <w:vAlign w:val="center"/>
          </w:tcPr>
          <w:p>
            <w:pPr>
              <w:spacing w:after="20" w:before="20" w:line="252" w:lineRule="auto"/>
            </w:pPr>
            <w:r/>
            <w:r>
              <w:rPr>
                <w:rFonts w:ascii="Arial" w:hAnsi="Arial"/>
                <w:b/>
                <w:sz w:val="17"/>
              </w:rPr>
              <w:t>7</w:t>
            </w:r>
          </w:p>
        </w:tc>
        <w:tc>
          <w:tcPr>
            <w:tcW w:type="dxa" w:w="5821"/>
            <w:vAlign w:val="center"/>
          </w:tcPr>
          <w:p>
            <w:pPr>
              <w:spacing w:after="20" w:before="20" w:line="252" w:lineRule="auto"/>
            </w:pPr>
            <w:r/>
            <w:r>
              <w:rPr>
                <w:rFonts w:ascii="Arial" w:hAnsi="Arial"/>
                <w:b w:val="0"/>
                <w:sz w:val="17"/>
              </w:rPr>
              <w:t>Skor tiga pilar 0/100 sebagai penalti data (39 KPI belum terukur: 12, 15, dan 12)</w:t>
            </w:r>
          </w:p>
        </w:tc>
        <w:tc>
          <w:tcPr>
            <w:tcW w:type="dxa" w:w="3105"/>
            <w:vAlign w:val="center"/>
          </w:tcPr>
          <w:p>
            <w:pPr>
              <w:spacing w:after="20" w:before="20" w:line="252" w:lineRule="auto"/>
            </w:pPr>
            <w:r/>
            <w:r>
              <w:rPr>
                <w:rFonts w:ascii="Arial" w:hAnsi="Arial"/>
                <w:b w:val="0"/>
                <w:sz w:val="17"/>
              </w:rPr>
              <w:t>Skor bukan bukti kegagalan; tidak ada data yang dapat dinilai</w:t>
            </w:r>
          </w:p>
        </w:tc>
      </w:tr>
    </w:tbl>
    <w:p>
      <w:pPr>
        <w:spacing w:after="160"/>
      </w:pPr>
      <w:r>
        <w:rPr>
          <w:rFonts w:ascii="Arial" w:hAnsi="Arial"/>
          <w:b w:val="0"/>
          <w:i/>
          <w:color w:val="051C5C"/>
          <w:sz w:val="17"/>
        </w:rPr>
        <w:t>Sumber: [VERO; EXEC, slide 2–8, 17]; [EVAL, Bagian 1]; [K, Bab 4.6].</w:t>
      </w:r>
    </w:p>
    <w:p>
      <w:pPr>
        <w:keepNext/>
        <w:jc w:val="center"/>
      </w:pPr>
      <w:r>
        <w:drawing>
          <wp:inline xmlns:a="http://schemas.openxmlformats.org/drawingml/2006/main" xmlns:pic="http://schemas.openxmlformats.org/drawingml/2006/picture">
            <wp:extent cx="5580000" cy="2887853"/>
            <wp:docPr id="14" name="Picture 14"/>
            <wp:cNvGraphicFramePr>
              <a:graphicFrameLocks noChangeAspect="1"/>
            </wp:cNvGraphicFramePr>
            <a:graphic>
              <a:graphicData uri="http://schemas.openxmlformats.org/drawingml/2006/picture">
                <pic:pic>
                  <pic:nvPicPr>
                    <pic:cNvPr id="0" name="f_clusters.png"/>
                    <pic:cNvPicPr/>
                  </pic:nvPicPr>
                  <pic:blipFill>
                    <a:blip r:embed="rId23"/>
                    <a:stretch>
                      <a:fillRect/>
                    </a:stretch>
                  </pic:blipFill>
                  <pic:spPr>
                    <a:xfrm>
                      <a:off x="0" y="0"/>
                      <a:ext cx="5580000" cy="2887853"/>
                    </a:xfrm>
                    <a:prstGeom prst="rect"/>
                  </pic:spPr>
                </pic:pic>
              </a:graphicData>
            </a:graphic>
          </wp:inline>
        </w:drawing>
      </w:r>
    </w:p>
    <w:p>
      <w:pPr>
        <w:keepNext w:val="0"/>
        <w:spacing w:after="60"/>
      </w:pPr>
      <w:r>
        <w:rPr>
          <w:rFonts w:ascii="Arial" w:hAnsi="Arial"/>
          <w:b/>
          <w:color w:val="051C5C"/>
          <w:sz w:val="19"/>
        </w:rPr>
        <w:t xml:space="preserve">Gambar 14: </w:t>
      </w:r>
      <w:r>
        <w:rPr>
          <w:rFonts w:ascii="Arial" w:hAnsi="Arial"/>
          <w:color w:val="051C5C"/>
          <w:sz w:val="19"/>
        </w:rPr>
        <w:t>Nilai klaster: tabel ringkasan versus tabel rincian pada sumber register (Rp triliun)</w:t>
      </w:r>
    </w:p>
    <w:p>
      <w:pPr>
        <w:spacing w:after="160"/>
      </w:pPr>
      <w:r>
        <w:rPr>
          <w:rFonts w:ascii="Arial" w:hAnsi="Arial"/>
          <w:b w:val="0"/>
          <w:i/>
          <w:color w:val="051C5C"/>
          <w:sz w:val="17"/>
        </w:rPr>
        <w:t>Sumber: [K, Bab 4.6 dan 7.2; EVAL, Bagian 1]. Selisih klaster jauh lebih besar daripada selisih total.</w:t>
      </w:r>
    </w:p>
    <w:p>
      <w:pPr>
        <w:jc w:val="both"/>
      </w:pPr>
      <w:r>
        <w:rPr>
          <w:rFonts w:ascii="Arial" w:hAnsi="Arial"/>
          <w:b w:val="0"/>
        </w:rPr>
        <w:t>Grafik di atas menunjukkan bahwa kesamaan total (selisih hanya Rp18,93 triliun) menyamarkan perbedaan komposisi yang besar: mineral Rp283,85 triliun pada tabel ringkasan vs Rp86,87 triliun pada rincian, dan klaster "lainnya" sebaliknya (Rp451,94 triliun vs Rp743,38 triliun). Dari sudut manajemen proyek, inilah wujud nyata prinsip "satu register, satu penyebut": tanpa satu taksonomi klaster dan satu total yang direkonsiliasi, tidak ada ukuran portofolio yang dapat dipercaya.</w:t>
      </w:r>
    </w:p>
    <w:p>
      <w:pPr>
        <w:pStyle w:val="Heading2"/>
      </w:pPr>
      <w:r>
        <w:t>16.3  Dua register yang saling melengkapi: hipotesis rekonsiliasi</w:t>
      </w:r>
    </w:p>
    <w:p>
      <w:pPr>
        <w:jc w:val="both"/>
      </w:pPr>
      <w:r>
        <w:rPr>
          <w:rFonts w:ascii="Arial" w:hAnsi="Arial"/>
          <w:b w:val="0"/>
        </w:rPr>
        <w:t xml:space="preserve">Model pekerjaan DDMF memuat daftar 40 proyek RKAP 2026, 35 di antaranya berbiaya dengan total Rp2.091,475 triliun dan lima tanpa biaya. Seluruh 18 slot bernama pada register kerja cocok dengan baris RKAP dalam jumlahnya. Tujuh belas proyek berbiaya lainnya (antara lain perumahan, sekolah, kota cerdas, ekosistem tekstil, Giant Sea Wall, dan Athens) berjumlah Rp1.486,5 triliun, cocok dalam selisih pembulatan Rp0,015 triliun dengan bagian headline yang belum dikaitkan dengan nama. Ini adalah </w:t>
      </w:r>
      <w:r>
        <w:rPr>
          <w:rFonts w:ascii="Arial" w:hAnsi="Arial"/>
          <w:b/>
        </w:rPr>
        <w:t>hipotesis kerja</w:t>
      </w:r>
      <w:r>
        <w:rPr>
          <w:rFonts w:ascii="Arial" w:hAnsi="Arial"/>
          <w:b w:val="0"/>
        </w:rPr>
        <w:t>: kedua sumber tidak menyatakan kesetaraannya, dan satu nama (Atoma pada register kerja dan Anoa pada RKAP) hanya cocok menurut nilai [K, Bab 4.6; VERO; EMP]. Hipotesis ini harus dikonfirmasi pemilik data dan menjadi bagian *crosswalk* satu-ke-satu antara kedua register.</w:t>
      </w:r>
    </w:p>
    <w:p>
      <w:pPr>
        <w:pStyle w:val="Heading2"/>
      </w:pPr>
      <w:r>
        <w:t>16.4  Kesiapan melaksanakan: enam dimensi</w:t>
      </w:r>
    </w:p>
    <w:p>
      <w:pPr>
        <w:keepNext/>
        <w:spacing w:after="60"/>
      </w:pPr>
      <w:r>
        <w:rPr>
          <w:rFonts w:ascii="Arial" w:hAnsi="Arial"/>
          <w:b/>
          <w:color w:val="051C5C"/>
          <w:sz w:val="19"/>
        </w:rPr>
        <w:t xml:space="preserve">Tabel 46: </w:t>
      </w:r>
      <w:r>
        <w:rPr>
          <w:rFonts w:ascii="Arial" w:hAnsi="Arial"/>
          <w:color w:val="051C5C"/>
          <w:sz w:val="19"/>
        </w:rPr>
        <w:t>Kesiapan pelaksanaan 40 proyek menurut enam dimensi</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1765"/>
            <w:shd w:val="clear" w:color="auto" w:fill="2251FF"/>
            <w:vAlign w:val="center"/>
          </w:tcPr>
          <w:p>
            <w:pPr>
              <w:spacing w:after="20" w:before="20" w:line="252" w:lineRule="auto"/>
            </w:pPr>
            <w:r/>
            <w:r>
              <w:rPr>
                <w:rFonts w:ascii="Arial" w:hAnsi="Arial"/>
                <w:b/>
                <w:color w:val="FFFFFF"/>
                <w:sz w:val="17"/>
              </w:rPr>
              <w:t>Dimensi</w:t>
            </w:r>
          </w:p>
        </w:tc>
        <w:tc>
          <w:tcPr>
            <w:tcW w:type="dxa" w:w="3921"/>
            <w:shd w:val="clear" w:color="auto" w:fill="2251FF"/>
            <w:vAlign w:val="center"/>
          </w:tcPr>
          <w:p>
            <w:pPr>
              <w:spacing w:after="20" w:before="20" w:line="252" w:lineRule="auto"/>
            </w:pPr>
            <w:r/>
            <w:r>
              <w:rPr>
                <w:rFonts w:ascii="Arial" w:hAnsi="Arial"/>
                <w:b/>
                <w:color w:val="FFFFFF"/>
                <w:sz w:val="17"/>
              </w:rPr>
              <w:t>Penilaian dari bukti yang tersedia</w:t>
            </w:r>
          </w:p>
        </w:tc>
        <w:tc>
          <w:tcPr>
            <w:tcW w:type="dxa" w:w="3725"/>
            <w:shd w:val="clear" w:color="auto" w:fill="2251FF"/>
            <w:vAlign w:val="center"/>
          </w:tcPr>
          <w:p>
            <w:pPr>
              <w:spacing w:after="20" w:before="20" w:line="252" w:lineRule="auto"/>
            </w:pPr>
            <w:r/>
            <w:r>
              <w:rPr>
                <w:rFonts w:ascii="Arial" w:hAnsi="Arial"/>
                <w:b/>
                <w:color w:val="FFFFFF"/>
                <w:sz w:val="17"/>
              </w:rPr>
              <w:t>Persyaratan</w:t>
            </w:r>
          </w:p>
        </w:tc>
      </w:tr>
      <w:tr>
        <w:trPr>
          <w:cantSplit/>
        </w:trPr>
        <w:tc>
          <w:tcPr>
            <w:tcW w:type="dxa" w:w="1765"/>
            <w:vAlign w:val="center"/>
          </w:tcPr>
          <w:p>
            <w:pPr>
              <w:spacing w:after="20" w:before="20" w:line="252" w:lineRule="auto"/>
            </w:pPr>
            <w:r/>
            <w:r>
              <w:rPr>
                <w:rFonts w:ascii="Arial" w:hAnsi="Arial"/>
                <w:b/>
                <w:sz w:val="17"/>
              </w:rPr>
              <w:t>Akuntabilitas proyek</w:t>
            </w:r>
          </w:p>
        </w:tc>
        <w:tc>
          <w:tcPr>
            <w:tcW w:type="dxa" w:w="3921"/>
            <w:vAlign w:val="center"/>
          </w:tcPr>
          <w:p>
            <w:pPr>
              <w:spacing w:after="20" w:before="20" w:line="252" w:lineRule="auto"/>
            </w:pPr>
            <w:r/>
            <w:r>
              <w:rPr>
                <w:rFonts w:ascii="Arial" w:hAnsi="Arial"/>
                <w:b w:val="0"/>
                <w:sz w:val="17"/>
              </w:rPr>
              <w:t>Tidak tersedia register terintegrasi yang menghubungkan proyek dengan pemimpin, tahap, dan hasil</w:t>
            </w:r>
          </w:p>
        </w:tc>
        <w:tc>
          <w:tcPr>
            <w:tcW w:type="dxa" w:w="3725"/>
            <w:vAlign w:val="center"/>
          </w:tcPr>
          <w:p>
            <w:pPr>
              <w:spacing w:after="20" w:before="20" w:line="252" w:lineRule="auto"/>
            </w:pPr>
            <w:r/>
            <w:r>
              <w:rPr>
                <w:rFonts w:ascii="Arial" w:hAnsi="Arial"/>
                <w:b w:val="0"/>
                <w:sz w:val="17"/>
              </w:rPr>
              <w:t>Satu penanggung jawab akuntabel per proyek; satu register keputusan dan hambatan</w:t>
            </w:r>
          </w:p>
        </w:tc>
      </w:tr>
      <w:tr>
        <w:trPr>
          <w:cantSplit/>
        </w:trPr>
        <w:tc>
          <w:tcPr>
            <w:tcW w:type="dxa" w:w="1765"/>
            <w:shd w:val="clear" w:color="auto" w:fill="E6ECFD"/>
            <w:vAlign w:val="center"/>
          </w:tcPr>
          <w:p>
            <w:pPr>
              <w:spacing w:after="20" w:before="20" w:line="252" w:lineRule="auto"/>
            </w:pPr>
            <w:r/>
            <w:r>
              <w:rPr>
                <w:rFonts w:ascii="Arial" w:hAnsi="Arial"/>
                <w:b/>
                <w:sz w:val="17"/>
              </w:rPr>
              <w:t>Kewenangan modal</w:t>
            </w:r>
          </w:p>
        </w:tc>
        <w:tc>
          <w:tcPr>
            <w:tcW w:type="dxa" w:w="3921"/>
            <w:shd w:val="clear" w:color="auto" w:fill="E6ECFD"/>
            <w:vAlign w:val="center"/>
          </w:tcPr>
          <w:p>
            <w:pPr>
              <w:spacing w:after="20" w:before="20" w:line="252" w:lineRule="auto"/>
            </w:pPr>
            <w:r/>
            <w:r>
              <w:rPr>
                <w:rFonts w:ascii="Arial" w:hAnsi="Arial"/>
                <w:b w:val="0"/>
                <w:sz w:val="17"/>
              </w:rPr>
              <w:t>Kepala memutuskan untuk Badan; keputusan holding dan perusahaan merupakan lapisan terpisah</w:t>
            </w:r>
          </w:p>
        </w:tc>
        <w:tc>
          <w:tcPr>
            <w:tcW w:type="dxa" w:w="3725"/>
            <w:shd w:val="clear" w:color="auto" w:fill="E6ECFD"/>
            <w:vAlign w:val="center"/>
          </w:tcPr>
          <w:p>
            <w:pPr>
              <w:spacing w:after="20" w:before="20" w:line="252" w:lineRule="auto"/>
            </w:pPr>
            <w:r/>
            <w:r>
              <w:rPr>
                <w:rFonts w:ascii="Arial" w:hAnsi="Arial"/>
                <w:b w:val="0"/>
                <w:sz w:val="17"/>
              </w:rPr>
              <w:t>Peta otorisasi per entitas, objek, dan tahap; pisahkan tanda tangan dari persetujuan bisnis</w:t>
            </w:r>
          </w:p>
        </w:tc>
      </w:tr>
      <w:tr>
        <w:trPr>
          <w:cantSplit/>
        </w:trPr>
        <w:tc>
          <w:tcPr>
            <w:tcW w:type="dxa" w:w="1765"/>
            <w:vAlign w:val="center"/>
          </w:tcPr>
          <w:p>
            <w:pPr>
              <w:spacing w:after="20" w:before="20" w:line="252" w:lineRule="auto"/>
            </w:pPr>
            <w:r/>
            <w:r>
              <w:rPr>
                <w:rFonts w:ascii="Arial" w:hAnsi="Arial"/>
                <w:b/>
                <w:sz w:val="17"/>
              </w:rPr>
              <w:t>Penjaminan dan dukungan fiskal</w:t>
            </w:r>
          </w:p>
        </w:tc>
        <w:tc>
          <w:tcPr>
            <w:tcW w:type="dxa" w:w="3921"/>
            <w:vAlign w:val="center"/>
          </w:tcPr>
          <w:p>
            <w:pPr>
              <w:spacing w:after="20" w:before="20" w:line="252" w:lineRule="auto"/>
            </w:pPr>
            <w:r/>
            <w:r>
              <w:rPr>
                <w:rFonts w:ascii="Arial" w:hAnsi="Arial"/>
                <w:b w:val="0"/>
                <w:sz w:val="17"/>
              </w:rPr>
              <w:t>Mandat pembangunan tidak otomatis memberi penjaminan negara atau PMN</w:t>
            </w:r>
          </w:p>
        </w:tc>
        <w:tc>
          <w:tcPr>
            <w:tcW w:type="dxa" w:w="3725"/>
            <w:vAlign w:val="center"/>
          </w:tcPr>
          <w:p>
            <w:pPr>
              <w:spacing w:after="20" w:before="20" w:line="252" w:lineRule="auto"/>
            </w:pPr>
            <w:r/>
            <w:r>
              <w:rPr>
                <w:rFonts w:ascii="Arial" w:hAnsi="Arial"/>
                <w:b w:val="0"/>
                <w:sz w:val="17"/>
              </w:rPr>
              <w:t>Tunjukkan penjamin, kemampuan bayar, dasar hukum, dan biaya kontinjen</w:t>
            </w:r>
          </w:p>
        </w:tc>
      </w:tr>
      <w:tr>
        <w:trPr>
          <w:cantSplit/>
        </w:trPr>
        <w:tc>
          <w:tcPr>
            <w:tcW w:type="dxa" w:w="1765"/>
            <w:shd w:val="clear" w:color="auto" w:fill="E6ECFD"/>
            <w:vAlign w:val="center"/>
          </w:tcPr>
          <w:p>
            <w:pPr>
              <w:spacing w:after="20" w:before="20" w:line="252" w:lineRule="auto"/>
            </w:pPr>
            <w:r/>
            <w:r>
              <w:rPr>
                <w:rFonts w:ascii="Arial" w:hAnsi="Arial"/>
                <w:b/>
                <w:sz w:val="17"/>
              </w:rPr>
              <w:t>Pengadaan dan mitra</w:t>
            </w:r>
          </w:p>
        </w:tc>
        <w:tc>
          <w:tcPr>
            <w:tcW w:type="dxa" w:w="3921"/>
            <w:shd w:val="clear" w:color="auto" w:fill="E6ECFD"/>
            <w:vAlign w:val="center"/>
          </w:tcPr>
          <w:p>
            <w:pPr>
              <w:spacing w:after="20" w:before="20" w:line="252" w:lineRule="auto"/>
            </w:pPr>
            <w:r/>
            <w:r>
              <w:rPr>
                <w:rFonts w:ascii="Arial" w:hAnsi="Arial"/>
                <w:b w:val="0"/>
                <w:sz w:val="17"/>
              </w:rPr>
              <w:t>Kebijakan pengadaan dan pemilihan mitra perlu diperiksa pada entitas pelaksana</w:t>
            </w:r>
          </w:p>
        </w:tc>
        <w:tc>
          <w:tcPr>
            <w:tcW w:type="dxa" w:w="3725"/>
            <w:shd w:val="clear" w:color="auto" w:fill="E6ECFD"/>
            <w:vAlign w:val="center"/>
          </w:tcPr>
          <w:p>
            <w:pPr>
              <w:spacing w:after="20" w:before="20" w:line="252" w:lineRule="auto"/>
            </w:pPr>
            <w:r/>
            <w:r>
              <w:rPr>
                <w:rFonts w:ascii="Arial" w:hAnsi="Arial"/>
                <w:b w:val="0"/>
                <w:sz w:val="17"/>
              </w:rPr>
              <w:t>Uji pemilik manfaat, transaksi berelasi, persaingan, alasan penunjukan langsung, kontrol perubahan</w:t>
            </w:r>
          </w:p>
        </w:tc>
      </w:tr>
      <w:tr>
        <w:trPr>
          <w:cantSplit/>
        </w:trPr>
        <w:tc>
          <w:tcPr>
            <w:tcW w:type="dxa" w:w="1765"/>
            <w:vAlign w:val="center"/>
          </w:tcPr>
          <w:p>
            <w:pPr>
              <w:spacing w:after="20" w:before="20" w:line="252" w:lineRule="auto"/>
            </w:pPr>
            <w:r/>
            <w:r>
              <w:rPr>
                <w:rFonts w:ascii="Arial" w:hAnsi="Arial"/>
                <w:b/>
                <w:sz w:val="17"/>
              </w:rPr>
              <w:t>Transparansi dan audit</w:t>
            </w:r>
          </w:p>
        </w:tc>
        <w:tc>
          <w:tcPr>
            <w:tcW w:type="dxa" w:w="3921"/>
            <w:vAlign w:val="center"/>
          </w:tcPr>
          <w:p>
            <w:pPr>
              <w:spacing w:after="20" w:before="20" w:line="252" w:lineRule="auto"/>
            </w:pPr>
            <w:r/>
            <w:r>
              <w:rPr>
                <w:rFonts w:ascii="Arial" w:hAnsi="Arial"/>
                <w:b w:val="0"/>
                <w:sz w:val="17"/>
              </w:rPr>
              <w:t>Konsolidasi dan audit berjalan; opini audit terkini belum dinilai</w:t>
            </w:r>
          </w:p>
        </w:tc>
        <w:tc>
          <w:tcPr>
            <w:tcW w:type="dxa" w:w="3725"/>
            <w:vAlign w:val="center"/>
          </w:tcPr>
          <w:p>
            <w:pPr>
              <w:spacing w:after="20" w:before="20" w:line="252" w:lineRule="auto"/>
            </w:pPr>
            <w:r/>
            <w:r>
              <w:rPr>
                <w:rFonts w:ascii="Arial" w:hAnsi="Arial"/>
                <w:b w:val="0"/>
                <w:sz w:val="17"/>
              </w:rPr>
              <w:t>Tinjau laporan audit dan tindak lanjut; laporan konsisten</w:t>
            </w:r>
          </w:p>
        </w:tc>
      </w:tr>
      <w:tr>
        <w:trPr>
          <w:cantSplit/>
        </w:trPr>
        <w:tc>
          <w:tcPr>
            <w:tcW w:type="dxa" w:w="1765"/>
            <w:shd w:val="clear" w:color="auto" w:fill="E6ECFD"/>
            <w:vAlign w:val="center"/>
          </w:tcPr>
          <w:p>
            <w:pPr>
              <w:spacing w:after="20" w:before="20" w:line="252" w:lineRule="auto"/>
            </w:pPr>
            <w:r/>
            <w:r>
              <w:rPr>
                <w:rFonts w:ascii="Arial" w:hAnsi="Arial"/>
                <w:b/>
                <w:sz w:val="17"/>
              </w:rPr>
              <w:t>Pengukuran keberhasilan</w:t>
            </w:r>
          </w:p>
        </w:tc>
        <w:tc>
          <w:tcPr>
            <w:tcW w:type="dxa" w:w="3921"/>
            <w:shd w:val="clear" w:color="auto" w:fill="E6ECFD"/>
            <w:vAlign w:val="center"/>
          </w:tcPr>
          <w:p>
            <w:pPr>
              <w:spacing w:after="20" w:before="20" w:line="252" w:lineRule="auto"/>
            </w:pPr>
            <w:r/>
            <w:r>
              <w:rPr>
                <w:rFonts w:ascii="Arial" w:hAnsi="Arial"/>
                <w:b w:val="0"/>
                <w:sz w:val="17"/>
              </w:rPr>
              <w:t>Daftar investasi dan target pekerjaan bukan bukti manfaat</w:t>
            </w:r>
          </w:p>
        </w:tc>
        <w:tc>
          <w:tcPr>
            <w:tcW w:type="dxa" w:w="3725"/>
            <w:shd w:val="clear" w:color="auto" w:fill="E6ECFD"/>
            <w:vAlign w:val="center"/>
          </w:tcPr>
          <w:p>
            <w:pPr>
              <w:spacing w:after="20" w:before="20" w:line="252" w:lineRule="auto"/>
            </w:pPr>
            <w:r/>
            <w:r>
              <w:rPr>
                <w:rFonts w:ascii="Arial" w:hAnsi="Arial"/>
                <w:b w:val="0"/>
                <w:sz w:val="17"/>
              </w:rPr>
              <w:t>Dua kasus per proyek: kelayakan finansial dan manfaat nasional</w:t>
            </w:r>
          </w:p>
        </w:tc>
      </w:tr>
    </w:tbl>
    <w:p>
      <w:pPr>
        <w:spacing w:after="160"/>
      </w:pPr>
      <w:r>
        <w:rPr>
          <w:rFonts w:ascii="Arial" w:hAnsi="Arial"/>
          <w:b w:val="0"/>
          <w:i/>
          <w:color w:val="051C5C"/>
          <w:sz w:val="17"/>
        </w:rPr>
        <w:t>Sumber: [EVAL, Bagian 3; K, Bab 4.6].</w:t>
      </w:r>
    </w:p>
    <w:p>
      <w:pPr>
        <w:pStyle w:val="Heading2"/>
      </w:pPr>
      <w:r>
        <w:t>16.5  Rencana bukti 90 hari dan prioritas verifikasi</w:t>
      </w:r>
    </w:p>
    <w:p>
      <w:pPr>
        <w:jc w:val="both"/>
      </w:pPr>
      <w:r>
        <w:rPr>
          <w:rFonts w:ascii="Arial" w:hAnsi="Arial"/>
          <w:b w:val="0"/>
        </w:rPr>
        <w:t>Penilaian eksekutif menyarankan prioritas verifikasi berdasarkan materialitas data, bukan peringkat imbal hasil: enam label terbesar mencakup sekitar 89,0% estimasi bernama, yaitu PLTS 100 GW (Rp231,40 T; 38,3% dari estimasi bernama), biodiesel (75,39), logam multi (73,29), CPE (71,20), CDME (46,28), dan kilang (40,94) [EXEC, slide 21]. Rencana bukti 90 hari menugaskan pekerjaan secara bertahap.</w:t>
      </w:r>
    </w:p>
    <w:p>
      <w:pPr>
        <w:keepNext/>
        <w:spacing w:after="60"/>
      </w:pPr>
      <w:r>
        <w:rPr>
          <w:rFonts w:ascii="Arial" w:hAnsi="Arial"/>
          <w:b/>
          <w:color w:val="051C5C"/>
          <w:sz w:val="19"/>
        </w:rPr>
        <w:t xml:space="preserve">Tabel 47: </w:t>
      </w:r>
      <w:r>
        <w:rPr>
          <w:rFonts w:ascii="Arial" w:hAnsi="Arial"/>
          <w:color w:val="051C5C"/>
          <w:sz w:val="19"/>
        </w:rPr>
        <w:t>Rencana bukti 90 hari untuk register 40 proyek</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1274"/>
            <w:shd w:val="clear" w:color="auto" w:fill="2251FF"/>
            <w:vAlign w:val="center"/>
          </w:tcPr>
          <w:p>
            <w:pPr>
              <w:spacing w:after="20" w:before="20" w:line="252" w:lineRule="auto"/>
            </w:pPr>
            <w:r/>
            <w:r>
              <w:rPr>
                <w:rFonts w:ascii="Arial" w:hAnsi="Arial"/>
                <w:b/>
                <w:color w:val="FFFFFF"/>
                <w:sz w:val="17"/>
              </w:rPr>
              <w:t>Periode</w:t>
            </w:r>
          </w:p>
        </w:tc>
        <w:tc>
          <w:tcPr>
            <w:tcW w:type="dxa" w:w="5392"/>
            <w:shd w:val="clear" w:color="auto" w:fill="2251FF"/>
            <w:vAlign w:val="center"/>
          </w:tcPr>
          <w:p>
            <w:pPr>
              <w:spacing w:after="20" w:before="20" w:line="252" w:lineRule="auto"/>
            </w:pPr>
            <w:r/>
            <w:r>
              <w:rPr>
                <w:rFonts w:ascii="Arial" w:hAnsi="Arial"/>
                <w:b/>
                <w:color w:val="FFFFFF"/>
                <w:sz w:val="17"/>
              </w:rPr>
              <w:t>Keluaran</w:t>
            </w:r>
          </w:p>
        </w:tc>
        <w:tc>
          <w:tcPr>
            <w:tcW w:type="dxa" w:w="2745"/>
            <w:shd w:val="clear" w:color="auto" w:fill="2251FF"/>
            <w:vAlign w:val="center"/>
          </w:tcPr>
          <w:p>
            <w:pPr>
              <w:spacing w:after="20" w:before="20" w:line="252" w:lineRule="auto"/>
            </w:pPr>
            <w:r/>
            <w:r>
              <w:rPr>
                <w:rFonts w:ascii="Arial" w:hAnsi="Arial"/>
                <w:b/>
                <w:color w:val="FFFFFF"/>
                <w:sz w:val="17"/>
              </w:rPr>
              <w:t>Penanggung jawab / penerimaan</w:t>
            </w:r>
          </w:p>
        </w:tc>
      </w:tr>
      <w:tr>
        <w:trPr>
          <w:cantSplit/>
        </w:trPr>
        <w:tc>
          <w:tcPr>
            <w:tcW w:type="dxa" w:w="1274"/>
            <w:vAlign w:val="center"/>
          </w:tcPr>
          <w:p>
            <w:pPr>
              <w:spacing w:after="20" w:before="20" w:line="252" w:lineRule="auto"/>
            </w:pPr>
            <w:r/>
            <w:r>
              <w:rPr>
                <w:rFonts w:ascii="Arial" w:hAnsi="Arial"/>
                <w:b/>
                <w:sz w:val="17"/>
              </w:rPr>
              <w:t>Hari 1–30</w:t>
            </w:r>
          </w:p>
        </w:tc>
        <w:tc>
          <w:tcPr>
            <w:tcW w:type="dxa" w:w="5392"/>
            <w:vAlign w:val="center"/>
          </w:tcPr>
          <w:p>
            <w:pPr>
              <w:spacing w:after="20" w:before="20" w:line="252" w:lineRule="auto"/>
            </w:pPr>
            <w:r/>
            <w:r>
              <w:rPr>
                <w:rFonts w:ascii="Arial" w:hAnsi="Arial"/>
                <w:b w:val="0"/>
                <w:sz w:val="17"/>
              </w:rPr>
              <w:t>Register resmi 40 slot (nama, lokasi, SPV, sponsor, lingkup biaya); crosswalk SPV dengan daftar RKAP DDMF; rekonsiliasi dua total (Rp18,93 T) dan batas biaya PLTS; pemilik data</w:t>
            </w:r>
          </w:p>
        </w:tc>
        <w:tc>
          <w:tcPr>
            <w:tcW w:type="dxa" w:w="2745"/>
            <w:vAlign w:val="center"/>
          </w:tcPr>
          <w:p>
            <w:pPr>
              <w:spacing w:after="20" w:before="20" w:line="252" w:lineRule="auto"/>
            </w:pPr>
            <w:r/>
            <w:r>
              <w:rPr>
                <w:rFonts w:ascii="Arial" w:hAnsi="Arial"/>
                <w:b w:val="0"/>
                <w:sz w:val="17"/>
              </w:rPr>
              <w:t>PMO strategis; DIM; DAM; DDMF; sponsor proyek</w:t>
            </w:r>
          </w:p>
        </w:tc>
      </w:tr>
      <w:tr>
        <w:trPr>
          <w:cantSplit/>
        </w:trPr>
        <w:tc>
          <w:tcPr>
            <w:tcW w:type="dxa" w:w="1274"/>
            <w:shd w:val="clear" w:color="auto" w:fill="E6ECFD"/>
            <w:vAlign w:val="center"/>
          </w:tcPr>
          <w:p>
            <w:pPr>
              <w:spacing w:after="20" w:before="20" w:line="252" w:lineRule="auto"/>
            </w:pPr>
            <w:r/>
            <w:r>
              <w:rPr>
                <w:rFonts w:ascii="Arial" w:hAnsi="Arial"/>
                <w:b/>
                <w:sz w:val="17"/>
              </w:rPr>
              <w:t>Hari 31–60</w:t>
            </w:r>
          </w:p>
        </w:tc>
        <w:tc>
          <w:tcPr>
            <w:tcW w:type="dxa" w:w="5392"/>
            <w:shd w:val="clear" w:color="auto" w:fill="E6ECFD"/>
            <w:vAlign w:val="center"/>
          </w:tcPr>
          <w:p>
            <w:pPr>
              <w:spacing w:after="20" w:before="20" w:line="252" w:lineRule="auto"/>
            </w:pPr>
            <w:r/>
            <w:r>
              <w:rPr>
                <w:rFonts w:ascii="Arial" w:hAnsi="Arial"/>
                <w:b w:val="0"/>
                <w:sz w:val="17"/>
              </w:rPr>
              <w:t>Model finansial dan ekonomi (FNPV, ENPV, EIRR) untuk enam label terbesar; baseline biaya satuan, output, produktivitas; baseline inflasi pra-NRF</w:t>
            </w:r>
          </w:p>
        </w:tc>
        <w:tc>
          <w:tcPr>
            <w:tcW w:type="dxa" w:w="2745"/>
            <w:shd w:val="clear" w:color="auto" w:fill="E6ECFD"/>
            <w:vAlign w:val="center"/>
          </w:tcPr>
          <w:p>
            <w:pPr>
              <w:spacing w:after="20" w:before="20" w:line="252" w:lineRule="auto"/>
            </w:pPr>
            <w:r/>
            <w:r>
              <w:rPr>
                <w:rFonts w:ascii="Arial" w:hAnsi="Arial"/>
                <w:b w:val="0"/>
                <w:sz w:val="17"/>
              </w:rPr>
              <w:t>CFO proyek; COO; ekonom; fungsi Risiko</w:t>
            </w:r>
          </w:p>
        </w:tc>
      </w:tr>
      <w:tr>
        <w:trPr>
          <w:cantSplit/>
        </w:trPr>
        <w:tc>
          <w:tcPr>
            <w:tcW w:type="dxa" w:w="1274"/>
            <w:vAlign w:val="center"/>
          </w:tcPr>
          <w:p>
            <w:pPr>
              <w:spacing w:after="20" w:before="20" w:line="252" w:lineRule="auto"/>
            </w:pPr>
            <w:r/>
            <w:r>
              <w:rPr>
                <w:rFonts w:ascii="Arial" w:hAnsi="Arial"/>
                <w:b/>
                <w:sz w:val="17"/>
              </w:rPr>
              <w:t>Hari 61–90</w:t>
            </w:r>
          </w:p>
        </w:tc>
        <w:tc>
          <w:tcPr>
            <w:tcW w:type="dxa" w:w="5392"/>
            <w:vAlign w:val="center"/>
          </w:tcPr>
          <w:p>
            <w:pPr>
              <w:spacing w:after="20" w:before="20" w:line="252" w:lineRule="auto"/>
            </w:pPr>
            <w:r/>
            <w:r>
              <w:rPr>
                <w:rFonts w:ascii="Arial" w:hAnsi="Arial"/>
                <w:b w:val="0"/>
                <w:sz w:val="17"/>
              </w:rPr>
              <w:t>Buku besar mobilisasi (TPDM, PPDM, PIM); audit DVA dan teknologi; target yang disepakati; asurans independen; kebijakan portofolio Alpha/Impact</w:t>
            </w:r>
          </w:p>
        </w:tc>
        <w:tc>
          <w:tcPr>
            <w:tcW w:type="dxa" w:w="2745"/>
            <w:vAlign w:val="center"/>
          </w:tcPr>
          <w:p>
            <w:pPr>
              <w:spacing w:after="20" w:before="20" w:line="252" w:lineRule="auto"/>
            </w:pPr>
            <w:r/>
            <w:r>
              <w:rPr>
                <w:rFonts w:ascii="Arial" w:hAnsi="Arial"/>
                <w:b w:val="0"/>
                <w:sz w:val="17"/>
              </w:rPr>
              <w:t>Treasury; unit dampak; CTO; reviewer independen</w:t>
            </w:r>
          </w:p>
        </w:tc>
      </w:tr>
    </w:tbl>
    <w:p>
      <w:pPr>
        <w:spacing w:after="160"/>
      </w:pPr>
      <w:r>
        <w:rPr>
          <w:rFonts w:ascii="Arial" w:hAnsi="Arial"/>
          <w:b w:val="0"/>
          <w:i/>
          <w:color w:val="051C5C"/>
          <w:sz w:val="17"/>
        </w:rPr>
        <w:t>Sumber: [K, Bab 16.3; EXEC, slide 22].</w:t>
      </w:r>
    </w:p>
    <w:p>
      <w:pPr>
        <w:pStyle w:val="Heading2"/>
      </w:pPr>
      <w:r>
        <w:t>16.6  Apa yang terlihat jika register siap untuk manajemen proyek</w:t>
      </w:r>
    </w:p>
    <w:p>
      <w:pPr>
        <w:jc w:val="both"/>
      </w:pPr>
      <w:r>
        <w:rPr>
          <w:rFonts w:ascii="Arial" w:hAnsi="Arial"/>
          <w:b w:val="0"/>
        </w:rPr>
        <w:t>Berdasarkan Bab 3 sampai 13, register yang siap untuk manajemen proyek memenuhi sepuluh kondisi: (1) satu ID unik per proyek yang dipakai pada semua sistem; (2) satu taksonomi klaster; (3) sponsor, project director, dan organ perusahaan yang sah ditunjuk dengan nama; (4) gerbang saat ini terverifikasi dengan bukti; (5) baseline lingkup, biaya (dengan kelas estimasi), dan jadwal (dengan jalur kritis) yang dibekukan; (6) register risiko dengan pemilik dan kontingensi berbasis risiko; (7) struktur pendanaan dan syarat pendahuluan dengan status; (8) rencana lokalisasi dan pemasok yang terkait gerbang S; (9) kelas bukti pada setiap angka; dan (10) riwayat versi dengan alasan perubahan. Hanya setelah kesepuluh kondisi terpenuhi, skor tiga pilar dapat berubah dari penalti data menjadi penilaian berbasis bukti.</w:t>
      </w:r>
    </w:p>
    <w:p>
      <w:pPr>
        <w:keepNext/>
        <w:spacing w:after="60"/>
      </w:pPr>
      <w:r>
        <w:rPr>
          <w:rFonts w:ascii="Arial" w:hAnsi="Arial"/>
          <w:b/>
          <w:color w:val="051C5C"/>
          <w:sz w:val="19"/>
        </w:rPr>
        <w:t xml:space="preserve">Tabel 48: </w:t>
      </w:r>
      <w:r>
        <w:rPr>
          <w:rFonts w:ascii="Arial" w:hAnsi="Arial"/>
          <w:color w:val="051C5C"/>
          <w:sz w:val="19"/>
        </w:rPr>
        <w:t>Keadaan register pada 1 Oktober 2026 terhadap sepuluh kondisi (penilaian penulis dari bukti yang ditelaah)</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495"/>
            <w:shd w:val="clear" w:color="auto" w:fill="2251FF"/>
            <w:vAlign w:val="center"/>
          </w:tcPr>
          <w:p>
            <w:pPr>
              <w:spacing w:after="20" w:before="20" w:line="252" w:lineRule="auto"/>
            </w:pPr>
            <w:r/>
            <w:r>
              <w:rPr>
                <w:rFonts w:ascii="Arial" w:hAnsi="Arial"/>
                <w:b/>
                <w:color w:val="FFFFFF"/>
                <w:sz w:val="17"/>
              </w:rPr>
              <w:t>#</w:t>
            </w:r>
          </w:p>
        </w:tc>
        <w:tc>
          <w:tcPr>
            <w:tcW w:type="dxa" w:w="2972"/>
            <w:shd w:val="clear" w:color="auto" w:fill="2251FF"/>
            <w:vAlign w:val="center"/>
          </w:tcPr>
          <w:p>
            <w:pPr>
              <w:spacing w:after="20" w:before="20" w:line="252" w:lineRule="auto"/>
            </w:pPr>
            <w:r/>
            <w:r>
              <w:rPr>
                <w:rFonts w:ascii="Arial" w:hAnsi="Arial"/>
                <w:b/>
                <w:color w:val="FFFFFF"/>
                <w:sz w:val="17"/>
              </w:rPr>
              <w:t>Kondisi</w:t>
            </w:r>
          </w:p>
        </w:tc>
        <w:tc>
          <w:tcPr>
            <w:tcW w:type="dxa" w:w="5944"/>
            <w:shd w:val="clear" w:color="auto" w:fill="2251FF"/>
            <w:vAlign w:val="center"/>
          </w:tcPr>
          <w:p>
            <w:pPr>
              <w:spacing w:after="20" w:before="20" w:line="252" w:lineRule="auto"/>
            </w:pPr>
            <w:r/>
            <w:r>
              <w:rPr>
                <w:rFonts w:ascii="Arial" w:hAnsi="Arial"/>
                <w:b/>
                <w:color w:val="FFFFFF"/>
                <w:sz w:val="17"/>
              </w:rPr>
              <w:t>Keadaan menurut dokumen</w:t>
            </w:r>
          </w:p>
        </w:tc>
      </w:tr>
      <w:tr>
        <w:trPr>
          <w:cantSplit/>
        </w:trPr>
        <w:tc>
          <w:tcPr>
            <w:tcW w:type="dxa" w:w="495"/>
            <w:vAlign w:val="center"/>
          </w:tcPr>
          <w:p>
            <w:pPr>
              <w:spacing w:after="20" w:before="20" w:line="252" w:lineRule="auto"/>
            </w:pPr>
            <w:r/>
            <w:r>
              <w:rPr>
                <w:rFonts w:ascii="Arial" w:hAnsi="Arial"/>
                <w:b/>
                <w:sz w:val="17"/>
              </w:rPr>
              <w:t>1</w:t>
            </w:r>
          </w:p>
        </w:tc>
        <w:tc>
          <w:tcPr>
            <w:tcW w:type="dxa" w:w="2972"/>
            <w:vAlign w:val="center"/>
          </w:tcPr>
          <w:p>
            <w:pPr>
              <w:spacing w:after="20" w:before="20" w:line="252" w:lineRule="auto"/>
            </w:pPr>
            <w:r/>
            <w:r>
              <w:rPr>
                <w:rFonts w:ascii="Arial" w:hAnsi="Arial"/>
                <w:b w:val="0"/>
                <w:sz w:val="17"/>
              </w:rPr>
              <w:t>ID unik lintas sistem</w:t>
            </w:r>
          </w:p>
        </w:tc>
        <w:tc>
          <w:tcPr>
            <w:tcW w:type="dxa" w:w="5944"/>
            <w:vAlign w:val="center"/>
          </w:tcPr>
          <w:p>
            <w:pPr>
              <w:spacing w:after="20" w:before="20" w:line="252" w:lineRule="auto"/>
            </w:pPr>
            <w:r/>
            <w:r>
              <w:rPr>
                <w:rFonts w:ascii="Arial" w:hAnsi="Arial"/>
                <w:b w:val="0"/>
                <w:sz w:val="17"/>
              </w:rPr>
              <w:t>SP-ID adalah ID buku kerja; belum menjadi ID resmi lintas sistem</w:t>
            </w:r>
          </w:p>
        </w:tc>
      </w:tr>
      <w:tr>
        <w:trPr>
          <w:cantSplit/>
        </w:trPr>
        <w:tc>
          <w:tcPr>
            <w:tcW w:type="dxa" w:w="495"/>
            <w:shd w:val="clear" w:color="auto" w:fill="E6ECFD"/>
            <w:vAlign w:val="center"/>
          </w:tcPr>
          <w:p>
            <w:pPr>
              <w:spacing w:after="20" w:before="20" w:line="252" w:lineRule="auto"/>
            </w:pPr>
            <w:r/>
            <w:r>
              <w:rPr>
                <w:rFonts w:ascii="Arial" w:hAnsi="Arial"/>
                <w:b/>
                <w:sz w:val="17"/>
              </w:rPr>
              <w:t>2</w:t>
            </w:r>
          </w:p>
        </w:tc>
        <w:tc>
          <w:tcPr>
            <w:tcW w:type="dxa" w:w="2972"/>
            <w:shd w:val="clear" w:color="auto" w:fill="E6ECFD"/>
            <w:vAlign w:val="center"/>
          </w:tcPr>
          <w:p>
            <w:pPr>
              <w:spacing w:after="20" w:before="20" w:line="252" w:lineRule="auto"/>
            </w:pPr>
            <w:r/>
            <w:r>
              <w:rPr>
                <w:rFonts w:ascii="Arial" w:hAnsi="Arial"/>
                <w:b w:val="0"/>
                <w:sz w:val="17"/>
              </w:rPr>
              <w:t>Satu taksonomi klaster</w:t>
            </w:r>
          </w:p>
        </w:tc>
        <w:tc>
          <w:tcPr>
            <w:tcW w:type="dxa" w:w="5944"/>
            <w:shd w:val="clear" w:color="auto" w:fill="E6ECFD"/>
            <w:vAlign w:val="center"/>
          </w:tcPr>
          <w:p>
            <w:pPr>
              <w:spacing w:after="20" w:before="20" w:line="252" w:lineRule="auto"/>
            </w:pPr>
            <w:r/>
            <w:r>
              <w:rPr>
                <w:rFonts w:ascii="Arial" w:hAnsi="Arial"/>
                <w:b w:val="0"/>
                <w:sz w:val="17"/>
              </w:rPr>
              <w:t>Tidak: empat klaster dengan komposisi berbeda antar sumber</w:t>
            </w:r>
          </w:p>
        </w:tc>
      </w:tr>
      <w:tr>
        <w:trPr>
          <w:cantSplit/>
        </w:trPr>
        <w:tc>
          <w:tcPr>
            <w:tcW w:type="dxa" w:w="495"/>
            <w:vAlign w:val="center"/>
          </w:tcPr>
          <w:p>
            <w:pPr>
              <w:spacing w:after="20" w:before="20" w:line="252" w:lineRule="auto"/>
            </w:pPr>
            <w:r/>
            <w:r>
              <w:rPr>
                <w:rFonts w:ascii="Arial" w:hAnsi="Arial"/>
                <w:b/>
                <w:sz w:val="17"/>
              </w:rPr>
              <w:t>3</w:t>
            </w:r>
          </w:p>
        </w:tc>
        <w:tc>
          <w:tcPr>
            <w:tcW w:type="dxa" w:w="2972"/>
            <w:vAlign w:val="center"/>
          </w:tcPr>
          <w:p>
            <w:pPr>
              <w:spacing w:after="20" w:before="20" w:line="252" w:lineRule="auto"/>
            </w:pPr>
            <w:r/>
            <w:r>
              <w:rPr>
                <w:rFonts w:ascii="Arial" w:hAnsi="Arial"/>
                <w:b w:val="0"/>
                <w:sz w:val="17"/>
              </w:rPr>
              <w:t>Sponsor dan project director bernama</w:t>
            </w:r>
          </w:p>
        </w:tc>
        <w:tc>
          <w:tcPr>
            <w:tcW w:type="dxa" w:w="5944"/>
            <w:vAlign w:val="center"/>
          </w:tcPr>
          <w:p>
            <w:pPr>
              <w:spacing w:after="20" w:before="20" w:line="252" w:lineRule="auto"/>
            </w:pPr>
            <w:r/>
            <w:r>
              <w:rPr>
                <w:rFonts w:ascii="Arial" w:hAnsi="Arial"/>
                <w:b w:val="0"/>
                <w:sz w:val="17"/>
              </w:rPr>
              <w:t>Tidak terverifikasi (15 usulan analis, 3 berdasarkan remit platform, 22 tanpa lingkup)</w:t>
            </w:r>
          </w:p>
        </w:tc>
      </w:tr>
      <w:tr>
        <w:trPr>
          <w:cantSplit/>
        </w:trPr>
        <w:tc>
          <w:tcPr>
            <w:tcW w:type="dxa" w:w="495"/>
            <w:shd w:val="clear" w:color="auto" w:fill="E6ECFD"/>
            <w:vAlign w:val="center"/>
          </w:tcPr>
          <w:p>
            <w:pPr>
              <w:spacing w:after="20" w:before="20" w:line="252" w:lineRule="auto"/>
            </w:pPr>
            <w:r/>
            <w:r>
              <w:rPr>
                <w:rFonts w:ascii="Arial" w:hAnsi="Arial"/>
                <w:b/>
                <w:sz w:val="17"/>
              </w:rPr>
              <w:t>4</w:t>
            </w:r>
          </w:p>
        </w:tc>
        <w:tc>
          <w:tcPr>
            <w:tcW w:type="dxa" w:w="2972"/>
            <w:shd w:val="clear" w:color="auto" w:fill="E6ECFD"/>
            <w:vAlign w:val="center"/>
          </w:tcPr>
          <w:p>
            <w:pPr>
              <w:spacing w:after="20" w:before="20" w:line="252" w:lineRule="auto"/>
            </w:pPr>
            <w:r/>
            <w:r>
              <w:rPr>
                <w:rFonts w:ascii="Arial" w:hAnsi="Arial"/>
                <w:b w:val="0"/>
                <w:sz w:val="17"/>
              </w:rPr>
              <w:t>Gerbang saat ini terverifikasi</w:t>
            </w:r>
          </w:p>
        </w:tc>
        <w:tc>
          <w:tcPr>
            <w:tcW w:type="dxa" w:w="5944"/>
            <w:shd w:val="clear" w:color="auto" w:fill="E6ECFD"/>
            <w:vAlign w:val="center"/>
          </w:tcPr>
          <w:p>
            <w:pPr>
              <w:spacing w:after="20" w:before="20" w:line="252" w:lineRule="auto"/>
            </w:pPr>
            <w:r/>
            <w:r>
              <w:rPr>
                <w:rFonts w:ascii="Arial" w:hAnsi="Arial"/>
                <w:b w:val="0"/>
                <w:sz w:val="17"/>
              </w:rPr>
              <w:t>Tidak: 0 dari 40</w:t>
            </w:r>
          </w:p>
        </w:tc>
      </w:tr>
      <w:tr>
        <w:trPr>
          <w:cantSplit/>
        </w:trPr>
        <w:tc>
          <w:tcPr>
            <w:tcW w:type="dxa" w:w="495"/>
            <w:vAlign w:val="center"/>
          </w:tcPr>
          <w:p>
            <w:pPr>
              <w:spacing w:after="20" w:before="20" w:line="252" w:lineRule="auto"/>
            </w:pPr>
            <w:r/>
            <w:r>
              <w:rPr>
                <w:rFonts w:ascii="Arial" w:hAnsi="Arial"/>
                <w:b/>
                <w:sz w:val="17"/>
              </w:rPr>
              <w:t>5</w:t>
            </w:r>
          </w:p>
        </w:tc>
        <w:tc>
          <w:tcPr>
            <w:tcW w:type="dxa" w:w="2972"/>
            <w:vAlign w:val="center"/>
          </w:tcPr>
          <w:p>
            <w:pPr>
              <w:spacing w:after="20" w:before="20" w:line="252" w:lineRule="auto"/>
            </w:pPr>
            <w:r/>
            <w:r>
              <w:rPr>
                <w:rFonts w:ascii="Arial" w:hAnsi="Arial"/>
                <w:b w:val="0"/>
                <w:sz w:val="17"/>
              </w:rPr>
              <w:t>Baseline lingkup, biaya, jadwal</w:t>
            </w:r>
          </w:p>
        </w:tc>
        <w:tc>
          <w:tcPr>
            <w:tcW w:type="dxa" w:w="5944"/>
            <w:vAlign w:val="center"/>
          </w:tcPr>
          <w:p>
            <w:pPr>
              <w:spacing w:after="20" w:before="20" w:line="252" w:lineRule="auto"/>
            </w:pPr>
            <w:r/>
            <w:r>
              <w:rPr>
                <w:rFonts w:ascii="Arial" w:hAnsi="Arial"/>
                <w:b w:val="0"/>
                <w:sz w:val="17"/>
              </w:rPr>
              <w:t>Tidak ada; kelas estimasi tidak dinyatakan; horizon blank atau "tidak dapat diestimasi"</w:t>
            </w:r>
          </w:p>
        </w:tc>
      </w:tr>
      <w:tr>
        <w:trPr>
          <w:cantSplit/>
        </w:trPr>
        <w:tc>
          <w:tcPr>
            <w:tcW w:type="dxa" w:w="495"/>
            <w:shd w:val="clear" w:color="auto" w:fill="E6ECFD"/>
            <w:vAlign w:val="center"/>
          </w:tcPr>
          <w:p>
            <w:pPr>
              <w:spacing w:after="20" w:before="20" w:line="252" w:lineRule="auto"/>
            </w:pPr>
            <w:r/>
            <w:r>
              <w:rPr>
                <w:rFonts w:ascii="Arial" w:hAnsi="Arial"/>
                <w:b/>
                <w:sz w:val="17"/>
              </w:rPr>
              <w:t>6</w:t>
            </w:r>
          </w:p>
        </w:tc>
        <w:tc>
          <w:tcPr>
            <w:tcW w:type="dxa" w:w="2972"/>
            <w:shd w:val="clear" w:color="auto" w:fill="E6ECFD"/>
            <w:vAlign w:val="center"/>
          </w:tcPr>
          <w:p>
            <w:pPr>
              <w:spacing w:after="20" w:before="20" w:line="252" w:lineRule="auto"/>
            </w:pPr>
            <w:r/>
            <w:r>
              <w:rPr>
                <w:rFonts w:ascii="Arial" w:hAnsi="Arial"/>
                <w:b w:val="0"/>
                <w:sz w:val="17"/>
              </w:rPr>
              <w:t>Register risiko dengan pemilik</w:t>
            </w:r>
          </w:p>
        </w:tc>
        <w:tc>
          <w:tcPr>
            <w:tcW w:type="dxa" w:w="5944"/>
            <w:shd w:val="clear" w:color="auto" w:fill="E6ECFD"/>
            <w:vAlign w:val="center"/>
          </w:tcPr>
          <w:p>
            <w:pPr>
              <w:spacing w:after="20" w:before="20" w:line="252" w:lineRule="auto"/>
            </w:pPr>
            <w:r/>
            <w:r>
              <w:rPr>
                <w:rFonts w:ascii="Arial" w:hAnsi="Arial"/>
                <w:b w:val="0"/>
                <w:sz w:val="17"/>
              </w:rPr>
              <w:t>Ada kolom risiko utama per proyek; tidak ada pemilik, kontingensi, atau kuantifikasi</w:t>
            </w:r>
          </w:p>
        </w:tc>
      </w:tr>
      <w:tr>
        <w:trPr>
          <w:cantSplit/>
        </w:trPr>
        <w:tc>
          <w:tcPr>
            <w:tcW w:type="dxa" w:w="495"/>
            <w:vAlign w:val="center"/>
          </w:tcPr>
          <w:p>
            <w:pPr>
              <w:spacing w:after="20" w:before="20" w:line="252" w:lineRule="auto"/>
            </w:pPr>
            <w:r/>
            <w:r>
              <w:rPr>
                <w:rFonts w:ascii="Arial" w:hAnsi="Arial"/>
                <w:b/>
                <w:sz w:val="17"/>
              </w:rPr>
              <w:t>7</w:t>
            </w:r>
          </w:p>
        </w:tc>
        <w:tc>
          <w:tcPr>
            <w:tcW w:type="dxa" w:w="2972"/>
            <w:vAlign w:val="center"/>
          </w:tcPr>
          <w:p>
            <w:pPr>
              <w:spacing w:after="20" w:before="20" w:line="252" w:lineRule="auto"/>
            </w:pPr>
            <w:r/>
            <w:r>
              <w:rPr>
                <w:rFonts w:ascii="Arial" w:hAnsi="Arial"/>
                <w:b w:val="0"/>
                <w:sz w:val="17"/>
              </w:rPr>
              <w:t>Struktur pendanaan dan CP</w:t>
            </w:r>
          </w:p>
        </w:tc>
        <w:tc>
          <w:tcPr>
            <w:tcW w:type="dxa" w:w="5944"/>
            <w:vAlign w:val="center"/>
          </w:tcPr>
          <w:p>
            <w:pPr>
              <w:spacing w:after="20" w:before="20" w:line="252" w:lineRule="auto"/>
            </w:pPr>
            <w:r/>
            <w:r>
              <w:rPr>
                <w:rFonts w:ascii="Arial" w:hAnsi="Arial"/>
                <w:b w:val="0"/>
                <w:sz w:val="17"/>
              </w:rPr>
              <w:t>Tidak ada pada register; pendanaan dibahas pada tingkat portofolio</w:t>
            </w:r>
          </w:p>
        </w:tc>
      </w:tr>
      <w:tr>
        <w:trPr>
          <w:cantSplit/>
        </w:trPr>
        <w:tc>
          <w:tcPr>
            <w:tcW w:type="dxa" w:w="495"/>
            <w:shd w:val="clear" w:color="auto" w:fill="E6ECFD"/>
            <w:vAlign w:val="center"/>
          </w:tcPr>
          <w:p>
            <w:pPr>
              <w:spacing w:after="20" w:before="20" w:line="252" w:lineRule="auto"/>
            </w:pPr>
            <w:r/>
            <w:r>
              <w:rPr>
                <w:rFonts w:ascii="Arial" w:hAnsi="Arial"/>
                <w:b/>
                <w:sz w:val="17"/>
              </w:rPr>
              <w:t>8</w:t>
            </w:r>
          </w:p>
        </w:tc>
        <w:tc>
          <w:tcPr>
            <w:tcW w:type="dxa" w:w="2972"/>
            <w:shd w:val="clear" w:color="auto" w:fill="E6ECFD"/>
            <w:vAlign w:val="center"/>
          </w:tcPr>
          <w:p>
            <w:pPr>
              <w:spacing w:after="20" w:before="20" w:line="252" w:lineRule="auto"/>
            </w:pPr>
            <w:r/>
            <w:r>
              <w:rPr>
                <w:rFonts w:ascii="Arial" w:hAnsi="Arial"/>
                <w:b w:val="0"/>
                <w:sz w:val="17"/>
              </w:rPr>
              <w:t>Rencana lokalisasi dan pemasok</w:t>
            </w:r>
          </w:p>
        </w:tc>
        <w:tc>
          <w:tcPr>
            <w:tcW w:type="dxa" w:w="5944"/>
            <w:shd w:val="clear" w:color="auto" w:fill="E6ECFD"/>
            <w:vAlign w:val="center"/>
          </w:tcPr>
          <w:p>
            <w:pPr>
              <w:spacing w:after="20" w:before="20" w:line="252" w:lineRule="auto"/>
            </w:pPr>
            <w:r/>
            <w:r>
              <w:rPr>
                <w:rFonts w:ascii="Arial" w:hAnsi="Arial"/>
                <w:b w:val="0"/>
                <w:sz w:val="17"/>
              </w:rPr>
              <w:t>Daftar mitra global (shortlist kapabilitas, belum ada penunjukan); rencana lokalisasi belum ada</w:t>
            </w:r>
          </w:p>
        </w:tc>
      </w:tr>
      <w:tr>
        <w:trPr>
          <w:cantSplit/>
        </w:trPr>
        <w:tc>
          <w:tcPr>
            <w:tcW w:type="dxa" w:w="495"/>
            <w:vAlign w:val="center"/>
          </w:tcPr>
          <w:p>
            <w:pPr>
              <w:spacing w:after="20" w:before="20" w:line="252" w:lineRule="auto"/>
            </w:pPr>
            <w:r/>
            <w:r>
              <w:rPr>
                <w:rFonts w:ascii="Arial" w:hAnsi="Arial"/>
                <w:b/>
                <w:sz w:val="17"/>
              </w:rPr>
              <w:t>9</w:t>
            </w:r>
          </w:p>
        </w:tc>
        <w:tc>
          <w:tcPr>
            <w:tcW w:type="dxa" w:w="2972"/>
            <w:vAlign w:val="center"/>
          </w:tcPr>
          <w:p>
            <w:pPr>
              <w:spacing w:after="20" w:before="20" w:line="252" w:lineRule="auto"/>
            </w:pPr>
            <w:r/>
            <w:r>
              <w:rPr>
                <w:rFonts w:ascii="Arial" w:hAnsi="Arial"/>
                <w:b w:val="0"/>
                <w:sz w:val="17"/>
              </w:rPr>
              <w:t>Kelas bukti</w:t>
            </w:r>
          </w:p>
        </w:tc>
        <w:tc>
          <w:tcPr>
            <w:tcW w:type="dxa" w:w="5944"/>
            <w:vAlign w:val="center"/>
          </w:tcPr>
          <w:p>
            <w:pPr>
              <w:spacing w:after="20" w:before="20" w:line="252" w:lineRule="auto"/>
            </w:pPr>
            <w:r/>
            <w:r>
              <w:rPr>
                <w:rFonts w:ascii="Arial" w:hAnsi="Arial"/>
                <w:b w:val="0"/>
                <w:sz w:val="17"/>
              </w:rPr>
              <w:t>Sebagian: angka berlabel sumber, tetapi tanpa kelas bukti yang konsisten</w:t>
            </w:r>
          </w:p>
        </w:tc>
      </w:tr>
      <w:tr>
        <w:trPr>
          <w:cantSplit/>
        </w:trPr>
        <w:tc>
          <w:tcPr>
            <w:tcW w:type="dxa" w:w="495"/>
            <w:shd w:val="clear" w:color="auto" w:fill="E6ECFD"/>
            <w:vAlign w:val="center"/>
          </w:tcPr>
          <w:p>
            <w:pPr>
              <w:spacing w:after="20" w:before="20" w:line="252" w:lineRule="auto"/>
            </w:pPr>
            <w:r/>
            <w:r>
              <w:rPr>
                <w:rFonts w:ascii="Arial" w:hAnsi="Arial"/>
                <w:b/>
                <w:sz w:val="17"/>
              </w:rPr>
              <w:t>10</w:t>
            </w:r>
          </w:p>
        </w:tc>
        <w:tc>
          <w:tcPr>
            <w:tcW w:type="dxa" w:w="2972"/>
            <w:shd w:val="clear" w:color="auto" w:fill="E6ECFD"/>
            <w:vAlign w:val="center"/>
          </w:tcPr>
          <w:p>
            <w:pPr>
              <w:spacing w:after="20" w:before="20" w:line="252" w:lineRule="auto"/>
            </w:pPr>
            <w:r/>
            <w:r>
              <w:rPr>
                <w:rFonts w:ascii="Arial" w:hAnsi="Arial"/>
                <w:b w:val="0"/>
                <w:sz w:val="17"/>
              </w:rPr>
              <w:t>Riwayat versi</w:t>
            </w:r>
          </w:p>
        </w:tc>
        <w:tc>
          <w:tcPr>
            <w:tcW w:type="dxa" w:w="5944"/>
            <w:shd w:val="clear" w:color="auto" w:fill="E6ECFD"/>
            <w:vAlign w:val="center"/>
          </w:tcPr>
          <w:p>
            <w:pPr>
              <w:spacing w:after="20" w:before="20" w:line="252" w:lineRule="auto"/>
            </w:pPr>
            <w:r/>
            <w:r>
              <w:rPr>
                <w:rFonts w:ascii="Arial" w:hAnsi="Arial"/>
                <w:b w:val="0"/>
                <w:sz w:val="17"/>
              </w:rPr>
              <w:t>Tidak dapat dinilai dari buku kerja</w:t>
            </w:r>
          </w:p>
        </w:tc>
      </w:tr>
    </w:tbl>
    <w:p>
      <w:pPr>
        <w:spacing w:after="160"/>
      </w:pPr>
      <w:r>
        <w:rPr>
          <w:rFonts w:ascii="Arial" w:hAnsi="Arial"/>
          <w:b w:val="0"/>
          <w:i/>
          <w:color w:val="051C5C"/>
          <w:sz w:val="17"/>
        </w:rPr>
        <w:t>Sumber: [VERO; EXEC; K, Bab 4.6]. Penilaian ini bukan audit; ia membaca isi register, bukan praktik internal.</w:t>
      </w:r>
    </w:p>
    <w:p>
      <w:r>
        <w:br w:type="page"/>
      </w:r>
    </w:p>
    <w:p>
      <w:pPr>
        <w:pStyle w:val="Heading1"/>
      </w:pPr>
      <w:r>
        <w:t>17  Sistem Manajemen Proyek Terpadu Danantara (usulan)</w:t>
      </w:r>
    </w:p>
    <w:p>
      <w:pPr>
        <w:pStyle w:val="Heading2"/>
      </w:pPr>
      <w:r>
        <w:t>17.1  Prinsip desain</w:t>
      </w:r>
    </w:p>
    <w:p>
      <w:pPr>
        <w:jc w:val="both"/>
      </w:pPr>
      <w:r>
        <w:rPr>
          <w:rFonts w:ascii="Arial" w:hAnsi="Arial"/>
          <w:b w:val="0"/>
        </w:rPr>
        <w:t xml:space="preserve">Bab-bab sebelumnya menunjukkan bahwa unsur manajemen proyek sudah tersebar pada dokumen sumber: gerbang proyek, gerbang pemasok, gerbang industri, RASCI, rantai biaya EPC, register risiko, scorecard, dan rancangan AI. Yang belum ada adalah satu sistem yang menyatukannya. Bab ini mengusulkan </w:t>
      </w:r>
      <w:r>
        <w:rPr>
          <w:rFonts w:ascii="Arial" w:hAnsi="Arial"/>
          <w:b/>
        </w:rPr>
        <w:t>Sistem Manajemen Proyek Terpadu Danantara</w:t>
      </w:r>
      <w:r>
        <w:rPr>
          <w:rFonts w:ascii="Arial" w:hAnsi="Arial"/>
          <w:b w:val="0"/>
        </w:rPr>
        <w:t xml:space="preserve"> (disingkat DPMS dalam makalah ini) yang bertumpu pada tujuh prinsip: satu register dan satu penyebut; satu pemimpin hasil per proyek; uang dan volume mengikuti bukti kesiapan; promotor dipisah dari penilai; perubahan dikendalikan terhadap baseline yang dibekukan; ukur hasil tambahan dengan kelas bukti; dan manusia memutuskan, sistem memberi bukti.</w:t>
      </w:r>
    </w:p>
    <w:p>
      <w:pPr>
        <w:pStyle w:val="Heading2"/>
      </w:pPr>
      <w:r>
        <w:t>17.2  Tujuh komponen</w:t>
      </w:r>
    </w:p>
    <w:p>
      <w:pPr>
        <w:keepNext/>
        <w:jc w:val="center"/>
      </w:pPr>
      <w:r>
        <w:drawing>
          <wp:inline xmlns:a="http://schemas.openxmlformats.org/drawingml/2006/main" xmlns:pic="http://schemas.openxmlformats.org/drawingml/2006/picture">
            <wp:extent cx="5580000" cy="3760225"/>
            <wp:docPr id="15" name="Picture 15"/>
            <wp:cNvGraphicFramePr>
              <a:graphicFrameLocks noChangeAspect="1"/>
            </wp:cNvGraphicFramePr>
            <a:graphic>
              <a:graphicData uri="http://schemas.openxmlformats.org/drawingml/2006/picture">
                <pic:pic>
                  <pic:nvPicPr>
                    <pic:cNvPr id="0" name="f_dpms.png"/>
                    <pic:cNvPicPr/>
                  </pic:nvPicPr>
                  <pic:blipFill>
                    <a:blip r:embed="rId24"/>
                    <a:stretch>
                      <a:fillRect/>
                    </a:stretch>
                  </pic:blipFill>
                  <pic:spPr>
                    <a:xfrm>
                      <a:off x="0" y="0"/>
                      <a:ext cx="5580000" cy="3760225"/>
                    </a:xfrm>
                    <a:prstGeom prst="rect"/>
                  </pic:spPr>
                </pic:pic>
              </a:graphicData>
            </a:graphic>
          </wp:inline>
        </w:drawing>
      </w:r>
    </w:p>
    <w:p>
      <w:pPr>
        <w:keepNext w:val="0"/>
        <w:spacing w:after="60"/>
      </w:pPr>
      <w:r>
        <w:rPr>
          <w:rFonts w:ascii="Arial" w:hAnsi="Arial"/>
          <w:b/>
          <w:color w:val="051C5C"/>
          <w:sz w:val="19"/>
        </w:rPr>
        <w:t xml:space="preserve">Gambar 15: </w:t>
      </w:r>
      <w:r>
        <w:rPr>
          <w:rFonts w:ascii="Arial" w:hAnsi="Arial"/>
          <w:color w:val="051C5C"/>
          <w:sz w:val="19"/>
        </w:rPr>
        <w:t>Tujuh komponen Sistem Manajemen Proyek Terpadu Danantara</w:t>
      </w:r>
    </w:p>
    <w:p>
      <w:pPr>
        <w:spacing w:after="160"/>
      </w:pPr>
      <w:r>
        <w:rPr>
          <w:rFonts w:ascii="Arial" w:hAnsi="Arial"/>
          <w:b w:val="0"/>
          <w:i/>
          <w:color w:val="051C5C"/>
          <w:sz w:val="17"/>
        </w:rPr>
        <w:t>Sumber: rancangan penulis, berdasarkan Bab 3–16.</w:t>
      </w:r>
    </w:p>
    <w:p>
      <w:pPr>
        <w:keepNext/>
        <w:spacing w:after="60"/>
      </w:pPr>
      <w:r>
        <w:rPr>
          <w:rFonts w:ascii="Arial" w:hAnsi="Arial"/>
          <w:b/>
          <w:color w:val="051C5C"/>
          <w:sz w:val="19"/>
        </w:rPr>
        <w:t xml:space="preserve">Tabel 49: </w:t>
      </w:r>
      <w:r>
        <w:rPr>
          <w:rFonts w:ascii="Arial" w:hAnsi="Arial"/>
          <w:color w:val="051C5C"/>
          <w:sz w:val="19"/>
        </w:rPr>
        <w:t>Komponen DPMS dan isinya</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2353"/>
            <w:shd w:val="clear" w:color="auto" w:fill="2251FF"/>
            <w:vAlign w:val="center"/>
          </w:tcPr>
          <w:p>
            <w:pPr>
              <w:spacing w:after="20" w:before="20" w:line="252" w:lineRule="auto"/>
            </w:pPr>
            <w:r/>
            <w:r>
              <w:rPr>
                <w:rFonts w:ascii="Arial" w:hAnsi="Arial"/>
                <w:b/>
                <w:color w:val="FFFFFF"/>
                <w:sz w:val="17"/>
              </w:rPr>
              <w:t>Komponen</w:t>
            </w:r>
          </w:p>
        </w:tc>
        <w:tc>
          <w:tcPr>
            <w:tcW w:type="dxa" w:w="5490"/>
            <w:shd w:val="clear" w:color="auto" w:fill="2251FF"/>
            <w:vAlign w:val="center"/>
          </w:tcPr>
          <w:p>
            <w:pPr>
              <w:spacing w:after="20" w:before="20" w:line="252" w:lineRule="auto"/>
            </w:pPr>
            <w:r/>
            <w:r>
              <w:rPr>
                <w:rFonts w:ascii="Arial" w:hAnsi="Arial"/>
                <w:b/>
                <w:color w:val="FFFFFF"/>
                <w:sz w:val="17"/>
              </w:rPr>
              <w:t>Isi minimum</w:t>
            </w:r>
          </w:p>
        </w:tc>
        <w:tc>
          <w:tcPr>
            <w:tcW w:type="dxa" w:w="1569"/>
            <w:shd w:val="clear" w:color="auto" w:fill="2251FF"/>
            <w:vAlign w:val="center"/>
          </w:tcPr>
          <w:p>
            <w:pPr>
              <w:spacing w:after="20" w:before="20" w:line="252" w:lineRule="auto"/>
            </w:pPr>
            <w:r/>
            <w:r>
              <w:rPr>
                <w:rFonts w:ascii="Arial" w:hAnsi="Arial"/>
                <w:b/>
                <w:color w:val="FFFFFF"/>
                <w:sz w:val="17"/>
              </w:rPr>
              <w:t>Dasar pada Bab</w:t>
            </w:r>
          </w:p>
        </w:tc>
      </w:tr>
      <w:tr>
        <w:trPr>
          <w:cantSplit/>
        </w:trPr>
        <w:tc>
          <w:tcPr>
            <w:tcW w:type="dxa" w:w="2353"/>
            <w:vAlign w:val="center"/>
          </w:tcPr>
          <w:p>
            <w:pPr>
              <w:spacing w:after="20" w:before="20" w:line="252" w:lineRule="auto"/>
            </w:pPr>
            <w:r/>
            <w:r>
              <w:rPr>
                <w:rFonts w:ascii="Arial" w:hAnsi="Arial"/>
                <w:b/>
                <w:sz w:val="17"/>
              </w:rPr>
              <w:t>1 Kebijakan dan standar</w:t>
            </w:r>
          </w:p>
        </w:tc>
        <w:tc>
          <w:tcPr>
            <w:tcW w:type="dxa" w:w="5490"/>
            <w:vAlign w:val="center"/>
          </w:tcPr>
          <w:p>
            <w:pPr>
              <w:spacing w:after="20" w:before="20" w:line="252" w:lineRule="auto"/>
            </w:pPr>
            <w:r/>
            <w:r>
              <w:rPr>
                <w:rFonts w:ascii="Arial" w:hAnsi="Arial"/>
                <w:b w:val="0"/>
                <w:sz w:val="17"/>
              </w:rPr>
              <w:t>Kebijakan manajemen proyek Danantara; standar minimum untuk semua proyek; kamus metrik; kebijakan estimasi dan kontingensi</w:t>
            </w:r>
          </w:p>
        </w:tc>
        <w:tc>
          <w:tcPr>
            <w:tcW w:type="dxa" w:w="1569"/>
            <w:vAlign w:val="center"/>
          </w:tcPr>
          <w:p>
            <w:pPr>
              <w:spacing w:after="20" w:before="20" w:line="252" w:lineRule="auto"/>
            </w:pPr>
            <w:r/>
            <w:r>
              <w:rPr>
                <w:rFonts w:ascii="Arial" w:hAnsi="Arial"/>
                <w:b w:val="0"/>
                <w:sz w:val="17"/>
              </w:rPr>
              <w:t>2, 4, 6</w:t>
            </w:r>
          </w:p>
        </w:tc>
      </w:tr>
      <w:tr>
        <w:trPr>
          <w:cantSplit/>
        </w:trPr>
        <w:tc>
          <w:tcPr>
            <w:tcW w:type="dxa" w:w="2353"/>
            <w:shd w:val="clear" w:color="auto" w:fill="E6ECFD"/>
            <w:vAlign w:val="center"/>
          </w:tcPr>
          <w:p>
            <w:pPr>
              <w:spacing w:after="20" w:before="20" w:line="252" w:lineRule="auto"/>
            </w:pPr>
            <w:r/>
            <w:r>
              <w:rPr>
                <w:rFonts w:ascii="Arial" w:hAnsi="Arial"/>
                <w:b/>
                <w:sz w:val="17"/>
              </w:rPr>
              <w:t>2 Organisasi dan peran</w:t>
            </w:r>
          </w:p>
        </w:tc>
        <w:tc>
          <w:tcPr>
            <w:tcW w:type="dxa" w:w="5490"/>
            <w:shd w:val="clear" w:color="auto" w:fill="E6ECFD"/>
            <w:vAlign w:val="center"/>
          </w:tcPr>
          <w:p>
            <w:pPr>
              <w:spacing w:after="20" w:before="20" w:line="252" w:lineRule="auto"/>
            </w:pPr>
            <w:r/>
            <w:r>
              <w:rPr>
                <w:rFonts w:ascii="Arial" w:hAnsi="Arial"/>
                <w:b w:val="0"/>
                <w:sz w:val="17"/>
              </w:rPr>
              <w:t>Unit Industri Strategis (NITO) sebagai PMO portofolio; sponsor; project director; fungsi jaminan independen; pemimpin klaster</w:t>
            </w:r>
          </w:p>
        </w:tc>
        <w:tc>
          <w:tcPr>
            <w:tcW w:type="dxa" w:w="1569"/>
            <w:shd w:val="clear" w:color="auto" w:fill="E6ECFD"/>
            <w:vAlign w:val="center"/>
          </w:tcPr>
          <w:p>
            <w:pPr>
              <w:spacing w:after="20" w:before="20" w:line="252" w:lineRule="auto"/>
            </w:pPr>
            <w:r/>
            <w:r>
              <w:rPr>
                <w:rFonts w:ascii="Arial" w:hAnsi="Arial"/>
                <w:b w:val="0"/>
                <w:sz w:val="17"/>
              </w:rPr>
              <w:t>3, 10</w:t>
            </w:r>
          </w:p>
        </w:tc>
      </w:tr>
      <w:tr>
        <w:trPr>
          <w:cantSplit/>
        </w:trPr>
        <w:tc>
          <w:tcPr>
            <w:tcW w:type="dxa" w:w="2353"/>
            <w:vAlign w:val="center"/>
          </w:tcPr>
          <w:p>
            <w:pPr>
              <w:spacing w:after="20" w:before="20" w:line="252" w:lineRule="auto"/>
            </w:pPr>
            <w:r/>
            <w:r>
              <w:rPr>
                <w:rFonts w:ascii="Arial" w:hAnsi="Arial"/>
                <w:b/>
                <w:sz w:val="17"/>
              </w:rPr>
              <w:t>3 Proses dan gerbang</w:t>
            </w:r>
          </w:p>
        </w:tc>
        <w:tc>
          <w:tcPr>
            <w:tcW w:type="dxa" w:w="5490"/>
            <w:vAlign w:val="center"/>
          </w:tcPr>
          <w:p>
            <w:pPr>
              <w:spacing w:after="20" w:before="20" w:line="252" w:lineRule="auto"/>
            </w:pPr>
            <w:r/>
            <w:r>
              <w:rPr>
                <w:rFonts w:ascii="Arial" w:hAnsi="Arial"/>
                <w:b w:val="0"/>
                <w:sz w:val="17"/>
              </w:rPr>
              <w:t>Gerbang P0–P6, M0–M9, S1–S4 yang dipadukan; proses perencanaan, kendali biaya, risiko, pengadaan, perubahan, komisioning, manfaat</w:t>
            </w:r>
          </w:p>
        </w:tc>
        <w:tc>
          <w:tcPr>
            <w:tcW w:type="dxa" w:w="1569"/>
            <w:vAlign w:val="center"/>
          </w:tcPr>
          <w:p>
            <w:pPr>
              <w:spacing w:after="20" w:before="20" w:line="252" w:lineRule="auto"/>
            </w:pPr>
            <w:r/>
            <w:r>
              <w:rPr>
                <w:rFonts w:ascii="Arial" w:hAnsi="Arial"/>
                <w:b w:val="0"/>
                <w:sz w:val="17"/>
              </w:rPr>
              <w:t>3–9, 12</w:t>
            </w:r>
          </w:p>
        </w:tc>
      </w:tr>
      <w:tr>
        <w:trPr>
          <w:cantSplit/>
        </w:trPr>
        <w:tc>
          <w:tcPr>
            <w:tcW w:type="dxa" w:w="2353"/>
            <w:shd w:val="clear" w:color="auto" w:fill="E6ECFD"/>
            <w:vAlign w:val="center"/>
          </w:tcPr>
          <w:p>
            <w:pPr>
              <w:spacing w:after="20" w:before="20" w:line="252" w:lineRule="auto"/>
            </w:pPr>
            <w:r/>
            <w:r>
              <w:rPr>
                <w:rFonts w:ascii="Arial" w:hAnsi="Arial"/>
                <w:b/>
                <w:sz w:val="17"/>
              </w:rPr>
              <w:t>4 Artefak dan templat</w:t>
            </w:r>
          </w:p>
        </w:tc>
        <w:tc>
          <w:tcPr>
            <w:tcW w:type="dxa" w:w="5490"/>
            <w:shd w:val="clear" w:color="auto" w:fill="E6ECFD"/>
            <w:vAlign w:val="center"/>
          </w:tcPr>
          <w:p>
            <w:pPr>
              <w:spacing w:after="20" w:before="20" w:line="252" w:lineRule="auto"/>
            </w:pPr>
            <w:r/>
            <w:r>
              <w:rPr>
                <w:rFonts w:ascii="Arial" w:hAnsi="Arial"/>
                <w:b w:val="0"/>
                <w:sz w:val="17"/>
              </w:rPr>
              <w:t>Piagam, kasus bisnis, register, baseline, laporan, permintaan perubahan, daftar periksa gerbang</w:t>
            </w:r>
          </w:p>
        </w:tc>
        <w:tc>
          <w:tcPr>
            <w:tcW w:type="dxa" w:w="1569"/>
            <w:shd w:val="clear" w:color="auto" w:fill="E6ECFD"/>
            <w:vAlign w:val="center"/>
          </w:tcPr>
          <w:p>
            <w:pPr>
              <w:spacing w:after="20" w:before="20" w:line="252" w:lineRule="auto"/>
            </w:pPr>
            <w:r/>
            <w:r>
              <w:rPr>
                <w:rFonts w:ascii="Arial" w:hAnsi="Arial"/>
                <w:b w:val="0"/>
                <w:sz w:val="17"/>
              </w:rPr>
              <w:t>4–8, Lampiran B</w:t>
            </w:r>
          </w:p>
        </w:tc>
      </w:tr>
      <w:tr>
        <w:trPr>
          <w:cantSplit/>
        </w:trPr>
        <w:tc>
          <w:tcPr>
            <w:tcW w:type="dxa" w:w="2353"/>
            <w:vAlign w:val="center"/>
          </w:tcPr>
          <w:p>
            <w:pPr>
              <w:spacing w:after="20" w:before="20" w:line="252" w:lineRule="auto"/>
            </w:pPr>
            <w:r/>
            <w:r>
              <w:rPr>
                <w:rFonts w:ascii="Arial" w:hAnsi="Arial"/>
                <w:b/>
                <w:sz w:val="17"/>
              </w:rPr>
              <w:t>5 Data dan teknologi</w:t>
            </w:r>
          </w:p>
        </w:tc>
        <w:tc>
          <w:tcPr>
            <w:tcW w:type="dxa" w:w="5490"/>
            <w:vAlign w:val="center"/>
          </w:tcPr>
          <w:p>
            <w:pPr>
              <w:spacing w:after="20" w:before="20" w:line="252" w:lineRule="auto"/>
            </w:pPr>
            <w:r/>
            <w:r>
              <w:rPr>
                <w:rFonts w:ascii="Arial" w:hAnsi="Arial"/>
                <w:b w:val="0"/>
                <w:sz w:val="17"/>
              </w:rPr>
              <w:t>Identitas tunggal dan master data; menara kendali portofolio dan proyek; agen AI dengan tata kelola</w:t>
            </w:r>
          </w:p>
        </w:tc>
        <w:tc>
          <w:tcPr>
            <w:tcW w:type="dxa" w:w="1569"/>
            <w:vAlign w:val="center"/>
          </w:tcPr>
          <w:p>
            <w:pPr>
              <w:spacing w:after="20" w:before="20" w:line="252" w:lineRule="auto"/>
            </w:pPr>
            <w:r/>
            <w:r>
              <w:rPr>
                <w:rFonts w:ascii="Arial" w:hAnsi="Arial"/>
                <w:b w:val="0"/>
                <w:sz w:val="17"/>
              </w:rPr>
              <w:t>13, 14</w:t>
            </w:r>
          </w:p>
        </w:tc>
      </w:tr>
      <w:tr>
        <w:trPr>
          <w:cantSplit/>
        </w:trPr>
        <w:tc>
          <w:tcPr>
            <w:tcW w:type="dxa" w:w="2353"/>
            <w:shd w:val="clear" w:color="auto" w:fill="E6ECFD"/>
            <w:vAlign w:val="center"/>
          </w:tcPr>
          <w:p>
            <w:pPr>
              <w:spacing w:after="20" w:before="20" w:line="252" w:lineRule="auto"/>
            </w:pPr>
            <w:r/>
            <w:r>
              <w:rPr>
                <w:rFonts w:ascii="Arial" w:hAnsi="Arial"/>
                <w:b/>
                <w:sz w:val="17"/>
              </w:rPr>
              <w:t>6 Kinerja dan pelaporan</w:t>
            </w:r>
          </w:p>
        </w:tc>
        <w:tc>
          <w:tcPr>
            <w:tcW w:type="dxa" w:w="5490"/>
            <w:shd w:val="clear" w:color="auto" w:fill="E6ECFD"/>
            <w:vAlign w:val="center"/>
          </w:tcPr>
          <w:p>
            <w:pPr>
              <w:spacing w:after="20" w:before="20" w:line="252" w:lineRule="auto"/>
            </w:pPr>
            <w:r/>
            <w:r>
              <w:rPr>
                <w:rFonts w:ascii="Arial" w:hAnsi="Arial"/>
                <w:b w:val="0"/>
                <w:sz w:val="17"/>
              </w:rPr>
              <w:t>Tiga scorecard, 15 KPI, irama pelaporan, kelas bukti, lima tahap modal</w:t>
            </w:r>
          </w:p>
        </w:tc>
        <w:tc>
          <w:tcPr>
            <w:tcW w:type="dxa" w:w="1569"/>
            <w:shd w:val="clear" w:color="auto" w:fill="E6ECFD"/>
            <w:vAlign w:val="center"/>
          </w:tcPr>
          <w:p>
            <w:pPr>
              <w:spacing w:after="20" w:before="20" w:line="252" w:lineRule="auto"/>
            </w:pPr>
            <w:r/>
            <w:r>
              <w:rPr>
                <w:rFonts w:ascii="Arial" w:hAnsi="Arial"/>
                <w:b w:val="0"/>
                <w:sz w:val="17"/>
              </w:rPr>
              <w:t>10, 13</w:t>
            </w:r>
          </w:p>
        </w:tc>
      </w:tr>
      <w:tr>
        <w:trPr>
          <w:cantSplit/>
        </w:trPr>
        <w:tc>
          <w:tcPr>
            <w:tcW w:type="dxa" w:w="2353"/>
            <w:vAlign w:val="center"/>
          </w:tcPr>
          <w:p>
            <w:pPr>
              <w:spacing w:after="20" w:before="20" w:line="252" w:lineRule="auto"/>
            </w:pPr>
            <w:r/>
            <w:r>
              <w:rPr>
                <w:rFonts w:ascii="Arial" w:hAnsi="Arial"/>
                <w:b/>
                <w:sz w:val="17"/>
              </w:rPr>
              <w:t>7 Kapabilitas dan budaya</w:t>
            </w:r>
          </w:p>
        </w:tc>
        <w:tc>
          <w:tcPr>
            <w:tcW w:type="dxa" w:w="5490"/>
            <w:vAlign w:val="center"/>
          </w:tcPr>
          <w:p>
            <w:pPr>
              <w:spacing w:after="20" w:before="20" w:line="252" w:lineRule="auto"/>
            </w:pPr>
            <w:r/>
            <w:r>
              <w:rPr>
                <w:rFonts w:ascii="Arial" w:hAnsi="Arial"/>
                <w:b w:val="0"/>
                <w:sz w:val="17"/>
              </w:rPr>
              <w:t>Kompetensi, pelatihan, insentif, manajemen perubahan</w:t>
            </w:r>
          </w:p>
        </w:tc>
        <w:tc>
          <w:tcPr>
            <w:tcW w:type="dxa" w:w="1569"/>
            <w:vAlign w:val="center"/>
          </w:tcPr>
          <w:p>
            <w:pPr>
              <w:spacing w:after="20" w:before="20" w:line="252" w:lineRule="auto"/>
            </w:pPr>
            <w:r/>
            <w:r>
              <w:rPr>
                <w:rFonts w:ascii="Arial" w:hAnsi="Arial"/>
                <w:b w:val="0"/>
                <w:sz w:val="17"/>
              </w:rPr>
              <w:t>10</w:t>
            </w:r>
          </w:p>
        </w:tc>
      </w:tr>
    </w:tbl>
    <w:p>
      <w:pPr>
        <w:spacing w:after="40"/>
      </w:pPr>
    </w:p>
    <w:p>
      <w:pPr>
        <w:pStyle w:val="Heading2"/>
      </w:pPr>
      <w:r>
        <w:t>17.3  Proses dan gerbang terpadu</w:t>
      </w:r>
    </w:p>
    <w:p>
      <w:pPr>
        <w:jc w:val="both"/>
      </w:pPr>
      <w:r>
        <w:rPr>
          <w:rFonts w:ascii="Arial" w:hAnsi="Arial"/>
          <w:b w:val="0"/>
        </w:rPr>
        <w:t>Tiga sistem gerbang yang ada pada dokumen sumber, yaitu gerbang proyek P0–P6, gerbang industri M0–M9, dan gerbang pemasok S1–S4 (G1–G4 pada dokumen DOCK-UP), berjalan pada porosnya masing-masing. DPMS memadukannya menjadi satu lintasan dengan artefak wajib dan pengendalian yang tetap pada setiap gerbang.</w:t>
      </w:r>
    </w:p>
    <w:p>
      <w:pPr>
        <w:keepNext/>
        <w:spacing w:after="60"/>
      </w:pPr>
      <w:r>
        <w:rPr>
          <w:rFonts w:ascii="Arial" w:hAnsi="Arial"/>
          <w:b/>
          <w:color w:val="051C5C"/>
          <w:sz w:val="19"/>
        </w:rPr>
        <w:t xml:space="preserve">Tabel 50: </w:t>
      </w:r>
      <w:r>
        <w:rPr>
          <w:rFonts w:ascii="Arial" w:hAnsi="Arial"/>
          <w:color w:val="051C5C"/>
          <w:sz w:val="19"/>
        </w:rPr>
        <w:t>Lintasan gerbang terpadu, artefak wajib, dan pengendalian</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1882"/>
        <w:gridCol w:w="1882"/>
        <w:gridCol w:w="1882"/>
        <w:gridCol w:w="1882"/>
        <w:gridCol w:w="1882"/>
      </w:tblGrid>
      <w:tr>
        <w:trPr>
          <w:cantSplit/>
          <w:tblHeader/>
        </w:trPr>
        <w:tc>
          <w:tcPr>
            <w:tcW w:type="dxa" w:w="1295"/>
            <w:shd w:val="clear" w:color="auto" w:fill="2251FF"/>
            <w:vAlign w:val="center"/>
          </w:tcPr>
          <w:p>
            <w:pPr>
              <w:spacing w:after="20" w:before="20" w:line="252" w:lineRule="auto"/>
            </w:pPr>
            <w:r/>
            <w:r>
              <w:rPr>
                <w:rFonts w:ascii="Arial" w:hAnsi="Arial"/>
                <w:b/>
                <w:color w:val="FFFFFF"/>
                <w:sz w:val="15"/>
              </w:rPr>
              <w:t>Gerbang</w:t>
            </w:r>
          </w:p>
        </w:tc>
        <w:tc>
          <w:tcPr>
            <w:tcW w:type="dxa" w:w="1295"/>
            <w:shd w:val="clear" w:color="auto" w:fill="2251FF"/>
            <w:vAlign w:val="center"/>
          </w:tcPr>
          <w:p>
            <w:pPr>
              <w:spacing w:after="20" w:before="20" w:line="252" w:lineRule="auto"/>
            </w:pPr>
            <w:r/>
            <w:r>
              <w:rPr>
                <w:rFonts w:ascii="Arial" w:hAnsi="Arial"/>
                <w:b/>
                <w:color w:val="FFFFFF"/>
                <w:sz w:val="15"/>
              </w:rPr>
              <w:t>Keputusan</w:t>
            </w:r>
          </w:p>
        </w:tc>
        <w:tc>
          <w:tcPr>
            <w:tcW w:type="dxa" w:w="2849"/>
            <w:shd w:val="clear" w:color="auto" w:fill="2251FF"/>
            <w:vAlign w:val="center"/>
          </w:tcPr>
          <w:p>
            <w:pPr>
              <w:spacing w:after="20" w:before="20" w:line="252" w:lineRule="auto"/>
            </w:pPr>
            <w:r/>
            <w:r>
              <w:rPr>
                <w:rFonts w:ascii="Arial" w:hAnsi="Arial"/>
                <w:b/>
                <w:color w:val="FFFFFF"/>
                <w:sz w:val="15"/>
              </w:rPr>
              <w:t>Artefak wajib</w:t>
            </w:r>
          </w:p>
        </w:tc>
        <w:tc>
          <w:tcPr>
            <w:tcW w:type="dxa" w:w="2590"/>
            <w:shd w:val="clear" w:color="auto" w:fill="2251FF"/>
            <w:vAlign w:val="center"/>
          </w:tcPr>
          <w:p>
            <w:pPr>
              <w:spacing w:after="20" w:before="20" w:line="252" w:lineRule="auto"/>
            </w:pPr>
            <w:r/>
            <w:r>
              <w:rPr>
                <w:rFonts w:ascii="Arial" w:hAnsi="Arial"/>
                <w:b/>
                <w:color w:val="FFFFFF"/>
                <w:sz w:val="15"/>
              </w:rPr>
              <w:t>Pengendalian inti</w:t>
            </w:r>
          </w:p>
        </w:tc>
        <w:tc>
          <w:tcPr>
            <w:tcW w:type="dxa" w:w="1381"/>
            <w:shd w:val="clear" w:color="auto" w:fill="2251FF"/>
            <w:vAlign w:val="center"/>
          </w:tcPr>
          <w:p>
            <w:pPr>
              <w:spacing w:after="20" w:before="20" w:line="252" w:lineRule="auto"/>
            </w:pPr>
            <w:r/>
            <w:r>
              <w:rPr>
                <w:rFonts w:ascii="Arial" w:hAnsi="Arial"/>
                <w:b/>
                <w:color w:val="FFFFFF"/>
                <w:sz w:val="15"/>
              </w:rPr>
              <w:t>Pemilik keluaran</w:t>
            </w:r>
          </w:p>
        </w:tc>
      </w:tr>
      <w:tr>
        <w:trPr>
          <w:cantSplit/>
        </w:trPr>
        <w:tc>
          <w:tcPr>
            <w:tcW w:type="dxa" w:w="1295"/>
            <w:vAlign w:val="center"/>
          </w:tcPr>
          <w:p>
            <w:pPr>
              <w:spacing w:after="20" w:before="20" w:line="252" w:lineRule="auto"/>
            </w:pPr>
            <w:r/>
            <w:r>
              <w:rPr>
                <w:rFonts w:ascii="Arial" w:hAnsi="Arial"/>
                <w:b/>
                <w:sz w:val="15"/>
              </w:rPr>
              <w:t>P0 / M0</w:t>
            </w:r>
          </w:p>
        </w:tc>
        <w:tc>
          <w:tcPr>
            <w:tcW w:type="dxa" w:w="1295"/>
            <w:vAlign w:val="center"/>
          </w:tcPr>
          <w:p>
            <w:pPr>
              <w:spacing w:after="20" w:before="20" w:line="252" w:lineRule="auto"/>
            </w:pPr>
            <w:r/>
            <w:r>
              <w:rPr>
                <w:rFonts w:ascii="Arial" w:hAnsi="Arial"/>
                <w:b w:val="0"/>
                <w:sz w:val="15"/>
              </w:rPr>
              <w:t>Validasi mandat</w:t>
            </w:r>
          </w:p>
        </w:tc>
        <w:tc>
          <w:tcPr>
            <w:tcW w:type="dxa" w:w="2849"/>
            <w:vAlign w:val="center"/>
          </w:tcPr>
          <w:p>
            <w:pPr>
              <w:spacing w:after="20" w:before="20" w:line="252" w:lineRule="auto"/>
            </w:pPr>
            <w:r/>
            <w:r>
              <w:rPr>
                <w:rFonts w:ascii="Arial" w:hAnsi="Arial"/>
                <w:b w:val="0"/>
                <w:sz w:val="15"/>
              </w:rPr>
              <w:t>Entri register; piagam awal; sponsor, project director, organ sah</w:t>
            </w:r>
          </w:p>
        </w:tc>
        <w:tc>
          <w:tcPr>
            <w:tcW w:type="dxa" w:w="2590"/>
            <w:vAlign w:val="center"/>
          </w:tcPr>
          <w:p>
            <w:pPr>
              <w:spacing w:after="20" w:before="20" w:line="252" w:lineRule="auto"/>
            </w:pPr>
            <w:r/>
            <w:r>
              <w:rPr>
                <w:rFonts w:ascii="Arial" w:hAnsi="Arial"/>
                <w:b w:val="0"/>
                <w:sz w:val="15"/>
              </w:rPr>
              <w:t>Identitas tunggal; batas lingkup; jalur keputusan</w:t>
            </w:r>
          </w:p>
        </w:tc>
        <w:tc>
          <w:tcPr>
            <w:tcW w:type="dxa" w:w="1381"/>
            <w:vAlign w:val="center"/>
          </w:tcPr>
          <w:p>
            <w:pPr>
              <w:spacing w:after="20" w:before="20" w:line="252" w:lineRule="auto"/>
            </w:pPr>
            <w:r/>
            <w:r>
              <w:rPr>
                <w:rFonts w:ascii="Arial" w:hAnsi="Arial"/>
                <w:b w:val="0"/>
                <w:sz w:val="15"/>
              </w:rPr>
              <w:t>MD Portofolio; sponsor</w:t>
            </w:r>
          </w:p>
        </w:tc>
      </w:tr>
      <w:tr>
        <w:trPr>
          <w:cantSplit/>
        </w:trPr>
        <w:tc>
          <w:tcPr>
            <w:tcW w:type="dxa" w:w="1295"/>
            <w:shd w:val="clear" w:color="auto" w:fill="E6ECFD"/>
            <w:vAlign w:val="center"/>
          </w:tcPr>
          <w:p>
            <w:pPr>
              <w:spacing w:after="20" w:before="20" w:line="252" w:lineRule="auto"/>
            </w:pPr>
            <w:r/>
            <w:r>
              <w:rPr>
                <w:rFonts w:ascii="Arial" w:hAnsi="Arial"/>
                <w:b/>
                <w:sz w:val="15"/>
              </w:rPr>
              <w:t>P1 / M1</w:t>
            </w:r>
          </w:p>
        </w:tc>
        <w:tc>
          <w:tcPr>
            <w:tcW w:type="dxa" w:w="1295"/>
            <w:shd w:val="clear" w:color="auto" w:fill="E6ECFD"/>
            <w:vAlign w:val="center"/>
          </w:tcPr>
          <w:p>
            <w:pPr>
              <w:spacing w:after="20" w:before="20" w:line="252" w:lineRule="auto"/>
            </w:pPr>
            <w:r/>
            <w:r>
              <w:rPr>
                <w:rFonts w:ascii="Arial" w:hAnsi="Arial"/>
                <w:b w:val="0"/>
                <w:sz w:val="15"/>
              </w:rPr>
              <w:t>Prioritas dan opsi</w:t>
            </w:r>
          </w:p>
        </w:tc>
        <w:tc>
          <w:tcPr>
            <w:tcW w:type="dxa" w:w="2849"/>
            <w:shd w:val="clear" w:color="auto" w:fill="E6ECFD"/>
            <w:vAlign w:val="center"/>
          </w:tcPr>
          <w:p>
            <w:pPr>
              <w:spacing w:after="20" w:before="20" w:line="252" w:lineRule="auto"/>
            </w:pPr>
            <w:r/>
            <w:r>
              <w:rPr>
                <w:rFonts w:ascii="Arial" w:hAnsi="Arial"/>
                <w:b w:val="0"/>
                <w:sz w:val="15"/>
              </w:rPr>
              <w:t>Dua kasus (finansial dan nasional); opsi termasuk tidak membangun; rencana lokalisasi awal; estimasi kelas 5</w:t>
            </w:r>
          </w:p>
        </w:tc>
        <w:tc>
          <w:tcPr>
            <w:tcW w:type="dxa" w:w="2590"/>
            <w:shd w:val="clear" w:color="auto" w:fill="E6ECFD"/>
            <w:vAlign w:val="center"/>
          </w:tcPr>
          <w:p>
            <w:pPr>
              <w:spacing w:after="20" w:before="20" w:line="252" w:lineRule="auto"/>
            </w:pPr>
            <w:r/>
            <w:r>
              <w:rPr>
                <w:rFonts w:ascii="Arial" w:hAnsi="Arial"/>
                <w:b w:val="0"/>
                <w:sz w:val="15"/>
              </w:rPr>
              <w:t>Uji adisionalitas; opini risiko independen</w:t>
            </w:r>
          </w:p>
        </w:tc>
        <w:tc>
          <w:tcPr>
            <w:tcW w:type="dxa" w:w="1381"/>
            <w:shd w:val="clear" w:color="auto" w:fill="E6ECFD"/>
            <w:vAlign w:val="center"/>
          </w:tcPr>
          <w:p>
            <w:pPr>
              <w:spacing w:after="20" w:before="20" w:line="252" w:lineRule="auto"/>
            </w:pPr>
            <w:r/>
            <w:r>
              <w:rPr>
                <w:rFonts w:ascii="Arial" w:hAnsi="Arial"/>
                <w:b w:val="0"/>
                <w:sz w:val="15"/>
              </w:rPr>
              <w:t>MD Pengembangan Industri; sponsor</w:t>
            </w:r>
          </w:p>
        </w:tc>
      </w:tr>
      <w:tr>
        <w:trPr>
          <w:cantSplit/>
        </w:trPr>
        <w:tc>
          <w:tcPr>
            <w:tcW w:type="dxa" w:w="1295"/>
            <w:vAlign w:val="center"/>
          </w:tcPr>
          <w:p>
            <w:pPr>
              <w:spacing w:after="20" w:before="20" w:line="252" w:lineRule="auto"/>
            </w:pPr>
            <w:r/>
            <w:r>
              <w:rPr>
                <w:rFonts w:ascii="Arial" w:hAnsi="Arial"/>
                <w:b/>
                <w:sz w:val="15"/>
              </w:rPr>
              <w:t>P2 / M2–M3; S Masuk–S1</w:t>
            </w:r>
          </w:p>
        </w:tc>
        <w:tc>
          <w:tcPr>
            <w:tcW w:type="dxa" w:w="1295"/>
            <w:vAlign w:val="center"/>
          </w:tcPr>
          <w:p>
            <w:pPr>
              <w:spacing w:after="20" w:before="20" w:line="252" w:lineRule="auto"/>
            </w:pPr>
            <w:r/>
            <w:r>
              <w:rPr>
                <w:rFonts w:ascii="Arial" w:hAnsi="Arial"/>
                <w:b w:val="0"/>
                <w:sz w:val="15"/>
              </w:rPr>
              <w:t>Kesiapan investasi</w:t>
            </w:r>
          </w:p>
        </w:tc>
        <w:tc>
          <w:tcPr>
            <w:tcW w:type="dxa" w:w="2849"/>
            <w:vAlign w:val="center"/>
          </w:tcPr>
          <w:p>
            <w:pPr>
              <w:spacing w:after="20" w:before="20" w:line="252" w:lineRule="auto"/>
            </w:pPr>
            <w:r/>
            <w:r>
              <w:rPr>
                <w:rFonts w:ascii="Arial" w:hAnsi="Arial"/>
                <w:b w:val="0"/>
                <w:sz w:val="15"/>
              </w:rPr>
              <w:t>Studi teknis; estimasi kelas 4–3 dengan basis; jadwal induk; register risiko dan kontingensi; peta pemasok; rencana lokalisasi; term sheet</w:t>
            </w:r>
          </w:p>
        </w:tc>
        <w:tc>
          <w:tcPr>
            <w:tcW w:type="dxa" w:w="2590"/>
            <w:vAlign w:val="center"/>
          </w:tcPr>
          <w:p>
            <w:pPr>
              <w:spacing w:after="20" w:before="20" w:line="252" w:lineRule="auto"/>
            </w:pPr>
            <w:r/>
            <w:r>
              <w:rPr>
                <w:rFonts w:ascii="Arial" w:hAnsi="Arial"/>
                <w:b w:val="0"/>
                <w:sz w:val="15"/>
              </w:rPr>
              <w:t>PDRI/FEL; kajian teknologi independen (CTO); uji kasus bisnis; gerbang pemasok S1 dipetakan</w:t>
            </w:r>
          </w:p>
        </w:tc>
        <w:tc>
          <w:tcPr>
            <w:tcW w:type="dxa" w:w="1381"/>
            <w:vAlign w:val="center"/>
          </w:tcPr>
          <w:p>
            <w:pPr>
              <w:spacing w:after="20" w:before="20" w:line="252" w:lineRule="auto"/>
            </w:pPr>
            <w:r/>
            <w:r>
              <w:rPr>
                <w:rFonts w:ascii="Arial" w:hAnsi="Arial"/>
                <w:b w:val="0"/>
                <w:sz w:val="15"/>
              </w:rPr>
              <w:t>Sponsor; fungsi teknis, risiko, hukum</w:t>
            </w:r>
          </w:p>
        </w:tc>
      </w:tr>
      <w:tr>
        <w:trPr>
          <w:cantSplit/>
        </w:trPr>
        <w:tc>
          <w:tcPr>
            <w:tcW w:type="dxa" w:w="1295"/>
            <w:shd w:val="clear" w:color="auto" w:fill="E6ECFD"/>
            <w:vAlign w:val="center"/>
          </w:tcPr>
          <w:p>
            <w:pPr>
              <w:spacing w:after="20" w:before="20" w:line="252" w:lineRule="auto"/>
            </w:pPr>
            <w:r/>
            <w:r>
              <w:rPr>
                <w:rFonts w:ascii="Arial" w:hAnsi="Arial"/>
                <w:b/>
                <w:sz w:val="15"/>
              </w:rPr>
              <w:t>P3 / M4</w:t>
            </w:r>
          </w:p>
        </w:tc>
        <w:tc>
          <w:tcPr>
            <w:tcW w:type="dxa" w:w="1295"/>
            <w:shd w:val="clear" w:color="auto" w:fill="E6ECFD"/>
            <w:vAlign w:val="center"/>
          </w:tcPr>
          <w:p>
            <w:pPr>
              <w:spacing w:after="20" w:before="20" w:line="252" w:lineRule="auto"/>
            </w:pPr>
            <w:r/>
            <w:r>
              <w:rPr>
                <w:rFonts w:ascii="Arial" w:hAnsi="Arial"/>
                <w:b w:val="0"/>
                <w:sz w:val="15"/>
              </w:rPr>
              <w:t>Keputusan modal</w:t>
            </w:r>
          </w:p>
        </w:tc>
        <w:tc>
          <w:tcPr>
            <w:tcW w:type="dxa" w:w="2849"/>
            <w:shd w:val="clear" w:color="auto" w:fill="E6ECFD"/>
            <w:vAlign w:val="center"/>
          </w:tcPr>
          <w:p>
            <w:pPr>
              <w:spacing w:after="20" w:before="20" w:line="252" w:lineRule="auto"/>
            </w:pPr>
            <w:r/>
            <w:r>
              <w:rPr>
                <w:rFonts w:ascii="Arial" w:hAnsi="Arial"/>
                <w:b w:val="0"/>
                <w:sz w:val="15"/>
              </w:rPr>
              <w:t>Rekomendasi komite; perbedaan pendapat; benturan; syarat investasi dan kontrak; kontrak payung dan paket ofset dalam kontrak</w:t>
            </w:r>
          </w:p>
        </w:tc>
        <w:tc>
          <w:tcPr>
            <w:tcW w:type="dxa" w:w="2590"/>
            <w:shd w:val="clear" w:color="auto" w:fill="E6ECFD"/>
            <w:vAlign w:val="center"/>
          </w:tcPr>
          <w:p>
            <w:pPr>
              <w:spacing w:after="20" w:before="20" w:line="252" w:lineRule="auto"/>
            </w:pPr>
            <w:r/>
            <w:r>
              <w:rPr>
                <w:rFonts w:ascii="Arial" w:hAnsi="Arial"/>
                <w:b w:val="0"/>
                <w:sz w:val="15"/>
              </w:rPr>
              <w:t>Persetujuan yang dicadangkan; tanda tangan dipisah dari persetujuan bisnis</w:t>
            </w:r>
          </w:p>
        </w:tc>
        <w:tc>
          <w:tcPr>
            <w:tcW w:type="dxa" w:w="1381"/>
            <w:shd w:val="clear" w:color="auto" w:fill="E6ECFD"/>
            <w:vAlign w:val="center"/>
          </w:tcPr>
          <w:p>
            <w:pPr>
              <w:spacing w:after="20" w:before="20" w:line="252" w:lineRule="auto"/>
            </w:pPr>
            <w:r/>
            <w:r>
              <w:rPr>
                <w:rFonts w:ascii="Arial" w:hAnsi="Arial"/>
                <w:b w:val="0"/>
                <w:sz w:val="15"/>
              </w:rPr>
              <w:t>Kepala (Badan); organ perusahaan (perusahaan)</w:t>
            </w:r>
          </w:p>
        </w:tc>
      </w:tr>
      <w:tr>
        <w:trPr>
          <w:cantSplit/>
        </w:trPr>
        <w:tc>
          <w:tcPr>
            <w:tcW w:type="dxa" w:w="1295"/>
            <w:vAlign w:val="center"/>
          </w:tcPr>
          <w:p>
            <w:pPr>
              <w:spacing w:after="20" w:before="20" w:line="252" w:lineRule="auto"/>
            </w:pPr>
            <w:r/>
            <w:r>
              <w:rPr>
                <w:rFonts w:ascii="Arial" w:hAnsi="Arial"/>
                <w:b/>
                <w:sz w:val="15"/>
              </w:rPr>
              <w:t>P4 / M4–M5; S1–S3</w:t>
            </w:r>
          </w:p>
        </w:tc>
        <w:tc>
          <w:tcPr>
            <w:tcW w:type="dxa" w:w="1295"/>
            <w:vAlign w:val="center"/>
          </w:tcPr>
          <w:p>
            <w:pPr>
              <w:spacing w:after="20" w:before="20" w:line="252" w:lineRule="auto"/>
            </w:pPr>
            <w:r/>
            <w:r>
              <w:rPr>
                <w:rFonts w:ascii="Arial" w:hAnsi="Arial"/>
                <w:b w:val="0"/>
                <w:sz w:val="15"/>
              </w:rPr>
              <w:t>Financial close dan konstruksi</w:t>
            </w:r>
          </w:p>
        </w:tc>
        <w:tc>
          <w:tcPr>
            <w:tcW w:type="dxa" w:w="2849"/>
            <w:vAlign w:val="center"/>
          </w:tcPr>
          <w:p>
            <w:pPr>
              <w:spacing w:after="20" w:before="20" w:line="252" w:lineRule="auto"/>
            </w:pPr>
            <w:r/>
            <w:r>
              <w:rPr>
                <w:rFonts w:ascii="Arial" w:hAnsi="Arial"/>
                <w:b w:val="0"/>
                <w:sz w:val="15"/>
              </w:rPr>
              <w:t>Syarat pendahuluan; baseline lingkup, biaya (OCB), dan jadwal dibekukan; rencana pengendalian perubahan; rencana mutu; rencana K3</w:t>
            </w:r>
          </w:p>
        </w:tc>
        <w:tc>
          <w:tcPr>
            <w:tcW w:type="dxa" w:w="2590"/>
            <w:vAlign w:val="center"/>
          </w:tcPr>
          <w:p>
            <w:pPr>
              <w:spacing w:after="20" w:before="20" w:line="252" w:lineRule="auto"/>
            </w:pPr>
            <w:r/>
            <w:r>
              <w:rPr>
                <w:rFonts w:ascii="Arial" w:hAnsi="Arial"/>
                <w:b w:val="0"/>
                <w:sz w:val="15"/>
              </w:rPr>
              <w:t>Rantai biaya; tiga pemeriksaan PR; pencocokan tiga arah; EVM; kontrol perubahan; pelepasan pesanan per gerbang S</w:t>
            </w:r>
          </w:p>
        </w:tc>
        <w:tc>
          <w:tcPr>
            <w:tcW w:type="dxa" w:w="1381"/>
            <w:vAlign w:val="center"/>
          </w:tcPr>
          <w:p>
            <w:pPr>
              <w:spacing w:after="20" w:before="20" w:line="252" w:lineRule="auto"/>
            </w:pPr>
            <w:r/>
            <w:r>
              <w:rPr>
                <w:rFonts w:ascii="Arial" w:hAnsi="Arial"/>
                <w:b w:val="0"/>
                <w:sz w:val="15"/>
              </w:rPr>
              <w:t>Organ perusahaan pelaksana; project director</w:t>
            </w:r>
          </w:p>
        </w:tc>
      </w:tr>
      <w:tr>
        <w:trPr>
          <w:cantSplit/>
        </w:trPr>
        <w:tc>
          <w:tcPr>
            <w:tcW w:type="dxa" w:w="1295"/>
            <w:shd w:val="clear" w:color="auto" w:fill="E6ECFD"/>
            <w:vAlign w:val="center"/>
          </w:tcPr>
          <w:p>
            <w:pPr>
              <w:spacing w:after="20" w:before="20" w:line="252" w:lineRule="auto"/>
            </w:pPr>
            <w:r/>
            <w:r>
              <w:rPr>
                <w:rFonts w:ascii="Arial" w:hAnsi="Arial"/>
                <w:b/>
                <w:sz w:val="15"/>
              </w:rPr>
              <w:t>P5 / M6–M8</w:t>
            </w:r>
          </w:p>
        </w:tc>
        <w:tc>
          <w:tcPr>
            <w:tcW w:type="dxa" w:w="1295"/>
            <w:shd w:val="clear" w:color="auto" w:fill="E6ECFD"/>
            <w:vAlign w:val="center"/>
          </w:tcPr>
          <w:p>
            <w:pPr>
              <w:spacing w:after="20" w:before="20" w:line="252" w:lineRule="auto"/>
            </w:pPr>
            <w:r/>
            <w:r>
              <w:rPr>
                <w:rFonts w:ascii="Arial" w:hAnsi="Arial"/>
                <w:b w:val="0"/>
                <w:sz w:val="15"/>
              </w:rPr>
              <w:t>Komisioning dan operasi</w:t>
            </w:r>
          </w:p>
        </w:tc>
        <w:tc>
          <w:tcPr>
            <w:tcW w:type="dxa" w:w="2849"/>
            <w:shd w:val="clear" w:color="auto" w:fill="E6ECFD"/>
            <w:vAlign w:val="center"/>
          </w:tcPr>
          <w:p>
            <w:pPr>
              <w:spacing w:after="20" w:before="20" w:line="252" w:lineRule="auto"/>
            </w:pPr>
            <w:r/>
            <w:r>
              <w:rPr>
                <w:rFonts w:ascii="Arial" w:hAnsi="Arial"/>
                <w:b w:val="0"/>
                <w:sz w:val="15"/>
              </w:rPr>
              <w:t>Dossier penyelesaian; hasil uji kinerja; penerimaan aset; sertifikasi; kesiapan operasi</w:t>
            </w:r>
          </w:p>
        </w:tc>
        <w:tc>
          <w:tcPr>
            <w:tcW w:type="dxa" w:w="2590"/>
            <w:shd w:val="clear" w:color="auto" w:fill="E6ECFD"/>
            <w:vAlign w:val="center"/>
          </w:tcPr>
          <w:p>
            <w:pPr>
              <w:spacing w:after="20" w:before="20" w:line="252" w:lineRule="auto"/>
            </w:pPr>
            <w:r/>
            <w:r>
              <w:rPr>
                <w:rFonts w:ascii="Arial" w:hAnsi="Arial"/>
                <w:b w:val="0"/>
                <w:sz w:val="15"/>
              </w:rPr>
              <w:t>Kriteria penerimaan; tidak ada cacat keselamatan kritis; independensi surveyor</w:t>
            </w:r>
          </w:p>
        </w:tc>
        <w:tc>
          <w:tcPr>
            <w:tcW w:type="dxa" w:w="1381"/>
            <w:shd w:val="clear" w:color="auto" w:fill="E6ECFD"/>
            <w:vAlign w:val="center"/>
          </w:tcPr>
          <w:p>
            <w:pPr>
              <w:spacing w:after="20" w:before="20" w:line="252" w:lineRule="auto"/>
            </w:pPr>
            <w:r/>
            <w:r>
              <w:rPr>
                <w:rFonts w:ascii="Arial" w:hAnsi="Arial"/>
                <w:b w:val="0"/>
                <w:sz w:val="15"/>
              </w:rPr>
              <w:t>Perusahaan pelaksana; operator</w:t>
            </w:r>
          </w:p>
        </w:tc>
      </w:tr>
      <w:tr>
        <w:trPr>
          <w:cantSplit/>
        </w:trPr>
        <w:tc>
          <w:tcPr>
            <w:tcW w:type="dxa" w:w="1295"/>
            <w:vAlign w:val="center"/>
          </w:tcPr>
          <w:p>
            <w:pPr>
              <w:spacing w:after="20" w:before="20" w:line="252" w:lineRule="auto"/>
            </w:pPr>
            <w:r/>
            <w:r>
              <w:rPr>
                <w:rFonts w:ascii="Arial" w:hAnsi="Arial"/>
                <w:b/>
                <w:sz w:val="15"/>
              </w:rPr>
              <w:t>P6 / M9; S4</w:t>
            </w:r>
          </w:p>
        </w:tc>
        <w:tc>
          <w:tcPr>
            <w:tcW w:type="dxa" w:w="1295"/>
            <w:vAlign w:val="center"/>
          </w:tcPr>
          <w:p>
            <w:pPr>
              <w:spacing w:after="20" w:before="20" w:line="252" w:lineRule="auto"/>
            </w:pPr>
            <w:r/>
            <w:r>
              <w:rPr>
                <w:rFonts w:ascii="Arial" w:hAnsi="Arial"/>
                <w:b w:val="0"/>
                <w:sz w:val="15"/>
              </w:rPr>
              <w:t>Evaluasi hasil</w:t>
            </w:r>
          </w:p>
        </w:tc>
        <w:tc>
          <w:tcPr>
            <w:tcW w:type="dxa" w:w="2849"/>
            <w:vAlign w:val="center"/>
          </w:tcPr>
          <w:p>
            <w:pPr>
              <w:spacing w:after="20" w:before="20" w:line="252" w:lineRule="auto"/>
            </w:pPr>
            <w:r/>
            <w:r>
              <w:rPr>
                <w:rFonts w:ascii="Arial" w:hAnsi="Arial"/>
                <w:b w:val="0"/>
                <w:sz w:val="15"/>
              </w:rPr>
              <w:t>Biaya akhir; manfaat aktual; kapasitas; teknologi; emisi; pelajaran</w:t>
            </w:r>
          </w:p>
        </w:tc>
        <w:tc>
          <w:tcPr>
            <w:tcW w:type="dxa" w:w="2590"/>
            <w:vAlign w:val="center"/>
          </w:tcPr>
          <w:p>
            <w:pPr>
              <w:spacing w:after="20" w:before="20" w:line="252" w:lineRule="auto"/>
            </w:pPr>
            <w:r/>
            <w:r>
              <w:rPr>
                <w:rFonts w:ascii="Arial" w:hAnsi="Arial"/>
                <w:b w:val="0"/>
                <w:sz w:val="15"/>
              </w:rPr>
              <w:t>Perbandingan terhadap baseline dan kasus bisnis; tindakan korektif atau keluar; umpan balik ke basis estimasi</w:t>
            </w:r>
          </w:p>
        </w:tc>
        <w:tc>
          <w:tcPr>
            <w:tcW w:type="dxa" w:w="1381"/>
            <w:vAlign w:val="center"/>
          </w:tcPr>
          <w:p>
            <w:pPr>
              <w:spacing w:after="20" w:before="20" w:line="252" w:lineRule="auto"/>
            </w:pPr>
            <w:r/>
            <w:r>
              <w:rPr>
                <w:rFonts w:ascii="Arial" w:hAnsi="Arial"/>
                <w:b w:val="0"/>
                <w:sz w:val="15"/>
              </w:rPr>
              <w:t>Sponsor; MD Portofolio; audit memberi jaminan</w:t>
            </w:r>
          </w:p>
        </w:tc>
      </w:tr>
    </w:tbl>
    <w:p>
      <w:pPr>
        <w:spacing w:after="160"/>
      </w:pPr>
      <w:r>
        <w:rPr>
          <w:rFonts w:ascii="Arial" w:hAnsi="Arial"/>
          <w:b w:val="0"/>
          <w:i/>
          <w:color w:val="051C5C"/>
          <w:sz w:val="17"/>
        </w:rPr>
        <w:t>Sumber: sintesis penulis dari [EVAL, Bagian 11; K, Bab 7.4–7.7; VERO, Milestones; DOCK, hlm. 6; EPC] dan Bab 3–9.</w:t>
      </w:r>
    </w:p>
    <w:p>
      <w:pPr>
        <w:pStyle w:val="Heading2"/>
      </w:pPr>
      <w:r>
        <w:t>17.4  Peran dan tanggung jawab inti</w:t>
      </w:r>
    </w:p>
    <w:p>
      <w:pPr>
        <w:keepNext/>
        <w:spacing w:after="60"/>
      </w:pPr>
      <w:r>
        <w:rPr>
          <w:rFonts w:ascii="Arial" w:hAnsi="Arial"/>
          <w:b/>
          <w:color w:val="051C5C"/>
          <w:sz w:val="19"/>
        </w:rPr>
        <w:t xml:space="preserve">Tabel 51: </w:t>
      </w:r>
      <w:r>
        <w:rPr>
          <w:rFonts w:ascii="Arial" w:hAnsi="Arial"/>
          <w:color w:val="051C5C"/>
          <w:sz w:val="19"/>
        </w:rPr>
        <w:t>Peran DPMS</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2549"/>
            <w:shd w:val="clear" w:color="auto" w:fill="2251FF"/>
            <w:vAlign w:val="center"/>
          </w:tcPr>
          <w:p>
            <w:pPr>
              <w:spacing w:after="20" w:before="20" w:line="252" w:lineRule="auto"/>
            </w:pPr>
            <w:r/>
            <w:r>
              <w:rPr>
                <w:rFonts w:ascii="Arial" w:hAnsi="Arial"/>
                <w:b/>
                <w:color w:val="FFFFFF"/>
                <w:sz w:val="16"/>
              </w:rPr>
              <w:t>Peran</w:t>
            </w:r>
          </w:p>
        </w:tc>
        <w:tc>
          <w:tcPr>
            <w:tcW w:type="dxa" w:w="4313"/>
            <w:shd w:val="clear" w:color="auto" w:fill="2251FF"/>
            <w:vAlign w:val="center"/>
          </w:tcPr>
          <w:p>
            <w:pPr>
              <w:spacing w:after="20" w:before="20" w:line="252" w:lineRule="auto"/>
            </w:pPr>
            <w:r/>
            <w:r>
              <w:rPr>
                <w:rFonts w:ascii="Arial" w:hAnsi="Arial"/>
                <w:b/>
                <w:color w:val="FFFFFF"/>
                <w:sz w:val="16"/>
              </w:rPr>
              <w:t>Tanggung jawab utama</w:t>
            </w:r>
          </w:p>
        </w:tc>
        <w:tc>
          <w:tcPr>
            <w:tcW w:type="dxa" w:w="2549"/>
            <w:shd w:val="clear" w:color="auto" w:fill="2251FF"/>
            <w:vAlign w:val="center"/>
          </w:tcPr>
          <w:p>
            <w:pPr>
              <w:spacing w:after="20" w:before="20" w:line="252" w:lineRule="auto"/>
            </w:pPr>
            <w:r/>
            <w:r>
              <w:rPr>
                <w:rFonts w:ascii="Arial" w:hAnsi="Arial"/>
                <w:b/>
                <w:color w:val="FFFFFF"/>
                <w:sz w:val="16"/>
              </w:rPr>
              <w:t>Catatan</w:t>
            </w:r>
          </w:p>
        </w:tc>
      </w:tr>
      <w:tr>
        <w:trPr>
          <w:cantSplit/>
        </w:trPr>
        <w:tc>
          <w:tcPr>
            <w:tcW w:type="dxa" w:w="2549"/>
            <w:vAlign w:val="center"/>
          </w:tcPr>
          <w:p>
            <w:pPr>
              <w:spacing w:after="20" w:before="20" w:line="252" w:lineRule="auto"/>
            </w:pPr>
            <w:r/>
            <w:r>
              <w:rPr>
                <w:rFonts w:ascii="Arial" w:hAnsi="Arial"/>
                <w:b/>
                <w:sz w:val="16"/>
              </w:rPr>
              <w:t>Kepala Badan Pelaksana</w:t>
            </w:r>
          </w:p>
        </w:tc>
        <w:tc>
          <w:tcPr>
            <w:tcW w:type="dxa" w:w="4313"/>
            <w:vAlign w:val="center"/>
          </w:tcPr>
          <w:p>
            <w:pPr>
              <w:spacing w:after="20" w:before="20" w:line="252" w:lineRule="auto"/>
            </w:pPr>
            <w:r/>
            <w:r>
              <w:rPr>
                <w:rFonts w:ascii="Arial" w:hAnsi="Arial"/>
                <w:b w:val="0"/>
                <w:sz w:val="16"/>
              </w:rPr>
              <w:t>Menetapkan prioritas portofolio dan keputusan gerbang atas nama Badan; eskalasi lintas arm</w:t>
            </w:r>
          </w:p>
        </w:tc>
        <w:tc>
          <w:tcPr>
            <w:tcW w:type="dxa" w:w="2549"/>
            <w:vAlign w:val="center"/>
          </w:tcPr>
          <w:p>
            <w:pPr>
              <w:spacing w:after="20" w:before="20" w:line="252" w:lineRule="auto"/>
            </w:pPr>
            <w:r/>
            <w:r>
              <w:rPr>
                <w:rFonts w:ascii="Arial" w:hAnsi="Arial"/>
                <w:b w:val="0"/>
                <w:sz w:val="16"/>
              </w:rPr>
              <w:t>Satu-satunya pengambil keputusan Badan (PP 10/2025, Pasal 18)</w:t>
            </w:r>
          </w:p>
        </w:tc>
      </w:tr>
      <w:tr>
        <w:trPr>
          <w:cantSplit/>
        </w:trPr>
        <w:tc>
          <w:tcPr>
            <w:tcW w:type="dxa" w:w="2549"/>
            <w:shd w:val="clear" w:color="auto" w:fill="E6ECFD"/>
            <w:vAlign w:val="center"/>
          </w:tcPr>
          <w:p>
            <w:pPr>
              <w:spacing w:after="20" w:before="20" w:line="252" w:lineRule="auto"/>
            </w:pPr>
            <w:r/>
            <w:r>
              <w:rPr>
                <w:rFonts w:ascii="Arial" w:hAnsi="Arial"/>
                <w:b/>
                <w:sz w:val="16"/>
              </w:rPr>
              <w:t>Dewan Pengawas</w:t>
            </w:r>
          </w:p>
        </w:tc>
        <w:tc>
          <w:tcPr>
            <w:tcW w:type="dxa" w:w="4313"/>
            <w:shd w:val="clear" w:color="auto" w:fill="E6ECFD"/>
            <w:vAlign w:val="center"/>
          </w:tcPr>
          <w:p>
            <w:pPr>
              <w:spacing w:after="20" w:before="20" w:line="252" w:lineRule="auto"/>
            </w:pPr>
            <w:r/>
            <w:r>
              <w:rPr>
                <w:rFonts w:ascii="Arial" w:hAnsi="Arial"/>
                <w:b w:val="0"/>
                <w:sz w:val="16"/>
              </w:rPr>
              <w:t>Menyetujui kerangka scorecard, gerbang tata kelola, dan persetujuan sesuai peraturan</w:t>
            </w:r>
          </w:p>
        </w:tc>
        <w:tc>
          <w:tcPr>
            <w:tcW w:type="dxa" w:w="2549"/>
            <w:shd w:val="clear" w:color="auto" w:fill="E6ECFD"/>
            <w:vAlign w:val="center"/>
          </w:tcPr>
          <w:p>
            <w:pPr>
              <w:spacing w:after="20" w:before="20" w:line="252" w:lineRule="auto"/>
            </w:pPr>
            <w:r/>
            <w:r>
              <w:rPr>
                <w:rFonts w:ascii="Arial" w:hAnsi="Arial"/>
                <w:b w:val="0"/>
                <w:sz w:val="16"/>
              </w:rPr>
              <w:t>Tidak terlibat pada pelaksanaan</w:t>
            </w:r>
          </w:p>
        </w:tc>
      </w:tr>
      <w:tr>
        <w:trPr>
          <w:cantSplit/>
        </w:trPr>
        <w:tc>
          <w:tcPr>
            <w:tcW w:type="dxa" w:w="2549"/>
            <w:vAlign w:val="center"/>
          </w:tcPr>
          <w:p>
            <w:pPr>
              <w:spacing w:after="20" w:before="20" w:line="252" w:lineRule="auto"/>
            </w:pPr>
            <w:r/>
            <w:r>
              <w:rPr>
                <w:rFonts w:ascii="Arial" w:hAnsi="Arial"/>
                <w:b/>
                <w:sz w:val="16"/>
              </w:rPr>
              <w:t>Kepala unit Industri Strategis</w:t>
            </w:r>
          </w:p>
        </w:tc>
        <w:tc>
          <w:tcPr>
            <w:tcW w:type="dxa" w:w="4313"/>
            <w:vAlign w:val="center"/>
          </w:tcPr>
          <w:p>
            <w:pPr>
              <w:spacing w:after="20" w:before="20" w:line="252" w:lineRule="auto"/>
            </w:pPr>
            <w:r/>
            <w:r>
              <w:rPr>
                <w:rFonts w:ascii="Arial" w:hAnsi="Arial"/>
                <w:b w:val="0"/>
                <w:sz w:val="16"/>
              </w:rPr>
              <w:t>Prioritas terpadu, penyelesaian ketergantungan, mutu paket keputusan, pelaporan hasil</w:t>
            </w:r>
          </w:p>
        </w:tc>
        <w:tc>
          <w:tcPr>
            <w:tcW w:type="dxa" w:w="2549"/>
            <w:vAlign w:val="center"/>
          </w:tcPr>
          <w:p>
            <w:pPr>
              <w:spacing w:after="20" w:before="20" w:line="252" w:lineRule="auto"/>
            </w:pPr>
            <w:r/>
            <w:r>
              <w:rPr>
                <w:rFonts w:ascii="Arial" w:hAnsi="Arial"/>
                <w:b w:val="0"/>
                <w:sz w:val="16"/>
              </w:rPr>
              <w:t>Tanpa kewenangan persetujuan umum</w:t>
            </w:r>
          </w:p>
        </w:tc>
      </w:tr>
      <w:tr>
        <w:trPr>
          <w:cantSplit/>
        </w:trPr>
        <w:tc>
          <w:tcPr>
            <w:tcW w:type="dxa" w:w="2549"/>
            <w:shd w:val="clear" w:color="auto" w:fill="E6ECFD"/>
            <w:vAlign w:val="center"/>
          </w:tcPr>
          <w:p>
            <w:pPr>
              <w:spacing w:after="20" w:before="20" w:line="252" w:lineRule="auto"/>
            </w:pPr>
            <w:r/>
            <w:r>
              <w:rPr>
                <w:rFonts w:ascii="Arial" w:hAnsi="Arial"/>
                <w:b/>
                <w:sz w:val="16"/>
              </w:rPr>
              <w:t>MD Portofolio dan Pelaksanaan Proyek</w:t>
            </w:r>
          </w:p>
        </w:tc>
        <w:tc>
          <w:tcPr>
            <w:tcW w:type="dxa" w:w="4313"/>
            <w:shd w:val="clear" w:color="auto" w:fill="E6ECFD"/>
            <w:vAlign w:val="center"/>
          </w:tcPr>
          <w:p>
            <w:pPr>
              <w:spacing w:after="20" w:before="20" w:line="252" w:lineRule="auto"/>
            </w:pPr>
            <w:r/>
            <w:r>
              <w:rPr>
                <w:rFonts w:ascii="Arial" w:hAnsi="Arial"/>
                <w:b w:val="0"/>
                <w:sz w:val="16"/>
              </w:rPr>
              <w:t>Register 40 proyek, jadwal terpadu, hambatan, mutu data, laporan keputusan dan manfaat</w:t>
            </w:r>
          </w:p>
        </w:tc>
        <w:tc>
          <w:tcPr>
            <w:tcW w:type="dxa" w:w="2549"/>
            <w:shd w:val="clear" w:color="auto" w:fill="E6ECFD"/>
            <w:vAlign w:val="center"/>
          </w:tcPr>
          <w:p>
            <w:pPr>
              <w:spacing w:after="20" w:before="20" w:line="252" w:lineRule="auto"/>
            </w:pPr>
            <w:r/>
            <w:r>
              <w:rPr>
                <w:rFonts w:ascii="Arial" w:hAnsi="Arial"/>
                <w:b w:val="0"/>
                <w:sz w:val="16"/>
              </w:rPr>
              <w:t>Pemilik data portofolio</w:t>
            </w:r>
          </w:p>
        </w:tc>
      </w:tr>
      <w:tr>
        <w:trPr>
          <w:cantSplit/>
        </w:trPr>
        <w:tc>
          <w:tcPr>
            <w:tcW w:type="dxa" w:w="2549"/>
            <w:vAlign w:val="center"/>
          </w:tcPr>
          <w:p>
            <w:pPr>
              <w:spacing w:after="20" w:before="20" w:line="252" w:lineRule="auto"/>
            </w:pPr>
            <w:r/>
            <w:r>
              <w:rPr>
                <w:rFonts w:ascii="Arial" w:hAnsi="Arial"/>
                <w:b/>
                <w:sz w:val="16"/>
              </w:rPr>
              <w:t>MD Rekayasa dan Pelaksanaan</w:t>
            </w:r>
          </w:p>
        </w:tc>
        <w:tc>
          <w:tcPr>
            <w:tcW w:type="dxa" w:w="4313"/>
            <w:vAlign w:val="center"/>
          </w:tcPr>
          <w:p>
            <w:pPr>
              <w:spacing w:after="20" w:before="20" w:line="252" w:lineRule="auto"/>
            </w:pPr>
            <w:r/>
            <w:r>
              <w:rPr>
                <w:rFonts w:ascii="Arial" w:hAnsi="Arial"/>
                <w:b w:val="0"/>
                <w:sz w:val="16"/>
              </w:rPr>
              <w:t>Kesiapan studi, rekayasa, strategi kontrak, constructability, biaya, komisioning, evaluasi teknis</w:t>
            </w:r>
          </w:p>
        </w:tc>
        <w:tc>
          <w:tcPr>
            <w:tcW w:type="dxa" w:w="2549"/>
            <w:vAlign w:val="center"/>
          </w:tcPr>
          <w:p>
            <w:pPr>
              <w:spacing w:after="20" w:before="20" w:line="252" w:lineRule="auto"/>
            </w:pPr>
            <w:r/>
            <w:r>
              <w:rPr>
                <w:rFonts w:ascii="Arial" w:hAnsi="Arial"/>
                <w:b w:val="0"/>
                <w:sz w:val="16"/>
              </w:rPr>
              <w:t>Kajian, bukan pelaksana harian</w:t>
            </w:r>
          </w:p>
        </w:tc>
      </w:tr>
      <w:tr>
        <w:trPr>
          <w:cantSplit/>
        </w:trPr>
        <w:tc>
          <w:tcPr>
            <w:tcW w:type="dxa" w:w="2549"/>
            <w:shd w:val="clear" w:color="auto" w:fill="E6ECFD"/>
            <w:vAlign w:val="center"/>
          </w:tcPr>
          <w:p>
            <w:pPr>
              <w:spacing w:after="20" w:before="20" w:line="252" w:lineRule="auto"/>
            </w:pPr>
            <w:r/>
            <w:r>
              <w:rPr>
                <w:rFonts w:ascii="Arial" w:hAnsi="Arial"/>
                <w:b/>
                <w:sz w:val="16"/>
              </w:rPr>
              <w:t>MD Pengembangan Industri Strategis</w:t>
            </w:r>
          </w:p>
        </w:tc>
        <w:tc>
          <w:tcPr>
            <w:tcW w:type="dxa" w:w="4313"/>
            <w:shd w:val="clear" w:color="auto" w:fill="E6ECFD"/>
            <w:vAlign w:val="center"/>
          </w:tcPr>
          <w:p>
            <w:pPr>
              <w:spacing w:after="20" w:before="20" w:line="252" w:lineRule="auto"/>
            </w:pPr>
            <w:r/>
            <w:r>
              <w:rPr>
                <w:rFonts w:ascii="Arial" w:hAnsi="Arial"/>
                <w:b w:val="0"/>
                <w:sz w:val="16"/>
              </w:rPr>
              <w:t>Rantai nilai, pasar, offtake, mitra, substitusi impor, kapasitas pemasok, manfaat nasional</w:t>
            </w:r>
          </w:p>
        </w:tc>
        <w:tc>
          <w:tcPr>
            <w:tcW w:type="dxa" w:w="2549"/>
            <w:shd w:val="clear" w:color="auto" w:fill="E6ECFD"/>
            <w:vAlign w:val="center"/>
          </w:tcPr>
          <w:p>
            <w:pPr>
              <w:spacing w:after="20" w:before="20" w:line="252" w:lineRule="auto"/>
            </w:pPr>
            <w:r/>
            <w:r>
              <w:rPr>
                <w:rFonts w:ascii="Arial" w:hAnsi="Arial"/>
                <w:b w:val="0"/>
                <w:sz w:val="16"/>
              </w:rPr>
              <w:t>Memiliki kantor DOCK-UP</w:t>
            </w:r>
          </w:p>
        </w:tc>
      </w:tr>
      <w:tr>
        <w:trPr>
          <w:cantSplit/>
        </w:trPr>
        <w:tc>
          <w:tcPr>
            <w:tcW w:type="dxa" w:w="2549"/>
            <w:vAlign w:val="center"/>
          </w:tcPr>
          <w:p>
            <w:pPr>
              <w:spacing w:after="20" w:before="20" w:line="252" w:lineRule="auto"/>
            </w:pPr>
            <w:r/>
            <w:r>
              <w:rPr>
                <w:rFonts w:ascii="Arial" w:hAnsi="Arial"/>
                <w:b/>
                <w:sz w:val="16"/>
              </w:rPr>
              <w:t>Pemimpin klaster (empat)</w:t>
            </w:r>
          </w:p>
        </w:tc>
        <w:tc>
          <w:tcPr>
            <w:tcW w:type="dxa" w:w="4313"/>
            <w:vAlign w:val="center"/>
          </w:tcPr>
          <w:p>
            <w:pPr>
              <w:spacing w:after="20" w:before="20" w:line="252" w:lineRule="auto"/>
            </w:pPr>
            <w:r/>
            <w:r>
              <w:rPr>
                <w:rFonts w:ascii="Arial" w:hAnsi="Arial"/>
                <w:b w:val="0"/>
                <w:sz w:val="16"/>
              </w:rPr>
              <w:t>Menyelesaikan ketergantungan dalam klaster; peta bahan baku, pasar, teknologi, fasilitas bersama</w:t>
            </w:r>
          </w:p>
        </w:tc>
        <w:tc>
          <w:tcPr>
            <w:tcW w:type="dxa" w:w="2549"/>
            <w:vAlign w:val="center"/>
          </w:tcPr>
          <w:p>
            <w:pPr>
              <w:spacing w:after="20" w:before="20" w:line="252" w:lineRule="auto"/>
            </w:pPr>
            <w:r/>
            <w:r>
              <w:rPr>
                <w:rFonts w:ascii="Arial" w:hAnsi="Arial"/>
                <w:b w:val="0"/>
                <w:sz w:val="16"/>
              </w:rPr>
              <w:t>Tim matriks dari BUMN dan holding</w:t>
            </w:r>
          </w:p>
        </w:tc>
      </w:tr>
      <w:tr>
        <w:trPr>
          <w:cantSplit/>
        </w:trPr>
        <w:tc>
          <w:tcPr>
            <w:tcW w:type="dxa" w:w="2549"/>
            <w:shd w:val="clear" w:color="auto" w:fill="E6ECFD"/>
            <w:vAlign w:val="center"/>
          </w:tcPr>
          <w:p>
            <w:pPr>
              <w:spacing w:after="20" w:before="20" w:line="252" w:lineRule="auto"/>
            </w:pPr>
            <w:r/>
            <w:r>
              <w:rPr>
                <w:rFonts w:ascii="Arial" w:hAnsi="Arial"/>
                <w:b/>
                <w:sz w:val="16"/>
              </w:rPr>
              <w:t>Sponsor korporasi</w:t>
            </w:r>
          </w:p>
        </w:tc>
        <w:tc>
          <w:tcPr>
            <w:tcW w:type="dxa" w:w="4313"/>
            <w:shd w:val="clear" w:color="auto" w:fill="E6ECFD"/>
            <w:vAlign w:val="center"/>
          </w:tcPr>
          <w:p>
            <w:pPr>
              <w:spacing w:after="20" w:before="20" w:line="252" w:lineRule="auto"/>
            </w:pPr>
            <w:r/>
            <w:r>
              <w:rPr>
                <w:rFonts w:ascii="Arial" w:hAnsi="Arial"/>
                <w:b w:val="0"/>
                <w:sz w:val="16"/>
              </w:rPr>
              <w:t>Memiliki kasus bisnis, mengajukan paket gerbang, bertanggung jawab atas operasi dan kinerja aset</w:t>
            </w:r>
          </w:p>
        </w:tc>
        <w:tc>
          <w:tcPr>
            <w:tcW w:type="dxa" w:w="2549"/>
            <w:shd w:val="clear" w:color="auto" w:fill="E6ECFD"/>
            <w:vAlign w:val="center"/>
          </w:tcPr>
          <w:p>
            <w:pPr>
              <w:spacing w:after="20" w:before="20" w:line="252" w:lineRule="auto"/>
            </w:pPr>
            <w:r/>
            <w:r>
              <w:rPr>
                <w:rFonts w:ascii="Arial" w:hAnsi="Arial"/>
                <w:b w:val="0"/>
                <w:sz w:val="16"/>
              </w:rPr>
              <w:t>Ditunjuk dengan nama sebelum P0</w:t>
            </w:r>
          </w:p>
        </w:tc>
      </w:tr>
      <w:tr>
        <w:trPr>
          <w:cantSplit/>
        </w:trPr>
        <w:tc>
          <w:tcPr>
            <w:tcW w:type="dxa" w:w="2549"/>
            <w:vAlign w:val="center"/>
          </w:tcPr>
          <w:p>
            <w:pPr>
              <w:spacing w:after="20" w:before="20" w:line="252" w:lineRule="auto"/>
            </w:pPr>
            <w:r/>
            <w:r>
              <w:rPr>
                <w:rFonts w:ascii="Arial" w:hAnsi="Arial"/>
                <w:b/>
                <w:sz w:val="16"/>
              </w:rPr>
              <w:t>Project director</w:t>
            </w:r>
          </w:p>
        </w:tc>
        <w:tc>
          <w:tcPr>
            <w:tcW w:type="dxa" w:w="4313"/>
            <w:vAlign w:val="center"/>
          </w:tcPr>
          <w:p>
            <w:pPr>
              <w:spacing w:after="20" w:before="20" w:line="252" w:lineRule="auto"/>
            </w:pPr>
            <w:r/>
            <w:r>
              <w:rPr>
                <w:rFonts w:ascii="Arial" w:hAnsi="Arial"/>
                <w:b w:val="0"/>
                <w:sz w:val="16"/>
              </w:rPr>
              <w:t>Pemilik hasil pelaksanaan (S15); mengendalikan lingkup, biaya, jadwal, mutu, K3</w:t>
            </w:r>
          </w:p>
        </w:tc>
        <w:tc>
          <w:tcPr>
            <w:tcW w:type="dxa" w:w="2549"/>
            <w:vAlign w:val="center"/>
          </w:tcPr>
          <w:p>
            <w:pPr>
              <w:spacing w:after="20" w:before="20" w:line="252" w:lineRule="auto"/>
            </w:pPr>
            <w:r/>
            <w:r>
              <w:rPr>
                <w:rFonts w:ascii="Arial" w:hAnsi="Arial"/>
                <w:b w:val="0"/>
                <w:sz w:val="16"/>
              </w:rPr>
              <w:t>Direksi tetap memiliki tugas pengurusan</w:t>
            </w:r>
          </w:p>
        </w:tc>
      </w:tr>
      <w:tr>
        <w:trPr>
          <w:cantSplit/>
        </w:trPr>
        <w:tc>
          <w:tcPr>
            <w:tcW w:type="dxa" w:w="2549"/>
            <w:shd w:val="clear" w:color="auto" w:fill="E6ECFD"/>
            <w:vAlign w:val="center"/>
          </w:tcPr>
          <w:p>
            <w:pPr>
              <w:spacing w:after="20" w:before="20" w:line="252" w:lineRule="auto"/>
            </w:pPr>
            <w:r/>
            <w:r>
              <w:rPr>
                <w:rFonts w:ascii="Arial" w:hAnsi="Arial"/>
                <w:b/>
                <w:sz w:val="16"/>
              </w:rPr>
              <w:t>Pengendali proyek (cost, scheduler, risk, kontrak)</w:t>
            </w:r>
          </w:p>
        </w:tc>
        <w:tc>
          <w:tcPr>
            <w:tcW w:type="dxa" w:w="4313"/>
            <w:shd w:val="clear" w:color="auto" w:fill="E6ECFD"/>
            <w:vAlign w:val="center"/>
          </w:tcPr>
          <w:p>
            <w:pPr>
              <w:spacing w:after="20" w:before="20" w:line="252" w:lineRule="auto"/>
            </w:pPr>
            <w:r/>
            <w:r>
              <w:rPr>
                <w:rFonts w:ascii="Arial" w:hAnsi="Arial"/>
                <w:b w:val="0"/>
                <w:sz w:val="16"/>
              </w:rPr>
              <w:t>Menjalankan rantai biaya, jadwal, register risiko, pengendalian perubahan dan klaim</w:t>
            </w:r>
          </w:p>
        </w:tc>
        <w:tc>
          <w:tcPr>
            <w:tcW w:type="dxa" w:w="2549"/>
            <w:shd w:val="clear" w:color="auto" w:fill="E6ECFD"/>
            <w:vAlign w:val="center"/>
          </w:tcPr>
          <w:p>
            <w:pPr>
              <w:spacing w:after="20" w:before="20" w:line="252" w:lineRule="auto"/>
            </w:pPr>
            <w:r/>
            <w:r>
              <w:rPr>
                <w:rFonts w:ascii="Arial" w:hAnsi="Arial"/>
                <w:b w:val="0"/>
                <w:sz w:val="16"/>
              </w:rPr>
              <w:t>Dapat didukung agen AI</w:t>
            </w:r>
          </w:p>
        </w:tc>
      </w:tr>
      <w:tr>
        <w:trPr>
          <w:cantSplit/>
        </w:trPr>
        <w:tc>
          <w:tcPr>
            <w:tcW w:type="dxa" w:w="2549"/>
            <w:vAlign w:val="center"/>
          </w:tcPr>
          <w:p>
            <w:pPr>
              <w:spacing w:after="20" w:before="20" w:line="252" w:lineRule="auto"/>
            </w:pPr>
            <w:r/>
            <w:r>
              <w:rPr>
                <w:rFonts w:ascii="Arial" w:hAnsi="Arial"/>
                <w:b/>
                <w:sz w:val="16"/>
              </w:rPr>
              <w:t>Fungsi jaminan independen (Risiko, Hukum, Audit Internal)</w:t>
            </w:r>
          </w:p>
        </w:tc>
        <w:tc>
          <w:tcPr>
            <w:tcW w:type="dxa" w:w="4313"/>
            <w:vAlign w:val="center"/>
          </w:tcPr>
          <w:p>
            <w:pPr>
              <w:spacing w:after="20" w:before="20" w:line="252" w:lineRule="auto"/>
            </w:pPr>
            <w:r/>
            <w:r>
              <w:rPr>
                <w:rFonts w:ascii="Arial" w:hAnsi="Arial"/>
                <w:b w:val="0"/>
                <w:sz w:val="16"/>
              </w:rPr>
              <w:t>Opini risiko dan hukum; audit proses; kebebasan menyatakan keberatan</w:t>
            </w:r>
          </w:p>
        </w:tc>
        <w:tc>
          <w:tcPr>
            <w:tcW w:type="dxa" w:w="2549"/>
            <w:vAlign w:val="center"/>
          </w:tcPr>
          <w:p>
            <w:pPr>
              <w:spacing w:after="20" w:before="20" w:line="252" w:lineRule="auto"/>
            </w:pPr>
            <w:r/>
            <w:r>
              <w:rPr>
                <w:rFonts w:ascii="Arial" w:hAnsi="Arial"/>
                <w:b w:val="0"/>
                <w:sz w:val="16"/>
              </w:rPr>
              <w:t>Tidak melapor kepada pengusul</w:t>
            </w:r>
          </w:p>
        </w:tc>
      </w:tr>
    </w:tbl>
    <w:p>
      <w:pPr>
        <w:spacing w:after="160"/>
      </w:pPr>
      <w:r>
        <w:rPr>
          <w:rFonts w:ascii="Arial" w:hAnsi="Arial"/>
          <w:b w:val="0"/>
          <w:i/>
          <w:color w:val="051C5C"/>
          <w:sz w:val="17"/>
        </w:rPr>
        <w:t>Sumber: [EVAL, Bagian 8–10, 13–15; K, Bab 13.3–13.5].</w:t>
      </w:r>
    </w:p>
    <w:p>
      <w:pPr>
        <w:pStyle w:val="Heading2"/>
      </w:pPr>
      <w:r>
        <w:t>17.5  Irama tata kelola</w:t>
      </w:r>
    </w:p>
    <w:p>
      <w:pPr>
        <w:keepNext/>
        <w:spacing w:after="60"/>
      </w:pPr>
      <w:r>
        <w:rPr>
          <w:rFonts w:ascii="Arial" w:hAnsi="Arial"/>
          <w:b/>
          <w:color w:val="051C5C"/>
          <w:sz w:val="19"/>
        </w:rPr>
        <w:t xml:space="preserve">Tabel 52: </w:t>
      </w:r>
      <w:r>
        <w:rPr>
          <w:rFonts w:ascii="Arial" w:hAnsi="Arial"/>
          <w:color w:val="051C5C"/>
          <w:sz w:val="19"/>
        </w:rPr>
        <w:t>Forum dan irama</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2353"/>
        <w:gridCol w:w="2353"/>
        <w:gridCol w:w="2353"/>
        <w:gridCol w:w="2353"/>
      </w:tblGrid>
      <w:tr>
        <w:trPr>
          <w:cantSplit/>
          <w:tblHeader/>
        </w:trPr>
        <w:tc>
          <w:tcPr>
            <w:tcW w:type="dxa" w:w="2113"/>
            <w:shd w:val="clear" w:color="auto" w:fill="2251FF"/>
            <w:vAlign w:val="center"/>
          </w:tcPr>
          <w:p>
            <w:pPr>
              <w:spacing w:after="20" w:before="20" w:line="252" w:lineRule="auto"/>
            </w:pPr>
            <w:r/>
            <w:r>
              <w:rPr>
                <w:rFonts w:ascii="Arial" w:hAnsi="Arial"/>
                <w:b/>
                <w:color w:val="FFFFFF"/>
                <w:sz w:val="17"/>
              </w:rPr>
              <w:t>Forum</w:t>
            </w:r>
          </w:p>
        </w:tc>
        <w:tc>
          <w:tcPr>
            <w:tcW w:type="dxa" w:w="1729"/>
            <w:shd w:val="clear" w:color="auto" w:fill="2251FF"/>
            <w:vAlign w:val="center"/>
          </w:tcPr>
          <w:p>
            <w:pPr>
              <w:spacing w:after="20" w:before="20" w:line="252" w:lineRule="auto"/>
            </w:pPr>
            <w:r/>
            <w:r>
              <w:rPr>
                <w:rFonts w:ascii="Arial" w:hAnsi="Arial"/>
                <w:b/>
                <w:color w:val="FFFFFF"/>
                <w:sz w:val="17"/>
              </w:rPr>
              <w:t>Frekuensi</w:t>
            </w:r>
          </w:p>
        </w:tc>
        <w:tc>
          <w:tcPr>
            <w:tcW w:type="dxa" w:w="3265"/>
            <w:shd w:val="clear" w:color="auto" w:fill="2251FF"/>
            <w:vAlign w:val="center"/>
          </w:tcPr>
          <w:p>
            <w:pPr>
              <w:spacing w:after="20" w:before="20" w:line="252" w:lineRule="auto"/>
            </w:pPr>
            <w:r/>
            <w:r>
              <w:rPr>
                <w:rFonts w:ascii="Arial" w:hAnsi="Arial"/>
                <w:b/>
                <w:color w:val="FFFFFF"/>
                <w:sz w:val="17"/>
              </w:rPr>
              <w:t>Keputusan / keluaran</w:t>
            </w:r>
          </w:p>
        </w:tc>
        <w:tc>
          <w:tcPr>
            <w:tcW w:type="dxa" w:w="2305"/>
            <w:shd w:val="clear" w:color="auto" w:fill="2251FF"/>
            <w:vAlign w:val="center"/>
          </w:tcPr>
          <w:p>
            <w:pPr>
              <w:spacing w:after="20" w:before="20" w:line="252" w:lineRule="auto"/>
            </w:pPr>
            <w:r/>
            <w:r>
              <w:rPr>
                <w:rFonts w:ascii="Arial" w:hAnsi="Arial"/>
                <w:b/>
                <w:color w:val="FFFFFF"/>
                <w:sz w:val="17"/>
              </w:rPr>
              <w:t>Peserta inti</w:t>
            </w:r>
          </w:p>
        </w:tc>
      </w:tr>
      <w:tr>
        <w:trPr>
          <w:cantSplit/>
        </w:trPr>
        <w:tc>
          <w:tcPr>
            <w:tcW w:type="dxa" w:w="2113"/>
            <w:vAlign w:val="center"/>
          </w:tcPr>
          <w:p>
            <w:pPr>
              <w:spacing w:after="20" w:before="20" w:line="252" w:lineRule="auto"/>
            </w:pPr>
            <w:r/>
            <w:r>
              <w:rPr>
                <w:rFonts w:ascii="Arial" w:hAnsi="Arial"/>
                <w:b/>
                <w:sz w:val="17"/>
              </w:rPr>
              <w:t>Forum penyelesaian hambatan</w:t>
            </w:r>
          </w:p>
        </w:tc>
        <w:tc>
          <w:tcPr>
            <w:tcW w:type="dxa" w:w="1729"/>
            <w:vAlign w:val="center"/>
          </w:tcPr>
          <w:p>
            <w:pPr>
              <w:spacing w:after="20" w:before="20" w:line="252" w:lineRule="auto"/>
            </w:pPr>
            <w:r/>
            <w:r>
              <w:rPr>
                <w:rFonts w:ascii="Arial" w:hAnsi="Arial"/>
                <w:b w:val="0"/>
                <w:sz w:val="17"/>
              </w:rPr>
              <w:t>Mingguan (siklus 2/5/15 hari)</w:t>
            </w:r>
          </w:p>
        </w:tc>
        <w:tc>
          <w:tcPr>
            <w:tcW w:type="dxa" w:w="3265"/>
            <w:vAlign w:val="center"/>
          </w:tcPr>
          <w:p>
            <w:pPr>
              <w:spacing w:after="20" w:before="20" w:line="252" w:lineRule="auto"/>
            </w:pPr>
            <w:r/>
            <w:r>
              <w:rPr>
                <w:rFonts w:ascii="Arial" w:hAnsi="Arial"/>
                <w:b w:val="0"/>
                <w:sz w:val="17"/>
              </w:rPr>
              <w:t>Penyelesaian hambatan lintas lini; eskalasi dalam 10 hari</w:t>
            </w:r>
          </w:p>
        </w:tc>
        <w:tc>
          <w:tcPr>
            <w:tcW w:type="dxa" w:w="2305"/>
            <w:vAlign w:val="center"/>
          </w:tcPr>
          <w:p>
            <w:pPr>
              <w:spacing w:after="20" w:before="20" w:line="252" w:lineRule="auto"/>
            </w:pPr>
            <w:r/>
            <w:r>
              <w:rPr>
                <w:rFonts w:ascii="Arial" w:hAnsi="Arial"/>
                <w:b w:val="0"/>
                <w:sz w:val="17"/>
              </w:rPr>
              <w:t>Pemilik isu; kepala unit; fungsi terkait</w:t>
            </w:r>
          </w:p>
        </w:tc>
      </w:tr>
      <w:tr>
        <w:trPr>
          <w:cantSplit/>
        </w:trPr>
        <w:tc>
          <w:tcPr>
            <w:tcW w:type="dxa" w:w="2113"/>
            <w:shd w:val="clear" w:color="auto" w:fill="E6ECFD"/>
            <w:vAlign w:val="center"/>
          </w:tcPr>
          <w:p>
            <w:pPr>
              <w:spacing w:after="20" w:before="20" w:line="252" w:lineRule="auto"/>
            </w:pPr>
            <w:r/>
            <w:r>
              <w:rPr>
                <w:rFonts w:ascii="Arial" w:hAnsi="Arial"/>
                <w:b/>
                <w:sz w:val="17"/>
              </w:rPr>
              <w:t>Tinjauan proyek</w:t>
            </w:r>
          </w:p>
        </w:tc>
        <w:tc>
          <w:tcPr>
            <w:tcW w:type="dxa" w:w="1729"/>
            <w:shd w:val="clear" w:color="auto" w:fill="E6ECFD"/>
            <w:vAlign w:val="center"/>
          </w:tcPr>
          <w:p>
            <w:pPr>
              <w:spacing w:after="20" w:before="20" w:line="252" w:lineRule="auto"/>
            </w:pPr>
            <w:r/>
            <w:r>
              <w:rPr>
                <w:rFonts w:ascii="Arial" w:hAnsi="Arial"/>
                <w:b w:val="0"/>
                <w:sz w:val="17"/>
              </w:rPr>
              <w:t>Bulanan</w:t>
            </w:r>
          </w:p>
        </w:tc>
        <w:tc>
          <w:tcPr>
            <w:tcW w:type="dxa" w:w="3265"/>
            <w:shd w:val="clear" w:color="auto" w:fill="E6ECFD"/>
            <w:vAlign w:val="center"/>
          </w:tcPr>
          <w:p>
            <w:pPr>
              <w:spacing w:after="20" w:before="20" w:line="252" w:lineRule="auto"/>
            </w:pPr>
            <w:r/>
            <w:r>
              <w:rPr>
                <w:rFonts w:ascii="Arial" w:hAnsi="Arial"/>
                <w:b w:val="0"/>
                <w:sz w:val="17"/>
              </w:rPr>
              <w:t>Laporan biaya, jadwal, risiko, perubahan, K3, mutu</w:t>
            </w:r>
          </w:p>
        </w:tc>
        <w:tc>
          <w:tcPr>
            <w:tcW w:type="dxa" w:w="2305"/>
            <w:shd w:val="clear" w:color="auto" w:fill="E6ECFD"/>
            <w:vAlign w:val="center"/>
          </w:tcPr>
          <w:p>
            <w:pPr>
              <w:spacing w:after="20" w:before="20" w:line="252" w:lineRule="auto"/>
            </w:pPr>
            <w:r/>
            <w:r>
              <w:rPr>
                <w:rFonts w:ascii="Arial" w:hAnsi="Arial"/>
                <w:b w:val="0"/>
                <w:sz w:val="17"/>
              </w:rPr>
              <w:t>Project director; sponsor; unit</w:t>
            </w:r>
          </w:p>
        </w:tc>
      </w:tr>
      <w:tr>
        <w:trPr>
          <w:cantSplit/>
        </w:trPr>
        <w:tc>
          <w:tcPr>
            <w:tcW w:type="dxa" w:w="2113"/>
            <w:vAlign w:val="center"/>
          </w:tcPr>
          <w:p>
            <w:pPr>
              <w:spacing w:after="20" w:before="20" w:line="252" w:lineRule="auto"/>
            </w:pPr>
            <w:r/>
            <w:r>
              <w:rPr>
                <w:rFonts w:ascii="Arial" w:hAnsi="Arial"/>
                <w:b/>
                <w:sz w:val="17"/>
              </w:rPr>
              <w:t>Tinjauan portofolio</w:t>
            </w:r>
          </w:p>
        </w:tc>
        <w:tc>
          <w:tcPr>
            <w:tcW w:type="dxa" w:w="1729"/>
            <w:vAlign w:val="center"/>
          </w:tcPr>
          <w:p>
            <w:pPr>
              <w:spacing w:after="20" w:before="20" w:line="252" w:lineRule="auto"/>
            </w:pPr>
            <w:r/>
            <w:r>
              <w:rPr>
                <w:rFonts w:ascii="Arial" w:hAnsi="Arial"/>
                <w:b w:val="0"/>
                <w:sz w:val="17"/>
              </w:rPr>
              <w:t>Triwulanan</w:t>
            </w:r>
          </w:p>
        </w:tc>
        <w:tc>
          <w:tcPr>
            <w:tcW w:type="dxa" w:w="3265"/>
            <w:vAlign w:val="center"/>
          </w:tcPr>
          <w:p>
            <w:pPr>
              <w:spacing w:after="20" w:before="20" w:line="252" w:lineRule="auto"/>
            </w:pPr>
            <w:r/>
            <w:r>
              <w:rPr>
                <w:rFonts w:ascii="Arial" w:hAnsi="Arial"/>
                <w:b w:val="0"/>
                <w:sz w:val="17"/>
              </w:rPr>
              <w:t>Kemajuan gerbang, scorecard, cakupan bukti, alokasi kapasitas</w:t>
            </w:r>
          </w:p>
        </w:tc>
        <w:tc>
          <w:tcPr>
            <w:tcW w:type="dxa" w:w="2305"/>
            <w:vAlign w:val="center"/>
          </w:tcPr>
          <w:p>
            <w:pPr>
              <w:spacing w:after="20" w:before="20" w:line="252" w:lineRule="auto"/>
            </w:pPr>
            <w:r/>
            <w:r>
              <w:rPr>
                <w:rFonts w:ascii="Arial" w:hAnsi="Arial"/>
                <w:b w:val="0"/>
                <w:sz w:val="17"/>
              </w:rPr>
              <w:t>Kepala; unit; CFO; COO; CIO; CTO; Risiko</w:t>
            </w:r>
          </w:p>
        </w:tc>
      </w:tr>
      <w:tr>
        <w:trPr>
          <w:cantSplit/>
        </w:trPr>
        <w:tc>
          <w:tcPr>
            <w:tcW w:type="dxa" w:w="2113"/>
            <w:shd w:val="clear" w:color="auto" w:fill="E6ECFD"/>
            <w:vAlign w:val="center"/>
          </w:tcPr>
          <w:p>
            <w:pPr>
              <w:spacing w:after="20" w:before="20" w:line="252" w:lineRule="auto"/>
            </w:pPr>
            <w:r/>
            <w:r>
              <w:rPr>
                <w:rFonts w:ascii="Arial" w:hAnsi="Arial"/>
                <w:b/>
                <w:sz w:val="17"/>
              </w:rPr>
              <w:t>Tinjauan gerbang</w:t>
            </w:r>
          </w:p>
        </w:tc>
        <w:tc>
          <w:tcPr>
            <w:tcW w:type="dxa" w:w="1729"/>
            <w:shd w:val="clear" w:color="auto" w:fill="E6ECFD"/>
            <w:vAlign w:val="center"/>
          </w:tcPr>
          <w:p>
            <w:pPr>
              <w:spacing w:after="20" w:before="20" w:line="252" w:lineRule="auto"/>
            </w:pPr>
            <w:r/>
            <w:r>
              <w:rPr>
                <w:rFonts w:ascii="Arial" w:hAnsi="Arial"/>
                <w:b w:val="0"/>
                <w:sz w:val="17"/>
              </w:rPr>
              <w:t>Pada tiap gerbang</w:t>
            </w:r>
          </w:p>
        </w:tc>
        <w:tc>
          <w:tcPr>
            <w:tcW w:type="dxa" w:w="3265"/>
            <w:shd w:val="clear" w:color="auto" w:fill="E6ECFD"/>
            <w:vAlign w:val="center"/>
          </w:tcPr>
          <w:p>
            <w:pPr>
              <w:spacing w:after="20" w:before="20" w:line="252" w:lineRule="auto"/>
            </w:pPr>
            <w:r/>
            <w:r>
              <w:rPr>
                <w:rFonts w:ascii="Arial" w:hAnsi="Arial"/>
                <w:b w:val="0"/>
                <w:sz w:val="17"/>
              </w:rPr>
              <w:t>Lanjut, perbaiki, tunda, hentikan</w:t>
            </w:r>
          </w:p>
        </w:tc>
        <w:tc>
          <w:tcPr>
            <w:tcW w:type="dxa" w:w="2305"/>
            <w:shd w:val="clear" w:color="auto" w:fill="E6ECFD"/>
            <w:vAlign w:val="center"/>
          </w:tcPr>
          <w:p>
            <w:pPr>
              <w:spacing w:after="20" w:before="20" w:line="252" w:lineRule="auto"/>
            </w:pPr>
            <w:r/>
            <w:r>
              <w:rPr>
                <w:rFonts w:ascii="Arial" w:hAnsi="Arial"/>
                <w:b w:val="0"/>
                <w:sz w:val="17"/>
              </w:rPr>
              <w:t>Pemutus sesuai kewenangan; fungsi penilai</w:t>
            </w:r>
          </w:p>
        </w:tc>
      </w:tr>
      <w:tr>
        <w:trPr>
          <w:cantSplit/>
        </w:trPr>
        <w:tc>
          <w:tcPr>
            <w:tcW w:type="dxa" w:w="2113"/>
            <w:vAlign w:val="center"/>
          </w:tcPr>
          <w:p>
            <w:pPr>
              <w:spacing w:after="20" w:before="20" w:line="252" w:lineRule="auto"/>
            </w:pPr>
            <w:r/>
            <w:r>
              <w:rPr>
                <w:rFonts w:ascii="Arial" w:hAnsi="Arial"/>
                <w:b/>
                <w:sz w:val="17"/>
              </w:rPr>
              <w:t>Tinjauan hasil</w:t>
            </w:r>
          </w:p>
        </w:tc>
        <w:tc>
          <w:tcPr>
            <w:tcW w:type="dxa" w:w="1729"/>
            <w:vAlign w:val="center"/>
          </w:tcPr>
          <w:p>
            <w:pPr>
              <w:spacing w:after="20" w:before="20" w:line="252" w:lineRule="auto"/>
            </w:pPr>
            <w:r/>
            <w:r>
              <w:rPr>
                <w:rFonts w:ascii="Arial" w:hAnsi="Arial"/>
                <w:b w:val="0"/>
                <w:sz w:val="17"/>
              </w:rPr>
              <w:t>Tahunan dan pada komisioning + 12–24 bulan</w:t>
            </w:r>
          </w:p>
        </w:tc>
        <w:tc>
          <w:tcPr>
            <w:tcW w:type="dxa" w:w="3265"/>
            <w:vAlign w:val="center"/>
          </w:tcPr>
          <w:p>
            <w:pPr>
              <w:spacing w:after="20" w:before="20" w:line="252" w:lineRule="auto"/>
            </w:pPr>
            <w:r/>
            <w:r>
              <w:rPr>
                <w:rFonts w:ascii="Arial" w:hAnsi="Arial"/>
                <w:b w:val="0"/>
                <w:sz w:val="17"/>
              </w:rPr>
              <w:t>Evaluasi hasil, pelajaran, realokasi modal</w:t>
            </w:r>
          </w:p>
        </w:tc>
        <w:tc>
          <w:tcPr>
            <w:tcW w:type="dxa" w:w="2305"/>
            <w:vAlign w:val="center"/>
          </w:tcPr>
          <w:p>
            <w:pPr>
              <w:spacing w:after="20" w:before="20" w:line="252" w:lineRule="auto"/>
            </w:pPr>
            <w:r/>
            <w:r>
              <w:rPr>
                <w:rFonts w:ascii="Arial" w:hAnsi="Arial"/>
                <w:b w:val="0"/>
                <w:sz w:val="17"/>
              </w:rPr>
              <w:t>Dewan; sponsor; audit</w:t>
            </w:r>
          </w:p>
        </w:tc>
      </w:tr>
    </w:tbl>
    <w:p>
      <w:pPr>
        <w:spacing w:after="160"/>
      </w:pPr>
      <w:r>
        <w:rPr>
          <w:rFonts w:ascii="Arial" w:hAnsi="Arial"/>
          <w:b w:val="0"/>
          <w:i/>
          <w:color w:val="051C5C"/>
          <w:sz w:val="17"/>
        </w:rPr>
        <w:t>Sumber: gabungan [K, Bab 13.7 dan 14.6] dengan penambahan penulis.</w:t>
      </w:r>
    </w:p>
    <w:p>
      <w:pPr>
        <w:pStyle w:val="Heading2"/>
      </w:pPr>
      <w:r>
        <w:t>17.6  Standar minimum untuk semua proyek</w:t>
      </w:r>
    </w:p>
    <w:p>
      <w:pPr>
        <w:pStyle w:val="ListBullet"/>
        <w:spacing w:after="40"/>
      </w:pPr>
      <w:r>
        <w:rPr>
          <w:rFonts w:ascii="Arial" w:hAnsi="Arial"/>
          <w:b w:val="0"/>
        </w:rPr>
        <w:t>Setiap proyek mempunyai ID tunggal, sponsor, project director, dan organ sah sebelum P0.</w:t>
      </w:r>
    </w:p>
    <w:p>
      <w:pPr>
        <w:pStyle w:val="ListBullet"/>
        <w:spacing w:after="40"/>
      </w:pPr>
      <w:r>
        <w:rPr>
          <w:rFonts w:ascii="Arial" w:hAnsi="Arial"/>
          <w:b w:val="0"/>
        </w:rPr>
        <w:t>Tidak ada keputusan modal (P3) tanpa estimasi kelas 3 atau lebih tinggi, kontingensi berbasis risiko, dan opini risiko independen.</w:t>
      </w:r>
    </w:p>
    <w:p>
      <w:pPr>
        <w:pStyle w:val="ListBullet"/>
        <w:spacing w:after="40"/>
      </w:pPr>
      <w:r>
        <w:rPr>
          <w:rFonts w:ascii="Arial" w:hAnsi="Arial"/>
          <w:b w:val="0"/>
        </w:rPr>
        <w:t>Baseline lingkup, biaya, dan jadwal dibekukan pada P4; penetapan ulang hanya melalui permintaan perubahan yang disetujui dan dicatat.</w:t>
      </w:r>
    </w:p>
    <w:p>
      <w:pPr>
        <w:pStyle w:val="ListBullet"/>
        <w:spacing w:after="40"/>
      </w:pPr>
      <w:r>
        <w:rPr>
          <w:rFonts w:ascii="Arial" w:hAnsi="Arial"/>
          <w:b w:val="0"/>
        </w:rPr>
        <w:t>Tidak ada baris PR tanpa elemen WBS dan butir PBS; tiga pemeriksaan PR (anggaran, kuantitas, waktu) wajib; tidak ada PO setelah pekerjaan dimulai.</w:t>
      </w:r>
    </w:p>
    <w:p>
      <w:pPr>
        <w:pStyle w:val="ListBullet"/>
        <w:spacing w:after="40"/>
      </w:pPr>
      <w:r>
        <w:rPr>
          <w:rFonts w:ascii="Arial" w:hAnsi="Arial"/>
          <w:b w:val="0"/>
        </w:rPr>
        <w:t>Pencairan dana hanya setelah verifikasi independen untuk pengeluaran yang ditetapkan sebagai berbasis tonggak.</w:t>
      </w:r>
    </w:p>
    <w:p>
      <w:pPr>
        <w:pStyle w:val="ListBullet"/>
        <w:spacing w:after="40"/>
      </w:pPr>
      <w:r>
        <w:rPr>
          <w:rFonts w:ascii="Arial" w:hAnsi="Arial"/>
          <w:b w:val="0"/>
        </w:rPr>
        <w:t>Setiap angka pada laporan memuat kelas bukti, sumber, dan tanggal; data yang tidak tersedia ditulis NR.</w:t>
      </w:r>
    </w:p>
    <w:p>
      <w:pPr>
        <w:pStyle w:val="ListBullet"/>
        <w:spacing w:after="40"/>
      </w:pPr>
      <w:r>
        <w:rPr>
          <w:rFonts w:ascii="Arial" w:hAnsi="Arial"/>
          <w:b w:val="0"/>
        </w:rPr>
        <w:t>Pesanan kepada pemasok pada proyek jangkar dilepas hanya sesuai gerbang kesiapan yang terverifikasi.</w:t>
      </w:r>
    </w:p>
    <w:p>
      <w:pPr>
        <w:pStyle w:val="ListBullet"/>
        <w:spacing w:after="120"/>
      </w:pPr>
      <w:r>
        <w:rPr>
          <w:rFonts w:ascii="Arial" w:hAnsi="Arial"/>
          <w:b w:val="0"/>
        </w:rPr>
        <w:t>Fungsi risiko, hukum, dan audit tidak melapor secara substantif kepada pengusul proyek.</w:t>
      </w:r>
    </w:p>
    <w:p>
      <w:pPr>
        <w:pStyle w:val="Heading2"/>
      </w:pPr>
      <w:r>
        <w:t>17.7  Model kematangan</w:t>
      </w:r>
    </w:p>
    <w:p>
      <w:pPr>
        <w:jc w:val="both"/>
      </w:pPr>
      <w:r>
        <w:rPr>
          <w:rFonts w:ascii="Arial" w:hAnsi="Arial"/>
          <w:b w:val="0"/>
        </w:rPr>
        <w:t>Model kematangan membantu mengukur kemajuan penerapan dan menetapkan target realistis. Lima tingkat berikut disusun untuk Danantara, dengan kriteria ringkas pada enam dimensi. Penilaian kondisi saat ini tidak dilakukan dalam makalah ini karena memerlukan pengujian internal.</w:t>
      </w:r>
    </w:p>
    <w:p>
      <w:pPr>
        <w:keepNext/>
        <w:spacing w:after="60"/>
      </w:pPr>
      <w:r>
        <w:rPr>
          <w:rFonts w:ascii="Arial" w:hAnsi="Arial"/>
          <w:b/>
          <w:color w:val="051C5C"/>
          <w:sz w:val="19"/>
        </w:rPr>
        <w:t xml:space="preserve">Tabel 53: </w:t>
      </w:r>
      <w:r>
        <w:rPr>
          <w:rFonts w:ascii="Arial" w:hAnsi="Arial"/>
          <w:color w:val="051C5C"/>
          <w:sz w:val="19"/>
        </w:rPr>
        <w:t>Model kematangan DPMS (lima tingkat)</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1569"/>
        <w:gridCol w:w="1569"/>
        <w:gridCol w:w="1569"/>
        <w:gridCol w:w="1569"/>
        <w:gridCol w:w="1569"/>
        <w:gridCol w:w="1569"/>
      </w:tblGrid>
      <w:tr>
        <w:trPr>
          <w:cantSplit/>
          <w:tblHeader/>
        </w:trPr>
        <w:tc>
          <w:tcPr>
            <w:tcW w:type="dxa" w:w="1470"/>
            <w:shd w:val="clear" w:color="auto" w:fill="2251FF"/>
            <w:vAlign w:val="center"/>
          </w:tcPr>
          <w:p>
            <w:pPr>
              <w:spacing w:after="20" w:before="20" w:line="252" w:lineRule="auto"/>
            </w:pPr>
            <w:r/>
            <w:r>
              <w:rPr>
                <w:rFonts w:ascii="Arial" w:hAnsi="Arial"/>
                <w:b/>
                <w:color w:val="FFFFFF"/>
                <w:sz w:val="15"/>
              </w:rPr>
              <w:t>Dimensi</w:t>
            </w:r>
          </w:p>
        </w:tc>
        <w:tc>
          <w:tcPr>
            <w:tcW w:type="dxa" w:w="1372"/>
            <w:shd w:val="clear" w:color="auto" w:fill="2251FF"/>
            <w:vAlign w:val="center"/>
          </w:tcPr>
          <w:p>
            <w:pPr>
              <w:spacing w:after="20" w:before="20" w:line="252" w:lineRule="auto"/>
            </w:pPr>
            <w:r/>
            <w:r>
              <w:rPr>
                <w:rFonts w:ascii="Arial" w:hAnsi="Arial"/>
                <w:b/>
                <w:color w:val="FFFFFF"/>
                <w:sz w:val="15"/>
              </w:rPr>
              <w:t>1 Awal</w:t>
            </w:r>
          </w:p>
        </w:tc>
        <w:tc>
          <w:tcPr>
            <w:tcW w:type="dxa" w:w="1569"/>
            <w:shd w:val="clear" w:color="auto" w:fill="2251FF"/>
            <w:vAlign w:val="center"/>
          </w:tcPr>
          <w:p>
            <w:pPr>
              <w:spacing w:after="20" w:before="20" w:line="252" w:lineRule="auto"/>
            </w:pPr>
            <w:r/>
            <w:r>
              <w:rPr>
                <w:rFonts w:ascii="Arial" w:hAnsi="Arial"/>
                <w:b/>
                <w:color w:val="FFFFFF"/>
                <w:sz w:val="15"/>
              </w:rPr>
              <w:t>2 Terdefinisi</w:t>
            </w:r>
          </w:p>
        </w:tc>
        <w:tc>
          <w:tcPr>
            <w:tcW w:type="dxa" w:w="1569"/>
            <w:shd w:val="clear" w:color="auto" w:fill="2251FF"/>
            <w:vAlign w:val="center"/>
          </w:tcPr>
          <w:p>
            <w:pPr>
              <w:spacing w:after="20" w:before="20" w:line="252" w:lineRule="auto"/>
            </w:pPr>
            <w:r/>
            <w:r>
              <w:rPr>
                <w:rFonts w:ascii="Arial" w:hAnsi="Arial"/>
                <w:b/>
                <w:color w:val="FFFFFF"/>
                <w:sz w:val="15"/>
              </w:rPr>
              <w:t>3 Terkelola</w:t>
            </w:r>
          </w:p>
        </w:tc>
        <w:tc>
          <w:tcPr>
            <w:tcW w:type="dxa" w:w="1765"/>
            <w:shd w:val="clear" w:color="auto" w:fill="2251FF"/>
            <w:vAlign w:val="center"/>
          </w:tcPr>
          <w:p>
            <w:pPr>
              <w:spacing w:after="20" w:before="20" w:line="252" w:lineRule="auto"/>
            </w:pPr>
            <w:r/>
            <w:r>
              <w:rPr>
                <w:rFonts w:ascii="Arial" w:hAnsi="Arial"/>
                <w:b/>
                <w:color w:val="FFFFFF"/>
                <w:sz w:val="15"/>
              </w:rPr>
              <w:t>4 Terukur</w:t>
            </w:r>
          </w:p>
        </w:tc>
        <w:tc>
          <w:tcPr>
            <w:tcW w:type="dxa" w:w="1667"/>
            <w:shd w:val="clear" w:color="auto" w:fill="2251FF"/>
            <w:vAlign w:val="center"/>
          </w:tcPr>
          <w:p>
            <w:pPr>
              <w:spacing w:after="20" w:before="20" w:line="252" w:lineRule="auto"/>
            </w:pPr>
            <w:r/>
            <w:r>
              <w:rPr>
                <w:rFonts w:ascii="Arial" w:hAnsi="Arial"/>
                <w:b/>
                <w:color w:val="FFFFFF"/>
                <w:sz w:val="15"/>
              </w:rPr>
              <w:t>5 Dioptimalkan</w:t>
            </w:r>
          </w:p>
        </w:tc>
      </w:tr>
      <w:tr>
        <w:trPr>
          <w:cantSplit/>
        </w:trPr>
        <w:tc>
          <w:tcPr>
            <w:tcW w:type="dxa" w:w="1470"/>
            <w:vAlign w:val="center"/>
          </w:tcPr>
          <w:p>
            <w:pPr>
              <w:spacing w:after="20" w:before="20" w:line="252" w:lineRule="auto"/>
            </w:pPr>
            <w:r/>
            <w:r>
              <w:rPr>
                <w:rFonts w:ascii="Arial" w:hAnsi="Arial"/>
                <w:b/>
                <w:sz w:val="15"/>
              </w:rPr>
              <w:t>Register dan data</w:t>
            </w:r>
          </w:p>
        </w:tc>
        <w:tc>
          <w:tcPr>
            <w:tcW w:type="dxa" w:w="1372"/>
            <w:vAlign w:val="center"/>
          </w:tcPr>
          <w:p>
            <w:pPr>
              <w:spacing w:after="20" w:before="20" w:line="252" w:lineRule="auto"/>
            </w:pPr>
            <w:r/>
            <w:r>
              <w:rPr>
                <w:rFonts w:ascii="Arial" w:hAnsi="Arial"/>
                <w:b w:val="0"/>
                <w:sz w:val="15"/>
              </w:rPr>
              <w:t>Daftar terpisah; angka berbeda</w:t>
            </w:r>
          </w:p>
        </w:tc>
        <w:tc>
          <w:tcPr>
            <w:tcW w:type="dxa" w:w="1569"/>
            <w:vAlign w:val="center"/>
          </w:tcPr>
          <w:p>
            <w:pPr>
              <w:spacing w:after="20" w:before="20" w:line="252" w:lineRule="auto"/>
            </w:pPr>
            <w:r/>
            <w:r>
              <w:rPr>
                <w:rFonts w:ascii="Arial" w:hAnsi="Arial"/>
                <w:b w:val="0"/>
                <w:sz w:val="15"/>
              </w:rPr>
              <w:t>Register tunggal dengan ID; pemilik data</w:t>
            </w:r>
          </w:p>
        </w:tc>
        <w:tc>
          <w:tcPr>
            <w:tcW w:type="dxa" w:w="1569"/>
            <w:vAlign w:val="center"/>
          </w:tcPr>
          <w:p>
            <w:pPr>
              <w:spacing w:after="20" w:before="20" w:line="252" w:lineRule="auto"/>
            </w:pPr>
            <w:r/>
            <w:r>
              <w:rPr>
                <w:rFonts w:ascii="Arial" w:hAnsi="Arial"/>
                <w:b w:val="0"/>
                <w:sz w:val="15"/>
              </w:rPr>
              <w:t>Register direkonsiliasi; versi</w:t>
            </w:r>
          </w:p>
        </w:tc>
        <w:tc>
          <w:tcPr>
            <w:tcW w:type="dxa" w:w="1765"/>
            <w:vAlign w:val="center"/>
          </w:tcPr>
          <w:p>
            <w:pPr>
              <w:spacing w:after="20" w:before="20" w:line="252" w:lineRule="auto"/>
            </w:pPr>
            <w:r/>
            <w:r>
              <w:rPr>
                <w:rFonts w:ascii="Arial" w:hAnsi="Arial"/>
                <w:b w:val="0"/>
                <w:sz w:val="15"/>
              </w:rPr>
              <w:t>Kelas bukti pada setiap angka; kualitas data diukur</w:t>
            </w:r>
          </w:p>
        </w:tc>
        <w:tc>
          <w:tcPr>
            <w:tcW w:type="dxa" w:w="1667"/>
            <w:vAlign w:val="center"/>
          </w:tcPr>
          <w:p>
            <w:pPr>
              <w:spacing w:after="20" w:before="20" w:line="252" w:lineRule="auto"/>
            </w:pPr>
            <w:r/>
            <w:r>
              <w:rPr>
                <w:rFonts w:ascii="Arial" w:hAnsi="Arial"/>
                <w:b w:val="0"/>
                <w:sz w:val="15"/>
              </w:rPr>
              <w:t>Data real-time dari sistem sumber</w:t>
            </w:r>
          </w:p>
        </w:tc>
      </w:tr>
      <w:tr>
        <w:trPr>
          <w:cantSplit/>
        </w:trPr>
        <w:tc>
          <w:tcPr>
            <w:tcW w:type="dxa" w:w="1470"/>
            <w:shd w:val="clear" w:color="auto" w:fill="E6ECFD"/>
            <w:vAlign w:val="center"/>
          </w:tcPr>
          <w:p>
            <w:pPr>
              <w:spacing w:after="20" w:before="20" w:line="252" w:lineRule="auto"/>
            </w:pPr>
            <w:r/>
            <w:r>
              <w:rPr>
                <w:rFonts w:ascii="Arial" w:hAnsi="Arial"/>
                <w:b/>
                <w:sz w:val="15"/>
              </w:rPr>
              <w:t>Gerbang dan keputusan</w:t>
            </w:r>
          </w:p>
        </w:tc>
        <w:tc>
          <w:tcPr>
            <w:tcW w:type="dxa" w:w="1372"/>
            <w:shd w:val="clear" w:color="auto" w:fill="E6ECFD"/>
            <w:vAlign w:val="center"/>
          </w:tcPr>
          <w:p>
            <w:pPr>
              <w:spacing w:after="20" w:before="20" w:line="252" w:lineRule="auto"/>
            </w:pPr>
            <w:r/>
            <w:r>
              <w:rPr>
                <w:rFonts w:ascii="Arial" w:hAnsi="Arial"/>
                <w:b w:val="0"/>
                <w:sz w:val="15"/>
              </w:rPr>
              <w:t>Keputusan ad hoc</w:t>
            </w:r>
          </w:p>
        </w:tc>
        <w:tc>
          <w:tcPr>
            <w:tcW w:type="dxa" w:w="1569"/>
            <w:shd w:val="clear" w:color="auto" w:fill="E6ECFD"/>
            <w:vAlign w:val="center"/>
          </w:tcPr>
          <w:p>
            <w:pPr>
              <w:spacing w:after="20" w:before="20" w:line="252" w:lineRule="auto"/>
            </w:pPr>
            <w:r/>
            <w:r>
              <w:rPr>
                <w:rFonts w:ascii="Arial" w:hAnsi="Arial"/>
                <w:b w:val="0"/>
                <w:sz w:val="15"/>
              </w:rPr>
              <w:t>Gerbang P0–P6 didefinisikan</w:t>
            </w:r>
          </w:p>
        </w:tc>
        <w:tc>
          <w:tcPr>
            <w:tcW w:type="dxa" w:w="1569"/>
            <w:shd w:val="clear" w:color="auto" w:fill="E6ECFD"/>
            <w:vAlign w:val="center"/>
          </w:tcPr>
          <w:p>
            <w:pPr>
              <w:spacing w:after="20" w:before="20" w:line="252" w:lineRule="auto"/>
            </w:pPr>
            <w:r/>
            <w:r>
              <w:rPr>
                <w:rFonts w:ascii="Arial" w:hAnsi="Arial"/>
                <w:b w:val="0"/>
                <w:sz w:val="15"/>
              </w:rPr>
              <w:t>Gerbang dijalankan dengan bukti</w:t>
            </w:r>
          </w:p>
        </w:tc>
        <w:tc>
          <w:tcPr>
            <w:tcW w:type="dxa" w:w="1765"/>
            <w:shd w:val="clear" w:color="auto" w:fill="E6ECFD"/>
            <w:vAlign w:val="center"/>
          </w:tcPr>
          <w:p>
            <w:pPr>
              <w:spacing w:after="20" w:before="20" w:line="252" w:lineRule="auto"/>
            </w:pPr>
            <w:r/>
            <w:r>
              <w:rPr>
                <w:rFonts w:ascii="Arial" w:hAnsi="Arial"/>
                <w:b w:val="0"/>
                <w:sz w:val="15"/>
              </w:rPr>
              <w:t>Waktu keputusan dan hambatan diukur</w:t>
            </w:r>
          </w:p>
        </w:tc>
        <w:tc>
          <w:tcPr>
            <w:tcW w:type="dxa" w:w="1667"/>
            <w:shd w:val="clear" w:color="auto" w:fill="E6ECFD"/>
            <w:vAlign w:val="center"/>
          </w:tcPr>
          <w:p>
            <w:pPr>
              <w:spacing w:after="20" w:before="20" w:line="252" w:lineRule="auto"/>
            </w:pPr>
            <w:r/>
            <w:r>
              <w:rPr>
                <w:rFonts w:ascii="Arial" w:hAnsi="Arial"/>
                <w:b w:val="0"/>
                <w:sz w:val="15"/>
              </w:rPr>
              <w:t>Gerbang disempurnakan dari data hasil</w:t>
            </w:r>
          </w:p>
        </w:tc>
      </w:tr>
      <w:tr>
        <w:trPr>
          <w:cantSplit/>
        </w:trPr>
        <w:tc>
          <w:tcPr>
            <w:tcW w:type="dxa" w:w="1470"/>
            <w:vAlign w:val="center"/>
          </w:tcPr>
          <w:p>
            <w:pPr>
              <w:spacing w:after="20" w:before="20" w:line="252" w:lineRule="auto"/>
            </w:pPr>
            <w:r/>
            <w:r>
              <w:rPr>
                <w:rFonts w:ascii="Arial" w:hAnsi="Arial"/>
                <w:b/>
                <w:sz w:val="15"/>
              </w:rPr>
              <w:t>Biaya dan jadwal</w:t>
            </w:r>
          </w:p>
        </w:tc>
        <w:tc>
          <w:tcPr>
            <w:tcW w:type="dxa" w:w="1372"/>
            <w:vAlign w:val="center"/>
          </w:tcPr>
          <w:p>
            <w:pPr>
              <w:spacing w:after="20" w:before="20" w:line="252" w:lineRule="auto"/>
            </w:pPr>
            <w:r/>
            <w:r>
              <w:rPr>
                <w:rFonts w:ascii="Arial" w:hAnsi="Arial"/>
                <w:b w:val="0"/>
                <w:sz w:val="15"/>
              </w:rPr>
              <w:t>Aktual saja</w:t>
            </w:r>
          </w:p>
        </w:tc>
        <w:tc>
          <w:tcPr>
            <w:tcW w:type="dxa" w:w="1569"/>
            <w:vAlign w:val="center"/>
          </w:tcPr>
          <w:p>
            <w:pPr>
              <w:spacing w:after="20" w:before="20" w:line="252" w:lineRule="auto"/>
            </w:pPr>
            <w:r/>
            <w:r>
              <w:rPr>
                <w:rFonts w:ascii="Arial" w:hAnsi="Arial"/>
                <w:b w:val="0"/>
                <w:sz w:val="15"/>
              </w:rPr>
              <w:t>Anggaran dan baseline</w:t>
            </w:r>
          </w:p>
        </w:tc>
        <w:tc>
          <w:tcPr>
            <w:tcW w:type="dxa" w:w="1569"/>
            <w:vAlign w:val="center"/>
          </w:tcPr>
          <w:p>
            <w:pPr>
              <w:spacing w:after="20" w:before="20" w:line="252" w:lineRule="auto"/>
            </w:pPr>
            <w:r/>
            <w:r>
              <w:rPr>
                <w:rFonts w:ascii="Arial" w:hAnsi="Arial"/>
                <w:b w:val="0"/>
                <w:sz w:val="15"/>
              </w:rPr>
              <w:t>Komitmen, EAC, jadwal kritis</w:t>
            </w:r>
          </w:p>
        </w:tc>
        <w:tc>
          <w:tcPr>
            <w:tcW w:type="dxa" w:w="1765"/>
            <w:vAlign w:val="center"/>
          </w:tcPr>
          <w:p>
            <w:pPr>
              <w:spacing w:after="20" w:before="20" w:line="252" w:lineRule="auto"/>
            </w:pPr>
            <w:r/>
            <w:r>
              <w:rPr>
                <w:rFonts w:ascii="Arial" w:hAnsi="Arial"/>
                <w:b w:val="0"/>
                <w:sz w:val="15"/>
              </w:rPr>
              <w:t>EVM; estimasi kelas AACE; risiko jadwal kuantitatif</w:t>
            </w:r>
          </w:p>
        </w:tc>
        <w:tc>
          <w:tcPr>
            <w:tcW w:type="dxa" w:w="1667"/>
            <w:vAlign w:val="center"/>
          </w:tcPr>
          <w:p>
            <w:pPr>
              <w:spacing w:after="20" w:before="20" w:line="252" w:lineRule="auto"/>
            </w:pPr>
            <w:r/>
            <w:r>
              <w:rPr>
                <w:rFonts w:ascii="Arial" w:hAnsi="Arial"/>
                <w:b w:val="0"/>
                <w:sz w:val="15"/>
              </w:rPr>
              <w:t>Prakiraan dan koreksi otomatis dengan umpan balik</w:t>
            </w:r>
          </w:p>
        </w:tc>
      </w:tr>
      <w:tr>
        <w:trPr>
          <w:cantSplit/>
        </w:trPr>
        <w:tc>
          <w:tcPr>
            <w:tcW w:type="dxa" w:w="1470"/>
            <w:shd w:val="clear" w:color="auto" w:fill="E6ECFD"/>
            <w:vAlign w:val="center"/>
          </w:tcPr>
          <w:p>
            <w:pPr>
              <w:spacing w:after="20" w:before="20" w:line="252" w:lineRule="auto"/>
            </w:pPr>
            <w:r/>
            <w:r>
              <w:rPr>
                <w:rFonts w:ascii="Arial" w:hAnsi="Arial"/>
                <w:b/>
                <w:sz w:val="15"/>
              </w:rPr>
              <w:t>Risiko</w:t>
            </w:r>
          </w:p>
        </w:tc>
        <w:tc>
          <w:tcPr>
            <w:tcW w:type="dxa" w:w="1372"/>
            <w:shd w:val="clear" w:color="auto" w:fill="E6ECFD"/>
            <w:vAlign w:val="center"/>
          </w:tcPr>
          <w:p>
            <w:pPr>
              <w:spacing w:after="20" w:before="20" w:line="252" w:lineRule="auto"/>
            </w:pPr>
            <w:r/>
            <w:r>
              <w:rPr>
                <w:rFonts w:ascii="Arial" w:hAnsi="Arial"/>
                <w:b w:val="0"/>
                <w:sz w:val="15"/>
              </w:rPr>
              <w:t>Daftar kekhawatiran</w:t>
            </w:r>
          </w:p>
        </w:tc>
        <w:tc>
          <w:tcPr>
            <w:tcW w:type="dxa" w:w="1569"/>
            <w:shd w:val="clear" w:color="auto" w:fill="E6ECFD"/>
            <w:vAlign w:val="center"/>
          </w:tcPr>
          <w:p>
            <w:pPr>
              <w:spacing w:after="20" w:before="20" w:line="252" w:lineRule="auto"/>
            </w:pPr>
            <w:r/>
            <w:r>
              <w:rPr>
                <w:rFonts w:ascii="Arial" w:hAnsi="Arial"/>
                <w:b w:val="0"/>
                <w:sz w:val="15"/>
              </w:rPr>
              <w:t>Register dengan pemilik</w:t>
            </w:r>
          </w:p>
        </w:tc>
        <w:tc>
          <w:tcPr>
            <w:tcW w:type="dxa" w:w="1569"/>
            <w:shd w:val="clear" w:color="auto" w:fill="E6ECFD"/>
            <w:vAlign w:val="center"/>
          </w:tcPr>
          <w:p>
            <w:pPr>
              <w:spacing w:after="20" w:before="20" w:line="252" w:lineRule="auto"/>
            </w:pPr>
            <w:r/>
            <w:r>
              <w:rPr>
                <w:rFonts w:ascii="Arial" w:hAnsi="Arial"/>
                <w:b w:val="0"/>
                <w:sz w:val="15"/>
              </w:rPr>
              <w:t>Respons dan kontingensi berbasis risiko</w:t>
            </w:r>
          </w:p>
        </w:tc>
        <w:tc>
          <w:tcPr>
            <w:tcW w:type="dxa" w:w="1765"/>
            <w:shd w:val="clear" w:color="auto" w:fill="E6ECFD"/>
            <w:vAlign w:val="center"/>
          </w:tcPr>
          <w:p>
            <w:pPr>
              <w:spacing w:after="20" w:before="20" w:line="252" w:lineRule="auto"/>
            </w:pPr>
            <w:r/>
            <w:r>
              <w:rPr>
                <w:rFonts w:ascii="Arial" w:hAnsi="Arial"/>
                <w:b w:val="0"/>
                <w:sz w:val="15"/>
              </w:rPr>
              <w:t>Simulasi; korelasi; uji stres</w:t>
            </w:r>
          </w:p>
        </w:tc>
        <w:tc>
          <w:tcPr>
            <w:tcW w:type="dxa" w:w="1667"/>
            <w:shd w:val="clear" w:color="auto" w:fill="E6ECFD"/>
            <w:vAlign w:val="center"/>
          </w:tcPr>
          <w:p>
            <w:pPr>
              <w:spacing w:after="20" w:before="20" w:line="252" w:lineRule="auto"/>
            </w:pPr>
            <w:r/>
            <w:r>
              <w:rPr>
                <w:rFonts w:ascii="Arial" w:hAnsi="Arial"/>
                <w:b w:val="0"/>
                <w:sz w:val="15"/>
              </w:rPr>
              <w:t>Risiko diprediksi dan dicegah</w:t>
            </w:r>
          </w:p>
        </w:tc>
      </w:tr>
      <w:tr>
        <w:trPr>
          <w:cantSplit/>
        </w:trPr>
        <w:tc>
          <w:tcPr>
            <w:tcW w:type="dxa" w:w="1470"/>
            <w:vAlign w:val="center"/>
          </w:tcPr>
          <w:p>
            <w:pPr>
              <w:spacing w:after="20" w:before="20" w:line="252" w:lineRule="auto"/>
            </w:pPr>
            <w:r/>
            <w:r>
              <w:rPr>
                <w:rFonts w:ascii="Arial" w:hAnsi="Arial"/>
                <w:b/>
                <w:sz w:val="15"/>
              </w:rPr>
              <w:t>Pengadaan dan pemasok</w:t>
            </w:r>
          </w:p>
        </w:tc>
        <w:tc>
          <w:tcPr>
            <w:tcW w:type="dxa" w:w="1372"/>
            <w:vAlign w:val="center"/>
          </w:tcPr>
          <w:p>
            <w:pPr>
              <w:spacing w:after="20" w:before="20" w:line="252" w:lineRule="auto"/>
            </w:pPr>
            <w:r/>
            <w:r>
              <w:rPr>
                <w:rFonts w:ascii="Arial" w:hAnsi="Arial"/>
                <w:b w:val="0"/>
                <w:sz w:val="15"/>
              </w:rPr>
              <w:t>Pembelian per kasus</w:t>
            </w:r>
          </w:p>
        </w:tc>
        <w:tc>
          <w:tcPr>
            <w:tcW w:type="dxa" w:w="1569"/>
            <w:vAlign w:val="center"/>
          </w:tcPr>
          <w:p>
            <w:pPr>
              <w:spacing w:after="20" w:before="20" w:line="252" w:lineRule="auto"/>
            </w:pPr>
            <w:r/>
            <w:r>
              <w:rPr>
                <w:rFonts w:ascii="Arial" w:hAnsi="Arial"/>
                <w:b w:val="0"/>
                <w:sz w:val="15"/>
              </w:rPr>
              <w:t>Prosedur, kewenangan</w:t>
            </w:r>
          </w:p>
        </w:tc>
        <w:tc>
          <w:tcPr>
            <w:tcW w:type="dxa" w:w="1569"/>
            <w:vAlign w:val="center"/>
          </w:tcPr>
          <w:p>
            <w:pPr>
              <w:spacing w:after="20" w:before="20" w:line="252" w:lineRule="auto"/>
            </w:pPr>
            <w:r/>
            <w:r>
              <w:rPr>
                <w:rFonts w:ascii="Arial" w:hAnsi="Arial"/>
                <w:b w:val="0"/>
                <w:sz w:val="15"/>
              </w:rPr>
              <w:t>Tiga pemeriksaan PR; pencocokan tiga arah</w:t>
            </w:r>
          </w:p>
        </w:tc>
        <w:tc>
          <w:tcPr>
            <w:tcW w:type="dxa" w:w="1765"/>
            <w:vAlign w:val="center"/>
          </w:tcPr>
          <w:p>
            <w:pPr>
              <w:spacing w:after="20" w:before="20" w:line="252" w:lineRule="auto"/>
            </w:pPr>
            <w:r/>
            <w:r>
              <w:rPr>
                <w:rFonts w:ascii="Arial" w:hAnsi="Arial"/>
                <w:b w:val="0"/>
                <w:sz w:val="15"/>
              </w:rPr>
              <w:t>Gerbang pemasok; indikator K01–K05</w:t>
            </w:r>
          </w:p>
        </w:tc>
        <w:tc>
          <w:tcPr>
            <w:tcW w:type="dxa" w:w="1667"/>
            <w:vAlign w:val="center"/>
          </w:tcPr>
          <w:p>
            <w:pPr>
              <w:spacing w:after="20" w:before="20" w:line="252" w:lineRule="auto"/>
            </w:pPr>
            <w:r/>
            <w:r>
              <w:rPr>
                <w:rFonts w:ascii="Arial" w:hAnsi="Arial"/>
                <w:b w:val="0"/>
                <w:sz w:val="15"/>
              </w:rPr>
              <w:t>Pemasok kelas dunia; ekspor</w:t>
            </w:r>
          </w:p>
        </w:tc>
      </w:tr>
      <w:tr>
        <w:trPr>
          <w:cantSplit/>
        </w:trPr>
        <w:tc>
          <w:tcPr>
            <w:tcW w:type="dxa" w:w="1470"/>
            <w:shd w:val="clear" w:color="auto" w:fill="E6ECFD"/>
            <w:vAlign w:val="center"/>
          </w:tcPr>
          <w:p>
            <w:pPr>
              <w:spacing w:after="20" w:before="20" w:line="252" w:lineRule="auto"/>
            </w:pPr>
            <w:r/>
            <w:r>
              <w:rPr>
                <w:rFonts w:ascii="Arial" w:hAnsi="Arial"/>
                <w:b/>
                <w:sz w:val="15"/>
              </w:rPr>
              <w:t>Manfaat dan pembelajaran</w:t>
            </w:r>
          </w:p>
        </w:tc>
        <w:tc>
          <w:tcPr>
            <w:tcW w:type="dxa" w:w="1372"/>
            <w:shd w:val="clear" w:color="auto" w:fill="E6ECFD"/>
            <w:vAlign w:val="center"/>
          </w:tcPr>
          <w:p>
            <w:pPr>
              <w:spacing w:after="20" w:before="20" w:line="252" w:lineRule="auto"/>
            </w:pPr>
            <w:r/>
            <w:r>
              <w:rPr>
                <w:rFonts w:ascii="Arial" w:hAnsi="Arial"/>
                <w:b w:val="0"/>
                <w:sz w:val="15"/>
              </w:rPr>
              <w:t>Tidak dilacak</w:t>
            </w:r>
          </w:p>
        </w:tc>
        <w:tc>
          <w:tcPr>
            <w:tcW w:type="dxa" w:w="1569"/>
            <w:shd w:val="clear" w:color="auto" w:fill="E6ECFD"/>
            <w:vAlign w:val="center"/>
          </w:tcPr>
          <w:p>
            <w:pPr>
              <w:spacing w:after="20" w:before="20" w:line="252" w:lineRule="auto"/>
            </w:pPr>
            <w:r/>
            <w:r>
              <w:rPr>
                <w:rFonts w:ascii="Arial" w:hAnsi="Arial"/>
                <w:b w:val="0"/>
                <w:sz w:val="15"/>
              </w:rPr>
              <w:t>Manfaat ditetapkan</w:t>
            </w:r>
          </w:p>
        </w:tc>
        <w:tc>
          <w:tcPr>
            <w:tcW w:type="dxa" w:w="1569"/>
            <w:shd w:val="clear" w:color="auto" w:fill="E6ECFD"/>
            <w:vAlign w:val="center"/>
          </w:tcPr>
          <w:p>
            <w:pPr>
              <w:spacing w:after="20" w:before="20" w:line="252" w:lineRule="auto"/>
            </w:pPr>
            <w:r/>
            <w:r>
              <w:rPr>
                <w:rFonts w:ascii="Arial" w:hAnsi="Arial"/>
                <w:b w:val="0"/>
                <w:sz w:val="15"/>
              </w:rPr>
              <w:t>Dilaporkan pada P6</w:t>
            </w:r>
          </w:p>
        </w:tc>
        <w:tc>
          <w:tcPr>
            <w:tcW w:type="dxa" w:w="1765"/>
            <w:shd w:val="clear" w:color="auto" w:fill="E6ECFD"/>
            <w:vAlign w:val="center"/>
          </w:tcPr>
          <w:p>
            <w:pPr>
              <w:spacing w:after="20" w:before="20" w:line="252" w:lineRule="auto"/>
            </w:pPr>
            <w:r/>
            <w:r>
              <w:rPr>
                <w:rFonts w:ascii="Arial" w:hAnsi="Arial"/>
                <w:b w:val="0"/>
                <w:sz w:val="15"/>
              </w:rPr>
              <w:t>Terverifikasi; tanpa penghitungan ganda</w:t>
            </w:r>
          </w:p>
        </w:tc>
        <w:tc>
          <w:tcPr>
            <w:tcW w:type="dxa" w:w="1667"/>
            <w:shd w:val="clear" w:color="auto" w:fill="E6ECFD"/>
            <w:vAlign w:val="center"/>
          </w:tcPr>
          <w:p>
            <w:pPr>
              <w:spacing w:after="20" w:before="20" w:line="252" w:lineRule="auto"/>
            </w:pPr>
            <w:r/>
            <w:r>
              <w:rPr>
                <w:rFonts w:ascii="Arial" w:hAnsi="Arial"/>
                <w:b w:val="0"/>
                <w:sz w:val="15"/>
              </w:rPr>
              <w:t>Basis pelajaran memperbaiki estimasi</w:t>
            </w:r>
          </w:p>
        </w:tc>
      </w:tr>
    </w:tbl>
    <w:p>
      <w:pPr>
        <w:spacing w:after="160"/>
      </w:pPr>
      <w:r>
        <w:rPr>
          <w:rFonts w:ascii="Arial" w:hAnsi="Arial"/>
          <w:b w:val="0"/>
          <w:i/>
          <w:color w:val="051C5C"/>
          <w:sz w:val="17"/>
        </w:rPr>
        <w:t>Rancangan penulis; terinspirasi model kematangan umum (mis. OPM3, P3M3).</w:t>
      </w:r>
    </w:p>
    <w:p>
      <w:pPr>
        <w:pStyle w:val="Heading2"/>
      </w:pPr>
      <w:r>
        <w:t>17.8  Peta jalan penerapan</w:t>
      </w:r>
    </w:p>
    <w:p>
      <w:pPr>
        <w:keepNext/>
        <w:jc w:val="center"/>
      </w:pPr>
      <w:r>
        <w:drawing>
          <wp:inline xmlns:a="http://schemas.openxmlformats.org/drawingml/2006/main" xmlns:pic="http://schemas.openxmlformats.org/drawingml/2006/picture">
            <wp:extent cx="5580000" cy="3016869"/>
            <wp:docPr id="16" name="Picture 16"/>
            <wp:cNvGraphicFramePr>
              <a:graphicFrameLocks noChangeAspect="1"/>
            </wp:cNvGraphicFramePr>
            <a:graphic>
              <a:graphicData uri="http://schemas.openxmlformats.org/drawingml/2006/picture">
                <pic:pic>
                  <pic:nvPicPr>
                    <pic:cNvPr id="0" name="f_roadmap.png"/>
                    <pic:cNvPicPr/>
                  </pic:nvPicPr>
                  <pic:blipFill>
                    <a:blip r:embed="rId25"/>
                    <a:stretch>
                      <a:fillRect/>
                    </a:stretch>
                  </pic:blipFill>
                  <pic:spPr>
                    <a:xfrm>
                      <a:off x="0" y="0"/>
                      <a:ext cx="5580000" cy="3016869"/>
                    </a:xfrm>
                    <a:prstGeom prst="rect"/>
                  </pic:spPr>
                </pic:pic>
              </a:graphicData>
            </a:graphic>
          </wp:inline>
        </w:drawing>
      </w:r>
    </w:p>
    <w:p>
      <w:pPr>
        <w:keepNext w:val="0"/>
        <w:spacing w:after="60"/>
      </w:pPr>
      <w:r>
        <w:rPr>
          <w:rFonts w:ascii="Arial" w:hAnsi="Arial"/>
          <w:b/>
          <w:color w:val="051C5C"/>
          <w:sz w:val="19"/>
        </w:rPr>
        <w:t xml:space="preserve">Gambar 16: </w:t>
      </w:r>
      <w:r>
        <w:rPr>
          <w:rFonts w:ascii="Arial" w:hAnsi="Arial"/>
          <w:color w:val="051C5C"/>
          <w:sz w:val="19"/>
        </w:rPr>
        <w:t>Peta jalan penerapan DPMS: 0–90 hari, 4–12 bulan, 12–24 bulan, dan seterusnya</w:t>
      </w:r>
    </w:p>
    <w:p>
      <w:pPr>
        <w:spacing w:after="160"/>
      </w:pPr>
      <w:r>
        <w:rPr>
          <w:rFonts w:ascii="Arial" w:hAnsi="Arial"/>
          <w:b w:val="0"/>
          <w:i/>
          <w:color w:val="051C5C"/>
          <w:sz w:val="17"/>
        </w:rPr>
        <w:t>Sumber: diolah dari [K, Bab 16] dan [EVAL, Bagian 16]; waktu dihitung dari Hari ke-0 (persetujuan prinsip) dan merupakan usulan.</w:t>
      </w:r>
    </w:p>
    <w:p>
      <w:pPr>
        <w:keepNext/>
        <w:spacing w:after="60"/>
      </w:pPr>
      <w:r>
        <w:rPr>
          <w:rFonts w:ascii="Arial" w:hAnsi="Arial"/>
          <w:b/>
          <w:color w:val="051C5C"/>
          <w:sz w:val="19"/>
        </w:rPr>
        <w:t xml:space="preserve">Tabel 54: </w:t>
      </w:r>
      <w:r>
        <w:rPr>
          <w:rFonts w:ascii="Arial" w:hAnsi="Arial"/>
          <w:color w:val="051C5C"/>
          <w:sz w:val="19"/>
        </w:rPr>
        <w:t>Langkah penerapan dan titik keputusan</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1331"/>
            <w:shd w:val="clear" w:color="auto" w:fill="2251FF"/>
            <w:vAlign w:val="center"/>
          </w:tcPr>
          <w:p>
            <w:pPr>
              <w:spacing w:after="20" w:before="20" w:line="252" w:lineRule="auto"/>
            </w:pPr>
            <w:r/>
            <w:r>
              <w:rPr>
                <w:rFonts w:ascii="Arial" w:hAnsi="Arial"/>
                <w:b/>
                <w:color w:val="FFFFFF"/>
                <w:sz w:val="17"/>
              </w:rPr>
              <w:t>Waktu</w:t>
            </w:r>
          </w:p>
        </w:tc>
        <w:tc>
          <w:tcPr>
            <w:tcW w:type="dxa" w:w="5228"/>
            <w:shd w:val="clear" w:color="auto" w:fill="2251FF"/>
            <w:vAlign w:val="center"/>
          </w:tcPr>
          <w:p>
            <w:pPr>
              <w:spacing w:after="20" w:before="20" w:line="252" w:lineRule="auto"/>
            </w:pPr>
            <w:r/>
            <w:r>
              <w:rPr>
                <w:rFonts w:ascii="Arial" w:hAnsi="Arial"/>
                <w:b/>
                <w:color w:val="FFFFFF"/>
                <w:sz w:val="17"/>
              </w:rPr>
              <w:t>Pekerjaan utama</w:t>
            </w:r>
          </w:p>
        </w:tc>
        <w:tc>
          <w:tcPr>
            <w:tcW w:type="dxa" w:w="2852"/>
            <w:shd w:val="clear" w:color="auto" w:fill="2251FF"/>
            <w:vAlign w:val="center"/>
          </w:tcPr>
          <w:p>
            <w:pPr>
              <w:spacing w:after="20" w:before="20" w:line="252" w:lineRule="auto"/>
            </w:pPr>
            <w:r/>
            <w:r>
              <w:rPr>
                <w:rFonts w:ascii="Arial" w:hAnsi="Arial"/>
                <w:b/>
                <w:color w:val="FFFFFF"/>
                <w:sz w:val="17"/>
              </w:rPr>
              <w:t>Keputusan / bukti</w:t>
            </w:r>
          </w:p>
        </w:tc>
      </w:tr>
      <w:tr>
        <w:trPr>
          <w:cantSplit/>
        </w:trPr>
        <w:tc>
          <w:tcPr>
            <w:tcW w:type="dxa" w:w="1331"/>
            <w:vAlign w:val="center"/>
          </w:tcPr>
          <w:p>
            <w:pPr>
              <w:spacing w:after="20" w:before="20" w:line="252" w:lineRule="auto"/>
            </w:pPr>
            <w:r/>
            <w:r>
              <w:rPr>
                <w:rFonts w:ascii="Arial" w:hAnsi="Arial"/>
                <w:b/>
                <w:sz w:val="17"/>
              </w:rPr>
              <w:t>Hari 0</w:t>
            </w:r>
          </w:p>
        </w:tc>
        <w:tc>
          <w:tcPr>
            <w:tcW w:type="dxa" w:w="5228"/>
            <w:vAlign w:val="center"/>
          </w:tcPr>
          <w:p>
            <w:pPr>
              <w:spacing w:after="20" w:before="20" w:line="252" w:lineRule="auto"/>
            </w:pPr>
            <w:r/>
            <w:r>
              <w:rPr>
                <w:rFonts w:ascii="Arial" w:hAnsi="Arial"/>
                <w:b w:val="0"/>
                <w:sz w:val="17"/>
              </w:rPr>
              <w:t>Persetujuan prinsip model dan unit dengan piagam terbatas</w:t>
            </w:r>
          </w:p>
        </w:tc>
        <w:tc>
          <w:tcPr>
            <w:tcW w:type="dxa" w:w="2852"/>
            <w:vAlign w:val="center"/>
          </w:tcPr>
          <w:p>
            <w:pPr>
              <w:spacing w:after="20" w:before="20" w:line="252" w:lineRule="auto"/>
            </w:pPr>
            <w:r/>
            <w:r>
              <w:rPr>
                <w:rFonts w:ascii="Arial" w:hAnsi="Arial"/>
                <w:b w:val="0"/>
                <w:sz w:val="17"/>
              </w:rPr>
              <w:t>Kepala Badan Pelaksana; Dewan diberi informasi</w:t>
            </w:r>
          </w:p>
        </w:tc>
      </w:tr>
      <w:tr>
        <w:trPr>
          <w:cantSplit/>
        </w:trPr>
        <w:tc>
          <w:tcPr>
            <w:tcW w:type="dxa" w:w="1331"/>
            <w:shd w:val="clear" w:color="auto" w:fill="E6ECFD"/>
            <w:vAlign w:val="center"/>
          </w:tcPr>
          <w:p>
            <w:pPr>
              <w:spacing w:after="20" w:before="20" w:line="252" w:lineRule="auto"/>
            </w:pPr>
            <w:r/>
            <w:r>
              <w:rPr>
                <w:rFonts w:ascii="Arial" w:hAnsi="Arial"/>
                <w:b/>
                <w:sz w:val="17"/>
              </w:rPr>
              <w:t>Hari 1–45</w:t>
            </w:r>
          </w:p>
        </w:tc>
        <w:tc>
          <w:tcPr>
            <w:tcW w:type="dxa" w:w="5228"/>
            <w:shd w:val="clear" w:color="auto" w:fill="E6ECFD"/>
            <w:vAlign w:val="center"/>
          </w:tcPr>
          <w:p>
            <w:pPr>
              <w:spacing w:after="20" w:before="20" w:line="252" w:lineRule="auto"/>
            </w:pPr>
            <w:r/>
            <w:r>
              <w:rPr>
                <w:rFonts w:ascii="Arial" w:hAnsi="Arial"/>
                <w:b w:val="0"/>
                <w:sz w:val="17"/>
              </w:rPr>
              <w:t>Rekonsiliasi register 40 proyek; peta otorisasi; kebijakan manajemen proyek; piagam unit; kelompok proyek percontohan</w:t>
            </w:r>
          </w:p>
        </w:tc>
        <w:tc>
          <w:tcPr>
            <w:tcW w:type="dxa" w:w="2852"/>
            <w:shd w:val="clear" w:color="auto" w:fill="E6ECFD"/>
            <w:vAlign w:val="center"/>
          </w:tcPr>
          <w:p>
            <w:pPr>
              <w:spacing w:after="20" w:before="20" w:line="252" w:lineRule="auto"/>
            </w:pPr>
            <w:r/>
            <w:r>
              <w:rPr>
                <w:rFonts w:ascii="Arial" w:hAnsi="Arial"/>
                <w:b w:val="0"/>
                <w:sz w:val="17"/>
              </w:rPr>
              <w:t>Register disahkan sebagai penyebut tunggal (Hari 45); identitas 100%</w:t>
            </w:r>
          </w:p>
        </w:tc>
      </w:tr>
      <w:tr>
        <w:trPr>
          <w:cantSplit/>
        </w:trPr>
        <w:tc>
          <w:tcPr>
            <w:tcW w:type="dxa" w:w="1331"/>
            <w:vAlign w:val="center"/>
          </w:tcPr>
          <w:p>
            <w:pPr>
              <w:spacing w:after="20" w:before="20" w:line="252" w:lineRule="auto"/>
            </w:pPr>
            <w:r/>
            <w:r>
              <w:rPr>
                <w:rFonts w:ascii="Arial" w:hAnsi="Arial"/>
                <w:b/>
                <w:sz w:val="17"/>
              </w:rPr>
              <w:t>Hari 31–90</w:t>
            </w:r>
          </w:p>
        </w:tc>
        <w:tc>
          <w:tcPr>
            <w:tcW w:type="dxa" w:w="5228"/>
            <w:vAlign w:val="center"/>
          </w:tcPr>
          <w:p>
            <w:pPr>
              <w:spacing w:after="20" w:before="20" w:line="252" w:lineRule="auto"/>
            </w:pPr>
            <w:r/>
            <w:r>
              <w:rPr>
                <w:rFonts w:ascii="Arial" w:hAnsi="Arial"/>
                <w:b w:val="0"/>
                <w:sz w:val="17"/>
              </w:rPr>
              <w:t>Diagnostik BUMN Karya; MVP AI; MVP pemantau inflasi; gerbang DOCK-UP dan desain uji coba (Hari 60); scorecard (Hari 90)</w:t>
            </w:r>
          </w:p>
        </w:tc>
        <w:tc>
          <w:tcPr>
            <w:tcW w:type="dxa" w:w="2852"/>
            <w:vAlign w:val="center"/>
          </w:tcPr>
          <w:p>
            <w:pPr>
              <w:spacing w:after="20" w:before="20" w:line="252" w:lineRule="auto"/>
            </w:pPr>
            <w:r/>
            <w:r>
              <w:rPr>
                <w:rFonts w:ascii="Arial" w:hAnsi="Arial"/>
                <w:b w:val="0"/>
                <w:sz w:val="17"/>
              </w:rPr>
              <w:t>Evaluasi uji unit; keputusan lanjut, perbaiki, hentikan (Hari 90)</w:t>
            </w:r>
          </w:p>
        </w:tc>
      </w:tr>
      <w:tr>
        <w:trPr>
          <w:cantSplit/>
        </w:trPr>
        <w:tc>
          <w:tcPr>
            <w:tcW w:type="dxa" w:w="1331"/>
            <w:shd w:val="clear" w:color="auto" w:fill="E6ECFD"/>
            <w:vAlign w:val="center"/>
          </w:tcPr>
          <w:p>
            <w:pPr>
              <w:spacing w:after="20" w:before="20" w:line="252" w:lineRule="auto"/>
            </w:pPr>
            <w:r/>
            <w:r>
              <w:rPr>
                <w:rFonts w:ascii="Arial" w:hAnsi="Arial"/>
                <w:b/>
                <w:sz w:val="17"/>
              </w:rPr>
              <w:t>Bulan 4–6</w:t>
            </w:r>
          </w:p>
        </w:tc>
        <w:tc>
          <w:tcPr>
            <w:tcW w:type="dxa" w:w="5228"/>
            <w:shd w:val="clear" w:color="auto" w:fill="E6ECFD"/>
            <w:vAlign w:val="center"/>
          </w:tcPr>
          <w:p>
            <w:pPr>
              <w:spacing w:after="20" w:before="20" w:line="252" w:lineRule="auto"/>
            </w:pPr>
            <w:r/>
            <w:r>
              <w:rPr>
                <w:rFonts w:ascii="Arial" w:hAnsi="Arial"/>
                <w:b w:val="0"/>
                <w:sz w:val="17"/>
              </w:rPr>
              <w:t>Perluasan ke seluruh portofolio; uji kualitas data dan kontrol perubahan; baseline penuh per proyek</w:t>
            </w:r>
          </w:p>
        </w:tc>
        <w:tc>
          <w:tcPr>
            <w:tcW w:type="dxa" w:w="2852"/>
            <w:shd w:val="clear" w:color="auto" w:fill="E6ECFD"/>
            <w:vAlign w:val="center"/>
          </w:tcPr>
          <w:p>
            <w:pPr>
              <w:spacing w:after="20" w:before="20" w:line="252" w:lineRule="auto"/>
            </w:pPr>
            <w:r/>
            <w:r>
              <w:rPr>
                <w:rFonts w:ascii="Arial" w:hAnsi="Arial"/>
                <w:b w:val="0"/>
                <w:sz w:val="17"/>
              </w:rPr>
              <w:t>Perluasan unit; payung DOCK-UP; perluasan AI (sekitar bulan 6)</w:t>
            </w:r>
          </w:p>
        </w:tc>
      </w:tr>
      <w:tr>
        <w:trPr>
          <w:cantSplit/>
        </w:trPr>
        <w:tc>
          <w:tcPr>
            <w:tcW w:type="dxa" w:w="1331"/>
            <w:vAlign w:val="center"/>
          </w:tcPr>
          <w:p>
            <w:pPr>
              <w:spacing w:after="20" w:before="20" w:line="252" w:lineRule="auto"/>
            </w:pPr>
            <w:r/>
            <w:r>
              <w:rPr>
                <w:rFonts w:ascii="Arial" w:hAnsi="Arial"/>
                <w:b/>
                <w:sz w:val="17"/>
              </w:rPr>
              <w:t>Bulan 6–12</w:t>
            </w:r>
          </w:p>
        </w:tc>
        <w:tc>
          <w:tcPr>
            <w:tcW w:type="dxa" w:w="5228"/>
            <w:vAlign w:val="center"/>
          </w:tcPr>
          <w:p>
            <w:pPr>
              <w:spacing w:after="20" w:before="20" w:line="252" w:lineRule="auto"/>
            </w:pPr>
            <w:r/>
            <w:r>
              <w:rPr>
                <w:rFonts w:ascii="Arial" w:hAnsi="Arial"/>
                <w:b w:val="0"/>
                <w:sz w:val="17"/>
              </w:rPr>
              <w:t>Dasbor terekonsiliasi; scorecard triwulanan; diagnostik aset warisan</w:t>
            </w:r>
          </w:p>
        </w:tc>
        <w:tc>
          <w:tcPr>
            <w:tcW w:type="dxa" w:w="2852"/>
            <w:vAlign w:val="center"/>
          </w:tcPr>
          <w:p>
            <w:pPr>
              <w:spacing w:after="20" w:before="20" w:line="252" w:lineRule="auto"/>
            </w:pPr>
            <w:r/>
            <w:r>
              <w:rPr>
                <w:rFonts w:ascii="Arial" w:hAnsi="Arial"/>
                <w:b w:val="0"/>
                <w:sz w:val="17"/>
              </w:rPr>
              <w:t>Struktur permanen; jabatan formal ditinjau paling cepat bulan ke-12</w:t>
            </w:r>
          </w:p>
        </w:tc>
      </w:tr>
      <w:tr>
        <w:trPr>
          <w:cantSplit/>
        </w:trPr>
        <w:tc>
          <w:tcPr>
            <w:tcW w:type="dxa" w:w="1331"/>
            <w:shd w:val="clear" w:color="auto" w:fill="E6ECFD"/>
            <w:vAlign w:val="center"/>
          </w:tcPr>
          <w:p>
            <w:pPr>
              <w:spacing w:after="20" w:before="20" w:line="252" w:lineRule="auto"/>
            </w:pPr>
            <w:r/>
            <w:r>
              <w:rPr>
                <w:rFonts w:ascii="Arial" w:hAnsi="Arial"/>
                <w:b/>
                <w:sz w:val="17"/>
              </w:rPr>
              <w:t>Bulan 12–24</w:t>
            </w:r>
          </w:p>
        </w:tc>
        <w:tc>
          <w:tcPr>
            <w:tcW w:type="dxa" w:w="5228"/>
            <w:shd w:val="clear" w:color="auto" w:fill="E6ECFD"/>
            <w:vAlign w:val="center"/>
          </w:tcPr>
          <w:p>
            <w:pPr>
              <w:spacing w:after="20" w:before="20" w:line="252" w:lineRule="auto"/>
            </w:pPr>
            <w:r/>
            <w:r>
              <w:rPr>
                <w:rFonts w:ascii="Arial" w:hAnsi="Arial"/>
                <w:b w:val="0"/>
                <w:sz w:val="17"/>
              </w:rPr>
              <w:t>Laporan portofolio tahunan; integrator kedua; perluasan skala AI</w:t>
            </w:r>
          </w:p>
        </w:tc>
        <w:tc>
          <w:tcPr>
            <w:tcW w:type="dxa" w:w="2852"/>
            <w:shd w:val="clear" w:color="auto" w:fill="E6ECFD"/>
            <w:vAlign w:val="center"/>
          </w:tcPr>
          <w:p>
            <w:pPr>
              <w:spacing w:after="20" w:before="20" w:line="252" w:lineRule="auto"/>
            </w:pPr>
            <w:r/>
            <w:r>
              <w:rPr>
                <w:rFonts w:ascii="Arial" w:hAnsi="Arial"/>
                <w:b w:val="0"/>
                <w:sz w:val="17"/>
              </w:rPr>
              <w:t>Pengukuran manfaat; keputusan perluasan</w:t>
            </w:r>
          </w:p>
        </w:tc>
      </w:tr>
    </w:tbl>
    <w:p>
      <w:pPr>
        <w:spacing w:after="160"/>
      </w:pPr>
      <w:r>
        <w:rPr>
          <w:rFonts w:ascii="Arial" w:hAnsi="Arial"/>
          <w:b w:val="0"/>
          <w:i/>
          <w:color w:val="051C5C"/>
          <w:sz w:val="17"/>
        </w:rPr>
        <w:t>Sumber: [K, Bab 1.4, 16.1–16.3]; [EVAL, Bagian 16].</w:t>
      </w:r>
    </w:p>
    <w:p>
      <w:pPr>
        <w:pStyle w:val="Heading2"/>
      </w:pPr>
      <w:r>
        <w:t>17.9  Cara menilai apakah sistem bekerja</w:t>
      </w:r>
    </w:p>
    <w:p>
      <w:pPr>
        <w:jc w:val="both"/>
      </w:pPr>
      <w:r>
        <w:rPr>
          <w:rFonts w:ascii="Arial" w:hAnsi="Arial"/>
          <w:b w:val="0"/>
        </w:rPr>
        <w:t>Usulan unit adalah satu hal; bukti bahwa ia berhasil adalah hal lain. Kriteria uji 90 hari yang disarankan: (a) median waktu keputusan dan persentil ke-90 terukur dengan baseline; (b) hambatan lintas arm diselesaikan sesuai siklus 2/5/15 hari; (c) tidak ada keputusan yang "hanya memindahkan antrean ke tingkat yang baru"; (d) satu paket keputusan untuk berbagai telaah; (e) opini risiko dan hukum diterima tanpa tekanan, dengan catatan perbedaan pendapat; dan (f) kualitas register meningkat ke identitas 100% [EVAL, Bagian 16; K, Bab 13.8]. Bila kriteria tidak terpenuhi, penyebabnya harus dianalisis: kewenangan, kesiapan proyek, kapasitas pelaksana, atau koordinasi eksternal.</w:t>
      </w:r>
    </w:p>
    <w:p>
      <w:r>
        <w:br w:type="page"/>
      </w:r>
    </w:p>
    <w:p>
      <w:pPr>
        <w:pStyle w:val="Heading1"/>
      </w:pPr>
      <w:r>
        <w:t>18  Risiko penerapan dan faktor keberhasilan</w:t>
      </w:r>
    </w:p>
    <w:p>
      <w:pPr>
        <w:pStyle w:val="Heading2"/>
      </w:pPr>
      <w:r>
        <w:t>18.1  Risiko penerapan DPMS</w:t>
      </w:r>
    </w:p>
    <w:p>
      <w:pPr>
        <w:keepNext/>
        <w:spacing w:after="60"/>
      </w:pPr>
      <w:r>
        <w:rPr>
          <w:rFonts w:ascii="Arial" w:hAnsi="Arial"/>
          <w:b/>
          <w:color w:val="051C5C"/>
          <w:sz w:val="19"/>
        </w:rPr>
        <w:t xml:space="preserve">Tabel 55: </w:t>
      </w:r>
      <w:r>
        <w:rPr>
          <w:rFonts w:ascii="Arial" w:hAnsi="Arial"/>
          <w:color w:val="051C5C"/>
          <w:sz w:val="19"/>
        </w:rPr>
        <w:t>Risiko penerapan dan mitigasinya</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2353"/>
        <w:gridCol w:w="2353"/>
        <w:gridCol w:w="2353"/>
        <w:gridCol w:w="2353"/>
      </w:tblGrid>
      <w:tr>
        <w:trPr>
          <w:cantSplit/>
          <w:tblHeader/>
        </w:trPr>
        <w:tc>
          <w:tcPr>
            <w:tcW w:type="dxa" w:w="485"/>
            <w:shd w:val="clear" w:color="auto" w:fill="2251FF"/>
            <w:vAlign w:val="center"/>
          </w:tcPr>
          <w:p>
            <w:pPr>
              <w:spacing w:after="20" w:before="20" w:line="252" w:lineRule="auto"/>
            </w:pPr>
            <w:r/>
            <w:r>
              <w:rPr>
                <w:rFonts w:ascii="Arial" w:hAnsi="Arial"/>
                <w:b/>
                <w:color w:val="FFFFFF"/>
                <w:sz w:val="16"/>
              </w:rPr>
              <w:t>#</w:t>
            </w:r>
          </w:p>
        </w:tc>
        <w:tc>
          <w:tcPr>
            <w:tcW w:type="dxa" w:w="2523"/>
            <w:shd w:val="clear" w:color="auto" w:fill="2251FF"/>
            <w:vAlign w:val="center"/>
          </w:tcPr>
          <w:p>
            <w:pPr>
              <w:spacing w:after="20" w:before="20" w:line="252" w:lineRule="auto"/>
            </w:pPr>
            <w:r/>
            <w:r>
              <w:rPr>
                <w:rFonts w:ascii="Arial" w:hAnsi="Arial"/>
                <w:b/>
                <w:color w:val="FFFFFF"/>
                <w:sz w:val="16"/>
              </w:rPr>
              <w:t>Risiko</w:t>
            </w:r>
          </w:p>
        </w:tc>
        <w:tc>
          <w:tcPr>
            <w:tcW w:type="dxa" w:w="2523"/>
            <w:shd w:val="clear" w:color="auto" w:fill="2251FF"/>
            <w:vAlign w:val="center"/>
          </w:tcPr>
          <w:p>
            <w:pPr>
              <w:spacing w:after="20" w:before="20" w:line="252" w:lineRule="auto"/>
            </w:pPr>
            <w:r/>
            <w:r>
              <w:rPr>
                <w:rFonts w:ascii="Arial" w:hAnsi="Arial"/>
                <w:b/>
                <w:color w:val="FFFFFF"/>
                <w:sz w:val="16"/>
              </w:rPr>
              <w:t>Gejala</w:t>
            </w:r>
          </w:p>
        </w:tc>
        <w:tc>
          <w:tcPr>
            <w:tcW w:type="dxa" w:w="3881"/>
            <w:shd w:val="clear" w:color="auto" w:fill="2251FF"/>
            <w:vAlign w:val="center"/>
          </w:tcPr>
          <w:p>
            <w:pPr>
              <w:spacing w:after="20" w:before="20" w:line="252" w:lineRule="auto"/>
            </w:pPr>
            <w:r/>
            <w:r>
              <w:rPr>
                <w:rFonts w:ascii="Arial" w:hAnsi="Arial"/>
                <w:b/>
                <w:color w:val="FFFFFF"/>
                <w:sz w:val="16"/>
              </w:rPr>
              <w:t>Mitigasi</w:t>
            </w:r>
          </w:p>
        </w:tc>
      </w:tr>
      <w:tr>
        <w:trPr>
          <w:cantSplit/>
        </w:trPr>
        <w:tc>
          <w:tcPr>
            <w:tcW w:type="dxa" w:w="485"/>
            <w:vAlign w:val="center"/>
          </w:tcPr>
          <w:p>
            <w:pPr>
              <w:spacing w:after="20" w:before="20" w:line="252" w:lineRule="auto"/>
            </w:pPr>
            <w:r/>
            <w:r>
              <w:rPr>
                <w:rFonts w:ascii="Arial" w:hAnsi="Arial"/>
                <w:b/>
                <w:sz w:val="16"/>
              </w:rPr>
              <w:t>1</w:t>
            </w:r>
          </w:p>
        </w:tc>
        <w:tc>
          <w:tcPr>
            <w:tcW w:type="dxa" w:w="2523"/>
            <w:vAlign w:val="center"/>
          </w:tcPr>
          <w:p>
            <w:pPr>
              <w:spacing w:after="20" w:before="20" w:line="252" w:lineRule="auto"/>
            </w:pPr>
            <w:r/>
            <w:r>
              <w:rPr>
                <w:rFonts w:ascii="Arial" w:hAnsi="Arial"/>
                <w:b w:val="0"/>
                <w:sz w:val="16"/>
              </w:rPr>
              <w:t>Unit menjadi lapisan rapat tambahan</w:t>
            </w:r>
          </w:p>
        </w:tc>
        <w:tc>
          <w:tcPr>
            <w:tcW w:type="dxa" w:w="2523"/>
            <w:vAlign w:val="center"/>
          </w:tcPr>
          <w:p>
            <w:pPr>
              <w:spacing w:after="20" w:before="20" w:line="252" w:lineRule="auto"/>
            </w:pPr>
            <w:r/>
            <w:r>
              <w:rPr>
                <w:rFonts w:ascii="Arial" w:hAnsi="Arial"/>
                <w:b w:val="0"/>
                <w:sz w:val="16"/>
              </w:rPr>
              <w:t>Waktu keputusan tidak membaik; rapat berulang</w:t>
            </w:r>
          </w:p>
        </w:tc>
        <w:tc>
          <w:tcPr>
            <w:tcW w:type="dxa" w:w="3881"/>
            <w:vAlign w:val="center"/>
          </w:tcPr>
          <w:p>
            <w:pPr>
              <w:spacing w:after="20" w:before="20" w:line="252" w:lineRule="auto"/>
            </w:pPr>
            <w:r/>
            <w:r>
              <w:rPr>
                <w:rFonts w:ascii="Arial" w:hAnsi="Arial"/>
                <w:b w:val="0"/>
                <w:sz w:val="16"/>
              </w:rPr>
              <w:t>Piagam per fungsi; paket keputusan tunggal; hentikan rapat berulang; ukur waktu</w:t>
            </w:r>
          </w:p>
        </w:tc>
      </w:tr>
      <w:tr>
        <w:trPr>
          <w:cantSplit/>
        </w:trPr>
        <w:tc>
          <w:tcPr>
            <w:tcW w:type="dxa" w:w="485"/>
            <w:shd w:val="clear" w:color="auto" w:fill="E6ECFD"/>
            <w:vAlign w:val="center"/>
          </w:tcPr>
          <w:p>
            <w:pPr>
              <w:spacing w:after="20" w:before="20" w:line="252" w:lineRule="auto"/>
            </w:pPr>
            <w:r/>
            <w:r>
              <w:rPr>
                <w:rFonts w:ascii="Arial" w:hAnsi="Arial"/>
                <w:b/>
                <w:sz w:val="16"/>
              </w:rPr>
              <w:t>2</w:t>
            </w:r>
          </w:p>
        </w:tc>
        <w:tc>
          <w:tcPr>
            <w:tcW w:type="dxa" w:w="2523"/>
            <w:shd w:val="clear" w:color="auto" w:fill="E6ECFD"/>
            <w:vAlign w:val="center"/>
          </w:tcPr>
          <w:p>
            <w:pPr>
              <w:spacing w:after="20" w:before="20" w:line="252" w:lineRule="auto"/>
            </w:pPr>
            <w:r/>
            <w:r>
              <w:rPr>
                <w:rFonts w:ascii="Arial" w:hAnsi="Arial"/>
                <w:b w:val="0"/>
                <w:sz w:val="16"/>
              </w:rPr>
              <w:t>Sentralisasi dan pergeseran akuntabilitas</w:t>
            </w:r>
          </w:p>
        </w:tc>
        <w:tc>
          <w:tcPr>
            <w:tcW w:type="dxa" w:w="2523"/>
            <w:shd w:val="clear" w:color="auto" w:fill="E6ECFD"/>
            <w:vAlign w:val="center"/>
          </w:tcPr>
          <w:p>
            <w:pPr>
              <w:spacing w:after="20" w:before="20" w:line="252" w:lineRule="auto"/>
            </w:pPr>
            <w:r/>
            <w:r>
              <w:rPr>
                <w:rFonts w:ascii="Arial" w:hAnsi="Arial"/>
                <w:b w:val="0"/>
                <w:sz w:val="16"/>
              </w:rPr>
              <w:t>Project director menunggu persetujuan unit</w:t>
            </w:r>
          </w:p>
        </w:tc>
        <w:tc>
          <w:tcPr>
            <w:tcW w:type="dxa" w:w="3881"/>
            <w:shd w:val="clear" w:color="auto" w:fill="E6ECFD"/>
            <w:vAlign w:val="center"/>
          </w:tcPr>
          <w:p>
            <w:pPr>
              <w:spacing w:after="20" w:before="20" w:line="252" w:lineRule="auto"/>
            </w:pPr>
            <w:r/>
            <w:r>
              <w:rPr>
                <w:rFonts w:ascii="Arial" w:hAnsi="Arial"/>
                <w:b w:val="0"/>
                <w:sz w:val="16"/>
              </w:rPr>
              <w:t>Peta otorisasi; RASCI dengan satu A; unit menyiapkan, organ memutuskan</w:t>
            </w:r>
          </w:p>
        </w:tc>
      </w:tr>
      <w:tr>
        <w:trPr>
          <w:cantSplit/>
        </w:trPr>
        <w:tc>
          <w:tcPr>
            <w:tcW w:type="dxa" w:w="485"/>
            <w:vAlign w:val="center"/>
          </w:tcPr>
          <w:p>
            <w:pPr>
              <w:spacing w:after="20" w:before="20" w:line="252" w:lineRule="auto"/>
            </w:pPr>
            <w:r/>
            <w:r>
              <w:rPr>
                <w:rFonts w:ascii="Arial" w:hAnsi="Arial"/>
                <w:b/>
                <w:sz w:val="16"/>
              </w:rPr>
              <w:t>3</w:t>
            </w:r>
          </w:p>
        </w:tc>
        <w:tc>
          <w:tcPr>
            <w:tcW w:type="dxa" w:w="2523"/>
            <w:vAlign w:val="center"/>
          </w:tcPr>
          <w:p>
            <w:pPr>
              <w:spacing w:after="20" w:before="20" w:line="252" w:lineRule="auto"/>
            </w:pPr>
            <w:r/>
            <w:r>
              <w:rPr>
                <w:rFonts w:ascii="Arial" w:hAnsi="Arial"/>
                <w:b w:val="0"/>
                <w:sz w:val="16"/>
              </w:rPr>
              <w:t>Data tidak siap</w:t>
            </w:r>
          </w:p>
        </w:tc>
        <w:tc>
          <w:tcPr>
            <w:tcW w:type="dxa" w:w="2523"/>
            <w:vAlign w:val="center"/>
          </w:tcPr>
          <w:p>
            <w:pPr>
              <w:spacing w:after="20" w:before="20" w:line="252" w:lineRule="auto"/>
            </w:pPr>
            <w:r/>
            <w:r>
              <w:rPr>
                <w:rFonts w:ascii="Arial" w:hAnsi="Arial"/>
                <w:b w:val="0"/>
                <w:sz w:val="16"/>
              </w:rPr>
              <w:t>Dasbor menampilkan angka yang berbeda</w:t>
            </w:r>
          </w:p>
        </w:tc>
        <w:tc>
          <w:tcPr>
            <w:tcW w:type="dxa" w:w="3881"/>
            <w:vAlign w:val="center"/>
          </w:tcPr>
          <w:p>
            <w:pPr>
              <w:spacing w:after="20" w:before="20" w:line="252" w:lineRule="auto"/>
            </w:pPr>
            <w:r/>
            <w:r>
              <w:rPr>
                <w:rFonts w:ascii="Arial" w:hAnsi="Arial"/>
                <w:b w:val="0"/>
                <w:sz w:val="16"/>
              </w:rPr>
              <w:t>Rencana bukti 90 hari; satu register; validasi model data pada Fase 1</w:t>
            </w:r>
          </w:p>
        </w:tc>
      </w:tr>
      <w:tr>
        <w:trPr>
          <w:cantSplit/>
        </w:trPr>
        <w:tc>
          <w:tcPr>
            <w:tcW w:type="dxa" w:w="485"/>
            <w:shd w:val="clear" w:color="auto" w:fill="E6ECFD"/>
            <w:vAlign w:val="center"/>
          </w:tcPr>
          <w:p>
            <w:pPr>
              <w:spacing w:after="20" w:before="20" w:line="252" w:lineRule="auto"/>
            </w:pPr>
            <w:r/>
            <w:r>
              <w:rPr>
                <w:rFonts w:ascii="Arial" w:hAnsi="Arial"/>
                <w:b/>
                <w:sz w:val="16"/>
              </w:rPr>
              <w:t>4</w:t>
            </w:r>
          </w:p>
        </w:tc>
        <w:tc>
          <w:tcPr>
            <w:tcW w:type="dxa" w:w="2523"/>
            <w:shd w:val="clear" w:color="auto" w:fill="E6ECFD"/>
            <w:vAlign w:val="center"/>
          </w:tcPr>
          <w:p>
            <w:pPr>
              <w:spacing w:after="20" w:before="20" w:line="252" w:lineRule="auto"/>
            </w:pPr>
            <w:r/>
            <w:r>
              <w:rPr>
                <w:rFonts w:ascii="Arial" w:hAnsi="Arial"/>
                <w:b w:val="0"/>
                <w:sz w:val="16"/>
              </w:rPr>
              <w:t>Kegagalan adopsi</w:t>
            </w:r>
          </w:p>
        </w:tc>
        <w:tc>
          <w:tcPr>
            <w:tcW w:type="dxa" w:w="2523"/>
            <w:shd w:val="clear" w:color="auto" w:fill="E6ECFD"/>
            <w:vAlign w:val="center"/>
          </w:tcPr>
          <w:p>
            <w:pPr>
              <w:spacing w:after="20" w:before="20" w:line="252" w:lineRule="auto"/>
            </w:pPr>
            <w:r/>
            <w:r>
              <w:rPr>
                <w:rFonts w:ascii="Arial" w:hAnsi="Arial"/>
                <w:b w:val="0"/>
                <w:sz w:val="16"/>
              </w:rPr>
              <w:t>Dasbor tidak dipakai untuk keputusan</w:t>
            </w:r>
          </w:p>
        </w:tc>
        <w:tc>
          <w:tcPr>
            <w:tcW w:type="dxa" w:w="3881"/>
            <w:shd w:val="clear" w:color="auto" w:fill="E6ECFD"/>
            <w:vAlign w:val="center"/>
          </w:tcPr>
          <w:p>
            <w:pPr>
              <w:spacing w:after="20" w:before="20" w:line="252" w:lineRule="auto"/>
            </w:pPr>
            <w:r/>
            <w:r>
              <w:rPr>
                <w:rFonts w:ascii="Arial" w:hAnsi="Arial"/>
                <w:b w:val="0"/>
                <w:sz w:val="16"/>
              </w:rPr>
              <w:t>Libatkan tim bisnis; ukur penggunaan; hentikan proses lama</w:t>
            </w:r>
          </w:p>
        </w:tc>
      </w:tr>
      <w:tr>
        <w:trPr>
          <w:cantSplit/>
        </w:trPr>
        <w:tc>
          <w:tcPr>
            <w:tcW w:type="dxa" w:w="485"/>
            <w:vAlign w:val="center"/>
          </w:tcPr>
          <w:p>
            <w:pPr>
              <w:spacing w:after="20" w:before="20" w:line="252" w:lineRule="auto"/>
            </w:pPr>
            <w:r/>
            <w:r>
              <w:rPr>
                <w:rFonts w:ascii="Arial" w:hAnsi="Arial"/>
                <w:b/>
                <w:sz w:val="16"/>
              </w:rPr>
              <w:t>5</w:t>
            </w:r>
          </w:p>
        </w:tc>
        <w:tc>
          <w:tcPr>
            <w:tcW w:type="dxa" w:w="2523"/>
            <w:vAlign w:val="center"/>
          </w:tcPr>
          <w:p>
            <w:pPr>
              <w:spacing w:after="20" w:before="20" w:line="252" w:lineRule="auto"/>
            </w:pPr>
            <w:r/>
            <w:r>
              <w:rPr>
                <w:rFonts w:ascii="Arial" w:hAnsi="Arial"/>
                <w:b w:val="0"/>
                <w:sz w:val="16"/>
              </w:rPr>
              <w:t>Kapasitas rekayasa dan kontrak tidak memadai</w:t>
            </w:r>
          </w:p>
        </w:tc>
        <w:tc>
          <w:tcPr>
            <w:tcW w:type="dxa" w:w="2523"/>
            <w:vAlign w:val="center"/>
          </w:tcPr>
          <w:p>
            <w:pPr>
              <w:spacing w:after="20" w:before="20" w:line="252" w:lineRule="auto"/>
            </w:pPr>
            <w:r/>
            <w:r>
              <w:rPr>
                <w:rFonts w:ascii="Arial" w:hAnsi="Arial"/>
                <w:b w:val="0"/>
                <w:sz w:val="16"/>
              </w:rPr>
              <w:t>Kajian tertunda; kualitas paket rendah</w:t>
            </w:r>
          </w:p>
        </w:tc>
        <w:tc>
          <w:tcPr>
            <w:tcW w:type="dxa" w:w="3881"/>
            <w:vAlign w:val="center"/>
          </w:tcPr>
          <w:p>
            <w:pPr>
              <w:spacing w:after="20" w:before="20" w:line="252" w:lineRule="auto"/>
            </w:pPr>
            <w:r/>
            <w:r>
              <w:rPr>
                <w:rFonts w:ascii="Arial" w:hAnsi="Arial"/>
                <w:b w:val="0"/>
                <w:sz w:val="16"/>
              </w:rPr>
              <w:t>Uji kapasitas sebelum menambah jabatan; penugasan awal; pelatihan</w:t>
            </w:r>
          </w:p>
        </w:tc>
      </w:tr>
      <w:tr>
        <w:trPr>
          <w:cantSplit/>
        </w:trPr>
        <w:tc>
          <w:tcPr>
            <w:tcW w:type="dxa" w:w="485"/>
            <w:shd w:val="clear" w:color="auto" w:fill="E6ECFD"/>
            <w:vAlign w:val="center"/>
          </w:tcPr>
          <w:p>
            <w:pPr>
              <w:spacing w:after="20" w:before="20" w:line="252" w:lineRule="auto"/>
            </w:pPr>
            <w:r/>
            <w:r>
              <w:rPr>
                <w:rFonts w:ascii="Arial" w:hAnsi="Arial"/>
                <w:b/>
                <w:sz w:val="16"/>
              </w:rPr>
              <w:t>6</w:t>
            </w:r>
          </w:p>
        </w:tc>
        <w:tc>
          <w:tcPr>
            <w:tcW w:type="dxa" w:w="2523"/>
            <w:shd w:val="clear" w:color="auto" w:fill="E6ECFD"/>
            <w:vAlign w:val="center"/>
          </w:tcPr>
          <w:p>
            <w:pPr>
              <w:spacing w:after="20" w:before="20" w:line="252" w:lineRule="auto"/>
            </w:pPr>
            <w:r/>
            <w:r>
              <w:rPr>
                <w:rFonts w:ascii="Arial" w:hAnsi="Arial"/>
                <w:b w:val="0"/>
                <w:sz w:val="16"/>
              </w:rPr>
              <w:t>Gerbang menjadi formalitas</w:t>
            </w:r>
          </w:p>
        </w:tc>
        <w:tc>
          <w:tcPr>
            <w:tcW w:type="dxa" w:w="2523"/>
            <w:shd w:val="clear" w:color="auto" w:fill="E6ECFD"/>
            <w:vAlign w:val="center"/>
          </w:tcPr>
          <w:p>
            <w:pPr>
              <w:spacing w:after="20" w:before="20" w:line="252" w:lineRule="auto"/>
            </w:pPr>
            <w:r/>
            <w:r>
              <w:rPr>
                <w:rFonts w:ascii="Arial" w:hAnsi="Arial"/>
                <w:b w:val="0"/>
                <w:sz w:val="16"/>
              </w:rPr>
              <w:t>Semua proyek lolos; perbedaan pendapat tidak tercatat</w:t>
            </w:r>
          </w:p>
        </w:tc>
        <w:tc>
          <w:tcPr>
            <w:tcW w:type="dxa" w:w="3881"/>
            <w:shd w:val="clear" w:color="auto" w:fill="E6ECFD"/>
            <w:vAlign w:val="center"/>
          </w:tcPr>
          <w:p>
            <w:pPr>
              <w:spacing w:after="20" w:before="20" w:line="252" w:lineRule="auto"/>
            </w:pPr>
            <w:r/>
            <w:r>
              <w:rPr>
                <w:rFonts w:ascii="Arial" w:hAnsi="Arial"/>
                <w:b w:val="0"/>
                <w:sz w:val="16"/>
              </w:rPr>
              <w:t>Opini independen; catatan dissent; kriteria masuk; disiplin keluar</w:t>
            </w:r>
          </w:p>
        </w:tc>
      </w:tr>
      <w:tr>
        <w:trPr>
          <w:cantSplit/>
        </w:trPr>
        <w:tc>
          <w:tcPr>
            <w:tcW w:type="dxa" w:w="485"/>
            <w:vAlign w:val="center"/>
          </w:tcPr>
          <w:p>
            <w:pPr>
              <w:spacing w:after="20" w:before="20" w:line="252" w:lineRule="auto"/>
            </w:pPr>
            <w:r/>
            <w:r>
              <w:rPr>
                <w:rFonts w:ascii="Arial" w:hAnsi="Arial"/>
                <w:b/>
                <w:sz w:val="16"/>
              </w:rPr>
              <w:t>7</w:t>
            </w:r>
          </w:p>
        </w:tc>
        <w:tc>
          <w:tcPr>
            <w:tcW w:type="dxa" w:w="2523"/>
            <w:vAlign w:val="center"/>
          </w:tcPr>
          <w:p>
            <w:pPr>
              <w:spacing w:after="20" w:before="20" w:line="252" w:lineRule="auto"/>
            </w:pPr>
            <w:r/>
            <w:r>
              <w:rPr>
                <w:rFonts w:ascii="Arial" w:hAnsi="Arial"/>
                <w:b w:val="0"/>
                <w:sz w:val="16"/>
              </w:rPr>
              <w:t>DOCK-UP menjadi kuota</w:t>
            </w:r>
          </w:p>
        </w:tc>
        <w:tc>
          <w:tcPr>
            <w:tcW w:type="dxa" w:w="2523"/>
            <w:vAlign w:val="center"/>
          </w:tcPr>
          <w:p>
            <w:pPr>
              <w:spacing w:after="20" w:before="20" w:line="252" w:lineRule="auto"/>
            </w:pPr>
            <w:r/>
            <w:r>
              <w:rPr>
                <w:rFonts w:ascii="Arial" w:hAnsi="Arial"/>
                <w:b w:val="0"/>
                <w:sz w:val="16"/>
              </w:rPr>
              <w:t>Pesanan mendahului kesiapan; kegagalan mutu</w:t>
            </w:r>
          </w:p>
        </w:tc>
        <w:tc>
          <w:tcPr>
            <w:tcW w:type="dxa" w:w="3881"/>
            <w:vAlign w:val="center"/>
          </w:tcPr>
          <w:p>
            <w:pPr>
              <w:spacing w:after="20" w:before="20" w:line="252" w:lineRule="auto"/>
            </w:pPr>
            <w:r/>
            <w:r>
              <w:rPr>
                <w:rFonts w:ascii="Arial" w:hAnsi="Arial"/>
                <w:b w:val="0"/>
                <w:sz w:val="16"/>
              </w:rPr>
              <w:t>Aturan pelepasan volume per gerbang; asesor independen</w:t>
            </w:r>
          </w:p>
        </w:tc>
      </w:tr>
      <w:tr>
        <w:trPr>
          <w:cantSplit/>
        </w:trPr>
        <w:tc>
          <w:tcPr>
            <w:tcW w:type="dxa" w:w="485"/>
            <w:shd w:val="clear" w:color="auto" w:fill="E6ECFD"/>
            <w:vAlign w:val="center"/>
          </w:tcPr>
          <w:p>
            <w:pPr>
              <w:spacing w:after="20" w:before="20" w:line="252" w:lineRule="auto"/>
            </w:pPr>
            <w:r/>
            <w:r>
              <w:rPr>
                <w:rFonts w:ascii="Arial" w:hAnsi="Arial"/>
                <w:b/>
                <w:sz w:val="16"/>
              </w:rPr>
              <w:t>8</w:t>
            </w:r>
          </w:p>
        </w:tc>
        <w:tc>
          <w:tcPr>
            <w:tcW w:type="dxa" w:w="2523"/>
            <w:shd w:val="clear" w:color="auto" w:fill="E6ECFD"/>
            <w:vAlign w:val="center"/>
          </w:tcPr>
          <w:p>
            <w:pPr>
              <w:spacing w:after="20" w:before="20" w:line="252" w:lineRule="auto"/>
            </w:pPr>
            <w:r/>
            <w:r>
              <w:rPr>
                <w:rFonts w:ascii="Arial" w:hAnsi="Arial"/>
                <w:b w:val="0"/>
                <w:sz w:val="16"/>
              </w:rPr>
              <w:t>Dominasi pengusul</w:t>
            </w:r>
          </w:p>
        </w:tc>
        <w:tc>
          <w:tcPr>
            <w:tcW w:type="dxa" w:w="2523"/>
            <w:shd w:val="clear" w:color="auto" w:fill="E6ECFD"/>
            <w:vAlign w:val="center"/>
          </w:tcPr>
          <w:p>
            <w:pPr>
              <w:spacing w:after="20" w:before="20" w:line="252" w:lineRule="auto"/>
            </w:pPr>
            <w:r/>
            <w:r>
              <w:rPr>
                <w:rFonts w:ascii="Arial" w:hAnsi="Arial"/>
                <w:b w:val="0"/>
                <w:sz w:val="16"/>
              </w:rPr>
              <w:t>Keberatan risiko dikesampingkan</w:t>
            </w:r>
          </w:p>
        </w:tc>
        <w:tc>
          <w:tcPr>
            <w:tcW w:type="dxa" w:w="3881"/>
            <w:shd w:val="clear" w:color="auto" w:fill="E6ECFD"/>
            <w:vAlign w:val="center"/>
          </w:tcPr>
          <w:p>
            <w:pPr>
              <w:spacing w:after="20" w:before="20" w:line="252" w:lineRule="auto"/>
            </w:pPr>
            <w:r/>
            <w:r>
              <w:rPr>
                <w:rFonts w:ascii="Arial" w:hAnsi="Arial"/>
                <w:b w:val="0"/>
                <w:sz w:val="16"/>
              </w:rPr>
              <w:t>Garis pelaporan independen; recusal; jalur keputusan alternatif</w:t>
            </w:r>
          </w:p>
        </w:tc>
      </w:tr>
      <w:tr>
        <w:trPr>
          <w:cantSplit/>
        </w:trPr>
        <w:tc>
          <w:tcPr>
            <w:tcW w:type="dxa" w:w="485"/>
            <w:vAlign w:val="center"/>
          </w:tcPr>
          <w:p>
            <w:pPr>
              <w:spacing w:after="20" w:before="20" w:line="252" w:lineRule="auto"/>
            </w:pPr>
            <w:r/>
            <w:r>
              <w:rPr>
                <w:rFonts w:ascii="Arial" w:hAnsi="Arial"/>
                <w:b/>
                <w:sz w:val="16"/>
              </w:rPr>
              <w:t>9</w:t>
            </w:r>
          </w:p>
        </w:tc>
        <w:tc>
          <w:tcPr>
            <w:tcW w:type="dxa" w:w="2523"/>
            <w:vAlign w:val="center"/>
          </w:tcPr>
          <w:p>
            <w:pPr>
              <w:spacing w:after="20" w:before="20" w:line="252" w:lineRule="auto"/>
            </w:pPr>
            <w:r/>
            <w:r>
              <w:rPr>
                <w:rFonts w:ascii="Arial" w:hAnsi="Arial"/>
                <w:b w:val="0"/>
                <w:sz w:val="16"/>
              </w:rPr>
              <w:t>Ketergantungan vendor dan model AI</w:t>
            </w:r>
          </w:p>
        </w:tc>
        <w:tc>
          <w:tcPr>
            <w:tcW w:type="dxa" w:w="2523"/>
            <w:vAlign w:val="center"/>
          </w:tcPr>
          <w:p>
            <w:pPr>
              <w:spacing w:after="20" w:before="20" w:line="252" w:lineRule="auto"/>
            </w:pPr>
            <w:r/>
            <w:r>
              <w:rPr>
                <w:rFonts w:ascii="Arial" w:hAnsi="Arial"/>
                <w:b w:val="0"/>
                <w:sz w:val="16"/>
              </w:rPr>
              <w:t>Teknologi tidak dapat dipindahkan</w:t>
            </w:r>
          </w:p>
        </w:tc>
        <w:tc>
          <w:tcPr>
            <w:tcW w:type="dxa" w:w="3881"/>
            <w:vAlign w:val="center"/>
          </w:tcPr>
          <w:p>
            <w:pPr>
              <w:spacing w:after="20" w:before="20" w:line="252" w:lineRule="auto"/>
            </w:pPr>
            <w:r/>
            <w:r>
              <w:rPr>
                <w:rFonts w:ascii="Arial" w:hAnsi="Arial"/>
                <w:b w:val="0"/>
                <w:sz w:val="16"/>
              </w:rPr>
              <w:t>Antarmuka terbuka; model portabel; review CTO</w:t>
            </w:r>
          </w:p>
        </w:tc>
      </w:tr>
      <w:tr>
        <w:trPr>
          <w:cantSplit/>
        </w:trPr>
        <w:tc>
          <w:tcPr>
            <w:tcW w:type="dxa" w:w="485"/>
            <w:shd w:val="clear" w:color="auto" w:fill="E6ECFD"/>
            <w:vAlign w:val="center"/>
          </w:tcPr>
          <w:p>
            <w:pPr>
              <w:spacing w:after="20" w:before="20" w:line="252" w:lineRule="auto"/>
            </w:pPr>
            <w:r/>
            <w:r>
              <w:rPr>
                <w:rFonts w:ascii="Arial" w:hAnsi="Arial"/>
                <w:b/>
                <w:sz w:val="16"/>
              </w:rPr>
              <w:t>10</w:t>
            </w:r>
          </w:p>
        </w:tc>
        <w:tc>
          <w:tcPr>
            <w:tcW w:type="dxa" w:w="2523"/>
            <w:shd w:val="clear" w:color="auto" w:fill="E6ECFD"/>
            <w:vAlign w:val="center"/>
          </w:tcPr>
          <w:p>
            <w:pPr>
              <w:spacing w:after="20" w:before="20" w:line="252" w:lineRule="auto"/>
            </w:pPr>
            <w:r/>
            <w:r>
              <w:rPr>
                <w:rFonts w:ascii="Arial" w:hAnsi="Arial"/>
                <w:b w:val="0"/>
                <w:sz w:val="16"/>
              </w:rPr>
              <w:t>Transisi organisasi tidak tertib</w:t>
            </w:r>
          </w:p>
        </w:tc>
        <w:tc>
          <w:tcPr>
            <w:tcW w:type="dxa" w:w="2523"/>
            <w:shd w:val="clear" w:color="auto" w:fill="E6ECFD"/>
            <w:vAlign w:val="center"/>
          </w:tcPr>
          <w:p>
            <w:pPr>
              <w:spacing w:after="20" w:before="20" w:line="252" w:lineRule="auto"/>
            </w:pPr>
            <w:r/>
            <w:r>
              <w:rPr>
                <w:rFonts w:ascii="Arial" w:hAnsi="Arial"/>
                <w:b w:val="0"/>
                <w:sz w:val="16"/>
              </w:rPr>
              <w:t>Arsip, kontrak, dan kewenangan hilang</w:t>
            </w:r>
          </w:p>
        </w:tc>
        <w:tc>
          <w:tcPr>
            <w:tcW w:type="dxa" w:w="3881"/>
            <w:shd w:val="clear" w:color="auto" w:fill="E6ECFD"/>
            <w:vAlign w:val="center"/>
          </w:tcPr>
          <w:p>
            <w:pPr>
              <w:spacing w:after="20" w:before="20" w:line="252" w:lineRule="auto"/>
            </w:pPr>
            <w:r/>
            <w:r>
              <w:rPr>
                <w:rFonts w:ascii="Arial" w:hAnsi="Arial"/>
                <w:b w:val="0"/>
                <w:sz w:val="16"/>
              </w:rPr>
              <w:t>Daftar kewenangan, arsip, kontrak, aset, dan kewajiban yang berpindah (pelajaran Vietnam)</w:t>
            </w:r>
          </w:p>
        </w:tc>
      </w:tr>
    </w:tbl>
    <w:p>
      <w:pPr>
        <w:spacing w:after="160"/>
      </w:pPr>
      <w:r>
        <w:rPr>
          <w:rFonts w:ascii="Arial" w:hAnsi="Arial"/>
          <w:b w:val="0"/>
          <w:i/>
          <w:color w:val="051C5C"/>
          <w:sz w:val="17"/>
        </w:rPr>
        <w:t>Sumber: [K, Bab 12 dan 15; EVAL, Bagian 17]; diperluas penulis.</w:t>
      </w:r>
    </w:p>
    <w:p>
      <w:pPr>
        <w:pStyle w:val="Heading2"/>
      </w:pPr>
      <w:r>
        <w:t>18.2  Faktor keberhasilan kritis</w:t>
      </w:r>
    </w:p>
    <w:p>
      <w:pPr>
        <w:pStyle w:val="ListNumber"/>
        <w:spacing w:after="40"/>
      </w:pPr>
      <w:r>
        <w:rPr>
          <w:rFonts w:ascii="Arial" w:hAnsi="Arial"/>
          <w:b w:val="0"/>
        </w:rPr>
        <w:t>Dukungan puncak yang terlihat: Kepala Badan Pelaksana menjadi pemilik keputusan portofolio dan menegakkan disiplin gerbang.</w:t>
      </w:r>
    </w:p>
    <w:p>
      <w:pPr>
        <w:pStyle w:val="ListNumber"/>
        <w:spacing w:after="40"/>
      </w:pPr>
      <w:r>
        <w:rPr>
          <w:rFonts w:ascii="Arial" w:hAnsi="Arial"/>
          <w:b w:val="0"/>
        </w:rPr>
        <w:t>Mulai dari data: register yang direkonsiliasi sebelum alat canggih.</w:t>
      </w:r>
    </w:p>
    <w:p>
      <w:pPr>
        <w:pStyle w:val="ListNumber"/>
        <w:spacing w:after="40"/>
      </w:pPr>
      <w:r>
        <w:rPr>
          <w:rFonts w:ascii="Arial" w:hAnsi="Arial"/>
          <w:b w:val="0"/>
        </w:rPr>
        <w:t>Mulai kecil dan uji: unit, DOCK-UP, dan AI dimulai sebagai uji dengan kriteria yang disepakati, lalu diperluas bila terbukti.</w:t>
      </w:r>
    </w:p>
    <w:p>
      <w:pPr>
        <w:pStyle w:val="ListNumber"/>
        <w:spacing w:after="40"/>
      </w:pPr>
      <w:r>
        <w:rPr>
          <w:rFonts w:ascii="Arial" w:hAnsi="Arial"/>
          <w:b w:val="0"/>
        </w:rPr>
        <w:t>Pisahkan promotor dari penilai dan lindungi independensi risiko, hukum, dan audit.</w:t>
      </w:r>
    </w:p>
    <w:p>
      <w:pPr>
        <w:pStyle w:val="ListNumber"/>
        <w:spacing w:after="40"/>
      </w:pPr>
      <w:r>
        <w:rPr>
          <w:rFonts w:ascii="Arial" w:hAnsi="Arial"/>
          <w:b w:val="0"/>
        </w:rPr>
        <w:t>Hubungkan uang dengan bukti: pembiayaan, pesanan, dan insentif mengikuti gerbang.</w:t>
      </w:r>
    </w:p>
    <w:p>
      <w:pPr>
        <w:pStyle w:val="ListNumber"/>
        <w:spacing w:after="40"/>
      </w:pPr>
      <w:r>
        <w:rPr>
          <w:rFonts w:ascii="Arial" w:hAnsi="Arial"/>
          <w:b w:val="0"/>
        </w:rPr>
        <w:t>Kendalikan perubahan: baseline dibekukan dan penetapan ulang tidak menghapus penyimpangan.</w:t>
      </w:r>
    </w:p>
    <w:p>
      <w:pPr>
        <w:pStyle w:val="ListNumber"/>
        <w:spacing w:after="40"/>
      </w:pPr>
      <w:r>
        <w:rPr>
          <w:rFonts w:ascii="Arial" w:hAnsi="Arial"/>
          <w:b w:val="0"/>
        </w:rPr>
        <w:t>Investasi pada orang: kompetensi, kapasitas, dan insentif yang selaras.</w:t>
      </w:r>
    </w:p>
    <w:p>
      <w:pPr>
        <w:pStyle w:val="ListNumber"/>
        <w:spacing w:after="40"/>
      </w:pPr>
      <w:r>
        <w:rPr>
          <w:rFonts w:ascii="Arial" w:hAnsi="Arial"/>
          <w:b w:val="0"/>
        </w:rPr>
        <w:t>Transparansi tentang data: kelas bukti dan NR, bukan angka yang tampak pasti.</w:t>
      </w:r>
    </w:p>
    <w:p>
      <w:pPr>
        <w:pStyle w:val="ListNumber"/>
        <w:spacing w:after="120"/>
      </w:pPr>
      <w:r>
        <w:rPr>
          <w:rFonts w:ascii="Arial" w:hAnsi="Arial"/>
          <w:b w:val="0"/>
        </w:rPr>
        <w:t>Belajar dari hasil: evaluasi P6 diumpankan ke estimasi dan kebijakan.</w:t>
      </w:r>
    </w:p>
    <w:p>
      <w:pPr>
        <w:pStyle w:val="Heading2"/>
      </w:pPr>
      <w:r>
        <w:t>18.3  Peringatan dini</w:t>
      </w:r>
    </w:p>
    <w:p>
      <w:pPr>
        <w:jc w:val="both"/>
      </w:pPr>
      <w:r>
        <w:rPr>
          <w:rFonts w:ascii="Arial" w:hAnsi="Arial"/>
          <w:b w:val="0"/>
        </w:rPr>
        <w:t>Indikator bahwa penerapan keluar jalur: jumlah rapat bertambah tanpa keputusan; waktu keputusan tidak membaik setelah dua triwulan; perubahan lingkup dan biaya terjadi tanpa permintaan perubahan; project director tidak dikenali dalam dokumen; angka yang sama berbeda antar laporan; perbedaan pendapat risiko dan hukum tidak pernah tercatat; dan pesanan pemasok meningkat lebih cepat daripada jumlah pemasok yang lolos gerbang.</w:t>
      </w:r>
    </w:p>
    <w:p>
      <w:r>
        <w:br w:type="page"/>
      </w:r>
    </w:p>
    <w:p>
      <w:pPr>
        <w:pStyle w:val="Heading1"/>
      </w:pPr>
      <w:r>
        <w:t>19  Kesimpulan dan rekomendasi</w:t>
      </w:r>
    </w:p>
    <w:p>
      <w:pPr>
        <w:pStyle w:val="Heading2"/>
      </w:pPr>
      <w:r>
        <w:t>19.1  Kesimpulan</w:t>
      </w:r>
    </w:p>
    <w:p>
      <w:pPr>
        <w:jc w:val="both"/>
      </w:pPr>
      <w:r>
        <w:rPr>
          <w:rFonts w:ascii="Arial" w:hAnsi="Arial"/>
          <w:b w:val="0"/>
        </w:rPr>
        <w:t>Makalah ini menyajikan manajemen proyek sebagai satu sistem yang menghubungkan keputusan, pengendalian, dan pembelajaran sepanjang siklus hidup proyek, dan memeriksa dokumen sumber Danantara terhadap kerangka tersebut. Lima kesimpulan menonjol.</w:t>
      </w:r>
    </w:p>
    <w:p>
      <w:pPr>
        <w:pStyle w:val="ListNumber"/>
        <w:spacing w:after="40"/>
      </w:pPr>
      <w:r>
        <w:rPr>
          <w:rFonts w:ascii="Arial" w:hAnsi="Arial"/>
          <w:b/>
        </w:rPr>
        <w:t>Fondasi gagasan sudah kuat, fondasi sistem belum.</w:t>
      </w:r>
      <w:r>
        <w:rPr>
          <w:rFonts w:ascii="Arial" w:hAnsi="Arial"/>
          <w:b w:val="0"/>
        </w:rPr>
        <w:t xml:space="preserve"> Dokumen sumber memuat gerbang proyek, gerbang industri, gerbang pemasok, RASCI, rantai biaya EPC, dan rancangan AI. Yang belum ada adalah register terverifikasi, baseline, dan sistem yang menyatukannya.</w:t>
      </w:r>
    </w:p>
    <w:p>
      <w:pPr>
        <w:pStyle w:val="ListNumber"/>
        <w:spacing w:after="40"/>
      </w:pPr>
      <w:r>
        <w:rPr>
          <w:rFonts w:ascii="Arial" w:hAnsi="Arial"/>
          <w:b/>
        </w:rPr>
        <w:t>Kesenjangan terbesar adalah portofolio, bukan teknik.</w:t>
      </w:r>
      <w:r>
        <w:rPr>
          <w:rFonts w:ascii="Arial" w:hAnsi="Arial"/>
          <w:b w:val="0"/>
        </w:rPr>
        <w:t xml:space="preserve"> Kajian menemukan celah pada register, akuntabilitas, dan integrasi lintas lini; hanya 18 dari 40 slot bernama, dan dua total berbeda Rp18,93 triliun.</w:t>
      </w:r>
    </w:p>
    <w:p>
      <w:pPr>
        <w:pStyle w:val="ListNumber"/>
        <w:spacing w:after="40"/>
      </w:pPr>
      <w:r>
        <w:rPr>
          <w:rFonts w:ascii="Arial" w:hAnsi="Arial"/>
          <w:b/>
        </w:rPr>
        <w:t>Prinsip yang paling berulang adalah uang dan volume mengikuti bukti kesiapan.</w:t>
      </w:r>
      <w:r>
        <w:rPr>
          <w:rFonts w:ascii="Arial" w:hAnsi="Arial"/>
          <w:b w:val="0"/>
        </w:rPr>
        <w:t xml:space="preserve"> DOCK-UP, PALCapital, dan gerbang tahap mengungkapkan prinsip yang sama; risiko terbesarnya adalah memperlakukannya sebagai kuota.</w:t>
      </w:r>
    </w:p>
    <w:p>
      <w:pPr>
        <w:pStyle w:val="ListNumber"/>
        <w:spacing w:after="40"/>
      </w:pPr>
      <w:r>
        <w:rPr>
          <w:rFonts w:ascii="Arial" w:hAnsi="Arial"/>
          <w:b/>
        </w:rPr>
        <w:t>Masalah BUMN Karya adalah masalah manajemen proyek dan insentif.</w:t>
      </w:r>
      <w:r>
        <w:rPr>
          <w:rFonts w:ascii="Arial" w:hAnsi="Arial"/>
          <w:b w:val="0"/>
        </w:rPr>
        <w:t xml:space="preserve"> Seleksi proyek, estimasi, alokasi risiko kontrak, penagihan, dan insentif yang mengukur penyelesaian proyek menjelaskan kerugian dan tekanan kas.</w:t>
      </w:r>
    </w:p>
    <w:p>
      <w:pPr>
        <w:pStyle w:val="ListNumber"/>
        <w:spacing w:after="120"/>
      </w:pPr>
      <w:r>
        <w:rPr>
          <w:rFonts w:ascii="Arial" w:hAnsi="Arial"/>
          <w:b/>
        </w:rPr>
        <w:t>AI membantu bila proses dan data siap.</w:t>
      </w:r>
      <w:r>
        <w:rPr>
          <w:rFonts w:ascii="Arial" w:hAnsi="Arial"/>
          <w:b w:val="0"/>
        </w:rPr>
        <w:t xml:space="preserve"> Agen dapat mengodekan disiplin kendali biaya, jadwal, dan kas, tetapi manusia tetap memutuskan; data sebelum kecerdasan.</w:t>
      </w:r>
    </w:p>
    <w:p>
      <w:pPr>
        <w:pStyle w:val="Heading2"/>
      </w:pPr>
      <w:r>
        <w:t>19.2  Rekomendasi</w:t>
      </w:r>
    </w:p>
    <w:p>
      <w:pPr>
        <w:keepNext/>
        <w:spacing w:after="60"/>
      </w:pPr>
      <w:r>
        <w:rPr>
          <w:rFonts w:ascii="Arial" w:hAnsi="Arial"/>
          <w:b/>
          <w:color w:val="051C5C"/>
          <w:sz w:val="19"/>
        </w:rPr>
        <w:t xml:space="preserve">Tabel 56: </w:t>
      </w:r>
      <w:r>
        <w:rPr>
          <w:rFonts w:ascii="Arial" w:hAnsi="Arial"/>
          <w:color w:val="051C5C"/>
          <w:sz w:val="19"/>
        </w:rPr>
        <w:t>Dua belas rekomendasi prioritas</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2353"/>
        <w:gridCol w:w="2353"/>
        <w:gridCol w:w="2353"/>
        <w:gridCol w:w="2353"/>
      </w:tblGrid>
      <w:tr>
        <w:trPr>
          <w:cantSplit/>
          <w:tblHeader/>
        </w:trPr>
        <w:tc>
          <w:tcPr>
            <w:tcW w:type="dxa" w:w="495"/>
            <w:shd w:val="clear" w:color="auto" w:fill="2251FF"/>
            <w:vAlign w:val="center"/>
          </w:tcPr>
          <w:p>
            <w:pPr>
              <w:spacing w:after="20" w:before="20" w:line="252" w:lineRule="auto"/>
            </w:pPr>
            <w:r/>
            <w:r>
              <w:rPr>
                <w:rFonts w:ascii="Arial" w:hAnsi="Arial"/>
                <w:b/>
                <w:color w:val="FFFFFF"/>
                <w:sz w:val="17"/>
              </w:rPr>
              <w:t>#</w:t>
            </w:r>
          </w:p>
        </w:tc>
        <w:tc>
          <w:tcPr>
            <w:tcW w:type="dxa" w:w="4953"/>
            <w:shd w:val="clear" w:color="auto" w:fill="2251FF"/>
            <w:vAlign w:val="center"/>
          </w:tcPr>
          <w:p>
            <w:pPr>
              <w:spacing w:after="20" w:before="20" w:line="252" w:lineRule="auto"/>
            </w:pPr>
            <w:r/>
            <w:r>
              <w:rPr>
                <w:rFonts w:ascii="Arial" w:hAnsi="Arial"/>
                <w:b/>
                <w:color w:val="FFFFFF"/>
                <w:sz w:val="17"/>
              </w:rPr>
              <w:t>Rekomendasi</w:t>
            </w:r>
          </w:p>
        </w:tc>
        <w:tc>
          <w:tcPr>
            <w:tcW w:type="dxa" w:w="2378"/>
            <w:shd w:val="clear" w:color="auto" w:fill="2251FF"/>
            <w:vAlign w:val="center"/>
          </w:tcPr>
          <w:p>
            <w:pPr>
              <w:spacing w:after="20" w:before="20" w:line="252" w:lineRule="auto"/>
            </w:pPr>
            <w:r/>
            <w:r>
              <w:rPr>
                <w:rFonts w:ascii="Arial" w:hAnsi="Arial"/>
                <w:b/>
                <w:color w:val="FFFFFF"/>
                <w:sz w:val="17"/>
              </w:rPr>
              <w:t>Pemilik (usulan)</w:t>
            </w:r>
          </w:p>
        </w:tc>
        <w:tc>
          <w:tcPr>
            <w:tcW w:type="dxa" w:w="1585"/>
            <w:shd w:val="clear" w:color="auto" w:fill="2251FF"/>
            <w:vAlign w:val="center"/>
          </w:tcPr>
          <w:p>
            <w:pPr>
              <w:spacing w:after="20" w:before="20" w:line="252" w:lineRule="auto"/>
            </w:pPr>
            <w:r/>
            <w:r>
              <w:rPr>
                <w:rFonts w:ascii="Arial" w:hAnsi="Arial"/>
                <w:b/>
                <w:color w:val="FFFFFF"/>
                <w:sz w:val="17"/>
              </w:rPr>
              <w:t>Waktu</w:t>
            </w:r>
          </w:p>
        </w:tc>
      </w:tr>
      <w:tr>
        <w:trPr>
          <w:cantSplit/>
        </w:trPr>
        <w:tc>
          <w:tcPr>
            <w:tcW w:type="dxa" w:w="495"/>
            <w:vAlign w:val="center"/>
          </w:tcPr>
          <w:p>
            <w:pPr>
              <w:spacing w:after="20" w:before="20" w:line="252" w:lineRule="auto"/>
            </w:pPr>
            <w:r/>
            <w:r>
              <w:rPr>
                <w:rFonts w:ascii="Arial" w:hAnsi="Arial"/>
                <w:b/>
                <w:sz w:val="17"/>
              </w:rPr>
              <w:t>1</w:t>
            </w:r>
          </w:p>
        </w:tc>
        <w:tc>
          <w:tcPr>
            <w:tcW w:type="dxa" w:w="4953"/>
            <w:vAlign w:val="center"/>
          </w:tcPr>
          <w:p>
            <w:pPr>
              <w:spacing w:after="20" w:before="20" w:line="252" w:lineRule="auto"/>
            </w:pPr>
            <w:r/>
            <w:r>
              <w:rPr>
                <w:rFonts w:ascii="Arial" w:hAnsi="Arial"/>
                <w:b w:val="0"/>
                <w:sz w:val="17"/>
              </w:rPr>
              <w:t>Tetapkan Kebijakan Manajemen Proyek Danantara dan standar minimum (Bab 17.6)</w:t>
            </w:r>
          </w:p>
        </w:tc>
        <w:tc>
          <w:tcPr>
            <w:tcW w:type="dxa" w:w="2378"/>
            <w:vAlign w:val="center"/>
          </w:tcPr>
          <w:p>
            <w:pPr>
              <w:spacing w:after="20" w:before="20" w:line="252" w:lineRule="auto"/>
            </w:pPr>
            <w:r/>
            <w:r>
              <w:rPr>
                <w:rFonts w:ascii="Arial" w:hAnsi="Arial"/>
                <w:b w:val="0"/>
                <w:sz w:val="17"/>
              </w:rPr>
              <w:t>Kepala Badan Pelaksana; Dewan memberi informasi</w:t>
            </w:r>
          </w:p>
        </w:tc>
        <w:tc>
          <w:tcPr>
            <w:tcW w:type="dxa" w:w="1585"/>
            <w:vAlign w:val="center"/>
          </w:tcPr>
          <w:p>
            <w:pPr>
              <w:spacing w:after="20" w:before="20" w:line="252" w:lineRule="auto"/>
            </w:pPr>
            <w:r/>
            <w:r>
              <w:rPr>
                <w:rFonts w:ascii="Arial" w:hAnsi="Arial"/>
                <w:b w:val="0"/>
                <w:sz w:val="17"/>
              </w:rPr>
              <w:t>Hari 0–45</w:t>
            </w:r>
          </w:p>
        </w:tc>
      </w:tr>
      <w:tr>
        <w:trPr>
          <w:cantSplit/>
        </w:trPr>
        <w:tc>
          <w:tcPr>
            <w:tcW w:type="dxa" w:w="495"/>
            <w:shd w:val="clear" w:color="auto" w:fill="E6ECFD"/>
            <w:vAlign w:val="center"/>
          </w:tcPr>
          <w:p>
            <w:pPr>
              <w:spacing w:after="20" w:before="20" w:line="252" w:lineRule="auto"/>
            </w:pPr>
            <w:r/>
            <w:r>
              <w:rPr>
                <w:rFonts w:ascii="Arial" w:hAnsi="Arial"/>
                <w:b/>
                <w:sz w:val="17"/>
              </w:rPr>
              <w:t>2</w:t>
            </w:r>
          </w:p>
        </w:tc>
        <w:tc>
          <w:tcPr>
            <w:tcW w:type="dxa" w:w="4953"/>
            <w:shd w:val="clear" w:color="auto" w:fill="E6ECFD"/>
            <w:vAlign w:val="center"/>
          </w:tcPr>
          <w:p>
            <w:pPr>
              <w:spacing w:after="20" w:before="20" w:line="252" w:lineRule="auto"/>
            </w:pPr>
            <w:r/>
            <w:r>
              <w:rPr>
                <w:rFonts w:ascii="Arial" w:hAnsi="Arial"/>
                <w:b w:val="0"/>
                <w:sz w:val="17"/>
              </w:rPr>
              <w:t>Sahkan register 40 proyek yang direkonsiliasi sebagai penyebut tunggal; pisahkan slot tanpa identitas dari portofolio keputusan</w:t>
            </w:r>
          </w:p>
        </w:tc>
        <w:tc>
          <w:tcPr>
            <w:tcW w:type="dxa" w:w="2378"/>
            <w:shd w:val="clear" w:color="auto" w:fill="E6ECFD"/>
            <w:vAlign w:val="center"/>
          </w:tcPr>
          <w:p>
            <w:pPr>
              <w:spacing w:after="20" w:before="20" w:line="252" w:lineRule="auto"/>
            </w:pPr>
            <w:r/>
            <w:r>
              <w:rPr>
                <w:rFonts w:ascii="Arial" w:hAnsi="Arial"/>
                <w:b w:val="0"/>
                <w:sz w:val="17"/>
              </w:rPr>
              <w:t>Kepala; CFO sementara; DIM, DAM, DDMF</w:t>
            </w:r>
          </w:p>
        </w:tc>
        <w:tc>
          <w:tcPr>
            <w:tcW w:type="dxa" w:w="1585"/>
            <w:shd w:val="clear" w:color="auto" w:fill="E6ECFD"/>
            <w:vAlign w:val="center"/>
          </w:tcPr>
          <w:p>
            <w:pPr>
              <w:spacing w:after="20" w:before="20" w:line="252" w:lineRule="auto"/>
            </w:pPr>
            <w:r/>
            <w:r>
              <w:rPr>
                <w:rFonts w:ascii="Arial" w:hAnsi="Arial"/>
                <w:b w:val="0"/>
                <w:sz w:val="17"/>
              </w:rPr>
              <w:t>Hari 45</w:t>
            </w:r>
          </w:p>
        </w:tc>
      </w:tr>
      <w:tr>
        <w:trPr>
          <w:cantSplit/>
        </w:trPr>
        <w:tc>
          <w:tcPr>
            <w:tcW w:type="dxa" w:w="495"/>
            <w:vAlign w:val="center"/>
          </w:tcPr>
          <w:p>
            <w:pPr>
              <w:spacing w:after="20" w:before="20" w:line="252" w:lineRule="auto"/>
            </w:pPr>
            <w:r/>
            <w:r>
              <w:rPr>
                <w:rFonts w:ascii="Arial" w:hAnsi="Arial"/>
                <w:b/>
                <w:sz w:val="17"/>
              </w:rPr>
              <w:t>3</w:t>
            </w:r>
          </w:p>
        </w:tc>
        <w:tc>
          <w:tcPr>
            <w:tcW w:type="dxa" w:w="4953"/>
            <w:vAlign w:val="center"/>
          </w:tcPr>
          <w:p>
            <w:pPr>
              <w:spacing w:after="20" w:before="20" w:line="252" w:lineRule="auto"/>
            </w:pPr>
            <w:r/>
            <w:r>
              <w:rPr>
                <w:rFonts w:ascii="Arial" w:hAnsi="Arial"/>
                <w:b w:val="0"/>
                <w:sz w:val="17"/>
              </w:rPr>
              <w:t>Tunjuk sponsor, project director, dan organ sah untuk setiap proyek sebelum gerbang pertama</w:t>
            </w:r>
          </w:p>
        </w:tc>
        <w:tc>
          <w:tcPr>
            <w:tcW w:type="dxa" w:w="2378"/>
            <w:vAlign w:val="center"/>
          </w:tcPr>
          <w:p>
            <w:pPr>
              <w:spacing w:after="20" w:before="20" w:line="252" w:lineRule="auto"/>
            </w:pPr>
            <w:r/>
            <w:r>
              <w:rPr>
                <w:rFonts w:ascii="Arial" w:hAnsi="Arial"/>
                <w:b w:val="0"/>
                <w:sz w:val="17"/>
              </w:rPr>
              <w:t>Kepala; sponsor korporasi</w:t>
            </w:r>
          </w:p>
        </w:tc>
        <w:tc>
          <w:tcPr>
            <w:tcW w:type="dxa" w:w="1585"/>
            <w:vAlign w:val="center"/>
          </w:tcPr>
          <w:p>
            <w:pPr>
              <w:spacing w:after="20" w:before="20" w:line="252" w:lineRule="auto"/>
            </w:pPr>
            <w:r/>
            <w:r>
              <w:rPr>
                <w:rFonts w:ascii="Arial" w:hAnsi="Arial"/>
                <w:b w:val="0"/>
                <w:sz w:val="17"/>
              </w:rPr>
              <w:t>Hari 45</w:t>
            </w:r>
          </w:p>
        </w:tc>
      </w:tr>
      <w:tr>
        <w:trPr>
          <w:cantSplit/>
        </w:trPr>
        <w:tc>
          <w:tcPr>
            <w:tcW w:type="dxa" w:w="495"/>
            <w:shd w:val="clear" w:color="auto" w:fill="E6ECFD"/>
            <w:vAlign w:val="center"/>
          </w:tcPr>
          <w:p>
            <w:pPr>
              <w:spacing w:after="20" w:before="20" w:line="252" w:lineRule="auto"/>
            </w:pPr>
            <w:r/>
            <w:r>
              <w:rPr>
                <w:rFonts w:ascii="Arial" w:hAnsi="Arial"/>
                <w:b/>
                <w:sz w:val="17"/>
              </w:rPr>
              <w:t>4</w:t>
            </w:r>
          </w:p>
        </w:tc>
        <w:tc>
          <w:tcPr>
            <w:tcW w:type="dxa" w:w="4953"/>
            <w:shd w:val="clear" w:color="auto" w:fill="E6ECFD"/>
            <w:vAlign w:val="center"/>
          </w:tcPr>
          <w:p>
            <w:pPr>
              <w:spacing w:after="20" w:before="20" w:line="252" w:lineRule="auto"/>
            </w:pPr>
            <w:r/>
            <w:r>
              <w:rPr>
                <w:rFonts w:ascii="Arial" w:hAnsi="Arial"/>
                <w:b w:val="0"/>
                <w:sz w:val="17"/>
              </w:rPr>
              <w:t>Bentuk unit Industri Strategis (NITO) dengan piagam terbatas dan uji 90 hari dengan kriteria terukur</w:t>
            </w:r>
          </w:p>
        </w:tc>
        <w:tc>
          <w:tcPr>
            <w:tcW w:type="dxa" w:w="2378"/>
            <w:shd w:val="clear" w:color="auto" w:fill="E6ECFD"/>
            <w:vAlign w:val="center"/>
          </w:tcPr>
          <w:p>
            <w:pPr>
              <w:spacing w:after="20" w:before="20" w:line="252" w:lineRule="auto"/>
            </w:pPr>
            <w:r/>
            <w:r>
              <w:rPr>
                <w:rFonts w:ascii="Arial" w:hAnsi="Arial"/>
                <w:b w:val="0"/>
                <w:sz w:val="17"/>
              </w:rPr>
              <w:t>Kepala</w:t>
            </w:r>
          </w:p>
        </w:tc>
        <w:tc>
          <w:tcPr>
            <w:tcW w:type="dxa" w:w="1585"/>
            <w:shd w:val="clear" w:color="auto" w:fill="E6ECFD"/>
            <w:vAlign w:val="center"/>
          </w:tcPr>
          <w:p>
            <w:pPr>
              <w:spacing w:after="20" w:before="20" w:line="252" w:lineRule="auto"/>
            </w:pPr>
            <w:r/>
            <w:r>
              <w:rPr>
                <w:rFonts w:ascii="Arial" w:hAnsi="Arial"/>
                <w:b w:val="0"/>
                <w:sz w:val="17"/>
              </w:rPr>
              <w:t>Hari 0–90</w:t>
            </w:r>
          </w:p>
        </w:tc>
      </w:tr>
      <w:tr>
        <w:trPr>
          <w:cantSplit/>
        </w:trPr>
        <w:tc>
          <w:tcPr>
            <w:tcW w:type="dxa" w:w="495"/>
            <w:vAlign w:val="center"/>
          </w:tcPr>
          <w:p>
            <w:pPr>
              <w:spacing w:after="20" w:before="20" w:line="252" w:lineRule="auto"/>
            </w:pPr>
            <w:r/>
            <w:r>
              <w:rPr>
                <w:rFonts w:ascii="Arial" w:hAnsi="Arial"/>
                <w:b/>
                <w:sz w:val="17"/>
              </w:rPr>
              <w:t>5</w:t>
            </w:r>
          </w:p>
        </w:tc>
        <w:tc>
          <w:tcPr>
            <w:tcW w:type="dxa" w:w="4953"/>
            <w:vAlign w:val="center"/>
          </w:tcPr>
          <w:p>
            <w:pPr>
              <w:spacing w:after="20" w:before="20" w:line="252" w:lineRule="auto"/>
            </w:pPr>
            <w:r/>
            <w:r>
              <w:rPr>
                <w:rFonts w:ascii="Arial" w:hAnsi="Arial"/>
                <w:b w:val="0"/>
                <w:sz w:val="17"/>
              </w:rPr>
              <w:t>Bekukan baseline lingkup, biaya, jadwal pada P4; wajibkan estimasi kelas 3 dan kontingensi berbasis risiko pada P3</w:t>
            </w:r>
          </w:p>
        </w:tc>
        <w:tc>
          <w:tcPr>
            <w:tcW w:type="dxa" w:w="2378"/>
            <w:vAlign w:val="center"/>
          </w:tcPr>
          <w:p>
            <w:pPr>
              <w:spacing w:after="20" w:before="20" w:line="252" w:lineRule="auto"/>
            </w:pPr>
            <w:r/>
            <w:r>
              <w:rPr>
                <w:rFonts w:ascii="Arial" w:hAnsi="Arial"/>
                <w:b w:val="0"/>
                <w:sz w:val="17"/>
              </w:rPr>
              <w:t>Unit; CFO proyek; MD Rekayasa</w:t>
            </w:r>
          </w:p>
        </w:tc>
        <w:tc>
          <w:tcPr>
            <w:tcW w:type="dxa" w:w="1585"/>
            <w:vAlign w:val="center"/>
          </w:tcPr>
          <w:p>
            <w:pPr>
              <w:spacing w:after="20" w:before="20" w:line="252" w:lineRule="auto"/>
            </w:pPr>
            <w:r/>
            <w:r>
              <w:rPr>
                <w:rFonts w:ascii="Arial" w:hAnsi="Arial"/>
                <w:b w:val="0"/>
                <w:sz w:val="17"/>
              </w:rPr>
              <w:t>Mulai Hari 60</w:t>
            </w:r>
          </w:p>
        </w:tc>
      </w:tr>
      <w:tr>
        <w:trPr>
          <w:cantSplit/>
        </w:trPr>
        <w:tc>
          <w:tcPr>
            <w:tcW w:type="dxa" w:w="495"/>
            <w:shd w:val="clear" w:color="auto" w:fill="E6ECFD"/>
            <w:vAlign w:val="center"/>
          </w:tcPr>
          <w:p>
            <w:pPr>
              <w:spacing w:after="20" w:before="20" w:line="252" w:lineRule="auto"/>
            </w:pPr>
            <w:r/>
            <w:r>
              <w:rPr>
                <w:rFonts w:ascii="Arial" w:hAnsi="Arial"/>
                <w:b/>
                <w:sz w:val="17"/>
              </w:rPr>
              <w:t>6</w:t>
            </w:r>
          </w:p>
        </w:tc>
        <w:tc>
          <w:tcPr>
            <w:tcW w:type="dxa" w:w="4953"/>
            <w:shd w:val="clear" w:color="auto" w:fill="E6ECFD"/>
            <w:vAlign w:val="center"/>
          </w:tcPr>
          <w:p>
            <w:pPr>
              <w:spacing w:after="20" w:before="20" w:line="252" w:lineRule="auto"/>
            </w:pPr>
            <w:r/>
            <w:r>
              <w:rPr>
                <w:rFonts w:ascii="Arial" w:hAnsi="Arial"/>
                <w:b w:val="0"/>
                <w:sz w:val="17"/>
              </w:rPr>
              <w:t>Wajibkan rantai biaya EPC (WBS × PBS, tiga pemeriksaan PR, pencocokan tiga arah, EVM) pada seluruh proyek di bawah kendali Danantara</w:t>
            </w:r>
          </w:p>
        </w:tc>
        <w:tc>
          <w:tcPr>
            <w:tcW w:type="dxa" w:w="2378"/>
            <w:shd w:val="clear" w:color="auto" w:fill="E6ECFD"/>
            <w:vAlign w:val="center"/>
          </w:tcPr>
          <w:p>
            <w:pPr>
              <w:spacing w:after="20" w:before="20" w:line="252" w:lineRule="auto"/>
            </w:pPr>
            <w:r/>
            <w:r>
              <w:rPr>
                <w:rFonts w:ascii="Arial" w:hAnsi="Arial"/>
                <w:b w:val="0"/>
                <w:sz w:val="17"/>
              </w:rPr>
              <w:t>COO/DAM; project director</w:t>
            </w:r>
          </w:p>
        </w:tc>
        <w:tc>
          <w:tcPr>
            <w:tcW w:type="dxa" w:w="1585"/>
            <w:shd w:val="clear" w:color="auto" w:fill="E6ECFD"/>
            <w:vAlign w:val="center"/>
          </w:tcPr>
          <w:p>
            <w:pPr>
              <w:spacing w:after="20" w:before="20" w:line="252" w:lineRule="auto"/>
            </w:pPr>
            <w:r/>
            <w:r>
              <w:rPr>
                <w:rFonts w:ascii="Arial" w:hAnsi="Arial"/>
                <w:b w:val="0"/>
                <w:sz w:val="17"/>
              </w:rPr>
              <w:t>Bulan 4–12</w:t>
            </w:r>
          </w:p>
        </w:tc>
      </w:tr>
      <w:tr>
        <w:trPr>
          <w:cantSplit/>
        </w:trPr>
        <w:tc>
          <w:tcPr>
            <w:tcW w:type="dxa" w:w="495"/>
            <w:vAlign w:val="center"/>
          </w:tcPr>
          <w:p>
            <w:pPr>
              <w:spacing w:after="20" w:before="20" w:line="252" w:lineRule="auto"/>
            </w:pPr>
            <w:r/>
            <w:r>
              <w:rPr>
                <w:rFonts w:ascii="Arial" w:hAnsi="Arial"/>
                <w:b/>
                <w:sz w:val="17"/>
              </w:rPr>
              <w:t>7</w:t>
            </w:r>
          </w:p>
        </w:tc>
        <w:tc>
          <w:tcPr>
            <w:tcW w:type="dxa" w:w="4953"/>
            <w:vAlign w:val="center"/>
          </w:tcPr>
          <w:p>
            <w:pPr>
              <w:spacing w:after="20" w:before="20" w:line="252" w:lineRule="auto"/>
            </w:pPr>
            <w:r/>
            <w:r>
              <w:rPr>
                <w:rFonts w:ascii="Arial" w:hAnsi="Arial"/>
                <w:b w:val="0"/>
                <w:sz w:val="17"/>
              </w:rPr>
              <w:t>Terapkan gerbang pemasok DOCK-UP pada pengadaan proyek jangkar dengan uji coba satu integrator, 20–30 UKM</w:t>
            </w:r>
          </w:p>
        </w:tc>
        <w:tc>
          <w:tcPr>
            <w:tcW w:type="dxa" w:w="2378"/>
            <w:vAlign w:val="center"/>
          </w:tcPr>
          <w:p>
            <w:pPr>
              <w:spacing w:after="20" w:before="20" w:line="252" w:lineRule="auto"/>
            </w:pPr>
            <w:r/>
            <w:r>
              <w:rPr>
                <w:rFonts w:ascii="Arial" w:hAnsi="Arial"/>
                <w:b w:val="0"/>
                <w:sz w:val="17"/>
              </w:rPr>
              <w:t>KKIP; integrator; unit</w:t>
            </w:r>
          </w:p>
        </w:tc>
        <w:tc>
          <w:tcPr>
            <w:tcW w:type="dxa" w:w="1585"/>
            <w:vAlign w:val="center"/>
          </w:tcPr>
          <w:p>
            <w:pPr>
              <w:spacing w:after="20" w:before="20" w:line="252" w:lineRule="auto"/>
            </w:pPr>
            <w:r/>
            <w:r>
              <w:rPr>
                <w:rFonts w:ascii="Arial" w:hAnsi="Arial"/>
                <w:b w:val="0"/>
                <w:sz w:val="17"/>
              </w:rPr>
              <w:t>Hari 60; uji coba bulan 4</w:t>
            </w:r>
          </w:p>
        </w:tc>
      </w:tr>
      <w:tr>
        <w:trPr>
          <w:cantSplit/>
        </w:trPr>
        <w:tc>
          <w:tcPr>
            <w:tcW w:type="dxa" w:w="495"/>
            <w:shd w:val="clear" w:color="auto" w:fill="E6ECFD"/>
            <w:vAlign w:val="center"/>
          </w:tcPr>
          <w:p>
            <w:pPr>
              <w:spacing w:after="20" w:before="20" w:line="252" w:lineRule="auto"/>
            </w:pPr>
            <w:r/>
            <w:r>
              <w:rPr>
                <w:rFonts w:ascii="Arial" w:hAnsi="Arial"/>
                <w:b/>
                <w:sz w:val="17"/>
              </w:rPr>
              <w:t>8</w:t>
            </w:r>
          </w:p>
        </w:tc>
        <w:tc>
          <w:tcPr>
            <w:tcW w:type="dxa" w:w="4953"/>
            <w:shd w:val="clear" w:color="auto" w:fill="E6ECFD"/>
            <w:vAlign w:val="center"/>
          </w:tcPr>
          <w:p>
            <w:pPr>
              <w:spacing w:after="20" w:before="20" w:line="252" w:lineRule="auto"/>
            </w:pPr>
            <w:r/>
            <w:r>
              <w:rPr>
                <w:rFonts w:ascii="Arial" w:hAnsi="Arial"/>
                <w:b w:val="0"/>
                <w:sz w:val="17"/>
              </w:rPr>
              <w:t>Jalankan diagnostik BUMN Karya dan disiplin penawaran; pisahkan aset warisan setelah diagnostik</w:t>
            </w:r>
          </w:p>
        </w:tc>
        <w:tc>
          <w:tcPr>
            <w:tcW w:type="dxa" w:w="2378"/>
            <w:shd w:val="clear" w:color="auto" w:fill="E6ECFD"/>
            <w:vAlign w:val="center"/>
          </w:tcPr>
          <w:p>
            <w:pPr>
              <w:spacing w:after="20" w:before="20" w:line="252" w:lineRule="auto"/>
            </w:pPr>
            <w:r/>
            <w:r>
              <w:rPr>
                <w:rFonts w:ascii="Arial" w:hAnsi="Arial"/>
                <w:b w:val="0"/>
                <w:sz w:val="17"/>
              </w:rPr>
              <w:t>COO/DAM</w:t>
            </w:r>
          </w:p>
        </w:tc>
        <w:tc>
          <w:tcPr>
            <w:tcW w:type="dxa" w:w="1585"/>
            <w:shd w:val="clear" w:color="auto" w:fill="E6ECFD"/>
            <w:vAlign w:val="center"/>
          </w:tcPr>
          <w:p>
            <w:pPr>
              <w:spacing w:after="20" w:before="20" w:line="252" w:lineRule="auto"/>
            </w:pPr>
            <w:r/>
            <w:r>
              <w:rPr>
                <w:rFonts w:ascii="Arial" w:hAnsi="Arial"/>
                <w:b w:val="0"/>
                <w:sz w:val="17"/>
              </w:rPr>
              <w:t>Hari 30–90</w:t>
            </w:r>
          </w:p>
        </w:tc>
      </w:tr>
      <w:tr>
        <w:trPr>
          <w:cantSplit/>
        </w:trPr>
        <w:tc>
          <w:tcPr>
            <w:tcW w:type="dxa" w:w="495"/>
            <w:vAlign w:val="center"/>
          </w:tcPr>
          <w:p>
            <w:pPr>
              <w:spacing w:after="20" w:before="20" w:line="252" w:lineRule="auto"/>
            </w:pPr>
            <w:r/>
            <w:r>
              <w:rPr>
                <w:rFonts w:ascii="Arial" w:hAnsi="Arial"/>
                <w:b/>
                <w:sz w:val="17"/>
              </w:rPr>
              <w:t>9</w:t>
            </w:r>
          </w:p>
        </w:tc>
        <w:tc>
          <w:tcPr>
            <w:tcW w:type="dxa" w:w="4953"/>
            <w:vAlign w:val="center"/>
          </w:tcPr>
          <w:p>
            <w:pPr>
              <w:spacing w:after="20" w:before="20" w:line="252" w:lineRule="auto"/>
            </w:pPr>
            <w:r/>
            <w:r>
              <w:rPr>
                <w:rFonts w:ascii="Arial" w:hAnsi="Arial"/>
                <w:b w:val="0"/>
                <w:sz w:val="17"/>
              </w:rPr>
              <w:t>Luncurkan MVP menara kendali AI dengan enam agen dan integrasi ERP baca-saja; ukur manfaat bersih</w:t>
            </w:r>
          </w:p>
        </w:tc>
        <w:tc>
          <w:tcPr>
            <w:tcW w:type="dxa" w:w="2378"/>
            <w:vAlign w:val="center"/>
          </w:tcPr>
          <w:p>
            <w:pPr>
              <w:spacing w:after="20" w:before="20" w:line="252" w:lineRule="auto"/>
            </w:pPr>
            <w:r/>
            <w:r>
              <w:rPr>
                <w:rFonts w:ascii="Arial" w:hAnsi="Arial"/>
                <w:b w:val="0"/>
                <w:sz w:val="17"/>
              </w:rPr>
              <w:t>CTO; COO/DAM; BUMN sponsor</w:t>
            </w:r>
          </w:p>
        </w:tc>
        <w:tc>
          <w:tcPr>
            <w:tcW w:type="dxa" w:w="1585"/>
            <w:vAlign w:val="center"/>
          </w:tcPr>
          <w:p>
            <w:pPr>
              <w:spacing w:after="20" w:before="20" w:line="252" w:lineRule="auto"/>
            </w:pPr>
            <w:r/>
            <w:r>
              <w:rPr>
                <w:rFonts w:ascii="Arial" w:hAnsi="Arial"/>
                <w:b w:val="0"/>
                <w:sz w:val="17"/>
              </w:rPr>
              <w:t>Mulai Hari 30</w:t>
            </w:r>
          </w:p>
        </w:tc>
      </w:tr>
      <w:tr>
        <w:trPr>
          <w:cantSplit/>
        </w:trPr>
        <w:tc>
          <w:tcPr>
            <w:tcW w:type="dxa" w:w="495"/>
            <w:shd w:val="clear" w:color="auto" w:fill="E6ECFD"/>
            <w:vAlign w:val="center"/>
          </w:tcPr>
          <w:p>
            <w:pPr>
              <w:spacing w:after="20" w:before="20" w:line="252" w:lineRule="auto"/>
            </w:pPr>
            <w:r/>
            <w:r>
              <w:rPr>
                <w:rFonts w:ascii="Arial" w:hAnsi="Arial"/>
                <w:b/>
                <w:sz w:val="17"/>
              </w:rPr>
              <w:t>10</w:t>
            </w:r>
          </w:p>
        </w:tc>
        <w:tc>
          <w:tcPr>
            <w:tcW w:type="dxa" w:w="4953"/>
            <w:shd w:val="clear" w:color="auto" w:fill="E6ECFD"/>
            <w:vAlign w:val="center"/>
          </w:tcPr>
          <w:p>
            <w:pPr>
              <w:spacing w:after="20" w:before="20" w:line="252" w:lineRule="auto"/>
            </w:pPr>
            <w:r/>
            <w:r>
              <w:rPr>
                <w:rFonts w:ascii="Arial" w:hAnsi="Arial"/>
                <w:b w:val="0"/>
                <w:sz w:val="17"/>
              </w:rPr>
              <w:t>Tetapkan tiga scorecard, kelas bukti, dan aturan NR; laporkan lima tahap modal terpisah</w:t>
            </w:r>
          </w:p>
        </w:tc>
        <w:tc>
          <w:tcPr>
            <w:tcW w:type="dxa" w:w="2378"/>
            <w:shd w:val="clear" w:color="auto" w:fill="E6ECFD"/>
            <w:vAlign w:val="center"/>
          </w:tcPr>
          <w:p>
            <w:pPr>
              <w:spacing w:after="20" w:before="20" w:line="252" w:lineRule="auto"/>
            </w:pPr>
            <w:r/>
            <w:r>
              <w:rPr>
                <w:rFonts w:ascii="Arial" w:hAnsi="Arial"/>
                <w:b w:val="0"/>
                <w:sz w:val="17"/>
              </w:rPr>
              <w:t>Dewan atas usulan Kepala</w:t>
            </w:r>
          </w:p>
        </w:tc>
        <w:tc>
          <w:tcPr>
            <w:tcW w:type="dxa" w:w="1585"/>
            <w:shd w:val="clear" w:color="auto" w:fill="E6ECFD"/>
            <w:vAlign w:val="center"/>
          </w:tcPr>
          <w:p>
            <w:pPr>
              <w:spacing w:after="20" w:before="20" w:line="252" w:lineRule="auto"/>
            </w:pPr>
            <w:r/>
            <w:r>
              <w:rPr>
                <w:rFonts w:ascii="Arial" w:hAnsi="Arial"/>
                <w:b w:val="0"/>
                <w:sz w:val="17"/>
              </w:rPr>
              <w:t>Hari 90</w:t>
            </w:r>
          </w:p>
        </w:tc>
      </w:tr>
      <w:tr>
        <w:trPr>
          <w:cantSplit/>
        </w:trPr>
        <w:tc>
          <w:tcPr>
            <w:tcW w:type="dxa" w:w="495"/>
            <w:vAlign w:val="center"/>
          </w:tcPr>
          <w:p>
            <w:pPr>
              <w:spacing w:after="20" w:before="20" w:line="252" w:lineRule="auto"/>
            </w:pPr>
            <w:r/>
            <w:r>
              <w:rPr>
                <w:rFonts w:ascii="Arial" w:hAnsi="Arial"/>
                <w:b/>
                <w:sz w:val="17"/>
              </w:rPr>
              <w:t>11</w:t>
            </w:r>
          </w:p>
        </w:tc>
        <w:tc>
          <w:tcPr>
            <w:tcW w:type="dxa" w:w="4953"/>
            <w:vAlign w:val="center"/>
          </w:tcPr>
          <w:p>
            <w:pPr>
              <w:spacing w:after="20" w:before="20" w:line="252" w:lineRule="auto"/>
            </w:pPr>
            <w:r/>
            <w:r>
              <w:rPr>
                <w:rFonts w:ascii="Arial" w:hAnsi="Arial"/>
                <w:b w:val="0"/>
                <w:sz w:val="17"/>
              </w:rPr>
              <w:t>Wajibkan setiap kasus bisnis memuat dampak PDB, pekerjaan, impor, inflasi daerah, dan ICOR beserta kelas bukti</w:t>
            </w:r>
          </w:p>
        </w:tc>
        <w:tc>
          <w:tcPr>
            <w:tcW w:type="dxa" w:w="2378"/>
            <w:vAlign w:val="center"/>
          </w:tcPr>
          <w:p>
            <w:pPr>
              <w:spacing w:after="20" w:before="20" w:line="252" w:lineRule="auto"/>
            </w:pPr>
            <w:r/>
            <w:r>
              <w:rPr>
                <w:rFonts w:ascii="Arial" w:hAnsi="Arial"/>
                <w:b w:val="0"/>
                <w:sz w:val="17"/>
              </w:rPr>
              <w:t>Komite investasi; DDMF</w:t>
            </w:r>
          </w:p>
        </w:tc>
        <w:tc>
          <w:tcPr>
            <w:tcW w:type="dxa" w:w="1585"/>
            <w:vAlign w:val="center"/>
          </w:tcPr>
          <w:p>
            <w:pPr>
              <w:spacing w:after="20" w:before="20" w:line="252" w:lineRule="auto"/>
            </w:pPr>
            <w:r/>
            <w:r>
              <w:rPr>
                <w:rFonts w:ascii="Arial" w:hAnsi="Arial"/>
                <w:b w:val="0"/>
                <w:sz w:val="17"/>
              </w:rPr>
              <w:t>Hari 90</w:t>
            </w:r>
          </w:p>
        </w:tc>
      </w:tr>
      <w:tr>
        <w:trPr>
          <w:cantSplit/>
        </w:trPr>
        <w:tc>
          <w:tcPr>
            <w:tcW w:type="dxa" w:w="495"/>
            <w:shd w:val="clear" w:color="auto" w:fill="E6ECFD"/>
            <w:vAlign w:val="center"/>
          </w:tcPr>
          <w:p>
            <w:pPr>
              <w:spacing w:after="20" w:before="20" w:line="252" w:lineRule="auto"/>
            </w:pPr>
            <w:r/>
            <w:r>
              <w:rPr>
                <w:rFonts w:ascii="Arial" w:hAnsi="Arial"/>
                <w:b/>
                <w:sz w:val="17"/>
              </w:rPr>
              <w:t>12</w:t>
            </w:r>
          </w:p>
        </w:tc>
        <w:tc>
          <w:tcPr>
            <w:tcW w:type="dxa" w:w="4953"/>
            <w:shd w:val="clear" w:color="auto" w:fill="E6ECFD"/>
            <w:vAlign w:val="center"/>
          </w:tcPr>
          <w:p>
            <w:pPr>
              <w:spacing w:after="20" w:before="20" w:line="252" w:lineRule="auto"/>
            </w:pPr>
            <w:r/>
            <w:r>
              <w:rPr>
                <w:rFonts w:ascii="Arial" w:hAnsi="Arial"/>
                <w:b w:val="0"/>
                <w:sz w:val="17"/>
              </w:rPr>
              <w:t>Bangun kapabilitas: sertifikasi kompetensi, pelatihan, dan insentif yang selaras; evaluasi pascaproyek (P6)</w:t>
            </w:r>
          </w:p>
        </w:tc>
        <w:tc>
          <w:tcPr>
            <w:tcW w:type="dxa" w:w="2378"/>
            <w:shd w:val="clear" w:color="auto" w:fill="E6ECFD"/>
            <w:vAlign w:val="center"/>
          </w:tcPr>
          <w:p>
            <w:pPr>
              <w:spacing w:after="20" w:before="20" w:line="252" w:lineRule="auto"/>
            </w:pPr>
            <w:r/>
            <w:r>
              <w:rPr>
                <w:rFonts w:ascii="Arial" w:hAnsi="Arial"/>
                <w:b w:val="0"/>
                <w:sz w:val="17"/>
              </w:rPr>
              <w:t>Unit; SDM; sponsor</w:t>
            </w:r>
          </w:p>
        </w:tc>
        <w:tc>
          <w:tcPr>
            <w:tcW w:type="dxa" w:w="1585"/>
            <w:shd w:val="clear" w:color="auto" w:fill="E6ECFD"/>
            <w:vAlign w:val="center"/>
          </w:tcPr>
          <w:p>
            <w:pPr>
              <w:spacing w:after="20" w:before="20" w:line="252" w:lineRule="auto"/>
            </w:pPr>
            <w:r/>
            <w:r>
              <w:rPr>
                <w:rFonts w:ascii="Arial" w:hAnsi="Arial"/>
                <w:b w:val="0"/>
                <w:sz w:val="17"/>
              </w:rPr>
              <w:t>Bulan 6–24</w:t>
            </w:r>
          </w:p>
        </w:tc>
      </w:tr>
    </w:tbl>
    <w:p>
      <w:pPr>
        <w:spacing w:after="40"/>
      </w:pPr>
    </w:p>
    <w:p>
      <w:pPr>
        <w:pStyle w:val="Heading2"/>
      </w:pPr>
      <w:r>
        <w:t>19.3  Keterbatasan dan pekerjaan lanjutan</w:t>
      </w:r>
    </w:p>
    <w:p>
      <w:pPr>
        <w:pStyle w:val="ListBullet"/>
        <w:spacing w:after="40"/>
      </w:pPr>
      <w:r>
        <w:rPr>
          <w:rFonts w:ascii="Arial" w:hAnsi="Arial"/>
          <w:b w:val="0"/>
        </w:rPr>
        <w:t>Makalah ini tidak menguji praktik internal Danantara; ia membaca dokumen kerja, yang seluruhnya draf diskusi.</w:t>
      </w:r>
    </w:p>
    <w:p>
      <w:pPr>
        <w:pStyle w:val="ListBullet"/>
        <w:spacing w:after="40"/>
      </w:pPr>
      <w:r>
        <w:rPr>
          <w:rFonts w:ascii="Arial" w:hAnsi="Arial"/>
          <w:b w:val="0"/>
        </w:rPr>
        <w:t>Dokumen sumber tidak memuat anggaran Rp untuk NITO, uji coba DOCK-UP, atau platform AI; kasus bisnis harus disusun.</w:t>
      </w:r>
    </w:p>
    <w:p>
      <w:pPr>
        <w:pStyle w:val="ListBullet"/>
        <w:spacing w:after="40"/>
      </w:pPr>
      <w:r>
        <w:rPr>
          <w:rFonts w:ascii="Arial" w:hAnsi="Arial"/>
          <w:b w:val="0"/>
        </w:rPr>
        <w:t>Dokumen sumber tidak memuat metode jalur kritis, prosedur EVM, atau perubahan kontrak; bagian ini diisi dari teori dan dari alur kerja anggaran EPC.</w:t>
      </w:r>
    </w:p>
    <w:p>
      <w:pPr>
        <w:pStyle w:val="ListBullet"/>
        <w:spacing w:after="40"/>
      </w:pPr>
      <w:r>
        <w:rPr>
          <w:rFonts w:ascii="Arial" w:hAnsi="Arial"/>
          <w:b w:val="0"/>
        </w:rPr>
        <w:t>Hipotesis rekonsiliasi dua register (Rp1.486,5 triliun) memerlukan konfirmasi pemilik data.</w:t>
      </w:r>
    </w:p>
    <w:p>
      <w:pPr>
        <w:pStyle w:val="ListBullet"/>
        <w:spacing w:after="120"/>
      </w:pPr>
      <w:r>
        <w:rPr>
          <w:rFonts w:ascii="Arial" w:hAnsi="Arial"/>
          <w:b w:val="0"/>
        </w:rPr>
        <w:t>Ambang klasifikasi risiko dan model kematangan adalah usulan untuk didiskusikan.</w:t>
      </w:r>
    </w:p>
    <w:p>
      <w:pPr>
        <w:pStyle w:val="Heading2"/>
      </w:pPr>
      <w:r>
        <w:t>19.4  Penutup</w:t>
      </w:r>
    </w:p>
    <w:p>
      <w:pPr>
        <w:jc w:val="both"/>
      </w:pPr>
      <w:r>
        <w:rPr>
          <w:rFonts w:ascii="Arial" w:hAnsi="Arial"/>
          <w:b w:val="0"/>
        </w:rPr>
        <w:t>Danantara tidak memerlukan lebih banyak pengumuman untuk membuktikan relevansinya. Yang diperlukan adalah mekanisme yang mengubah modal menjadi kapabilitas, pembiayaan yang menghormati substansi, dan bukti bahwa hasilnya nyata. Manajemen proyek adalah mekanisme itu pada tingkat paling konkret: siapa yang bertanggung jawab, berdasarkan bukti apa, dengan uang yang dicairkan kapan, dan dengan hasil yang diukur bagaimana. Sistem yang diusulkan dirancang untuk diuji cepat, diukur jujur, dan diperluas hanya bila terbukti.</w:t>
      </w:r>
    </w:p>
    <w:p>
      <w:r>
        <w:br w:type="page"/>
      </w:r>
    </w:p>
    <w:p>
      <w:pPr>
        <w:pStyle w:val="Heading1"/>
      </w:pPr>
      <w:r>
        <w:t>Lampiran A  Glosarium</w:t>
      </w:r>
    </w:p>
    <w:p>
      <w:pPr>
        <w:keepNext/>
        <w:spacing w:after="60"/>
      </w:pPr>
      <w:r>
        <w:rPr>
          <w:rFonts w:ascii="Arial" w:hAnsi="Arial"/>
          <w:b/>
          <w:color w:val="051C5C"/>
          <w:sz w:val="19"/>
        </w:rPr>
        <w:t xml:space="preserve">Tabel 57: </w:t>
      </w:r>
      <w:r>
        <w:rPr>
          <w:rFonts w:ascii="Arial" w:hAnsi="Arial"/>
          <w:color w:val="051C5C"/>
          <w:sz w:val="19"/>
        </w:rPr>
        <w:t>Glosarium istilah</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4706"/>
        <w:gridCol w:w="4706"/>
      </w:tblGrid>
      <w:tr>
        <w:trPr>
          <w:cantSplit/>
          <w:tblHeader/>
        </w:trPr>
        <w:tc>
          <w:tcPr>
            <w:tcW w:type="dxa" w:w="2157"/>
            <w:shd w:val="clear" w:color="auto" w:fill="2251FF"/>
            <w:vAlign w:val="center"/>
          </w:tcPr>
          <w:p>
            <w:pPr>
              <w:spacing w:after="20" w:before="20" w:line="252" w:lineRule="auto"/>
            </w:pPr>
            <w:r/>
            <w:r>
              <w:rPr>
                <w:rFonts w:ascii="Arial" w:hAnsi="Arial"/>
                <w:b/>
                <w:color w:val="FFFFFF"/>
                <w:sz w:val="17"/>
              </w:rPr>
              <w:t>Istilah</w:t>
            </w:r>
          </w:p>
        </w:tc>
        <w:tc>
          <w:tcPr>
            <w:tcW w:type="dxa" w:w="7254"/>
            <w:shd w:val="clear" w:color="auto" w:fill="2251FF"/>
            <w:vAlign w:val="center"/>
          </w:tcPr>
          <w:p>
            <w:pPr>
              <w:spacing w:after="20" w:before="20" w:line="252" w:lineRule="auto"/>
            </w:pPr>
            <w:r/>
            <w:r>
              <w:rPr>
                <w:rFonts w:ascii="Arial" w:hAnsi="Arial"/>
                <w:b/>
                <w:color w:val="FFFFFF"/>
                <w:sz w:val="17"/>
              </w:rPr>
              <w:t>Arti</w:t>
            </w:r>
          </w:p>
        </w:tc>
      </w:tr>
      <w:tr>
        <w:trPr>
          <w:cantSplit/>
        </w:trPr>
        <w:tc>
          <w:tcPr>
            <w:tcW w:type="dxa" w:w="2157"/>
            <w:vAlign w:val="center"/>
          </w:tcPr>
          <w:p>
            <w:pPr>
              <w:spacing w:after="20" w:before="20" w:line="252" w:lineRule="auto"/>
            </w:pPr>
            <w:r/>
            <w:r>
              <w:rPr>
                <w:rFonts w:ascii="Arial" w:hAnsi="Arial"/>
                <w:b/>
                <w:sz w:val="17"/>
              </w:rPr>
              <w:t>AACE</w:t>
            </w:r>
          </w:p>
        </w:tc>
        <w:tc>
          <w:tcPr>
            <w:tcW w:type="dxa" w:w="7254"/>
            <w:vAlign w:val="center"/>
          </w:tcPr>
          <w:p>
            <w:pPr>
              <w:spacing w:after="20" w:before="20" w:line="252" w:lineRule="auto"/>
            </w:pPr>
            <w:r/>
            <w:r>
              <w:rPr>
                <w:rFonts w:ascii="Arial" w:hAnsi="Arial"/>
                <w:b w:val="0"/>
                <w:sz w:val="17"/>
              </w:rPr>
              <w:t>Association for the Advancement of Cost Engineering International; sumber klasifikasi estimasi biaya.</w:t>
            </w:r>
          </w:p>
        </w:tc>
      </w:tr>
      <w:tr>
        <w:trPr>
          <w:cantSplit/>
        </w:trPr>
        <w:tc>
          <w:tcPr>
            <w:tcW w:type="dxa" w:w="2157"/>
            <w:shd w:val="clear" w:color="auto" w:fill="E6ECFD"/>
            <w:vAlign w:val="center"/>
          </w:tcPr>
          <w:p>
            <w:pPr>
              <w:spacing w:after="20" w:before="20" w:line="252" w:lineRule="auto"/>
            </w:pPr>
            <w:r/>
            <w:r>
              <w:rPr>
                <w:rFonts w:ascii="Arial" w:hAnsi="Arial"/>
                <w:b/>
                <w:sz w:val="17"/>
              </w:rPr>
              <w:t>AC (ACWP)</w:t>
            </w:r>
          </w:p>
        </w:tc>
        <w:tc>
          <w:tcPr>
            <w:tcW w:type="dxa" w:w="7254"/>
            <w:shd w:val="clear" w:color="auto" w:fill="E6ECFD"/>
            <w:vAlign w:val="center"/>
          </w:tcPr>
          <w:p>
            <w:pPr>
              <w:spacing w:after="20" w:before="20" w:line="252" w:lineRule="auto"/>
            </w:pPr>
            <w:r/>
            <w:r>
              <w:rPr>
                <w:rFonts w:ascii="Arial" w:hAnsi="Arial"/>
                <w:b w:val="0"/>
                <w:sz w:val="17"/>
              </w:rPr>
              <w:t>Actual cost: biaya aktual pekerjaan yang telah dilaksanakan.</w:t>
            </w:r>
          </w:p>
        </w:tc>
      </w:tr>
      <w:tr>
        <w:trPr>
          <w:cantSplit/>
        </w:trPr>
        <w:tc>
          <w:tcPr>
            <w:tcW w:type="dxa" w:w="2157"/>
            <w:vAlign w:val="center"/>
          </w:tcPr>
          <w:p>
            <w:pPr>
              <w:spacing w:after="20" w:before="20" w:line="252" w:lineRule="auto"/>
            </w:pPr>
            <w:r/>
            <w:r>
              <w:rPr>
                <w:rFonts w:ascii="Arial" w:hAnsi="Arial"/>
                <w:b/>
                <w:sz w:val="17"/>
              </w:rPr>
              <w:t>AP / AR</w:t>
            </w:r>
          </w:p>
        </w:tc>
        <w:tc>
          <w:tcPr>
            <w:tcW w:type="dxa" w:w="7254"/>
            <w:vAlign w:val="center"/>
          </w:tcPr>
          <w:p>
            <w:pPr>
              <w:spacing w:after="20" w:before="20" w:line="252" w:lineRule="auto"/>
            </w:pPr>
            <w:r/>
            <w:r>
              <w:rPr>
                <w:rFonts w:ascii="Arial" w:hAnsi="Arial"/>
                <w:b w:val="0"/>
                <w:sz w:val="17"/>
              </w:rPr>
              <w:t>Accounts payable (utang usaha) / accounts receivable (piutang usaha).</w:t>
            </w:r>
          </w:p>
        </w:tc>
      </w:tr>
      <w:tr>
        <w:trPr>
          <w:cantSplit/>
        </w:trPr>
        <w:tc>
          <w:tcPr>
            <w:tcW w:type="dxa" w:w="2157"/>
            <w:shd w:val="clear" w:color="auto" w:fill="E6ECFD"/>
            <w:vAlign w:val="center"/>
          </w:tcPr>
          <w:p>
            <w:pPr>
              <w:spacing w:after="20" w:before="20" w:line="252" w:lineRule="auto"/>
            </w:pPr>
            <w:r/>
            <w:r>
              <w:rPr>
                <w:rFonts w:ascii="Arial" w:hAnsi="Arial"/>
                <w:b/>
                <w:sz w:val="17"/>
              </w:rPr>
              <w:t>BAC</w:t>
            </w:r>
          </w:p>
        </w:tc>
        <w:tc>
          <w:tcPr>
            <w:tcW w:type="dxa" w:w="7254"/>
            <w:shd w:val="clear" w:color="auto" w:fill="E6ECFD"/>
            <w:vAlign w:val="center"/>
          </w:tcPr>
          <w:p>
            <w:pPr>
              <w:spacing w:after="20" w:before="20" w:line="252" w:lineRule="auto"/>
            </w:pPr>
            <w:r/>
            <w:r>
              <w:rPr>
                <w:rFonts w:ascii="Arial" w:hAnsi="Arial"/>
                <w:b w:val="0"/>
                <w:sz w:val="17"/>
              </w:rPr>
              <w:t>Budget at completion: total anggaran proyek.</w:t>
            </w:r>
          </w:p>
        </w:tc>
      </w:tr>
      <w:tr>
        <w:trPr>
          <w:cantSplit/>
        </w:trPr>
        <w:tc>
          <w:tcPr>
            <w:tcW w:type="dxa" w:w="2157"/>
            <w:vAlign w:val="center"/>
          </w:tcPr>
          <w:p>
            <w:pPr>
              <w:spacing w:after="20" w:before="20" w:line="252" w:lineRule="auto"/>
            </w:pPr>
            <w:r/>
            <w:r>
              <w:rPr>
                <w:rFonts w:ascii="Arial" w:hAnsi="Arial"/>
                <w:b/>
                <w:sz w:val="17"/>
              </w:rPr>
              <w:t>BIM / CDE</w:t>
            </w:r>
          </w:p>
        </w:tc>
        <w:tc>
          <w:tcPr>
            <w:tcW w:type="dxa" w:w="7254"/>
            <w:vAlign w:val="center"/>
          </w:tcPr>
          <w:p>
            <w:pPr>
              <w:spacing w:after="20" w:before="20" w:line="252" w:lineRule="auto"/>
            </w:pPr>
            <w:r/>
            <w:r>
              <w:rPr>
                <w:rFonts w:ascii="Arial" w:hAnsi="Arial"/>
                <w:b w:val="0"/>
                <w:sz w:val="17"/>
              </w:rPr>
              <w:t>Building information modelling / common data environment.</w:t>
            </w:r>
          </w:p>
        </w:tc>
      </w:tr>
      <w:tr>
        <w:trPr>
          <w:cantSplit/>
        </w:trPr>
        <w:tc>
          <w:tcPr>
            <w:tcW w:type="dxa" w:w="2157"/>
            <w:shd w:val="clear" w:color="auto" w:fill="E6ECFD"/>
            <w:vAlign w:val="center"/>
          </w:tcPr>
          <w:p>
            <w:pPr>
              <w:spacing w:after="20" w:before="20" w:line="252" w:lineRule="auto"/>
            </w:pPr>
            <w:r/>
            <w:r>
              <w:rPr>
                <w:rFonts w:ascii="Arial" w:hAnsi="Arial"/>
                <w:b/>
                <w:sz w:val="17"/>
              </w:rPr>
              <w:t>BKI</w:t>
            </w:r>
          </w:p>
        </w:tc>
        <w:tc>
          <w:tcPr>
            <w:tcW w:type="dxa" w:w="7254"/>
            <w:shd w:val="clear" w:color="auto" w:fill="E6ECFD"/>
            <w:vAlign w:val="center"/>
          </w:tcPr>
          <w:p>
            <w:pPr>
              <w:spacing w:after="20" w:before="20" w:line="252" w:lineRule="auto"/>
            </w:pPr>
            <w:r/>
            <w:r>
              <w:rPr>
                <w:rFonts w:ascii="Arial" w:hAnsi="Arial"/>
                <w:b w:val="0"/>
                <w:sz w:val="17"/>
              </w:rPr>
              <w:t>Biro Klasifikasi Indonesia; badan klasifikasi dan surveyor.</w:t>
            </w:r>
          </w:p>
        </w:tc>
      </w:tr>
      <w:tr>
        <w:trPr>
          <w:cantSplit/>
        </w:trPr>
        <w:tc>
          <w:tcPr>
            <w:tcW w:type="dxa" w:w="2157"/>
            <w:vAlign w:val="center"/>
          </w:tcPr>
          <w:p>
            <w:pPr>
              <w:spacing w:after="20" w:before="20" w:line="252" w:lineRule="auto"/>
            </w:pPr>
            <w:r/>
            <w:r>
              <w:rPr>
                <w:rFonts w:ascii="Arial" w:hAnsi="Arial"/>
                <w:b/>
                <w:sz w:val="17"/>
              </w:rPr>
              <w:t>CBS / OBS</w:t>
            </w:r>
          </w:p>
        </w:tc>
        <w:tc>
          <w:tcPr>
            <w:tcW w:type="dxa" w:w="7254"/>
            <w:vAlign w:val="center"/>
          </w:tcPr>
          <w:p>
            <w:pPr>
              <w:spacing w:after="20" w:before="20" w:line="252" w:lineRule="auto"/>
            </w:pPr>
            <w:r/>
            <w:r>
              <w:rPr>
                <w:rFonts w:ascii="Arial" w:hAnsi="Arial"/>
                <w:b w:val="0"/>
                <w:sz w:val="17"/>
              </w:rPr>
              <w:t>Cost / organization breakdown structure.</w:t>
            </w:r>
          </w:p>
        </w:tc>
      </w:tr>
      <w:tr>
        <w:trPr>
          <w:cantSplit/>
        </w:trPr>
        <w:tc>
          <w:tcPr>
            <w:tcW w:type="dxa" w:w="2157"/>
            <w:shd w:val="clear" w:color="auto" w:fill="E6ECFD"/>
            <w:vAlign w:val="center"/>
          </w:tcPr>
          <w:p>
            <w:pPr>
              <w:spacing w:after="20" w:before="20" w:line="252" w:lineRule="auto"/>
            </w:pPr>
            <w:r/>
            <w:r>
              <w:rPr>
                <w:rFonts w:ascii="Arial" w:hAnsi="Arial"/>
                <w:b/>
                <w:sz w:val="17"/>
              </w:rPr>
              <w:t>Control account</w:t>
            </w:r>
          </w:p>
        </w:tc>
        <w:tc>
          <w:tcPr>
            <w:tcW w:type="dxa" w:w="7254"/>
            <w:shd w:val="clear" w:color="auto" w:fill="E6ECFD"/>
            <w:vAlign w:val="center"/>
          </w:tcPr>
          <w:p>
            <w:pPr>
              <w:spacing w:after="20" w:before="20" w:line="252" w:lineRule="auto"/>
            </w:pPr>
            <w:r/>
            <w:r>
              <w:rPr>
                <w:rFonts w:ascii="Arial" w:hAnsi="Arial"/>
                <w:b w:val="0"/>
                <w:sz w:val="17"/>
              </w:rPr>
              <w:t>Akun kendali: perpotongan WBS dan OBS tempat anggaran, jadwal, dan kemajuan dikelola.</w:t>
            </w:r>
          </w:p>
        </w:tc>
      </w:tr>
      <w:tr>
        <w:trPr>
          <w:cantSplit/>
        </w:trPr>
        <w:tc>
          <w:tcPr>
            <w:tcW w:type="dxa" w:w="2157"/>
            <w:vAlign w:val="center"/>
          </w:tcPr>
          <w:p>
            <w:pPr>
              <w:spacing w:after="20" w:before="20" w:line="252" w:lineRule="auto"/>
            </w:pPr>
            <w:r/>
            <w:r>
              <w:rPr>
                <w:rFonts w:ascii="Arial" w:hAnsi="Arial"/>
                <w:b/>
                <w:sz w:val="17"/>
              </w:rPr>
              <w:t>CPI / SPI</w:t>
            </w:r>
          </w:p>
        </w:tc>
        <w:tc>
          <w:tcPr>
            <w:tcW w:type="dxa" w:w="7254"/>
            <w:vAlign w:val="center"/>
          </w:tcPr>
          <w:p>
            <w:pPr>
              <w:spacing w:after="20" w:before="20" w:line="252" w:lineRule="auto"/>
            </w:pPr>
            <w:r/>
            <w:r>
              <w:rPr>
                <w:rFonts w:ascii="Arial" w:hAnsi="Arial"/>
                <w:b w:val="0"/>
                <w:sz w:val="17"/>
              </w:rPr>
              <w:t>Cost / schedule performance index = EV/AC dan EV/PV.</w:t>
            </w:r>
          </w:p>
        </w:tc>
      </w:tr>
      <w:tr>
        <w:trPr>
          <w:cantSplit/>
        </w:trPr>
        <w:tc>
          <w:tcPr>
            <w:tcW w:type="dxa" w:w="2157"/>
            <w:shd w:val="clear" w:color="auto" w:fill="E6ECFD"/>
            <w:vAlign w:val="center"/>
          </w:tcPr>
          <w:p>
            <w:pPr>
              <w:spacing w:after="20" w:before="20" w:line="252" w:lineRule="auto"/>
            </w:pPr>
            <w:r/>
            <w:r>
              <w:rPr>
                <w:rFonts w:ascii="Arial" w:hAnsi="Arial"/>
                <w:b/>
                <w:sz w:val="17"/>
              </w:rPr>
              <w:t>CPM</w:t>
            </w:r>
          </w:p>
        </w:tc>
        <w:tc>
          <w:tcPr>
            <w:tcW w:type="dxa" w:w="7254"/>
            <w:shd w:val="clear" w:color="auto" w:fill="E6ECFD"/>
            <w:vAlign w:val="center"/>
          </w:tcPr>
          <w:p>
            <w:pPr>
              <w:spacing w:after="20" w:before="20" w:line="252" w:lineRule="auto"/>
            </w:pPr>
            <w:r/>
            <w:r>
              <w:rPr>
                <w:rFonts w:ascii="Arial" w:hAnsi="Arial"/>
                <w:b w:val="0"/>
                <w:sz w:val="17"/>
              </w:rPr>
              <w:t>Critical path method: metode jalur kritis.</w:t>
            </w:r>
          </w:p>
        </w:tc>
      </w:tr>
      <w:tr>
        <w:trPr>
          <w:cantSplit/>
        </w:trPr>
        <w:tc>
          <w:tcPr>
            <w:tcW w:type="dxa" w:w="2157"/>
            <w:vAlign w:val="center"/>
          </w:tcPr>
          <w:p>
            <w:pPr>
              <w:spacing w:after="20" w:before="20" w:line="252" w:lineRule="auto"/>
            </w:pPr>
            <w:r/>
            <w:r>
              <w:rPr>
                <w:rFonts w:ascii="Arial" w:hAnsi="Arial"/>
                <w:b/>
                <w:sz w:val="17"/>
              </w:rPr>
              <w:t>DAM / DIM / DDMF</w:t>
            </w:r>
          </w:p>
        </w:tc>
        <w:tc>
          <w:tcPr>
            <w:tcW w:type="dxa" w:w="7254"/>
            <w:vAlign w:val="center"/>
          </w:tcPr>
          <w:p>
            <w:pPr>
              <w:spacing w:after="20" w:before="20" w:line="252" w:lineRule="auto"/>
            </w:pPr>
            <w:r/>
            <w:r>
              <w:rPr>
                <w:rFonts w:ascii="Arial" w:hAnsi="Arial"/>
                <w:b w:val="0"/>
                <w:sz w:val="17"/>
              </w:rPr>
              <w:t>Danantara Asset Management / Investment Management / Development Management (Mandate) Fund; ekspansi DDMF berbeda antar sumber.</w:t>
            </w:r>
          </w:p>
        </w:tc>
      </w:tr>
      <w:tr>
        <w:trPr>
          <w:cantSplit/>
        </w:trPr>
        <w:tc>
          <w:tcPr>
            <w:tcW w:type="dxa" w:w="2157"/>
            <w:shd w:val="clear" w:color="auto" w:fill="E6ECFD"/>
            <w:vAlign w:val="center"/>
          </w:tcPr>
          <w:p>
            <w:pPr>
              <w:spacing w:after="20" w:before="20" w:line="252" w:lineRule="auto"/>
            </w:pPr>
            <w:r/>
            <w:r>
              <w:rPr>
                <w:rFonts w:ascii="Arial" w:hAnsi="Arial"/>
                <w:b/>
                <w:sz w:val="17"/>
              </w:rPr>
              <w:t>DOCK-UP</w:t>
            </w:r>
          </w:p>
        </w:tc>
        <w:tc>
          <w:tcPr>
            <w:tcW w:type="dxa" w:w="7254"/>
            <w:shd w:val="clear" w:color="auto" w:fill="E6ECFD"/>
            <w:vAlign w:val="center"/>
          </w:tcPr>
          <w:p>
            <w:pPr>
              <w:spacing w:after="20" w:before="20" w:line="252" w:lineRule="auto"/>
            </w:pPr>
            <w:r/>
            <w:r>
              <w:rPr>
                <w:rFonts w:ascii="Arial" w:hAnsi="Arial"/>
                <w:b w:val="0"/>
                <w:sz w:val="17"/>
              </w:rPr>
              <w:t>Develop, Off-taker, Certification, Upgrading: skema pembangunan pemasok yang bergerbang (versi dokumen platform: Development, Offtaker, Certified, Upgrading).</w:t>
            </w:r>
          </w:p>
        </w:tc>
      </w:tr>
      <w:tr>
        <w:trPr>
          <w:cantSplit/>
        </w:trPr>
        <w:tc>
          <w:tcPr>
            <w:tcW w:type="dxa" w:w="2157"/>
            <w:vAlign w:val="center"/>
          </w:tcPr>
          <w:p>
            <w:pPr>
              <w:spacing w:after="20" w:before="20" w:line="252" w:lineRule="auto"/>
            </w:pPr>
            <w:r/>
            <w:r>
              <w:rPr>
                <w:rFonts w:ascii="Arial" w:hAnsi="Arial"/>
                <w:b/>
                <w:sz w:val="17"/>
              </w:rPr>
              <w:t>DSO</w:t>
            </w:r>
          </w:p>
        </w:tc>
        <w:tc>
          <w:tcPr>
            <w:tcW w:type="dxa" w:w="7254"/>
            <w:vAlign w:val="center"/>
          </w:tcPr>
          <w:p>
            <w:pPr>
              <w:spacing w:after="20" w:before="20" w:line="252" w:lineRule="auto"/>
            </w:pPr>
            <w:r/>
            <w:r>
              <w:rPr>
                <w:rFonts w:ascii="Arial" w:hAnsi="Arial"/>
                <w:b w:val="0"/>
                <w:sz w:val="17"/>
              </w:rPr>
              <w:t>Days sales outstanding: umur piutang.</w:t>
            </w:r>
          </w:p>
        </w:tc>
      </w:tr>
      <w:tr>
        <w:trPr>
          <w:cantSplit/>
        </w:trPr>
        <w:tc>
          <w:tcPr>
            <w:tcW w:type="dxa" w:w="2157"/>
            <w:shd w:val="clear" w:color="auto" w:fill="E6ECFD"/>
            <w:vAlign w:val="center"/>
          </w:tcPr>
          <w:p>
            <w:pPr>
              <w:spacing w:after="20" w:before="20" w:line="252" w:lineRule="auto"/>
            </w:pPr>
            <w:r/>
            <w:r>
              <w:rPr>
                <w:rFonts w:ascii="Arial" w:hAnsi="Arial"/>
                <w:b/>
                <w:sz w:val="17"/>
              </w:rPr>
              <w:t>DVA</w:t>
            </w:r>
          </w:p>
        </w:tc>
        <w:tc>
          <w:tcPr>
            <w:tcW w:type="dxa" w:w="7254"/>
            <w:shd w:val="clear" w:color="auto" w:fill="E6ECFD"/>
            <w:vAlign w:val="center"/>
          </w:tcPr>
          <w:p>
            <w:pPr>
              <w:spacing w:after="20" w:before="20" w:line="252" w:lineRule="auto"/>
            </w:pPr>
            <w:r/>
            <w:r>
              <w:rPr>
                <w:rFonts w:ascii="Arial" w:hAnsi="Arial"/>
                <w:b w:val="0"/>
                <w:sz w:val="17"/>
              </w:rPr>
              <w:t>Domestic value added: nilai tambah dalam negeri.</w:t>
            </w:r>
          </w:p>
        </w:tc>
      </w:tr>
      <w:tr>
        <w:trPr>
          <w:cantSplit/>
        </w:trPr>
        <w:tc>
          <w:tcPr>
            <w:tcW w:type="dxa" w:w="2157"/>
            <w:vAlign w:val="center"/>
          </w:tcPr>
          <w:p>
            <w:pPr>
              <w:spacing w:after="20" w:before="20" w:line="252" w:lineRule="auto"/>
            </w:pPr>
            <w:r/>
            <w:r>
              <w:rPr>
                <w:rFonts w:ascii="Arial" w:hAnsi="Arial"/>
                <w:b/>
                <w:sz w:val="17"/>
              </w:rPr>
              <w:t>EAC / ETC / VAC / TCPI</w:t>
            </w:r>
          </w:p>
        </w:tc>
        <w:tc>
          <w:tcPr>
            <w:tcW w:type="dxa" w:w="7254"/>
            <w:vAlign w:val="center"/>
          </w:tcPr>
          <w:p>
            <w:pPr>
              <w:spacing w:after="20" w:before="20" w:line="252" w:lineRule="auto"/>
            </w:pPr>
            <w:r/>
            <w:r>
              <w:rPr>
                <w:rFonts w:ascii="Arial" w:hAnsi="Arial"/>
                <w:b w:val="0"/>
                <w:sz w:val="17"/>
              </w:rPr>
              <w:t>Estimate at completion / to complete / variance at completion / to-complete performance index.</w:t>
            </w:r>
          </w:p>
        </w:tc>
      </w:tr>
      <w:tr>
        <w:trPr>
          <w:cantSplit/>
        </w:trPr>
        <w:tc>
          <w:tcPr>
            <w:tcW w:type="dxa" w:w="2157"/>
            <w:shd w:val="clear" w:color="auto" w:fill="E6ECFD"/>
            <w:vAlign w:val="center"/>
          </w:tcPr>
          <w:p>
            <w:pPr>
              <w:spacing w:after="20" w:before="20" w:line="252" w:lineRule="auto"/>
            </w:pPr>
            <w:r/>
            <w:r>
              <w:rPr>
                <w:rFonts w:ascii="Arial" w:hAnsi="Arial"/>
                <w:b/>
                <w:sz w:val="17"/>
              </w:rPr>
              <w:t>ENPV / EIRR</w:t>
            </w:r>
          </w:p>
        </w:tc>
        <w:tc>
          <w:tcPr>
            <w:tcW w:type="dxa" w:w="7254"/>
            <w:shd w:val="clear" w:color="auto" w:fill="E6ECFD"/>
            <w:vAlign w:val="center"/>
          </w:tcPr>
          <w:p>
            <w:pPr>
              <w:spacing w:after="20" w:before="20" w:line="252" w:lineRule="auto"/>
            </w:pPr>
            <w:r/>
            <w:r>
              <w:rPr>
                <w:rFonts w:ascii="Arial" w:hAnsi="Arial"/>
                <w:b w:val="0"/>
                <w:sz w:val="17"/>
              </w:rPr>
              <w:t>NPV dan IRR ekonomi, yang memasukkan manfaat dan biaya eksternal.</w:t>
            </w:r>
          </w:p>
        </w:tc>
      </w:tr>
      <w:tr>
        <w:trPr>
          <w:cantSplit/>
        </w:trPr>
        <w:tc>
          <w:tcPr>
            <w:tcW w:type="dxa" w:w="2157"/>
            <w:vAlign w:val="center"/>
          </w:tcPr>
          <w:p>
            <w:pPr>
              <w:spacing w:after="20" w:before="20" w:line="252" w:lineRule="auto"/>
            </w:pPr>
            <w:r/>
            <w:r>
              <w:rPr>
                <w:rFonts w:ascii="Arial" w:hAnsi="Arial"/>
                <w:b/>
                <w:sz w:val="17"/>
              </w:rPr>
              <w:t>EPC / EPCM</w:t>
            </w:r>
          </w:p>
        </w:tc>
        <w:tc>
          <w:tcPr>
            <w:tcW w:type="dxa" w:w="7254"/>
            <w:vAlign w:val="center"/>
          </w:tcPr>
          <w:p>
            <w:pPr>
              <w:spacing w:after="20" w:before="20" w:line="252" w:lineRule="auto"/>
            </w:pPr>
            <w:r/>
            <w:r>
              <w:rPr>
                <w:rFonts w:ascii="Arial" w:hAnsi="Arial"/>
                <w:b w:val="0"/>
                <w:sz w:val="17"/>
              </w:rPr>
              <w:t>Engineering, procurement, construction / EPC management.</w:t>
            </w:r>
          </w:p>
        </w:tc>
      </w:tr>
      <w:tr>
        <w:trPr>
          <w:cantSplit/>
        </w:trPr>
        <w:tc>
          <w:tcPr>
            <w:tcW w:type="dxa" w:w="2157"/>
            <w:shd w:val="clear" w:color="auto" w:fill="E6ECFD"/>
            <w:vAlign w:val="center"/>
          </w:tcPr>
          <w:p>
            <w:pPr>
              <w:spacing w:after="20" w:before="20" w:line="252" w:lineRule="auto"/>
            </w:pPr>
            <w:r/>
            <w:r>
              <w:rPr>
                <w:rFonts w:ascii="Arial" w:hAnsi="Arial"/>
                <w:b/>
                <w:sz w:val="17"/>
              </w:rPr>
              <w:t>EV (BCWP)</w:t>
            </w:r>
          </w:p>
        </w:tc>
        <w:tc>
          <w:tcPr>
            <w:tcW w:type="dxa" w:w="7254"/>
            <w:shd w:val="clear" w:color="auto" w:fill="E6ECFD"/>
            <w:vAlign w:val="center"/>
          </w:tcPr>
          <w:p>
            <w:pPr>
              <w:spacing w:after="20" w:before="20" w:line="252" w:lineRule="auto"/>
            </w:pPr>
            <w:r/>
            <w:r>
              <w:rPr>
                <w:rFonts w:ascii="Arial" w:hAnsi="Arial"/>
                <w:b w:val="0"/>
                <w:sz w:val="17"/>
              </w:rPr>
              <w:t>Earned value: anggaran dikalikan persen kemajuan fisik.</w:t>
            </w:r>
          </w:p>
        </w:tc>
      </w:tr>
      <w:tr>
        <w:trPr>
          <w:cantSplit/>
        </w:trPr>
        <w:tc>
          <w:tcPr>
            <w:tcW w:type="dxa" w:w="2157"/>
            <w:vAlign w:val="center"/>
          </w:tcPr>
          <w:p>
            <w:pPr>
              <w:spacing w:after="20" w:before="20" w:line="252" w:lineRule="auto"/>
            </w:pPr>
            <w:r/>
            <w:r>
              <w:rPr>
                <w:rFonts w:ascii="Arial" w:hAnsi="Arial"/>
                <w:b/>
                <w:sz w:val="17"/>
              </w:rPr>
              <w:t>FEL / FEED / FID</w:t>
            </w:r>
          </w:p>
        </w:tc>
        <w:tc>
          <w:tcPr>
            <w:tcW w:type="dxa" w:w="7254"/>
            <w:vAlign w:val="center"/>
          </w:tcPr>
          <w:p>
            <w:pPr>
              <w:spacing w:after="20" w:before="20" w:line="252" w:lineRule="auto"/>
            </w:pPr>
            <w:r/>
            <w:r>
              <w:rPr>
                <w:rFonts w:ascii="Arial" w:hAnsi="Arial"/>
                <w:b w:val="0"/>
                <w:sz w:val="17"/>
              </w:rPr>
              <w:t>Front-end loading / front-end engineering design / final investment decision.</w:t>
            </w:r>
          </w:p>
        </w:tc>
      </w:tr>
      <w:tr>
        <w:trPr>
          <w:cantSplit/>
        </w:trPr>
        <w:tc>
          <w:tcPr>
            <w:tcW w:type="dxa" w:w="2157"/>
            <w:shd w:val="clear" w:color="auto" w:fill="E6ECFD"/>
            <w:vAlign w:val="center"/>
          </w:tcPr>
          <w:p>
            <w:pPr>
              <w:spacing w:after="20" w:before="20" w:line="252" w:lineRule="auto"/>
            </w:pPr>
            <w:r/>
            <w:r>
              <w:rPr>
                <w:rFonts w:ascii="Arial" w:hAnsi="Arial"/>
                <w:b/>
                <w:sz w:val="17"/>
              </w:rPr>
              <w:t>FNPV / FIRR</w:t>
            </w:r>
          </w:p>
        </w:tc>
        <w:tc>
          <w:tcPr>
            <w:tcW w:type="dxa" w:w="7254"/>
            <w:shd w:val="clear" w:color="auto" w:fill="E6ECFD"/>
            <w:vAlign w:val="center"/>
          </w:tcPr>
          <w:p>
            <w:pPr>
              <w:spacing w:after="20" w:before="20" w:line="252" w:lineRule="auto"/>
            </w:pPr>
            <w:r/>
            <w:r>
              <w:rPr>
                <w:rFonts w:ascii="Arial" w:hAnsi="Arial"/>
                <w:b w:val="0"/>
                <w:sz w:val="17"/>
              </w:rPr>
              <w:t>NPV dan IRR finansial.</w:t>
            </w:r>
          </w:p>
        </w:tc>
      </w:tr>
      <w:tr>
        <w:trPr>
          <w:cantSplit/>
        </w:trPr>
        <w:tc>
          <w:tcPr>
            <w:tcW w:type="dxa" w:w="2157"/>
            <w:vAlign w:val="center"/>
          </w:tcPr>
          <w:p>
            <w:pPr>
              <w:spacing w:after="20" w:before="20" w:line="252" w:lineRule="auto"/>
            </w:pPr>
            <w:r/>
            <w:r>
              <w:rPr>
                <w:rFonts w:ascii="Arial" w:hAnsi="Arial"/>
                <w:b/>
                <w:sz w:val="17"/>
              </w:rPr>
              <w:t>Gerbang (gate)</w:t>
            </w:r>
          </w:p>
        </w:tc>
        <w:tc>
          <w:tcPr>
            <w:tcW w:type="dxa" w:w="7254"/>
            <w:vAlign w:val="center"/>
          </w:tcPr>
          <w:p>
            <w:pPr>
              <w:spacing w:after="20" w:before="20" w:line="252" w:lineRule="auto"/>
            </w:pPr>
            <w:r/>
            <w:r>
              <w:rPr>
                <w:rFonts w:ascii="Arial" w:hAnsi="Arial"/>
                <w:b w:val="0"/>
                <w:sz w:val="17"/>
              </w:rPr>
              <w:t>Titik keputusan formal untuk melanjutkan, memperbaiki, menunda, atau menghentikan tahap pekerjaan.</w:t>
            </w:r>
          </w:p>
        </w:tc>
      </w:tr>
      <w:tr>
        <w:trPr>
          <w:cantSplit/>
        </w:trPr>
        <w:tc>
          <w:tcPr>
            <w:tcW w:type="dxa" w:w="2157"/>
            <w:shd w:val="clear" w:color="auto" w:fill="E6ECFD"/>
            <w:vAlign w:val="center"/>
          </w:tcPr>
          <w:p>
            <w:pPr>
              <w:spacing w:after="20" w:before="20" w:line="252" w:lineRule="auto"/>
            </w:pPr>
            <w:r/>
            <w:r>
              <w:rPr>
                <w:rFonts w:ascii="Arial" w:hAnsi="Arial"/>
                <w:b/>
                <w:sz w:val="17"/>
              </w:rPr>
              <w:t>HKI</w:t>
            </w:r>
          </w:p>
        </w:tc>
        <w:tc>
          <w:tcPr>
            <w:tcW w:type="dxa" w:w="7254"/>
            <w:shd w:val="clear" w:color="auto" w:fill="E6ECFD"/>
            <w:vAlign w:val="center"/>
          </w:tcPr>
          <w:p>
            <w:pPr>
              <w:spacing w:after="20" w:before="20" w:line="252" w:lineRule="auto"/>
            </w:pPr>
            <w:r/>
            <w:r>
              <w:rPr>
                <w:rFonts w:ascii="Arial" w:hAnsi="Arial"/>
                <w:b w:val="0"/>
                <w:sz w:val="17"/>
              </w:rPr>
              <w:t>Hak kekayaan intelektual.</w:t>
            </w:r>
          </w:p>
        </w:tc>
      </w:tr>
      <w:tr>
        <w:trPr>
          <w:cantSplit/>
        </w:trPr>
        <w:tc>
          <w:tcPr>
            <w:tcW w:type="dxa" w:w="2157"/>
            <w:vAlign w:val="center"/>
          </w:tcPr>
          <w:p>
            <w:pPr>
              <w:spacing w:after="20" w:before="20" w:line="252" w:lineRule="auto"/>
            </w:pPr>
            <w:r/>
            <w:r>
              <w:rPr>
                <w:rFonts w:ascii="Arial" w:hAnsi="Arial"/>
                <w:b/>
                <w:sz w:val="17"/>
              </w:rPr>
              <w:t>ICOR</w:t>
            </w:r>
          </w:p>
        </w:tc>
        <w:tc>
          <w:tcPr>
            <w:tcW w:type="dxa" w:w="7254"/>
            <w:vAlign w:val="center"/>
          </w:tcPr>
          <w:p>
            <w:pPr>
              <w:spacing w:after="20" w:before="20" w:line="252" w:lineRule="auto"/>
            </w:pPr>
            <w:r/>
            <w:r>
              <w:rPr>
                <w:rFonts w:ascii="Arial" w:hAnsi="Arial"/>
                <w:b w:val="0"/>
                <w:sz w:val="17"/>
              </w:rPr>
              <w:t>Incremental capital-output ratio: modal tambahan per unit output tambahan.</w:t>
            </w:r>
          </w:p>
        </w:tc>
      </w:tr>
      <w:tr>
        <w:trPr>
          <w:cantSplit/>
        </w:trPr>
        <w:tc>
          <w:tcPr>
            <w:tcW w:type="dxa" w:w="2157"/>
            <w:shd w:val="clear" w:color="auto" w:fill="E6ECFD"/>
            <w:vAlign w:val="center"/>
          </w:tcPr>
          <w:p>
            <w:pPr>
              <w:spacing w:after="20" w:before="20" w:line="252" w:lineRule="auto"/>
            </w:pPr>
            <w:r/>
            <w:r>
              <w:rPr>
                <w:rFonts w:ascii="Arial" w:hAnsi="Arial"/>
                <w:b/>
                <w:sz w:val="17"/>
              </w:rPr>
              <w:t>ITP / FAT / SAT</w:t>
            </w:r>
          </w:p>
        </w:tc>
        <w:tc>
          <w:tcPr>
            <w:tcW w:type="dxa" w:w="7254"/>
            <w:shd w:val="clear" w:color="auto" w:fill="E6ECFD"/>
            <w:vAlign w:val="center"/>
          </w:tcPr>
          <w:p>
            <w:pPr>
              <w:spacing w:after="20" w:before="20" w:line="252" w:lineRule="auto"/>
            </w:pPr>
            <w:r/>
            <w:r>
              <w:rPr>
                <w:rFonts w:ascii="Arial" w:hAnsi="Arial"/>
                <w:b w:val="0"/>
                <w:sz w:val="17"/>
              </w:rPr>
              <w:t>Inspection and test plan / factory acceptance test / site acceptance test.</w:t>
            </w:r>
          </w:p>
        </w:tc>
      </w:tr>
      <w:tr>
        <w:trPr>
          <w:cantSplit/>
        </w:trPr>
        <w:tc>
          <w:tcPr>
            <w:tcW w:type="dxa" w:w="2157"/>
            <w:vAlign w:val="center"/>
          </w:tcPr>
          <w:p>
            <w:pPr>
              <w:spacing w:after="20" w:before="20" w:line="252" w:lineRule="auto"/>
            </w:pPr>
            <w:r/>
            <w:r>
              <w:rPr>
                <w:rFonts w:ascii="Arial" w:hAnsi="Arial"/>
                <w:b/>
                <w:sz w:val="17"/>
              </w:rPr>
              <w:t>KKIP</w:t>
            </w:r>
          </w:p>
        </w:tc>
        <w:tc>
          <w:tcPr>
            <w:tcW w:type="dxa" w:w="7254"/>
            <w:vAlign w:val="center"/>
          </w:tcPr>
          <w:p>
            <w:pPr>
              <w:spacing w:after="20" w:before="20" w:line="252" w:lineRule="auto"/>
            </w:pPr>
            <w:r/>
            <w:r>
              <w:rPr>
                <w:rFonts w:ascii="Arial" w:hAnsi="Arial"/>
                <w:b w:val="0"/>
                <w:sz w:val="17"/>
              </w:rPr>
              <w:t>Komite Kebijakan Industri Pertahanan.</w:t>
            </w:r>
          </w:p>
        </w:tc>
      </w:tr>
      <w:tr>
        <w:trPr>
          <w:cantSplit/>
        </w:trPr>
        <w:tc>
          <w:tcPr>
            <w:tcW w:type="dxa" w:w="2157"/>
            <w:shd w:val="clear" w:color="auto" w:fill="E6ECFD"/>
            <w:vAlign w:val="center"/>
          </w:tcPr>
          <w:p>
            <w:pPr>
              <w:spacing w:after="20" w:before="20" w:line="252" w:lineRule="auto"/>
            </w:pPr>
            <w:r/>
            <w:r>
              <w:rPr>
                <w:rFonts w:ascii="Arial" w:hAnsi="Arial"/>
                <w:b/>
                <w:sz w:val="17"/>
              </w:rPr>
              <w:t>KPI</w:t>
            </w:r>
          </w:p>
        </w:tc>
        <w:tc>
          <w:tcPr>
            <w:tcW w:type="dxa" w:w="7254"/>
            <w:shd w:val="clear" w:color="auto" w:fill="E6ECFD"/>
            <w:vAlign w:val="center"/>
          </w:tcPr>
          <w:p>
            <w:pPr>
              <w:spacing w:after="20" w:before="20" w:line="252" w:lineRule="auto"/>
            </w:pPr>
            <w:r/>
            <w:r>
              <w:rPr>
                <w:rFonts w:ascii="Arial" w:hAnsi="Arial"/>
                <w:b w:val="0"/>
                <w:sz w:val="17"/>
              </w:rPr>
              <w:t>Key performance indicator.</w:t>
            </w:r>
          </w:p>
        </w:tc>
      </w:tr>
      <w:tr>
        <w:trPr>
          <w:cantSplit/>
        </w:trPr>
        <w:tc>
          <w:tcPr>
            <w:tcW w:type="dxa" w:w="2157"/>
            <w:vAlign w:val="center"/>
          </w:tcPr>
          <w:p>
            <w:pPr>
              <w:spacing w:after="20" w:before="20" w:line="252" w:lineRule="auto"/>
            </w:pPr>
            <w:r/>
            <w:r>
              <w:rPr>
                <w:rFonts w:ascii="Arial" w:hAnsi="Arial"/>
                <w:b/>
                <w:sz w:val="17"/>
              </w:rPr>
              <w:t>MRL / TRL</w:t>
            </w:r>
          </w:p>
        </w:tc>
        <w:tc>
          <w:tcPr>
            <w:tcW w:type="dxa" w:w="7254"/>
            <w:vAlign w:val="center"/>
          </w:tcPr>
          <w:p>
            <w:pPr>
              <w:spacing w:after="20" w:before="20" w:line="252" w:lineRule="auto"/>
            </w:pPr>
            <w:r/>
            <w:r>
              <w:rPr>
                <w:rFonts w:ascii="Arial" w:hAnsi="Arial"/>
                <w:b w:val="0"/>
                <w:sz w:val="17"/>
              </w:rPr>
              <w:t>Manufacturing / technology readiness level; MRL menjawab "dapatkah dibuat setiap saat?", TRL "apakah berfungsi?".</w:t>
            </w:r>
          </w:p>
        </w:tc>
      </w:tr>
      <w:tr>
        <w:trPr>
          <w:cantSplit/>
        </w:trPr>
        <w:tc>
          <w:tcPr>
            <w:tcW w:type="dxa" w:w="2157"/>
            <w:shd w:val="clear" w:color="auto" w:fill="E6ECFD"/>
            <w:vAlign w:val="center"/>
          </w:tcPr>
          <w:p>
            <w:pPr>
              <w:spacing w:after="20" w:before="20" w:line="252" w:lineRule="auto"/>
            </w:pPr>
            <w:r/>
            <w:r>
              <w:rPr>
                <w:rFonts w:ascii="Arial" w:hAnsi="Arial"/>
                <w:b/>
                <w:sz w:val="17"/>
              </w:rPr>
              <w:t>MTO</w:t>
            </w:r>
          </w:p>
        </w:tc>
        <w:tc>
          <w:tcPr>
            <w:tcW w:type="dxa" w:w="7254"/>
            <w:shd w:val="clear" w:color="auto" w:fill="E6ECFD"/>
            <w:vAlign w:val="center"/>
          </w:tcPr>
          <w:p>
            <w:pPr>
              <w:spacing w:after="20" w:before="20" w:line="252" w:lineRule="auto"/>
            </w:pPr>
            <w:r/>
            <w:r>
              <w:rPr>
                <w:rFonts w:ascii="Arial" w:hAnsi="Arial"/>
                <w:b w:val="0"/>
                <w:sz w:val="17"/>
              </w:rPr>
              <w:t>Material take-off: daftar kuantitas material per butir PBS.</w:t>
            </w:r>
          </w:p>
        </w:tc>
      </w:tr>
      <w:tr>
        <w:trPr>
          <w:cantSplit/>
        </w:trPr>
        <w:tc>
          <w:tcPr>
            <w:tcW w:type="dxa" w:w="2157"/>
            <w:vAlign w:val="center"/>
          </w:tcPr>
          <w:p>
            <w:pPr>
              <w:spacing w:after="20" w:before="20" w:line="252" w:lineRule="auto"/>
            </w:pPr>
            <w:r/>
            <w:r>
              <w:rPr>
                <w:rFonts w:ascii="Arial" w:hAnsi="Arial"/>
                <w:b/>
                <w:sz w:val="17"/>
              </w:rPr>
              <w:t>NITO</w:t>
            </w:r>
          </w:p>
        </w:tc>
        <w:tc>
          <w:tcPr>
            <w:tcW w:type="dxa" w:w="7254"/>
            <w:vAlign w:val="center"/>
          </w:tcPr>
          <w:p>
            <w:pPr>
              <w:spacing w:after="20" w:before="20" w:line="252" w:lineRule="auto"/>
            </w:pPr>
            <w:r/>
            <w:r>
              <w:rPr>
                <w:rFonts w:ascii="Arial" w:hAnsi="Arial"/>
                <w:b w:val="0"/>
                <w:sz w:val="17"/>
              </w:rPr>
              <w:t>National Industrial Transformation Office; diterapkan sebagai unit Industri Strategis dan Pelaksanaan Proyek.</w:t>
            </w:r>
          </w:p>
        </w:tc>
      </w:tr>
      <w:tr>
        <w:trPr>
          <w:cantSplit/>
        </w:trPr>
        <w:tc>
          <w:tcPr>
            <w:tcW w:type="dxa" w:w="2157"/>
            <w:shd w:val="clear" w:color="auto" w:fill="E6ECFD"/>
            <w:vAlign w:val="center"/>
          </w:tcPr>
          <w:p>
            <w:pPr>
              <w:spacing w:after="20" w:before="20" w:line="252" w:lineRule="auto"/>
            </w:pPr>
            <w:r/>
            <w:r>
              <w:rPr>
                <w:rFonts w:ascii="Arial" w:hAnsi="Arial"/>
                <w:b/>
                <w:sz w:val="17"/>
              </w:rPr>
              <w:t>NR</w:t>
            </w:r>
          </w:p>
        </w:tc>
        <w:tc>
          <w:tcPr>
            <w:tcW w:type="dxa" w:w="7254"/>
            <w:shd w:val="clear" w:color="auto" w:fill="E6ECFD"/>
            <w:vAlign w:val="center"/>
          </w:tcPr>
          <w:p>
            <w:pPr>
              <w:spacing w:after="20" w:before="20" w:line="252" w:lineRule="auto"/>
            </w:pPr>
            <w:r/>
            <w:r>
              <w:rPr>
                <w:rFonts w:ascii="Arial" w:hAnsi="Arial"/>
                <w:b w:val="0"/>
                <w:sz w:val="17"/>
              </w:rPr>
              <w:t>Tidak dapat dinilai; berbeda dari nol dan dari kegagalan.</w:t>
            </w:r>
          </w:p>
        </w:tc>
      </w:tr>
      <w:tr>
        <w:trPr>
          <w:cantSplit/>
        </w:trPr>
        <w:tc>
          <w:tcPr>
            <w:tcW w:type="dxa" w:w="2157"/>
            <w:vAlign w:val="center"/>
          </w:tcPr>
          <w:p>
            <w:pPr>
              <w:spacing w:after="20" w:before="20" w:line="252" w:lineRule="auto"/>
            </w:pPr>
            <w:r/>
            <w:r>
              <w:rPr>
                <w:rFonts w:ascii="Arial" w:hAnsi="Arial"/>
                <w:b/>
                <w:sz w:val="17"/>
              </w:rPr>
              <w:t>NRF</w:t>
            </w:r>
          </w:p>
        </w:tc>
        <w:tc>
          <w:tcPr>
            <w:tcW w:type="dxa" w:w="7254"/>
            <w:vAlign w:val="center"/>
          </w:tcPr>
          <w:p>
            <w:pPr>
              <w:spacing w:after="20" w:before="20" w:line="252" w:lineRule="auto"/>
            </w:pPr>
            <w:r/>
            <w:r>
              <w:rPr>
                <w:rFonts w:ascii="Arial" w:hAnsi="Arial"/>
                <w:b w:val="0"/>
                <w:sz w:val="17"/>
              </w:rPr>
              <w:t>Natural Resource Fund / Dana Sumber Daya Alam.</w:t>
            </w:r>
          </w:p>
        </w:tc>
      </w:tr>
      <w:tr>
        <w:trPr>
          <w:cantSplit/>
        </w:trPr>
        <w:tc>
          <w:tcPr>
            <w:tcW w:type="dxa" w:w="2157"/>
            <w:shd w:val="clear" w:color="auto" w:fill="E6ECFD"/>
            <w:vAlign w:val="center"/>
          </w:tcPr>
          <w:p>
            <w:pPr>
              <w:spacing w:after="20" w:before="20" w:line="252" w:lineRule="auto"/>
            </w:pPr>
            <w:r/>
            <w:r>
              <w:rPr>
                <w:rFonts w:ascii="Arial" w:hAnsi="Arial"/>
                <w:b/>
                <w:sz w:val="17"/>
              </w:rPr>
              <w:t>PBS / WBS</w:t>
            </w:r>
          </w:p>
        </w:tc>
        <w:tc>
          <w:tcPr>
            <w:tcW w:type="dxa" w:w="7254"/>
            <w:shd w:val="clear" w:color="auto" w:fill="E6ECFD"/>
            <w:vAlign w:val="center"/>
          </w:tcPr>
          <w:p>
            <w:pPr>
              <w:spacing w:after="20" w:before="20" w:line="252" w:lineRule="auto"/>
            </w:pPr>
            <w:r/>
            <w:r>
              <w:rPr>
                <w:rFonts w:ascii="Arial" w:hAnsi="Arial"/>
                <w:b w:val="0"/>
                <w:sz w:val="17"/>
              </w:rPr>
              <w:t>Product / work breakdown structure.</w:t>
            </w:r>
          </w:p>
        </w:tc>
      </w:tr>
      <w:tr>
        <w:trPr>
          <w:cantSplit/>
        </w:trPr>
        <w:tc>
          <w:tcPr>
            <w:tcW w:type="dxa" w:w="2157"/>
            <w:vAlign w:val="center"/>
          </w:tcPr>
          <w:p>
            <w:pPr>
              <w:spacing w:after="20" w:before="20" w:line="252" w:lineRule="auto"/>
            </w:pPr>
            <w:r/>
            <w:r>
              <w:rPr>
                <w:rFonts w:ascii="Arial" w:hAnsi="Arial"/>
                <w:b/>
                <w:sz w:val="17"/>
              </w:rPr>
              <w:t>PDRI</w:t>
            </w:r>
          </w:p>
        </w:tc>
        <w:tc>
          <w:tcPr>
            <w:tcW w:type="dxa" w:w="7254"/>
            <w:vAlign w:val="center"/>
          </w:tcPr>
          <w:p>
            <w:pPr>
              <w:spacing w:after="20" w:before="20" w:line="252" w:lineRule="auto"/>
            </w:pPr>
            <w:r/>
            <w:r>
              <w:rPr>
                <w:rFonts w:ascii="Arial" w:hAnsi="Arial"/>
                <w:b w:val="0"/>
                <w:sz w:val="17"/>
              </w:rPr>
              <w:t>Project Definition Rating Index (CII).</w:t>
            </w:r>
          </w:p>
        </w:tc>
      </w:tr>
      <w:tr>
        <w:trPr>
          <w:cantSplit/>
        </w:trPr>
        <w:tc>
          <w:tcPr>
            <w:tcW w:type="dxa" w:w="2157"/>
            <w:shd w:val="clear" w:color="auto" w:fill="E6ECFD"/>
            <w:vAlign w:val="center"/>
          </w:tcPr>
          <w:p>
            <w:pPr>
              <w:spacing w:after="20" w:before="20" w:line="252" w:lineRule="auto"/>
            </w:pPr>
            <w:r/>
            <w:r>
              <w:rPr>
                <w:rFonts w:ascii="Arial" w:hAnsi="Arial"/>
                <w:b/>
                <w:sz w:val="17"/>
              </w:rPr>
              <w:t>PERT</w:t>
            </w:r>
          </w:p>
        </w:tc>
        <w:tc>
          <w:tcPr>
            <w:tcW w:type="dxa" w:w="7254"/>
            <w:shd w:val="clear" w:color="auto" w:fill="E6ECFD"/>
            <w:vAlign w:val="center"/>
          </w:tcPr>
          <w:p>
            <w:pPr>
              <w:spacing w:after="20" w:before="20" w:line="252" w:lineRule="auto"/>
            </w:pPr>
            <w:r/>
            <w:r>
              <w:rPr>
                <w:rFonts w:ascii="Arial" w:hAnsi="Arial"/>
                <w:b w:val="0"/>
                <w:sz w:val="17"/>
              </w:rPr>
              <w:t>Program evaluation and review technique: estimasi tiga titik.</w:t>
            </w:r>
          </w:p>
        </w:tc>
      </w:tr>
      <w:tr>
        <w:trPr>
          <w:cantSplit/>
        </w:trPr>
        <w:tc>
          <w:tcPr>
            <w:tcW w:type="dxa" w:w="2157"/>
            <w:vAlign w:val="center"/>
          </w:tcPr>
          <w:p>
            <w:pPr>
              <w:spacing w:after="20" w:before="20" w:line="252" w:lineRule="auto"/>
            </w:pPr>
            <w:r/>
            <w:r>
              <w:rPr>
                <w:rFonts w:ascii="Arial" w:hAnsi="Arial"/>
                <w:b/>
                <w:sz w:val="17"/>
              </w:rPr>
              <w:t>PMO</w:t>
            </w:r>
          </w:p>
        </w:tc>
        <w:tc>
          <w:tcPr>
            <w:tcW w:type="dxa" w:w="7254"/>
            <w:vAlign w:val="center"/>
          </w:tcPr>
          <w:p>
            <w:pPr>
              <w:spacing w:after="20" w:before="20" w:line="252" w:lineRule="auto"/>
            </w:pPr>
            <w:r/>
            <w:r>
              <w:rPr>
                <w:rFonts w:ascii="Arial" w:hAnsi="Arial"/>
                <w:b w:val="0"/>
                <w:sz w:val="17"/>
              </w:rPr>
              <w:t>Project management office: kantor manajemen proyek.</w:t>
            </w:r>
          </w:p>
        </w:tc>
      </w:tr>
      <w:tr>
        <w:trPr>
          <w:cantSplit/>
        </w:trPr>
        <w:tc>
          <w:tcPr>
            <w:tcW w:type="dxa" w:w="2157"/>
            <w:shd w:val="clear" w:color="auto" w:fill="E6ECFD"/>
            <w:vAlign w:val="center"/>
          </w:tcPr>
          <w:p>
            <w:pPr>
              <w:spacing w:after="20" w:before="20" w:line="252" w:lineRule="auto"/>
            </w:pPr>
            <w:r/>
            <w:r>
              <w:rPr>
                <w:rFonts w:ascii="Arial" w:hAnsi="Arial"/>
                <w:b/>
                <w:sz w:val="17"/>
              </w:rPr>
              <w:t>PR / PO / GR</w:t>
            </w:r>
          </w:p>
        </w:tc>
        <w:tc>
          <w:tcPr>
            <w:tcW w:type="dxa" w:w="7254"/>
            <w:shd w:val="clear" w:color="auto" w:fill="E6ECFD"/>
            <w:vAlign w:val="center"/>
          </w:tcPr>
          <w:p>
            <w:pPr>
              <w:spacing w:after="20" w:before="20" w:line="252" w:lineRule="auto"/>
            </w:pPr>
            <w:r/>
            <w:r>
              <w:rPr>
                <w:rFonts w:ascii="Arial" w:hAnsi="Arial"/>
                <w:b w:val="0"/>
                <w:sz w:val="17"/>
              </w:rPr>
              <w:t>Purchase requisition / purchase order / goods receipt.</w:t>
            </w:r>
          </w:p>
        </w:tc>
      </w:tr>
      <w:tr>
        <w:trPr>
          <w:cantSplit/>
        </w:trPr>
        <w:tc>
          <w:tcPr>
            <w:tcW w:type="dxa" w:w="2157"/>
            <w:vAlign w:val="center"/>
          </w:tcPr>
          <w:p>
            <w:pPr>
              <w:spacing w:after="20" w:before="20" w:line="252" w:lineRule="auto"/>
            </w:pPr>
            <w:r/>
            <w:r>
              <w:rPr>
                <w:rFonts w:ascii="Arial" w:hAnsi="Arial"/>
                <w:b/>
                <w:sz w:val="17"/>
              </w:rPr>
              <w:t>PV (BCWS)</w:t>
            </w:r>
          </w:p>
        </w:tc>
        <w:tc>
          <w:tcPr>
            <w:tcW w:type="dxa" w:w="7254"/>
            <w:vAlign w:val="center"/>
          </w:tcPr>
          <w:p>
            <w:pPr>
              <w:spacing w:after="20" w:before="20" w:line="252" w:lineRule="auto"/>
            </w:pPr>
            <w:r/>
            <w:r>
              <w:rPr>
                <w:rFonts w:ascii="Arial" w:hAnsi="Arial"/>
                <w:b w:val="0"/>
                <w:sz w:val="17"/>
              </w:rPr>
              <w:t>Planned value: nilai terencana.</w:t>
            </w:r>
          </w:p>
        </w:tc>
      </w:tr>
      <w:tr>
        <w:trPr>
          <w:cantSplit/>
        </w:trPr>
        <w:tc>
          <w:tcPr>
            <w:tcW w:type="dxa" w:w="2157"/>
            <w:shd w:val="clear" w:color="auto" w:fill="E6ECFD"/>
            <w:vAlign w:val="center"/>
          </w:tcPr>
          <w:p>
            <w:pPr>
              <w:spacing w:after="20" w:before="20" w:line="252" w:lineRule="auto"/>
            </w:pPr>
            <w:r/>
            <w:r>
              <w:rPr>
                <w:rFonts w:ascii="Arial" w:hAnsi="Arial"/>
                <w:b/>
                <w:sz w:val="17"/>
              </w:rPr>
              <w:t>RASCI</w:t>
            </w:r>
          </w:p>
        </w:tc>
        <w:tc>
          <w:tcPr>
            <w:tcW w:type="dxa" w:w="7254"/>
            <w:shd w:val="clear" w:color="auto" w:fill="E6ECFD"/>
            <w:vAlign w:val="center"/>
          </w:tcPr>
          <w:p>
            <w:pPr>
              <w:spacing w:after="20" w:before="20" w:line="252" w:lineRule="auto"/>
            </w:pPr>
            <w:r/>
            <w:r>
              <w:rPr>
                <w:rFonts w:ascii="Arial" w:hAnsi="Arial"/>
                <w:b w:val="0"/>
                <w:sz w:val="17"/>
              </w:rPr>
              <w:t>Responsible, Accountable, Support, Consulted, Informed.</w:t>
            </w:r>
          </w:p>
        </w:tc>
      </w:tr>
      <w:tr>
        <w:trPr>
          <w:cantSplit/>
        </w:trPr>
        <w:tc>
          <w:tcPr>
            <w:tcW w:type="dxa" w:w="2157"/>
            <w:vAlign w:val="center"/>
          </w:tcPr>
          <w:p>
            <w:pPr>
              <w:spacing w:after="20" w:before="20" w:line="252" w:lineRule="auto"/>
            </w:pPr>
            <w:r/>
            <w:r>
              <w:rPr>
                <w:rFonts w:ascii="Arial" w:hAnsi="Arial"/>
                <w:b/>
                <w:sz w:val="17"/>
              </w:rPr>
              <w:t>SPV</w:t>
            </w:r>
          </w:p>
        </w:tc>
        <w:tc>
          <w:tcPr>
            <w:tcW w:type="dxa" w:w="7254"/>
            <w:vAlign w:val="center"/>
          </w:tcPr>
          <w:p>
            <w:pPr>
              <w:spacing w:after="20" w:before="20" w:line="252" w:lineRule="auto"/>
            </w:pPr>
            <w:r/>
            <w:r>
              <w:rPr>
                <w:rFonts w:ascii="Arial" w:hAnsi="Arial"/>
                <w:b w:val="0"/>
                <w:sz w:val="17"/>
              </w:rPr>
              <w:t>Special purpose vehicle: perusahaan proyek berbadan hukum tersendiri.</w:t>
            </w:r>
          </w:p>
        </w:tc>
      </w:tr>
      <w:tr>
        <w:trPr>
          <w:cantSplit/>
        </w:trPr>
        <w:tc>
          <w:tcPr>
            <w:tcW w:type="dxa" w:w="2157"/>
            <w:shd w:val="clear" w:color="auto" w:fill="E6ECFD"/>
            <w:vAlign w:val="center"/>
          </w:tcPr>
          <w:p>
            <w:pPr>
              <w:spacing w:after="20" w:before="20" w:line="252" w:lineRule="auto"/>
            </w:pPr>
            <w:r/>
            <w:r>
              <w:rPr>
                <w:rFonts w:ascii="Arial" w:hAnsi="Arial"/>
                <w:b/>
                <w:sz w:val="17"/>
              </w:rPr>
              <w:t>TKDN</w:t>
            </w:r>
          </w:p>
        </w:tc>
        <w:tc>
          <w:tcPr>
            <w:tcW w:type="dxa" w:w="7254"/>
            <w:shd w:val="clear" w:color="auto" w:fill="E6ECFD"/>
            <w:vAlign w:val="center"/>
          </w:tcPr>
          <w:p>
            <w:pPr>
              <w:spacing w:after="20" w:before="20" w:line="252" w:lineRule="auto"/>
            </w:pPr>
            <w:r/>
            <w:r>
              <w:rPr>
                <w:rFonts w:ascii="Arial" w:hAnsi="Arial"/>
                <w:b w:val="0"/>
                <w:sz w:val="17"/>
              </w:rPr>
              <w:t>Tingkat komponen dalam negeri.</w:t>
            </w:r>
          </w:p>
        </w:tc>
      </w:tr>
      <w:tr>
        <w:trPr>
          <w:cantSplit/>
        </w:trPr>
        <w:tc>
          <w:tcPr>
            <w:tcW w:type="dxa" w:w="2157"/>
            <w:vAlign w:val="center"/>
          </w:tcPr>
          <w:p>
            <w:pPr>
              <w:spacing w:after="20" w:before="20" w:line="252" w:lineRule="auto"/>
            </w:pPr>
            <w:r/>
            <w:r>
              <w:rPr>
                <w:rFonts w:ascii="Arial" w:hAnsi="Arial"/>
                <w:b/>
                <w:sz w:val="17"/>
              </w:rPr>
              <w:t>TPDM / PPDM / PIM</w:t>
            </w:r>
          </w:p>
        </w:tc>
        <w:tc>
          <w:tcPr>
            <w:tcW w:type="dxa" w:w="7254"/>
            <w:vAlign w:val="center"/>
          </w:tcPr>
          <w:p>
            <w:pPr>
              <w:spacing w:after="20" w:before="20" w:line="252" w:lineRule="auto"/>
            </w:pPr>
            <w:r/>
            <w:r>
              <w:rPr>
                <w:rFonts w:ascii="Arial" w:hAnsi="Arial"/>
                <w:b w:val="0"/>
                <w:sz w:val="17"/>
              </w:rPr>
              <w:t>Mobilisasi swasta langsung pada pembiayaan awal / pada pembiayaan berikutnya / mobilisasi tidak langsung (metodologi MDB).</w:t>
            </w:r>
          </w:p>
        </w:tc>
      </w:tr>
      <w:tr>
        <w:trPr>
          <w:cantSplit/>
        </w:trPr>
        <w:tc>
          <w:tcPr>
            <w:tcW w:type="dxa" w:w="2157"/>
            <w:shd w:val="clear" w:color="auto" w:fill="E6ECFD"/>
            <w:vAlign w:val="center"/>
          </w:tcPr>
          <w:p>
            <w:pPr>
              <w:spacing w:after="20" w:before="20" w:line="252" w:lineRule="auto"/>
            </w:pPr>
            <w:r/>
            <w:r>
              <w:rPr>
                <w:rFonts w:ascii="Arial" w:hAnsi="Arial"/>
                <w:b/>
                <w:sz w:val="17"/>
              </w:rPr>
              <w:t>UKM / UMKM</w:t>
            </w:r>
          </w:p>
        </w:tc>
        <w:tc>
          <w:tcPr>
            <w:tcW w:type="dxa" w:w="7254"/>
            <w:shd w:val="clear" w:color="auto" w:fill="E6ECFD"/>
            <w:vAlign w:val="center"/>
          </w:tcPr>
          <w:p>
            <w:pPr>
              <w:spacing w:after="20" w:before="20" w:line="252" w:lineRule="auto"/>
            </w:pPr>
            <w:r/>
            <w:r>
              <w:rPr>
                <w:rFonts w:ascii="Arial" w:hAnsi="Arial"/>
                <w:b w:val="0"/>
                <w:sz w:val="17"/>
              </w:rPr>
              <w:t>Usaha (mikro,) kecil, dan menengah.</w:t>
            </w:r>
          </w:p>
        </w:tc>
      </w:tr>
      <w:tr>
        <w:trPr>
          <w:cantSplit/>
        </w:trPr>
        <w:tc>
          <w:tcPr>
            <w:tcW w:type="dxa" w:w="2157"/>
            <w:vAlign w:val="center"/>
          </w:tcPr>
          <w:p>
            <w:pPr>
              <w:spacing w:after="20" w:before="20" w:line="252" w:lineRule="auto"/>
            </w:pPr>
            <w:r/>
            <w:r>
              <w:rPr>
                <w:rFonts w:ascii="Arial" w:hAnsi="Arial"/>
                <w:b/>
                <w:sz w:val="17"/>
              </w:rPr>
              <w:t>VO</w:t>
            </w:r>
          </w:p>
        </w:tc>
        <w:tc>
          <w:tcPr>
            <w:tcW w:type="dxa" w:w="7254"/>
            <w:vAlign w:val="center"/>
          </w:tcPr>
          <w:p>
            <w:pPr>
              <w:spacing w:after="20" w:before="20" w:line="252" w:lineRule="auto"/>
            </w:pPr>
            <w:r/>
            <w:r>
              <w:rPr>
                <w:rFonts w:ascii="Arial" w:hAnsi="Arial"/>
                <w:b w:val="0"/>
                <w:sz w:val="17"/>
              </w:rPr>
              <w:t>Variation order: perubahan lingkup yang disetujui pemberi kerja.</w:t>
            </w:r>
          </w:p>
        </w:tc>
      </w:tr>
    </w:tbl>
    <w:p>
      <w:pPr>
        <w:spacing w:after="40"/>
      </w:pPr>
    </w:p>
    <w:p>
      <w:r>
        <w:br w:type="page"/>
      </w:r>
    </w:p>
    <w:p>
      <w:pPr>
        <w:pStyle w:val="Heading1"/>
      </w:pPr>
      <w:r>
        <w:t>Lampiran B  Templat dasar</w:t>
      </w:r>
    </w:p>
    <w:p>
      <w:pPr>
        <w:jc w:val="both"/>
      </w:pPr>
      <w:r>
        <w:rPr>
          <w:rFonts w:ascii="Arial" w:hAnsi="Arial"/>
          <w:b w:val="0"/>
        </w:rPr>
        <w:t>Templat berikut adalah titik awal. Setiap templat diadaptasi pada kebijakan manajemen proyek Danantara dan diisi menurut gerbang.</w:t>
      </w:r>
    </w:p>
    <w:p>
      <w:pPr>
        <w:pStyle w:val="Heading2"/>
      </w:pPr>
      <w:r>
        <w:t>B.1  Piagam proyek</w:t>
      </w:r>
    </w:p>
    <w:p>
      <w:pPr>
        <w:keepNext/>
        <w:spacing w:after="60"/>
      </w:pPr>
      <w:r>
        <w:rPr>
          <w:rFonts w:ascii="Arial" w:hAnsi="Arial"/>
          <w:b/>
          <w:color w:val="051C5C"/>
          <w:sz w:val="19"/>
        </w:rPr>
        <w:t xml:space="preserve">Tabel 58: </w:t>
      </w:r>
      <w:r>
        <w:rPr>
          <w:rFonts w:ascii="Arial" w:hAnsi="Arial"/>
          <w:color w:val="051C5C"/>
          <w:sz w:val="19"/>
        </w:rPr>
        <w:t>Isi minimum piagam proyek</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4706"/>
        <w:gridCol w:w="4706"/>
      </w:tblGrid>
      <w:tr>
        <w:trPr>
          <w:cantSplit/>
          <w:tblHeader/>
        </w:trPr>
        <w:tc>
          <w:tcPr>
            <w:tcW w:type="dxa" w:w="2157"/>
            <w:shd w:val="clear" w:color="auto" w:fill="2251FF"/>
            <w:vAlign w:val="center"/>
          </w:tcPr>
          <w:p>
            <w:pPr>
              <w:spacing w:after="20" w:before="20" w:line="252" w:lineRule="auto"/>
            </w:pPr>
            <w:r/>
            <w:r>
              <w:rPr>
                <w:rFonts w:ascii="Arial" w:hAnsi="Arial"/>
                <w:b/>
                <w:color w:val="FFFFFF"/>
                <w:sz w:val="17"/>
              </w:rPr>
              <w:t>Bagian</w:t>
            </w:r>
          </w:p>
        </w:tc>
        <w:tc>
          <w:tcPr>
            <w:tcW w:type="dxa" w:w="7254"/>
            <w:shd w:val="clear" w:color="auto" w:fill="2251FF"/>
            <w:vAlign w:val="center"/>
          </w:tcPr>
          <w:p>
            <w:pPr>
              <w:spacing w:after="20" w:before="20" w:line="252" w:lineRule="auto"/>
            </w:pPr>
            <w:r/>
            <w:r>
              <w:rPr>
                <w:rFonts w:ascii="Arial" w:hAnsi="Arial"/>
                <w:b/>
                <w:color w:val="FFFFFF"/>
                <w:sz w:val="17"/>
              </w:rPr>
              <w:t>Isi</w:t>
            </w:r>
          </w:p>
        </w:tc>
      </w:tr>
      <w:tr>
        <w:trPr>
          <w:cantSplit/>
        </w:trPr>
        <w:tc>
          <w:tcPr>
            <w:tcW w:type="dxa" w:w="2157"/>
            <w:vAlign w:val="center"/>
          </w:tcPr>
          <w:p>
            <w:pPr>
              <w:spacing w:after="20" w:before="20" w:line="252" w:lineRule="auto"/>
            </w:pPr>
            <w:r/>
            <w:r>
              <w:rPr>
                <w:rFonts w:ascii="Arial" w:hAnsi="Arial"/>
                <w:b/>
                <w:sz w:val="17"/>
              </w:rPr>
              <w:t>Identitas</w:t>
            </w:r>
          </w:p>
        </w:tc>
        <w:tc>
          <w:tcPr>
            <w:tcW w:type="dxa" w:w="7254"/>
            <w:vAlign w:val="center"/>
          </w:tcPr>
          <w:p>
            <w:pPr>
              <w:spacing w:after="20" w:before="20" w:line="252" w:lineRule="auto"/>
            </w:pPr>
            <w:r/>
            <w:r>
              <w:rPr>
                <w:rFonts w:ascii="Arial" w:hAnsi="Arial"/>
                <w:b w:val="0"/>
                <w:sz w:val="17"/>
              </w:rPr>
              <w:t>ID proyek (tunggal), nama, klaster, lokasi, SPV, sponsor, project director, organ perusahaan yang sah</w:t>
            </w:r>
          </w:p>
        </w:tc>
      </w:tr>
      <w:tr>
        <w:trPr>
          <w:cantSplit/>
        </w:trPr>
        <w:tc>
          <w:tcPr>
            <w:tcW w:type="dxa" w:w="2157"/>
            <w:shd w:val="clear" w:color="auto" w:fill="E6ECFD"/>
            <w:vAlign w:val="center"/>
          </w:tcPr>
          <w:p>
            <w:pPr>
              <w:spacing w:after="20" w:before="20" w:line="252" w:lineRule="auto"/>
            </w:pPr>
            <w:r/>
            <w:r>
              <w:rPr>
                <w:rFonts w:ascii="Arial" w:hAnsi="Arial"/>
                <w:b/>
                <w:sz w:val="17"/>
              </w:rPr>
              <w:t>Tujuan dan manfaat</w:t>
            </w:r>
          </w:p>
        </w:tc>
        <w:tc>
          <w:tcPr>
            <w:tcW w:type="dxa" w:w="7254"/>
            <w:shd w:val="clear" w:color="auto" w:fill="E6ECFD"/>
            <w:vAlign w:val="center"/>
          </w:tcPr>
          <w:p>
            <w:pPr>
              <w:spacing w:after="20" w:before="20" w:line="252" w:lineRule="auto"/>
            </w:pPr>
            <w:r/>
            <w:r>
              <w:rPr>
                <w:rFonts w:ascii="Arial" w:hAnsi="Arial"/>
                <w:b w:val="0"/>
                <w:sz w:val="17"/>
              </w:rPr>
              <w:t>Masalah yang dipecahkan; manfaat terukur dengan pemilik dan baseline; hubungan dengan portofolio dan strategi</w:t>
            </w:r>
          </w:p>
        </w:tc>
      </w:tr>
      <w:tr>
        <w:trPr>
          <w:cantSplit/>
        </w:trPr>
        <w:tc>
          <w:tcPr>
            <w:tcW w:type="dxa" w:w="2157"/>
            <w:vAlign w:val="center"/>
          </w:tcPr>
          <w:p>
            <w:pPr>
              <w:spacing w:after="20" w:before="20" w:line="252" w:lineRule="auto"/>
            </w:pPr>
            <w:r/>
            <w:r>
              <w:rPr>
                <w:rFonts w:ascii="Arial" w:hAnsi="Arial"/>
                <w:b/>
                <w:sz w:val="17"/>
              </w:rPr>
              <w:t>Lingkup</w:t>
            </w:r>
          </w:p>
        </w:tc>
        <w:tc>
          <w:tcPr>
            <w:tcW w:type="dxa" w:w="7254"/>
            <w:vAlign w:val="center"/>
          </w:tcPr>
          <w:p>
            <w:pPr>
              <w:spacing w:after="20" w:before="20" w:line="252" w:lineRule="auto"/>
            </w:pPr>
            <w:r/>
            <w:r>
              <w:rPr>
                <w:rFonts w:ascii="Arial" w:hAnsi="Arial"/>
                <w:b w:val="0"/>
                <w:sz w:val="17"/>
              </w:rPr>
              <w:t>Batas, keluaran utama, pengecualian, antarmuka; PBS tingkat 1–2</w:t>
            </w:r>
          </w:p>
        </w:tc>
      </w:tr>
      <w:tr>
        <w:trPr>
          <w:cantSplit/>
        </w:trPr>
        <w:tc>
          <w:tcPr>
            <w:tcW w:type="dxa" w:w="2157"/>
            <w:shd w:val="clear" w:color="auto" w:fill="E6ECFD"/>
            <w:vAlign w:val="center"/>
          </w:tcPr>
          <w:p>
            <w:pPr>
              <w:spacing w:after="20" w:before="20" w:line="252" w:lineRule="auto"/>
            </w:pPr>
            <w:r/>
            <w:r>
              <w:rPr>
                <w:rFonts w:ascii="Arial" w:hAnsi="Arial"/>
                <w:b/>
                <w:sz w:val="17"/>
              </w:rPr>
              <w:t>Biaya dan pendanaan</w:t>
            </w:r>
          </w:p>
        </w:tc>
        <w:tc>
          <w:tcPr>
            <w:tcW w:type="dxa" w:w="7254"/>
            <w:shd w:val="clear" w:color="auto" w:fill="E6ECFD"/>
            <w:vAlign w:val="center"/>
          </w:tcPr>
          <w:p>
            <w:pPr>
              <w:spacing w:after="20" w:before="20" w:line="252" w:lineRule="auto"/>
            </w:pPr>
            <w:r/>
            <w:r>
              <w:rPr>
                <w:rFonts w:ascii="Arial" w:hAnsi="Arial"/>
                <w:b w:val="0"/>
                <w:sz w:val="17"/>
              </w:rPr>
              <w:t>Estimasi dengan kelas dan basis; kontingensi; sumber dana dan status; porsi Danantara</w:t>
            </w:r>
          </w:p>
        </w:tc>
      </w:tr>
      <w:tr>
        <w:trPr>
          <w:cantSplit/>
        </w:trPr>
        <w:tc>
          <w:tcPr>
            <w:tcW w:type="dxa" w:w="2157"/>
            <w:vAlign w:val="center"/>
          </w:tcPr>
          <w:p>
            <w:pPr>
              <w:spacing w:after="20" w:before="20" w:line="252" w:lineRule="auto"/>
            </w:pPr>
            <w:r/>
            <w:r>
              <w:rPr>
                <w:rFonts w:ascii="Arial" w:hAnsi="Arial"/>
                <w:b/>
                <w:sz w:val="17"/>
              </w:rPr>
              <w:t>Jadwal</w:t>
            </w:r>
          </w:p>
        </w:tc>
        <w:tc>
          <w:tcPr>
            <w:tcW w:type="dxa" w:w="7254"/>
            <w:vAlign w:val="center"/>
          </w:tcPr>
          <w:p>
            <w:pPr>
              <w:spacing w:after="20" w:before="20" w:line="252" w:lineRule="auto"/>
            </w:pPr>
            <w:r/>
            <w:r>
              <w:rPr>
                <w:rFonts w:ascii="Arial" w:hAnsi="Arial"/>
                <w:b w:val="0"/>
                <w:sz w:val="17"/>
              </w:rPr>
              <w:t>Tonggak utama, item lead time panjang, ketergantungan perizinan dan lahan</w:t>
            </w:r>
          </w:p>
        </w:tc>
      </w:tr>
      <w:tr>
        <w:trPr>
          <w:cantSplit/>
        </w:trPr>
        <w:tc>
          <w:tcPr>
            <w:tcW w:type="dxa" w:w="2157"/>
            <w:shd w:val="clear" w:color="auto" w:fill="E6ECFD"/>
            <w:vAlign w:val="center"/>
          </w:tcPr>
          <w:p>
            <w:pPr>
              <w:spacing w:after="20" w:before="20" w:line="252" w:lineRule="auto"/>
            </w:pPr>
            <w:r/>
            <w:r>
              <w:rPr>
                <w:rFonts w:ascii="Arial" w:hAnsi="Arial"/>
                <w:b/>
                <w:sz w:val="17"/>
              </w:rPr>
              <w:t>Risiko dan asumsi</w:t>
            </w:r>
          </w:p>
        </w:tc>
        <w:tc>
          <w:tcPr>
            <w:tcW w:type="dxa" w:w="7254"/>
            <w:shd w:val="clear" w:color="auto" w:fill="E6ECFD"/>
            <w:vAlign w:val="center"/>
          </w:tcPr>
          <w:p>
            <w:pPr>
              <w:spacing w:after="20" w:before="20" w:line="252" w:lineRule="auto"/>
            </w:pPr>
            <w:r/>
            <w:r>
              <w:rPr>
                <w:rFonts w:ascii="Arial" w:hAnsi="Arial"/>
                <w:b w:val="0"/>
                <w:sz w:val="17"/>
              </w:rPr>
              <w:t>Sepuluh risiko teratas; asumsi kritis; kendala</w:t>
            </w:r>
          </w:p>
        </w:tc>
      </w:tr>
      <w:tr>
        <w:trPr>
          <w:cantSplit/>
        </w:trPr>
        <w:tc>
          <w:tcPr>
            <w:tcW w:type="dxa" w:w="2157"/>
            <w:vAlign w:val="center"/>
          </w:tcPr>
          <w:p>
            <w:pPr>
              <w:spacing w:after="20" w:before="20" w:line="252" w:lineRule="auto"/>
            </w:pPr>
            <w:r/>
            <w:r>
              <w:rPr>
                <w:rFonts w:ascii="Arial" w:hAnsi="Arial"/>
                <w:b/>
                <w:sz w:val="17"/>
              </w:rPr>
              <w:t>Pemangku kepentingan</w:t>
            </w:r>
          </w:p>
        </w:tc>
        <w:tc>
          <w:tcPr>
            <w:tcW w:type="dxa" w:w="7254"/>
            <w:vAlign w:val="center"/>
          </w:tcPr>
          <w:p>
            <w:pPr>
              <w:spacing w:after="20" w:before="20" w:line="252" w:lineRule="auto"/>
            </w:pPr>
            <w:r/>
            <w:r>
              <w:rPr>
                <w:rFonts w:ascii="Arial" w:hAnsi="Arial"/>
                <w:b w:val="0"/>
                <w:sz w:val="17"/>
              </w:rPr>
              <w:t>Daftar dan strategi pelibatan</w:t>
            </w:r>
          </w:p>
        </w:tc>
      </w:tr>
      <w:tr>
        <w:trPr>
          <w:cantSplit/>
        </w:trPr>
        <w:tc>
          <w:tcPr>
            <w:tcW w:type="dxa" w:w="2157"/>
            <w:shd w:val="clear" w:color="auto" w:fill="E6ECFD"/>
            <w:vAlign w:val="center"/>
          </w:tcPr>
          <w:p>
            <w:pPr>
              <w:spacing w:after="20" w:before="20" w:line="252" w:lineRule="auto"/>
            </w:pPr>
            <w:r/>
            <w:r>
              <w:rPr>
                <w:rFonts w:ascii="Arial" w:hAnsi="Arial"/>
                <w:b/>
                <w:sz w:val="17"/>
              </w:rPr>
              <w:t>Tata kelola</w:t>
            </w:r>
          </w:p>
        </w:tc>
        <w:tc>
          <w:tcPr>
            <w:tcW w:type="dxa" w:w="7254"/>
            <w:shd w:val="clear" w:color="auto" w:fill="E6ECFD"/>
            <w:vAlign w:val="center"/>
          </w:tcPr>
          <w:p>
            <w:pPr>
              <w:spacing w:after="20" w:before="20" w:line="252" w:lineRule="auto"/>
            </w:pPr>
            <w:r/>
            <w:r>
              <w:rPr>
                <w:rFonts w:ascii="Arial" w:hAnsi="Arial"/>
                <w:b w:val="0"/>
                <w:sz w:val="17"/>
              </w:rPr>
              <w:t>Gerbang, kewenangan, batas toleransi (biaya, waktu, lingkup), pelaporan</w:t>
            </w:r>
          </w:p>
        </w:tc>
      </w:tr>
      <w:tr>
        <w:trPr>
          <w:cantSplit/>
        </w:trPr>
        <w:tc>
          <w:tcPr>
            <w:tcW w:type="dxa" w:w="2157"/>
            <w:vAlign w:val="center"/>
          </w:tcPr>
          <w:p>
            <w:pPr>
              <w:spacing w:after="20" w:before="20" w:line="252" w:lineRule="auto"/>
            </w:pPr>
            <w:r/>
            <w:r>
              <w:rPr>
                <w:rFonts w:ascii="Arial" w:hAnsi="Arial"/>
                <w:b/>
                <w:sz w:val="17"/>
              </w:rPr>
              <w:t>Lokalisasi</w:t>
            </w:r>
          </w:p>
        </w:tc>
        <w:tc>
          <w:tcPr>
            <w:tcW w:type="dxa" w:w="7254"/>
            <w:vAlign w:val="center"/>
          </w:tcPr>
          <w:p>
            <w:pPr>
              <w:spacing w:after="20" w:before="20" w:line="252" w:lineRule="auto"/>
            </w:pPr>
            <w:r/>
            <w:r>
              <w:rPr>
                <w:rFonts w:ascii="Arial" w:hAnsi="Arial"/>
                <w:b w:val="0"/>
                <w:sz w:val="17"/>
              </w:rPr>
              <w:t>Paket yang dapat dilokalisasi; calon pemasok; target gerbang S</w:t>
            </w:r>
          </w:p>
        </w:tc>
      </w:tr>
      <w:tr>
        <w:trPr>
          <w:cantSplit/>
        </w:trPr>
        <w:tc>
          <w:tcPr>
            <w:tcW w:type="dxa" w:w="2157"/>
            <w:shd w:val="clear" w:color="auto" w:fill="E6ECFD"/>
            <w:vAlign w:val="center"/>
          </w:tcPr>
          <w:p>
            <w:pPr>
              <w:spacing w:after="20" w:before="20" w:line="252" w:lineRule="auto"/>
            </w:pPr>
            <w:r/>
            <w:r>
              <w:rPr>
                <w:rFonts w:ascii="Arial" w:hAnsi="Arial"/>
                <w:b/>
                <w:sz w:val="17"/>
              </w:rPr>
              <w:t>Persetujuan</w:t>
            </w:r>
          </w:p>
        </w:tc>
        <w:tc>
          <w:tcPr>
            <w:tcW w:type="dxa" w:w="7254"/>
            <w:shd w:val="clear" w:color="auto" w:fill="E6ECFD"/>
            <w:vAlign w:val="center"/>
          </w:tcPr>
          <w:p>
            <w:pPr>
              <w:spacing w:after="20" w:before="20" w:line="252" w:lineRule="auto"/>
            </w:pPr>
            <w:r/>
            <w:r>
              <w:rPr>
                <w:rFonts w:ascii="Arial" w:hAnsi="Arial"/>
                <w:b w:val="0"/>
                <w:sz w:val="17"/>
              </w:rPr>
              <w:t>Tanda tangan sponsor, organ sah; tanggal; versi</w:t>
            </w:r>
          </w:p>
        </w:tc>
      </w:tr>
    </w:tbl>
    <w:p>
      <w:pPr>
        <w:spacing w:after="40"/>
      </w:pPr>
    </w:p>
    <w:p>
      <w:pPr>
        <w:pStyle w:val="Heading2"/>
      </w:pPr>
      <w:r>
        <w:t>B.2  Register risiko</w:t>
      </w:r>
    </w:p>
    <w:p>
      <w:pPr>
        <w:keepNext/>
        <w:spacing w:after="60"/>
      </w:pPr>
      <w:r>
        <w:rPr>
          <w:rFonts w:ascii="Arial" w:hAnsi="Arial"/>
          <w:b/>
          <w:color w:val="051C5C"/>
          <w:sz w:val="19"/>
        </w:rPr>
        <w:t xml:space="preserve">Tabel 59: </w:t>
      </w:r>
      <w:r>
        <w:rPr>
          <w:rFonts w:ascii="Arial" w:hAnsi="Arial"/>
          <w:color w:val="051C5C"/>
          <w:sz w:val="19"/>
        </w:rPr>
        <w:t>Kolom register risiko dan contoh baris</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1961"/>
            <w:shd w:val="clear" w:color="auto" w:fill="2251FF"/>
            <w:vAlign w:val="center"/>
          </w:tcPr>
          <w:p>
            <w:pPr>
              <w:spacing w:after="20" w:before="20" w:line="252" w:lineRule="auto"/>
            </w:pPr>
            <w:r/>
            <w:r>
              <w:rPr>
                <w:rFonts w:ascii="Arial" w:hAnsi="Arial"/>
                <w:b/>
                <w:color w:val="FFFFFF"/>
                <w:sz w:val="17"/>
              </w:rPr>
              <w:t>Kolom</w:t>
            </w:r>
          </w:p>
        </w:tc>
        <w:tc>
          <w:tcPr>
            <w:tcW w:type="dxa" w:w="3921"/>
            <w:shd w:val="clear" w:color="auto" w:fill="2251FF"/>
            <w:vAlign w:val="center"/>
          </w:tcPr>
          <w:p>
            <w:pPr>
              <w:spacing w:after="20" w:before="20" w:line="252" w:lineRule="auto"/>
            </w:pPr>
            <w:r/>
            <w:r>
              <w:rPr>
                <w:rFonts w:ascii="Arial" w:hAnsi="Arial"/>
                <w:b/>
                <w:color w:val="FFFFFF"/>
                <w:sz w:val="17"/>
              </w:rPr>
              <w:t>Isi</w:t>
            </w:r>
          </w:p>
        </w:tc>
        <w:tc>
          <w:tcPr>
            <w:tcW w:type="dxa" w:w="3529"/>
            <w:shd w:val="clear" w:color="auto" w:fill="2251FF"/>
            <w:vAlign w:val="center"/>
          </w:tcPr>
          <w:p>
            <w:pPr>
              <w:spacing w:after="20" w:before="20" w:line="252" w:lineRule="auto"/>
            </w:pPr>
            <w:r/>
            <w:r>
              <w:rPr>
                <w:rFonts w:ascii="Arial" w:hAnsi="Arial"/>
                <w:b/>
                <w:color w:val="FFFFFF"/>
                <w:sz w:val="17"/>
              </w:rPr>
              <w:t>Contoh</w:t>
            </w:r>
          </w:p>
        </w:tc>
      </w:tr>
      <w:tr>
        <w:trPr>
          <w:cantSplit/>
        </w:trPr>
        <w:tc>
          <w:tcPr>
            <w:tcW w:type="dxa" w:w="1961"/>
            <w:vAlign w:val="center"/>
          </w:tcPr>
          <w:p>
            <w:pPr>
              <w:spacing w:after="20" w:before="20" w:line="252" w:lineRule="auto"/>
            </w:pPr>
            <w:r/>
            <w:r>
              <w:rPr>
                <w:rFonts w:ascii="Arial" w:hAnsi="Arial"/>
                <w:b/>
                <w:sz w:val="17"/>
              </w:rPr>
              <w:t>ID</w:t>
            </w:r>
          </w:p>
        </w:tc>
        <w:tc>
          <w:tcPr>
            <w:tcW w:type="dxa" w:w="3921"/>
            <w:vAlign w:val="center"/>
          </w:tcPr>
          <w:p>
            <w:pPr>
              <w:spacing w:after="20" w:before="20" w:line="252" w:lineRule="auto"/>
            </w:pPr>
            <w:r/>
            <w:r>
              <w:rPr>
                <w:rFonts w:ascii="Arial" w:hAnsi="Arial"/>
                <w:b w:val="0"/>
                <w:sz w:val="17"/>
              </w:rPr>
              <w:t>Nomor unik</w:t>
            </w:r>
          </w:p>
        </w:tc>
        <w:tc>
          <w:tcPr>
            <w:tcW w:type="dxa" w:w="3529"/>
            <w:vAlign w:val="center"/>
          </w:tcPr>
          <w:p>
            <w:pPr>
              <w:spacing w:after="20" w:before="20" w:line="252" w:lineRule="auto"/>
            </w:pPr>
            <w:r/>
            <w:r>
              <w:rPr>
                <w:rFonts w:ascii="Arial" w:hAnsi="Arial"/>
                <w:b w:val="0"/>
                <w:sz w:val="17"/>
              </w:rPr>
              <w:t>R-014</w:t>
            </w:r>
          </w:p>
        </w:tc>
      </w:tr>
      <w:tr>
        <w:trPr>
          <w:cantSplit/>
        </w:trPr>
        <w:tc>
          <w:tcPr>
            <w:tcW w:type="dxa" w:w="1961"/>
            <w:shd w:val="clear" w:color="auto" w:fill="E6ECFD"/>
            <w:vAlign w:val="center"/>
          </w:tcPr>
          <w:p>
            <w:pPr>
              <w:spacing w:after="20" w:before="20" w:line="252" w:lineRule="auto"/>
            </w:pPr>
            <w:r/>
            <w:r>
              <w:rPr>
                <w:rFonts w:ascii="Arial" w:hAnsi="Arial"/>
                <w:b/>
                <w:sz w:val="17"/>
              </w:rPr>
              <w:t>Pernyataan risiko</w:t>
            </w:r>
          </w:p>
        </w:tc>
        <w:tc>
          <w:tcPr>
            <w:tcW w:type="dxa" w:w="3921"/>
            <w:shd w:val="clear" w:color="auto" w:fill="E6ECFD"/>
            <w:vAlign w:val="center"/>
          </w:tcPr>
          <w:p>
            <w:pPr>
              <w:spacing w:after="20" w:before="20" w:line="252" w:lineRule="auto"/>
            </w:pPr>
            <w:r/>
            <w:r>
              <w:rPr>
                <w:rFonts w:ascii="Arial" w:hAnsi="Arial"/>
                <w:b w:val="0"/>
                <w:sz w:val="17"/>
              </w:rPr>
              <w:t>Penyebab → peristiwa → akibat</w:t>
            </w:r>
          </w:p>
        </w:tc>
        <w:tc>
          <w:tcPr>
            <w:tcW w:type="dxa" w:w="3529"/>
            <w:shd w:val="clear" w:color="auto" w:fill="E6ECFD"/>
            <w:vAlign w:val="center"/>
          </w:tcPr>
          <w:p>
            <w:pPr>
              <w:spacing w:after="20" w:before="20" w:line="252" w:lineRule="auto"/>
            </w:pPr>
            <w:r/>
            <w:r>
              <w:rPr>
                <w:rFonts w:ascii="Arial" w:hAnsi="Arial"/>
                <w:b w:val="0"/>
                <w:sz w:val="17"/>
              </w:rPr>
              <w:t>Karena lead time baja kelas maritim 24 minggu, kedatangan terlambat, memundurkan peletakan lunas</w:t>
            </w:r>
          </w:p>
        </w:tc>
      </w:tr>
      <w:tr>
        <w:trPr>
          <w:cantSplit/>
        </w:trPr>
        <w:tc>
          <w:tcPr>
            <w:tcW w:type="dxa" w:w="1961"/>
            <w:vAlign w:val="center"/>
          </w:tcPr>
          <w:p>
            <w:pPr>
              <w:spacing w:after="20" w:before="20" w:line="252" w:lineRule="auto"/>
            </w:pPr>
            <w:r/>
            <w:r>
              <w:rPr>
                <w:rFonts w:ascii="Arial" w:hAnsi="Arial"/>
                <w:b/>
                <w:sz w:val="17"/>
              </w:rPr>
              <w:t>Kategori</w:t>
            </w:r>
          </w:p>
        </w:tc>
        <w:tc>
          <w:tcPr>
            <w:tcW w:type="dxa" w:w="3921"/>
            <w:vAlign w:val="center"/>
          </w:tcPr>
          <w:p>
            <w:pPr>
              <w:spacing w:after="20" w:before="20" w:line="252" w:lineRule="auto"/>
            </w:pPr>
            <w:r/>
            <w:r>
              <w:rPr>
                <w:rFonts w:ascii="Arial" w:hAnsi="Arial"/>
                <w:b w:val="0"/>
                <w:sz w:val="17"/>
              </w:rPr>
              <w:t>Teknis, biaya, jadwal, kontrak, pasokan, pembiayaan, hukum, K3</w:t>
            </w:r>
          </w:p>
        </w:tc>
        <w:tc>
          <w:tcPr>
            <w:tcW w:type="dxa" w:w="3529"/>
            <w:vAlign w:val="center"/>
          </w:tcPr>
          <w:p>
            <w:pPr>
              <w:spacing w:after="20" w:before="20" w:line="252" w:lineRule="auto"/>
            </w:pPr>
            <w:r/>
            <w:r>
              <w:rPr>
                <w:rFonts w:ascii="Arial" w:hAnsi="Arial"/>
                <w:b w:val="0"/>
                <w:sz w:val="17"/>
              </w:rPr>
              <w:t>Pasokan</w:t>
            </w:r>
          </w:p>
        </w:tc>
      </w:tr>
      <w:tr>
        <w:trPr>
          <w:cantSplit/>
        </w:trPr>
        <w:tc>
          <w:tcPr>
            <w:tcW w:type="dxa" w:w="1961"/>
            <w:shd w:val="clear" w:color="auto" w:fill="E6ECFD"/>
            <w:vAlign w:val="center"/>
          </w:tcPr>
          <w:p>
            <w:pPr>
              <w:spacing w:after="20" w:before="20" w:line="252" w:lineRule="auto"/>
            </w:pPr>
            <w:r/>
            <w:r>
              <w:rPr>
                <w:rFonts w:ascii="Arial" w:hAnsi="Arial"/>
                <w:b/>
                <w:sz w:val="17"/>
              </w:rPr>
              <w:t>Probabilitas / dampak</w:t>
            </w:r>
          </w:p>
        </w:tc>
        <w:tc>
          <w:tcPr>
            <w:tcW w:type="dxa" w:w="3921"/>
            <w:shd w:val="clear" w:color="auto" w:fill="E6ECFD"/>
            <w:vAlign w:val="center"/>
          </w:tcPr>
          <w:p>
            <w:pPr>
              <w:spacing w:after="20" w:before="20" w:line="252" w:lineRule="auto"/>
            </w:pPr>
            <w:r/>
            <w:r>
              <w:rPr>
                <w:rFonts w:ascii="Arial" w:hAnsi="Arial"/>
                <w:b w:val="0"/>
                <w:sz w:val="17"/>
              </w:rPr>
              <w:t>Skala 1–5; dampak biaya (Rp) dan waktu (minggu)</w:t>
            </w:r>
          </w:p>
        </w:tc>
        <w:tc>
          <w:tcPr>
            <w:tcW w:type="dxa" w:w="3529"/>
            <w:shd w:val="clear" w:color="auto" w:fill="E6ECFD"/>
            <w:vAlign w:val="center"/>
          </w:tcPr>
          <w:p>
            <w:pPr>
              <w:spacing w:after="20" w:before="20" w:line="252" w:lineRule="auto"/>
            </w:pPr>
            <w:r/>
            <w:r>
              <w:rPr>
                <w:rFonts w:ascii="Arial" w:hAnsi="Arial"/>
                <w:b w:val="0"/>
                <w:sz w:val="17"/>
              </w:rPr>
              <w:t>3 / 4; Rp6 miliar; 8 minggu</w:t>
            </w:r>
          </w:p>
        </w:tc>
      </w:tr>
      <w:tr>
        <w:trPr>
          <w:cantSplit/>
        </w:trPr>
        <w:tc>
          <w:tcPr>
            <w:tcW w:type="dxa" w:w="1961"/>
            <w:vAlign w:val="center"/>
          </w:tcPr>
          <w:p>
            <w:pPr>
              <w:spacing w:after="20" w:before="20" w:line="252" w:lineRule="auto"/>
            </w:pPr>
            <w:r/>
            <w:r>
              <w:rPr>
                <w:rFonts w:ascii="Arial" w:hAnsi="Arial"/>
                <w:b/>
                <w:sz w:val="17"/>
              </w:rPr>
              <w:t>Pemilik</w:t>
            </w:r>
          </w:p>
        </w:tc>
        <w:tc>
          <w:tcPr>
            <w:tcW w:type="dxa" w:w="3921"/>
            <w:vAlign w:val="center"/>
          </w:tcPr>
          <w:p>
            <w:pPr>
              <w:spacing w:after="20" w:before="20" w:line="252" w:lineRule="auto"/>
            </w:pPr>
            <w:r/>
            <w:r>
              <w:rPr>
                <w:rFonts w:ascii="Arial" w:hAnsi="Arial"/>
                <w:b w:val="0"/>
                <w:sz w:val="17"/>
              </w:rPr>
              <w:t>Satu orang</w:t>
            </w:r>
          </w:p>
        </w:tc>
        <w:tc>
          <w:tcPr>
            <w:tcW w:type="dxa" w:w="3529"/>
            <w:vAlign w:val="center"/>
          </w:tcPr>
          <w:p>
            <w:pPr>
              <w:spacing w:after="20" w:before="20" w:line="252" w:lineRule="auto"/>
            </w:pPr>
            <w:r/>
            <w:r>
              <w:rPr>
                <w:rFonts w:ascii="Arial" w:hAnsi="Arial"/>
                <w:b w:val="0"/>
                <w:sz w:val="17"/>
              </w:rPr>
              <w:t>Kepala pengadaan</w:t>
            </w:r>
          </w:p>
        </w:tc>
      </w:tr>
      <w:tr>
        <w:trPr>
          <w:cantSplit/>
        </w:trPr>
        <w:tc>
          <w:tcPr>
            <w:tcW w:type="dxa" w:w="1961"/>
            <w:shd w:val="clear" w:color="auto" w:fill="E6ECFD"/>
            <w:vAlign w:val="center"/>
          </w:tcPr>
          <w:p>
            <w:pPr>
              <w:spacing w:after="20" w:before="20" w:line="252" w:lineRule="auto"/>
            </w:pPr>
            <w:r/>
            <w:r>
              <w:rPr>
                <w:rFonts w:ascii="Arial" w:hAnsi="Arial"/>
                <w:b/>
                <w:sz w:val="17"/>
              </w:rPr>
              <w:t>Respons dan tenggat</w:t>
            </w:r>
          </w:p>
        </w:tc>
        <w:tc>
          <w:tcPr>
            <w:tcW w:type="dxa" w:w="3921"/>
            <w:shd w:val="clear" w:color="auto" w:fill="E6ECFD"/>
            <w:vAlign w:val="center"/>
          </w:tcPr>
          <w:p>
            <w:pPr>
              <w:spacing w:after="20" w:before="20" w:line="252" w:lineRule="auto"/>
            </w:pPr>
            <w:r/>
            <w:r>
              <w:rPr>
                <w:rFonts w:ascii="Arial" w:hAnsi="Arial"/>
                <w:b w:val="0"/>
                <w:sz w:val="17"/>
              </w:rPr>
              <w:t>Hindari, transfer, mitigasi, terima; tindakan konkret</w:t>
            </w:r>
          </w:p>
        </w:tc>
        <w:tc>
          <w:tcPr>
            <w:tcW w:type="dxa" w:w="3529"/>
            <w:shd w:val="clear" w:color="auto" w:fill="E6ECFD"/>
            <w:vAlign w:val="center"/>
          </w:tcPr>
          <w:p>
            <w:pPr>
              <w:spacing w:after="20" w:before="20" w:line="252" w:lineRule="auto"/>
            </w:pPr>
            <w:r/>
            <w:r>
              <w:rPr>
                <w:rFonts w:ascii="Arial" w:hAnsi="Arial"/>
                <w:b w:val="0"/>
                <w:sz w:val="17"/>
              </w:rPr>
              <w:t>Kontrak kerangka dengan penyedia kedua; PO sebelum tenggat</w:t>
            </w:r>
          </w:p>
        </w:tc>
      </w:tr>
      <w:tr>
        <w:trPr>
          <w:cantSplit/>
        </w:trPr>
        <w:tc>
          <w:tcPr>
            <w:tcW w:type="dxa" w:w="1961"/>
            <w:vAlign w:val="center"/>
          </w:tcPr>
          <w:p>
            <w:pPr>
              <w:spacing w:after="20" w:before="20" w:line="252" w:lineRule="auto"/>
            </w:pPr>
            <w:r/>
            <w:r>
              <w:rPr>
                <w:rFonts w:ascii="Arial" w:hAnsi="Arial"/>
                <w:b/>
                <w:sz w:val="17"/>
              </w:rPr>
              <w:t>Indikator pemicu</w:t>
            </w:r>
          </w:p>
        </w:tc>
        <w:tc>
          <w:tcPr>
            <w:tcW w:type="dxa" w:w="3921"/>
            <w:vAlign w:val="center"/>
          </w:tcPr>
          <w:p>
            <w:pPr>
              <w:spacing w:after="20" w:before="20" w:line="252" w:lineRule="auto"/>
            </w:pPr>
            <w:r/>
            <w:r>
              <w:rPr>
                <w:rFonts w:ascii="Arial" w:hAnsi="Arial"/>
                <w:b w:val="0"/>
                <w:sz w:val="17"/>
              </w:rPr>
              <w:t>Sinyal dini</w:t>
            </w:r>
          </w:p>
        </w:tc>
        <w:tc>
          <w:tcPr>
            <w:tcW w:type="dxa" w:w="3529"/>
            <w:vAlign w:val="center"/>
          </w:tcPr>
          <w:p>
            <w:pPr>
              <w:spacing w:after="20" w:before="20" w:line="252" w:lineRule="auto"/>
            </w:pPr>
            <w:r/>
            <w:r>
              <w:rPr>
                <w:rFonts w:ascii="Arial" w:hAnsi="Arial"/>
                <w:b w:val="0"/>
                <w:sz w:val="17"/>
              </w:rPr>
              <w:t>Konfirmasi pabrik belum diterima 4 minggu sebelum PO</w:t>
            </w:r>
          </w:p>
        </w:tc>
      </w:tr>
      <w:tr>
        <w:trPr>
          <w:cantSplit/>
        </w:trPr>
        <w:tc>
          <w:tcPr>
            <w:tcW w:type="dxa" w:w="1961"/>
            <w:shd w:val="clear" w:color="auto" w:fill="E6ECFD"/>
            <w:vAlign w:val="center"/>
          </w:tcPr>
          <w:p>
            <w:pPr>
              <w:spacing w:after="20" w:before="20" w:line="252" w:lineRule="auto"/>
            </w:pPr>
            <w:r/>
            <w:r>
              <w:rPr>
                <w:rFonts w:ascii="Arial" w:hAnsi="Arial"/>
                <w:b/>
                <w:sz w:val="17"/>
              </w:rPr>
              <w:t>Risiko residual dan kontingensi</w:t>
            </w:r>
          </w:p>
        </w:tc>
        <w:tc>
          <w:tcPr>
            <w:tcW w:type="dxa" w:w="3921"/>
            <w:shd w:val="clear" w:color="auto" w:fill="E6ECFD"/>
            <w:vAlign w:val="center"/>
          </w:tcPr>
          <w:p>
            <w:pPr>
              <w:spacing w:after="20" w:before="20" w:line="252" w:lineRule="auto"/>
            </w:pPr>
            <w:r/>
            <w:r>
              <w:rPr>
                <w:rFonts w:ascii="Arial" w:hAnsi="Arial"/>
                <w:b w:val="0"/>
                <w:sz w:val="17"/>
              </w:rPr>
              <w:t>Setelah respons; tautan ke log kontingensi</w:t>
            </w:r>
          </w:p>
        </w:tc>
        <w:tc>
          <w:tcPr>
            <w:tcW w:type="dxa" w:w="3529"/>
            <w:shd w:val="clear" w:color="auto" w:fill="E6ECFD"/>
            <w:vAlign w:val="center"/>
          </w:tcPr>
          <w:p>
            <w:pPr>
              <w:spacing w:after="20" w:before="20" w:line="252" w:lineRule="auto"/>
            </w:pPr>
            <w:r/>
            <w:r>
              <w:rPr>
                <w:rFonts w:ascii="Arial" w:hAnsi="Arial"/>
                <w:b w:val="0"/>
                <w:sz w:val="17"/>
              </w:rPr>
              <w:t>Rendah; kontingensi Rp1 miliar</w:t>
            </w:r>
          </w:p>
        </w:tc>
      </w:tr>
      <w:tr>
        <w:trPr>
          <w:cantSplit/>
        </w:trPr>
        <w:tc>
          <w:tcPr>
            <w:tcW w:type="dxa" w:w="1961"/>
            <w:vAlign w:val="center"/>
          </w:tcPr>
          <w:p>
            <w:pPr>
              <w:spacing w:after="20" w:before="20" w:line="252" w:lineRule="auto"/>
            </w:pPr>
            <w:r/>
            <w:r>
              <w:rPr>
                <w:rFonts w:ascii="Arial" w:hAnsi="Arial"/>
                <w:b/>
                <w:sz w:val="17"/>
              </w:rPr>
              <w:t>Status</w:t>
            </w:r>
          </w:p>
        </w:tc>
        <w:tc>
          <w:tcPr>
            <w:tcW w:type="dxa" w:w="3921"/>
            <w:vAlign w:val="center"/>
          </w:tcPr>
          <w:p>
            <w:pPr>
              <w:spacing w:after="20" w:before="20" w:line="252" w:lineRule="auto"/>
            </w:pPr>
            <w:r/>
            <w:r>
              <w:rPr>
                <w:rFonts w:ascii="Arial" w:hAnsi="Arial"/>
                <w:b w:val="0"/>
                <w:sz w:val="17"/>
              </w:rPr>
              <w:t>Terbuka, dipantau, ditutup</w:t>
            </w:r>
          </w:p>
        </w:tc>
        <w:tc>
          <w:tcPr>
            <w:tcW w:type="dxa" w:w="3529"/>
            <w:vAlign w:val="center"/>
          </w:tcPr>
          <w:p>
            <w:pPr>
              <w:spacing w:after="20" w:before="20" w:line="252" w:lineRule="auto"/>
            </w:pPr>
            <w:r/>
            <w:r>
              <w:rPr>
                <w:rFonts w:ascii="Arial" w:hAnsi="Arial"/>
                <w:b w:val="0"/>
                <w:sz w:val="17"/>
              </w:rPr>
              <w:t>Terbuka</w:t>
            </w:r>
          </w:p>
        </w:tc>
      </w:tr>
    </w:tbl>
    <w:p>
      <w:pPr>
        <w:spacing w:after="40"/>
      </w:pPr>
    </w:p>
    <w:p>
      <w:pPr>
        <w:pStyle w:val="Heading2"/>
      </w:pPr>
      <w:r>
        <w:t>B.3  Permintaan perubahan</w:t>
      </w:r>
    </w:p>
    <w:p>
      <w:pPr>
        <w:keepNext/>
        <w:spacing w:after="60"/>
      </w:pPr>
      <w:r>
        <w:rPr>
          <w:rFonts w:ascii="Arial" w:hAnsi="Arial"/>
          <w:b/>
          <w:color w:val="051C5C"/>
          <w:sz w:val="19"/>
        </w:rPr>
        <w:t xml:space="preserve">Tabel 60: </w:t>
      </w:r>
      <w:r>
        <w:rPr>
          <w:rFonts w:ascii="Arial" w:hAnsi="Arial"/>
          <w:color w:val="051C5C"/>
          <w:sz w:val="19"/>
        </w:rPr>
        <w:t>Isi permintaan perubahan</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4706"/>
        <w:gridCol w:w="4706"/>
      </w:tblGrid>
      <w:tr>
        <w:trPr>
          <w:cantSplit/>
          <w:tblHeader/>
        </w:trPr>
        <w:tc>
          <w:tcPr>
            <w:tcW w:type="dxa" w:w="2157"/>
            <w:shd w:val="clear" w:color="auto" w:fill="2251FF"/>
            <w:vAlign w:val="center"/>
          </w:tcPr>
          <w:p>
            <w:pPr>
              <w:spacing w:after="20" w:before="20" w:line="252" w:lineRule="auto"/>
            </w:pPr>
            <w:r/>
            <w:r>
              <w:rPr>
                <w:rFonts w:ascii="Arial" w:hAnsi="Arial"/>
                <w:b/>
                <w:color w:val="FFFFFF"/>
                <w:sz w:val="17"/>
              </w:rPr>
              <w:t>Bagian</w:t>
            </w:r>
          </w:p>
        </w:tc>
        <w:tc>
          <w:tcPr>
            <w:tcW w:type="dxa" w:w="7254"/>
            <w:shd w:val="clear" w:color="auto" w:fill="2251FF"/>
            <w:vAlign w:val="center"/>
          </w:tcPr>
          <w:p>
            <w:pPr>
              <w:spacing w:after="20" w:before="20" w:line="252" w:lineRule="auto"/>
            </w:pPr>
            <w:r/>
            <w:r>
              <w:rPr>
                <w:rFonts w:ascii="Arial" w:hAnsi="Arial"/>
                <w:b/>
                <w:color w:val="FFFFFF"/>
                <w:sz w:val="17"/>
              </w:rPr>
              <w:t>Isi</w:t>
            </w:r>
          </w:p>
        </w:tc>
      </w:tr>
      <w:tr>
        <w:trPr>
          <w:cantSplit/>
        </w:trPr>
        <w:tc>
          <w:tcPr>
            <w:tcW w:type="dxa" w:w="2157"/>
            <w:vAlign w:val="center"/>
          </w:tcPr>
          <w:p>
            <w:pPr>
              <w:spacing w:after="20" w:before="20" w:line="252" w:lineRule="auto"/>
            </w:pPr>
            <w:r/>
            <w:r>
              <w:rPr>
                <w:rFonts w:ascii="Arial" w:hAnsi="Arial"/>
                <w:b/>
                <w:sz w:val="17"/>
              </w:rPr>
              <w:t>Identifikasi</w:t>
            </w:r>
          </w:p>
        </w:tc>
        <w:tc>
          <w:tcPr>
            <w:tcW w:type="dxa" w:w="7254"/>
            <w:vAlign w:val="center"/>
          </w:tcPr>
          <w:p>
            <w:pPr>
              <w:spacing w:after="20" w:before="20" w:line="252" w:lineRule="auto"/>
            </w:pPr>
            <w:r/>
            <w:r>
              <w:rPr>
                <w:rFonts w:ascii="Arial" w:hAnsi="Arial"/>
                <w:b w:val="0"/>
                <w:sz w:val="17"/>
              </w:rPr>
              <w:t>ID perubahan (VO/trend), proyek, pemrakarsa, tanggal, WBS dan PBS terdampak</w:t>
            </w:r>
          </w:p>
        </w:tc>
      </w:tr>
      <w:tr>
        <w:trPr>
          <w:cantSplit/>
        </w:trPr>
        <w:tc>
          <w:tcPr>
            <w:tcW w:type="dxa" w:w="2157"/>
            <w:shd w:val="clear" w:color="auto" w:fill="E6ECFD"/>
            <w:vAlign w:val="center"/>
          </w:tcPr>
          <w:p>
            <w:pPr>
              <w:spacing w:after="20" w:before="20" w:line="252" w:lineRule="auto"/>
            </w:pPr>
            <w:r/>
            <w:r>
              <w:rPr>
                <w:rFonts w:ascii="Arial" w:hAnsi="Arial"/>
                <w:b/>
                <w:sz w:val="17"/>
              </w:rPr>
              <w:t>Uraian dan alasan</w:t>
            </w:r>
          </w:p>
        </w:tc>
        <w:tc>
          <w:tcPr>
            <w:tcW w:type="dxa" w:w="7254"/>
            <w:shd w:val="clear" w:color="auto" w:fill="E6ECFD"/>
            <w:vAlign w:val="center"/>
          </w:tcPr>
          <w:p>
            <w:pPr>
              <w:spacing w:after="20" w:before="20" w:line="252" w:lineRule="auto"/>
            </w:pPr>
            <w:r/>
            <w:r>
              <w:rPr>
                <w:rFonts w:ascii="Arial" w:hAnsi="Arial"/>
                <w:b w:val="0"/>
                <w:sz w:val="17"/>
              </w:rPr>
              <w:t>Perubahan yang diminta; penyebab (pemberi kerja, internal, hukum, lapangan)</w:t>
            </w:r>
          </w:p>
        </w:tc>
      </w:tr>
      <w:tr>
        <w:trPr>
          <w:cantSplit/>
        </w:trPr>
        <w:tc>
          <w:tcPr>
            <w:tcW w:type="dxa" w:w="2157"/>
            <w:vAlign w:val="center"/>
          </w:tcPr>
          <w:p>
            <w:pPr>
              <w:spacing w:after="20" w:before="20" w:line="252" w:lineRule="auto"/>
            </w:pPr>
            <w:r/>
            <w:r>
              <w:rPr>
                <w:rFonts w:ascii="Arial" w:hAnsi="Arial"/>
                <w:b/>
                <w:sz w:val="17"/>
              </w:rPr>
              <w:t>Dampak</w:t>
            </w:r>
          </w:p>
        </w:tc>
        <w:tc>
          <w:tcPr>
            <w:tcW w:type="dxa" w:w="7254"/>
            <w:vAlign w:val="center"/>
          </w:tcPr>
          <w:p>
            <w:pPr>
              <w:spacing w:after="20" w:before="20" w:line="252" w:lineRule="auto"/>
            </w:pPr>
            <w:r/>
            <w:r>
              <w:rPr>
                <w:rFonts w:ascii="Arial" w:hAnsi="Arial"/>
                <w:b w:val="0"/>
                <w:sz w:val="17"/>
              </w:rPr>
              <w:t>Lingkup, biaya (Rp), jadwal (hari, jalur kritis), mutu, K3, risiko, kontrak</w:t>
            </w:r>
          </w:p>
        </w:tc>
      </w:tr>
      <w:tr>
        <w:trPr>
          <w:cantSplit/>
        </w:trPr>
        <w:tc>
          <w:tcPr>
            <w:tcW w:type="dxa" w:w="2157"/>
            <w:shd w:val="clear" w:color="auto" w:fill="E6ECFD"/>
            <w:vAlign w:val="center"/>
          </w:tcPr>
          <w:p>
            <w:pPr>
              <w:spacing w:after="20" w:before="20" w:line="252" w:lineRule="auto"/>
            </w:pPr>
            <w:r/>
            <w:r>
              <w:rPr>
                <w:rFonts w:ascii="Arial" w:hAnsi="Arial"/>
                <w:b/>
                <w:sz w:val="17"/>
              </w:rPr>
              <w:t>Opsi</w:t>
            </w:r>
          </w:p>
        </w:tc>
        <w:tc>
          <w:tcPr>
            <w:tcW w:type="dxa" w:w="7254"/>
            <w:shd w:val="clear" w:color="auto" w:fill="E6ECFD"/>
            <w:vAlign w:val="center"/>
          </w:tcPr>
          <w:p>
            <w:pPr>
              <w:spacing w:after="20" w:before="20" w:line="252" w:lineRule="auto"/>
            </w:pPr>
            <w:r/>
            <w:r>
              <w:rPr>
                <w:rFonts w:ascii="Arial" w:hAnsi="Arial"/>
                <w:b w:val="0"/>
                <w:sz w:val="17"/>
              </w:rPr>
              <w:t>Alternatif dan konsekuensinya, termasuk tidak berubah</w:t>
            </w:r>
          </w:p>
        </w:tc>
      </w:tr>
      <w:tr>
        <w:trPr>
          <w:cantSplit/>
        </w:trPr>
        <w:tc>
          <w:tcPr>
            <w:tcW w:type="dxa" w:w="2157"/>
            <w:vAlign w:val="center"/>
          </w:tcPr>
          <w:p>
            <w:pPr>
              <w:spacing w:after="20" w:before="20" w:line="252" w:lineRule="auto"/>
            </w:pPr>
            <w:r/>
            <w:r>
              <w:rPr>
                <w:rFonts w:ascii="Arial" w:hAnsi="Arial"/>
                <w:b/>
                <w:sz w:val="17"/>
              </w:rPr>
              <w:t>Sumber pendanaan</w:t>
            </w:r>
          </w:p>
        </w:tc>
        <w:tc>
          <w:tcPr>
            <w:tcW w:type="dxa" w:w="7254"/>
            <w:vAlign w:val="center"/>
          </w:tcPr>
          <w:p>
            <w:pPr>
              <w:spacing w:after="20" w:before="20" w:line="252" w:lineRule="auto"/>
            </w:pPr>
            <w:r/>
            <w:r>
              <w:rPr>
                <w:rFonts w:ascii="Arial" w:hAnsi="Arial"/>
                <w:b w:val="0"/>
                <w:sz w:val="17"/>
              </w:rPr>
              <w:t>Transfer anggaran, penarikan kontingensi, pendapatan tambahan (VO)</w:t>
            </w:r>
          </w:p>
        </w:tc>
      </w:tr>
      <w:tr>
        <w:trPr>
          <w:cantSplit/>
        </w:trPr>
        <w:tc>
          <w:tcPr>
            <w:tcW w:type="dxa" w:w="2157"/>
            <w:shd w:val="clear" w:color="auto" w:fill="E6ECFD"/>
            <w:vAlign w:val="center"/>
          </w:tcPr>
          <w:p>
            <w:pPr>
              <w:spacing w:after="20" w:before="20" w:line="252" w:lineRule="auto"/>
            </w:pPr>
            <w:r/>
            <w:r>
              <w:rPr>
                <w:rFonts w:ascii="Arial" w:hAnsi="Arial"/>
                <w:b/>
                <w:sz w:val="17"/>
              </w:rPr>
              <w:t>Persetujuan</w:t>
            </w:r>
          </w:p>
        </w:tc>
        <w:tc>
          <w:tcPr>
            <w:tcW w:type="dxa" w:w="7254"/>
            <w:shd w:val="clear" w:color="auto" w:fill="E6ECFD"/>
            <w:vAlign w:val="center"/>
          </w:tcPr>
          <w:p>
            <w:pPr>
              <w:spacing w:after="20" w:before="20" w:line="252" w:lineRule="auto"/>
            </w:pPr>
            <w:r/>
            <w:r>
              <w:rPr>
                <w:rFonts w:ascii="Arial" w:hAnsi="Arial"/>
                <w:b w:val="0"/>
                <w:sz w:val="17"/>
              </w:rPr>
              <w:t>Organ sah sesuai matriks; pendapat Risiko dan Hukum; tanggal</w:t>
            </w:r>
          </w:p>
        </w:tc>
      </w:tr>
      <w:tr>
        <w:trPr>
          <w:cantSplit/>
        </w:trPr>
        <w:tc>
          <w:tcPr>
            <w:tcW w:type="dxa" w:w="2157"/>
            <w:vAlign w:val="center"/>
          </w:tcPr>
          <w:p>
            <w:pPr>
              <w:spacing w:after="20" w:before="20" w:line="252" w:lineRule="auto"/>
            </w:pPr>
            <w:r/>
            <w:r>
              <w:rPr>
                <w:rFonts w:ascii="Arial" w:hAnsi="Arial"/>
                <w:b/>
                <w:sz w:val="17"/>
              </w:rPr>
              <w:t>Tindak lanjut</w:t>
            </w:r>
          </w:p>
        </w:tc>
        <w:tc>
          <w:tcPr>
            <w:tcW w:type="dxa" w:w="7254"/>
            <w:vAlign w:val="center"/>
          </w:tcPr>
          <w:p>
            <w:pPr>
              <w:spacing w:after="20" w:before="20" w:line="252" w:lineRule="auto"/>
            </w:pPr>
            <w:r/>
            <w:r>
              <w:rPr>
                <w:rFonts w:ascii="Arial" w:hAnsi="Arial"/>
                <w:b w:val="0"/>
                <w:sz w:val="17"/>
              </w:rPr>
              <w:t>Pembaruan baseline; penerbitan perintah kerja; penagihan</w:t>
            </w:r>
          </w:p>
        </w:tc>
      </w:tr>
    </w:tbl>
    <w:p>
      <w:pPr>
        <w:spacing w:after="40"/>
      </w:pPr>
    </w:p>
    <w:p>
      <w:pPr>
        <w:pStyle w:val="Heading2"/>
      </w:pPr>
      <w:r>
        <w:t>B.4  Daftar periksa tinjauan gerbang</w:t>
      </w:r>
    </w:p>
    <w:p>
      <w:pPr>
        <w:keepNext/>
        <w:spacing w:after="60"/>
      </w:pPr>
      <w:r>
        <w:rPr>
          <w:rFonts w:ascii="Arial" w:hAnsi="Arial"/>
          <w:b/>
          <w:color w:val="051C5C"/>
          <w:sz w:val="19"/>
        </w:rPr>
        <w:t xml:space="preserve">Tabel 61: </w:t>
      </w:r>
      <w:r>
        <w:rPr>
          <w:rFonts w:ascii="Arial" w:hAnsi="Arial"/>
          <w:color w:val="051C5C"/>
          <w:sz w:val="19"/>
        </w:rPr>
        <w:t>Daftar periksa umum</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5294"/>
            <w:shd w:val="clear" w:color="auto" w:fill="2251FF"/>
            <w:vAlign w:val="center"/>
          </w:tcPr>
          <w:p>
            <w:pPr>
              <w:spacing w:after="20" w:before="20" w:line="252" w:lineRule="auto"/>
            </w:pPr>
            <w:r/>
            <w:r>
              <w:rPr>
                <w:rFonts w:ascii="Arial" w:hAnsi="Arial"/>
                <w:b/>
                <w:color w:val="FFFFFF"/>
                <w:sz w:val="17"/>
              </w:rPr>
              <w:t>Pertanyaan</w:t>
            </w:r>
          </w:p>
        </w:tc>
        <w:tc>
          <w:tcPr>
            <w:tcW w:type="dxa" w:w="1372"/>
            <w:shd w:val="clear" w:color="auto" w:fill="2251FF"/>
            <w:vAlign w:val="center"/>
          </w:tcPr>
          <w:p>
            <w:pPr>
              <w:spacing w:after="20" w:before="20" w:line="252" w:lineRule="auto"/>
            </w:pPr>
            <w:r/>
            <w:r>
              <w:rPr>
                <w:rFonts w:ascii="Arial" w:hAnsi="Arial"/>
                <w:b/>
                <w:color w:val="FFFFFF"/>
                <w:sz w:val="17"/>
              </w:rPr>
              <w:t>Ya / Tidak / NR</w:t>
            </w:r>
          </w:p>
        </w:tc>
        <w:tc>
          <w:tcPr>
            <w:tcW w:type="dxa" w:w="2745"/>
            <w:shd w:val="clear" w:color="auto" w:fill="2251FF"/>
            <w:vAlign w:val="center"/>
          </w:tcPr>
          <w:p>
            <w:pPr>
              <w:spacing w:after="20" w:before="20" w:line="252" w:lineRule="auto"/>
            </w:pPr>
            <w:r/>
            <w:r>
              <w:rPr>
                <w:rFonts w:ascii="Arial" w:hAnsi="Arial"/>
                <w:b/>
                <w:color w:val="FFFFFF"/>
                <w:sz w:val="17"/>
              </w:rPr>
              <w:t>Bukti dan catatan</w:t>
            </w:r>
          </w:p>
        </w:tc>
      </w:tr>
      <w:tr>
        <w:trPr>
          <w:cantSplit/>
        </w:trPr>
        <w:tc>
          <w:tcPr>
            <w:tcW w:type="dxa" w:w="5294"/>
            <w:vAlign w:val="center"/>
          </w:tcPr>
          <w:p>
            <w:pPr>
              <w:spacing w:after="20" w:before="20" w:line="252" w:lineRule="auto"/>
            </w:pPr>
            <w:r/>
            <w:r>
              <w:rPr>
                <w:rFonts w:ascii="Arial" w:hAnsi="Arial"/>
                <w:b/>
                <w:sz w:val="17"/>
              </w:rPr>
              <w:t>Apakah mandat, sponsor, project director, dan organ sah terkonfirmasi?</w:t>
            </w:r>
          </w:p>
        </w:tc>
        <w:tc>
          <w:tcPr>
            <w:tcW w:type="dxa" w:w="1372"/>
            <w:vAlign w:val="center"/>
          </w:tcPr>
          <w:p>
            <w:pPr>
              <w:spacing w:after="20" w:before="20" w:line="252" w:lineRule="auto"/>
            </w:pPr>
            <w:r/>
          </w:p>
        </w:tc>
        <w:tc>
          <w:tcPr>
            <w:tcW w:type="dxa" w:w="2745"/>
            <w:vAlign w:val="center"/>
          </w:tcPr>
          <w:p>
            <w:pPr>
              <w:spacing w:after="20" w:before="20" w:line="252" w:lineRule="auto"/>
            </w:pPr>
            <w:r/>
          </w:p>
        </w:tc>
      </w:tr>
      <w:tr>
        <w:trPr>
          <w:cantSplit/>
        </w:trPr>
        <w:tc>
          <w:tcPr>
            <w:tcW w:type="dxa" w:w="5294"/>
            <w:shd w:val="clear" w:color="auto" w:fill="E6ECFD"/>
            <w:vAlign w:val="center"/>
          </w:tcPr>
          <w:p>
            <w:pPr>
              <w:spacing w:after="20" w:before="20" w:line="252" w:lineRule="auto"/>
            </w:pPr>
            <w:r/>
            <w:r>
              <w:rPr>
                <w:rFonts w:ascii="Arial" w:hAnsi="Arial"/>
                <w:b/>
                <w:sz w:val="17"/>
              </w:rPr>
              <w:t>Apakah dua kasus (finansial dan nasional) tersedia dan diuji independen?</w:t>
            </w:r>
          </w:p>
        </w:tc>
        <w:tc>
          <w:tcPr>
            <w:tcW w:type="dxa" w:w="1372"/>
            <w:shd w:val="clear" w:color="auto" w:fill="E6ECFD"/>
            <w:vAlign w:val="center"/>
          </w:tcPr>
          <w:p>
            <w:pPr>
              <w:spacing w:after="20" w:before="20" w:line="252" w:lineRule="auto"/>
            </w:pPr>
            <w:r/>
          </w:p>
        </w:tc>
        <w:tc>
          <w:tcPr>
            <w:tcW w:type="dxa" w:w="2745"/>
            <w:shd w:val="clear" w:color="auto" w:fill="E6ECFD"/>
            <w:vAlign w:val="center"/>
          </w:tcPr>
          <w:p>
            <w:pPr>
              <w:spacing w:after="20" w:before="20" w:line="252" w:lineRule="auto"/>
            </w:pPr>
            <w:r/>
          </w:p>
        </w:tc>
      </w:tr>
      <w:tr>
        <w:trPr>
          <w:cantSplit/>
        </w:trPr>
        <w:tc>
          <w:tcPr>
            <w:tcW w:type="dxa" w:w="5294"/>
            <w:vAlign w:val="center"/>
          </w:tcPr>
          <w:p>
            <w:pPr>
              <w:spacing w:after="20" w:before="20" w:line="252" w:lineRule="auto"/>
            </w:pPr>
            <w:r/>
            <w:r>
              <w:rPr>
                <w:rFonts w:ascii="Arial" w:hAnsi="Arial"/>
                <w:b/>
                <w:sz w:val="17"/>
              </w:rPr>
              <w:t>Apakah estimasi memenuhi kelas yang dipersyaratkan dengan kontingensi berbasis risiko?</w:t>
            </w:r>
          </w:p>
        </w:tc>
        <w:tc>
          <w:tcPr>
            <w:tcW w:type="dxa" w:w="1372"/>
            <w:vAlign w:val="center"/>
          </w:tcPr>
          <w:p>
            <w:pPr>
              <w:spacing w:after="20" w:before="20" w:line="252" w:lineRule="auto"/>
            </w:pPr>
            <w:r/>
          </w:p>
        </w:tc>
        <w:tc>
          <w:tcPr>
            <w:tcW w:type="dxa" w:w="2745"/>
            <w:vAlign w:val="center"/>
          </w:tcPr>
          <w:p>
            <w:pPr>
              <w:spacing w:after="20" w:before="20" w:line="252" w:lineRule="auto"/>
            </w:pPr>
            <w:r/>
          </w:p>
        </w:tc>
      </w:tr>
      <w:tr>
        <w:trPr>
          <w:cantSplit/>
        </w:trPr>
        <w:tc>
          <w:tcPr>
            <w:tcW w:type="dxa" w:w="5294"/>
            <w:shd w:val="clear" w:color="auto" w:fill="E6ECFD"/>
            <w:vAlign w:val="center"/>
          </w:tcPr>
          <w:p>
            <w:pPr>
              <w:spacing w:after="20" w:before="20" w:line="252" w:lineRule="auto"/>
            </w:pPr>
            <w:r/>
            <w:r>
              <w:rPr>
                <w:rFonts w:ascii="Arial" w:hAnsi="Arial"/>
                <w:b/>
                <w:sz w:val="17"/>
              </w:rPr>
              <w:t>Apakah jadwal dasar mencakup jalur kritis, lead time panjang, perizinan, dan lahan?</w:t>
            </w:r>
          </w:p>
        </w:tc>
        <w:tc>
          <w:tcPr>
            <w:tcW w:type="dxa" w:w="1372"/>
            <w:shd w:val="clear" w:color="auto" w:fill="E6ECFD"/>
            <w:vAlign w:val="center"/>
          </w:tcPr>
          <w:p>
            <w:pPr>
              <w:spacing w:after="20" w:before="20" w:line="252" w:lineRule="auto"/>
            </w:pPr>
            <w:r/>
          </w:p>
        </w:tc>
        <w:tc>
          <w:tcPr>
            <w:tcW w:type="dxa" w:w="2745"/>
            <w:shd w:val="clear" w:color="auto" w:fill="E6ECFD"/>
            <w:vAlign w:val="center"/>
          </w:tcPr>
          <w:p>
            <w:pPr>
              <w:spacing w:after="20" w:before="20" w:line="252" w:lineRule="auto"/>
            </w:pPr>
            <w:r/>
          </w:p>
        </w:tc>
      </w:tr>
      <w:tr>
        <w:trPr>
          <w:cantSplit/>
        </w:trPr>
        <w:tc>
          <w:tcPr>
            <w:tcW w:type="dxa" w:w="5294"/>
            <w:vAlign w:val="center"/>
          </w:tcPr>
          <w:p>
            <w:pPr>
              <w:spacing w:after="20" w:before="20" w:line="252" w:lineRule="auto"/>
            </w:pPr>
            <w:r/>
            <w:r>
              <w:rPr>
                <w:rFonts w:ascii="Arial" w:hAnsi="Arial"/>
                <w:b/>
                <w:sz w:val="17"/>
              </w:rPr>
              <w:t>Apakah risiko utama memiliki pemilik, respons, dan kontingensi?</w:t>
            </w:r>
          </w:p>
        </w:tc>
        <w:tc>
          <w:tcPr>
            <w:tcW w:type="dxa" w:w="1372"/>
            <w:vAlign w:val="center"/>
          </w:tcPr>
          <w:p>
            <w:pPr>
              <w:spacing w:after="20" w:before="20" w:line="252" w:lineRule="auto"/>
            </w:pPr>
            <w:r/>
          </w:p>
        </w:tc>
        <w:tc>
          <w:tcPr>
            <w:tcW w:type="dxa" w:w="2745"/>
            <w:vAlign w:val="center"/>
          </w:tcPr>
          <w:p>
            <w:pPr>
              <w:spacing w:after="20" w:before="20" w:line="252" w:lineRule="auto"/>
            </w:pPr>
            <w:r/>
          </w:p>
        </w:tc>
      </w:tr>
      <w:tr>
        <w:trPr>
          <w:cantSplit/>
        </w:trPr>
        <w:tc>
          <w:tcPr>
            <w:tcW w:type="dxa" w:w="5294"/>
            <w:shd w:val="clear" w:color="auto" w:fill="E6ECFD"/>
            <w:vAlign w:val="center"/>
          </w:tcPr>
          <w:p>
            <w:pPr>
              <w:spacing w:after="20" w:before="20" w:line="252" w:lineRule="auto"/>
            </w:pPr>
            <w:r/>
            <w:r>
              <w:rPr>
                <w:rFonts w:ascii="Arial" w:hAnsi="Arial"/>
                <w:b/>
                <w:sz w:val="17"/>
              </w:rPr>
              <w:t>Apakah struktur pendanaan dan syarat pendahuluan jelas?</w:t>
            </w:r>
          </w:p>
        </w:tc>
        <w:tc>
          <w:tcPr>
            <w:tcW w:type="dxa" w:w="1372"/>
            <w:shd w:val="clear" w:color="auto" w:fill="E6ECFD"/>
            <w:vAlign w:val="center"/>
          </w:tcPr>
          <w:p>
            <w:pPr>
              <w:spacing w:after="20" w:before="20" w:line="252" w:lineRule="auto"/>
            </w:pPr>
            <w:r/>
          </w:p>
        </w:tc>
        <w:tc>
          <w:tcPr>
            <w:tcW w:type="dxa" w:w="2745"/>
            <w:shd w:val="clear" w:color="auto" w:fill="E6ECFD"/>
            <w:vAlign w:val="center"/>
          </w:tcPr>
          <w:p>
            <w:pPr>
              <w:spacing w:after="20" w:before="20" w:line="252" w:lineRule="auto"/>
            </w:pPr>
            <w:r/>
          </w:p>
        </w:tc>
      </w:tr>
      <w:tr>
        <w:trPr>
          <w:cantSplit/>
        </w:trPr>
        <w:tc>
          <w:tcPr>
            <w:tcW w:type="dxa" w:w="5294"/>
            <w:vAlign w:val="center"/>
          </w:tcPr>
          <w:p>
            <w:pPr>
              <w:spacing w:after="20" w:before="20" w:line="252" w:lineRule="auto"/>
            </w:pPr>
            <w:r/>
            <w:r>
              <w:rPr>
                <w:rFonts w:ascii="Arial" w:hAnsi="Arial"/>
                <w:b/>
                <w:sz w:val="17"/>
              </w:rPr>
              <w:t>Apakah rencana lokalisasi dan peta pemasok tersedia, terkait gerbang S?</w:t>
            </w:r>
          </w:p>
        </w:tc>
        <w:tc>
          <w:tcPr>
            <w:tcW w:type="dxa" w:w="1372"/>
            <w:vAlign w:val="center"/>
          </w:tcPr>
          <w:p>
            <w:pPr>
              <w:spacing w:after="20" w:before="20" w:line="252" w:lineRule="auto"/>
            </w:pPr>
            <w:r/>
          </w:p>
        </w:tc>
        <w:tc>
          <w:tcPr>
            <w:tcW w:type="dxa" w:w="2745"/>
            <w:vAlign w:val="center"/>
          </w:tcPr>
          <w:p>
            <w:pPr>
              <w:spacing w:after="20" w:before="20" w:line="252" w:lineRule="auto"/>
            </w:pPr>
            <w:r/>
          </w:p>
        </w:tc>
      </w:tr>
      <w:tr>
        <w:trPr>
          <w:cantSplit/>
        </w:trPr>
        <w:tc>
          <w:tcPr>
            <w:tcW w:type="dxa" w:w="5294"/>
            <w:shd w:val="clear" w:color="auto" w:fill="E6ECFD"/>
            <w:vAlign w:val="center"/>
          </w:tcPr>
          <w:p>
            <w:pPr>
              <w:spacing w:after="20" w:before="20" w:line="252" w:lineRule="auto"/>
            </w:pPr>
            <w:r/>
            <w:r>
              <w:rPr>
                <w:rFonts w:ascii="Arial" w:hAnsi="Arial"/>
                <w:b/>
                <w:sz w:val="17"/>
              </w:rPr>
              <w:t>Apakah opini risiko dan hukum independen dan perbedaan pendapat tercatat?</w:t>
            </w:r>
          </w:p>
        </w:tc>
        <w:tc>
          <w:tcPr>
            <w:tcW w:type="dxa" w:w="1372"/>
            <w:shd w:val="clear" w:color="auto" w:fill="E6ECFD"/>
            <w:vAlign w:val="center"/>
          </w:tcPr>
          <w:p>
            <w:pPr>
              <w:spacing w:after="20" w:before="20" w:line="252" w:lineRule="auto"/>
            </w:pPr>
            <w:r/>
          </w:p>
        </w:tc>
        <w:tc>
          <w:tcPr>
            <w:tcW w:type="dxa" w:w="2745"/>
            <w:shd w:val="clear" w:color="auto" w:fill="E6ECFD"/>
            <w:vAlign w:val="center"/>
          </w:tcPr>
          <w:p>
            <w:pPr>
              <w:spacing w:after="20" w:before="20" w:line="252" w:lineRule="auto"/>
            </w:pPr>
            <w:r/>
          </w:p>
        </w:tc>
      </w:tr>
      <w:tr>
        <w:trPr>
          <w:cantSplit/>
        </w:trPr>
        <w:tc>
          <w:tcPr>
            <w:tcW w:type="dxa" w:w="5294"/>
            <w:vAlign w:val="center"/>
          </w:tcPr>
          <w:p>
            <w:pPr>
              <w:spacing w:after="20" w:before="20" w:line="252" w:lineRule="auto"/>
            </w:pPr>
            <w:r/>
            <w:r>
              <w:rPr>
                <w:rFonts w:ascii="Arial" w:hAnsi="Arial"/>
                <w:b/>
                <w:sz w:val="17"/>
              </w:rPr>
              <w:t>Keputusan: lanjut / lanjut dengan syarat / tahan / hentikan</w:t>
            </w:r>
          </w:p>
        </w:tc>
        <w:tc>
          <w:tcPr>
            <w:tcW w:type="dxa" w:w="1372"/>
            <w:vAlign w:val="center"/>
          </w:tcPr>
          <w:p>
            <w:pPr>
              <w:spacing w:after="20" w:before="20" w:line="252" w:lineRule="auto"/>
            </w:pPr>
            <w:r/>
          </w:p>
        </w:tc>
        <w:tc>
          <w:tcPr>
            <w:tcW w:type="dxa" w:w="2745"/>
            <w:vAlign w:val="center"/>
          </w:tcPr>
          <w:p>
            <w:pPr>
              <w:spacing w:after="20" w:before="20" w:line="252" w:lineRule="auto"/>
            </w:pPr>
            <w:r/>
          </w:p>
        </w:tc>
      </w:tr>
    </w:tbl>
    <w:p>
      <w:pPr>
        <w:spacing w:after="40"/>
      </w:pPr>
    </w:p>
    <w:p>
      <w:pPr>
        <w:pStyle w:val="Heading2"/>
      </w:pPr>
      <w:r>
        <w:t>B.5  Kerangka laporan bulanan proyek</w:t>
      </w:r>
    </w:p>
    <w:p>
      <w:pPr>
        <w:pStyle w:val="ListBullet"/>
        <w:spacing w:after="40"/>
      </w:pPr>
      <w:r>
        <w:rPr>
          <w:rFonts w:ascii="Arial" w:hAnsi="Arial"/>
          <w:b w:val="0"/>
        </w:rPr>
        <w:t>Ringkasan eksekutif dan status RAG (Hijau, Kuning, Merah, Hitam).</w:t>
      </w:r>
    </w:p>
    <w:p>
      <w:pPr>
        <w:pStyle w:val="ListBullet"/>
        <w:spacing w:after="40"/>
      </w:pPr>
      <w:r>
        <w:rPr>
          <w:rFonts w:ascii="Arial" w:hAnsi="Arial"/>
          <w:b w:val="0"/>
        </w:rPr>
        <w:t>Kemajuan: fisik (persen berbobot), jadwal (SPI, jalur kritis, tonggak), item lead time panjang.</w:t>
      </w:r>
    </w:p>
    <w:p>
      <w:pPr>
        <w:pStyle w:val="ListBullet"/>
        <w:spacing w:after="40"/>
      </w:pPr>
      <w:r>
        <w:rPr>
          <w:rFonts w:ascii="Arial" w:hAnsi="Arial"/>
          <w:b w:val="0"/>
        </w:rPr>
        <w:t>Biaya: anggaran asli, perubahan disetujui, anggaran berjalan, komitmen, aktual, ETC, EAC, varians, CPI.</w:t>
      </w:r>
    </w:p>
    <w:p>
      <w:pPr>
        <w:pStyle w:val="ListBullet"/>
        <w:spacing w:after="40"/>
      </w:pPr>
      <w:r>
        <w:rPr>
          <w:rFonts w:ascii="Arial" w:hAnsi="Arial"/>
          <w:b w:val="0"/>
        </w:rPr>
        <w:t>Kas: tagihan, penerimaan, piutang jatuh tempo, pekerjaan belum ditagih, DSO, prakiraan arus kas.</w:t>
      </w:r>
    </w:p>
    <w:p>
      <w:pPr>
        <w:pStyle w:val="ListBullet"/>
        <w:spacing w:after="40"/>
      </w:pPr>
      <w:r>
        <w:rPr>
          <w:rFonts w:ascii="Arial" w:hAnsi="Arial"/>
          <w:b w:val="0"/>
        </w:rPr>
        <w:t>Perubahan dan klaim: VO diajukan dan disetujui; tren; klaim terbuka; kontingensi dan cadangan.</w:t>
      </w:r>
    </w:p>
    <w:p>
      <w:pPr>
        <w:pStyle w:val="ListBullet"/>
        <w:spacing w:after="40"/>
      </w:pPr>
      <w:r>
        <w:rPr>
          <w:rFonts w:ascii="Arial" w:hAnsi="Arial"/>
          <w:b w:val="0"/>
        </w:rPr>
        <w:t>Risiko: lima risiko teratas, perubahan sejak bulan lalu, tindakan dan tenggat.</w:t>
      </w:r>
    </w:p>
    <w:p>
      <w:pPr>
        <w:pStyle w:val="ListBullet"/>
        <w:spacing w:after="40"/>
      </w:pPr>
      <w:r>
        <w:rPr>
          <w:rFonts w:ascii="Arial" w:hAnsi="Arial"/>
          <w:b w:val="0"/>
        </w:rPr>
        <w:t>Mutu dan K3: NCR terbuka, hasil inspeksi, insiden, kegiatan perbaikan.</w:t>
      </w:r>
    </w:p>
    <w:p>
      <w:pPr>
        <w:pStyle w:val="ListBullet"/>
        <w:spacing w:after="40"/>
      </w:pPr>
      <w:r>
        <w:rPr>
          <w:rFonts w:ascii="Arial" w:hAnsi="Arial"/>
          <w:b w:val="0"/>
        </w:rPr>
        <w:t>Pengadaan dan pemasok: status PO, kinerja pemasok, kemajuan gerbang S.</w:t>
      </w:r>
    </w:p>
    <w:p>
      <w:pPr>
        <w:pStyle w:val="ListBullet"/>
        <w:spacing w:after="40"/>
      </w:pPr>
      <w:r>
        <w:rPr>
          <w:rFonts w:ascii="Arial" w:hAnsi="Arial"/>
          <w:b w:val="0"/>
        </w:rPr>
        <w:t>Pemangku kepentingan dan keputusan yang diminta; hambatan dan umur hambatan.</w:t>
      </w:r>
    </w:p>
    <w:p>
      <w:pPr>
        <w:pStyle w:val="ListBullet"/>
        <w:spacing w:after="120"/>
      </w:pPr>
      <w:r>
        <w:rPr>
          <w:rFonts w:ascii="Arial" w:hAnsi="Arial"/>
          <w:b w:val="0"/>
        </w:rPr>
        <w:t>Kelas bukti dan catatan data (NR).</w:t>
      </w:r>
    </w:p>
    <w:p>
      <w:r>
        <w:br w:type="page"/>
      </w:r>
    </w:p>
    <w:p>
      <w:pPr>
        <w:pStyle w:val="Heading1"/>
      </w:pPr>
      <w:r>
        <w:t>Lampiran C  Rumus dan perhitungan</w:t>
      </w:r>
    </w:p>
    <w:p>
      <w:pPr>
        <w:keepNext/>
        <w:spacing w:after="60"/>
      </w:pPr>
      <w:r>
        <w:rPr>
          <w:rFonts w:ascii="Arial" w:hAnsi="Arial"/>
          <w:b/>
          <w:color w:val="051C5C"/>
          <w:sz w:val="19"/>
        </w:rPr>
        <w:t xml:space="preserve">Tabel 62: </w:t>
      </w:r>
      <w:r>
        <w:rPr>
          <w:rFonts w:ascii="Arial" w:hAnsi="Arial"/>
          <w:color w:val="051C5C"/>
          <w:sz w:val="19"/>
        </w:rPr>
        <w:t>Kumpulan rumus</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1694"/>
            <w:shd w:val="clear" w:color="auto" w:fill="2251FF"/>
            <w:vAlign w:val="center"/>
          </w:tcPr>
          <w:p>
            <w:pPr>
              <w:spacing w:after="20" w:before="20" w:line="252" w:lineRule="auto"/>
            </w:pPr>
            <w:r/>
            <w:r>
              <w:rPr>
                <w:rFonts w:ascii="Arial" w:hAnsi="Arial"/>
                <w:b/>
                <w:color w:val="FFFFFF"/>
                <w:sz w:val="16"/>
              </w:rPr>
              <w:t>Topik</w:t>
            </w:r>
          </w:p>
        </w:tc>
        <w:tc>
          <w:tcPr>
            <w:tcW w:type="dxa" w:w="5647"/>
            <w:shd w:val="clear" w:color="auto" w:fill="2251FF"/>
            <w:vAlign w:val="center"/>
          </w:tcPr>
          <w:p>
            <w:pPr>
              <w:spacing w:after="20" w:before="20" w:line="252" w:lineRule="auto"/>
            </w:pPr>
            <w:r/>
            <w:r>
              <w:rPr>
                <w:rFonts w:ascii="Arial" w:hAnsi="Arial"/>
                <w:b/>
                <w:color w:val="FFFFFF"/>
                <w:sz w:val="16"/>
              </w:rPr>
              <w:t>Rumus</w:t>
            </w:r>
          </w:p>
        </w:tc>
        <w:tc>
          <w:tcPr>
            <w:tcW w:type="dxa" w:w="2070"/>
            <w:shd w:val="clear" w:color="auto" w:fill="2251FF"/>
            <w:vAlign w:val="center"/>
          </w:tcPr>
          <w:p>
            <w:pPr>
              <w:spacing w:after="20" w:before="20" w:line="252" w:lineRule="auto"/>
            </w:pPr>
            <w:r/>
            <w:r>
              <w:rPr>
                <w:rFonts w:ascii="Arial" w:hAnsi="Arial"/>
                <w:b/>
                <w:color w:val="FFFFFF"/>
                <w:sz w:val="16"/>
              </w:rPr>
              <w:t>Catatan</w:t>
            </w:r>
          </w:p>
        </w:tc>
      </w:tr>
      <w:tr>
        <w:trPr>
          <w:cantSplit/>
        </w:trPr>
        <w:tc>
          <w:tcPr>
            <w:tcW w:type="dxa" w:w="1694"/>
            <w:vAlign w:val="center"/>
          </w:tcPr>
          <w:p>
            <w:pPr>
              <w:spacing w:after="20" w:before="20" w:line="252" w:lineRule="auto"/>
            </w:pPr>
            <w:r/>
            <w:r>
              <w:rPr>
                <w:rFonts w:ascii="Arial" w:hAnsi="Arial"/>
                <w:b/>
                <w:sz w:val="16"/>
              </w:rPr>
              <w:t>EVM</w:t>
            </w:r>
          </w:p>
        </w:tc>
        <w:tc>
          <w:tcPr>
            <w:tcW w:type="dxa" w:w="5647"/>
            <w:vAlign w:val="center"/>
          </w:tcPr>
          <w:p>
            <w:pPr>
              <w:spacing w:after="20" w:before="20" w:line="252" w:lineRule="auto"/>
            </w:pPr>
            <w:r/>
            <w:r>
              <w:rPr>
                <w:rFonts w:ascii="Arial" w:hAnsi="Arial"/>
                <w:b w:val="0"/>
                <w:sz w:val="16"/>
              </w:rPr>
              <w:t>CV = EV − AC; SV = EV − PV; CPI = EV/AC; SPI = EV/PV; EAC = BAC/CPI atau AC + (BAC − EV)/CPI; ETC = EAC − AC; VAC = BAC − EAC; TCPI = (BAC − EV)/(BAC − AC)</w:t>
            </w:r>
          </w:p>
        </w:tc>
        <w:tc>
          <w:tcPr>
            <w:tcW w:type="dxa" w:w="2070"/>
            <w:vAlign w:val="center"/>
          </w:tcPr>
          <w:p>
            <w:pPr>
              <w:spacing w:after="20" w:before="20" w:line="252" w:lineRule="auto"/>
            </w:pPr>
            <w:r/>
            <w:r>
              <w:rPr>
                <w:rFonts w:ascii="Arial" w:hAnsi="Arial"/>
                <w:b w:val="0"/>
                <w:sz w:val="16"/>
              </w:rPr>
              <w:t>Bab 6</w:t>
            </w:r>
          </w:p>
        </w:tc>
      </w:tr>
      <w:tr>
        <w:trPr>
          <w:cantSplit/>
        </w:trPr>
        <w:tc>
          <w:tcPr>
            <w:tcW w:type="dxa" w:w="1694"/>
            <w:shd w:val="clear" w:color="auto" w:fill="E6ECFD"/>
            <w:vAlign w:val="center"/>
          </w:tcPr>
          <w:p>
            <w:pPr>
              <w:spacing w:after="20" w:before="20" w:line="252" w:lineRule="auto"/>
            </w:pPr>
            <w:r/>
            <w:r>
              <w:rPr>
                <w:rFonts w:ascii="Arial" w:hAnsi="Arial"/>
                <w:b/>
                <w:sz w:val="16"/>
              </w:rPr>
              <w:t>PERT</w:t>
            </w:r>
          </w:p>
        </w:tc>
        <w:tc>
          <w:tcPr>
            <w:tcW w:type="dxa" w:w="5647"/>
            <w:shd w:val="clear" w:color="auto" w:fill="E6ECFD"/>
            <w:vAlign w:val="center"/>
          </w:tcPr>
          <w:p>
            <w:pPr>
              <w:spacing w:after="20" w:before="20" w:line="252" w:lineRule="auto"/>
            </w:pPr>
            <w:r/>
            <w:r>
              <w:rPr>
                <w:rFonts w:ascii="Arial" w:hAnsi="Arial"/>
                <w:b w:val="0"/>
                <w:sz w:val="16"/>
              </w:rPr>
              <w:t>t = (o + 4m + p)/6; σ = (p − o)/6; σ total = √(Σσ²) pada jalur kritis</w:t>
            </w:r>
          </w:p>
        </w:tc>
        <w:tc>
          <w:tcPr>
            <w:tcW w:type="dxa" w:w="2070"/>
            <w:shd w:val="clear" w:color="auto" w:fill="E6ECFD"/>
            <w:vAlign w:val="center"/>
          </w:tcPr>
          <w:p>
            <w:pPr>
              <w:spacing w:after="20" w:before="20" w:line="252" w:lineRule="auto"/>
            </w:pPr>
            <w:r/>
            <w:r>
              <w:rPr>
                <w:rFonts w:ascii="Arial" w:hAnsi="Arial"/>
                <w:b w:val="0"/>
                <w:sz w:val="16"/>
              </w:rPr>
              <w:t>Bab 5; contoh B: o=8, m=10, p=18 → t=11, σ=1,67</w:t>
            </w:r>
          </w:p>
        </w:tc>
      </w:tr>
      <w:tr>
        <w:trPr>
          <w:cantSplit/>
        </w:trPr>
        <w:tc>
          <w:tcPr>
            <w:tcW w:type="dxa" w:w="1694"/>
            <w:vAlign w:val="center"/>
          </w:tcPr>
          <w:p>
            <w:pPr>
              <w:spacing w:after="20" w:before="20" w:line="252" w:lineRule="auto"/>
            </w:pPr>
            <w:r/>
            <w:r>
              <w:rPr>
                <w:rFonts w:ascii="Arial" w:hAnsi="Arial"/>
                <w:b/>
                <w:sz w:val="16"/>
              </w:rPr>
              <w:t>Float</w:t>
            </w:r>
          </w:p>
        </w:tc>
        <w:tc>
          <w:tcPr>
            <w:tcW w:type="dxa" w:w="5647"/>
            <w:vAlign w:val="center"/>
          </w:tcPr>
          <w:p>
            <w:pPr>
              <w:spacing w:after="20" w:before="20" w:line="252" w:lineRule="auto"/>
            </w:pPr>
            <w:r/>
            <w:r>
              <w:rPr>
                <w:rFonts w:ascii="Arial" w:hAnsi="Arial"/>
                <w:b w:val="0"/>
                <w:sz w:val="16"/>
              </w:rPr>
              <w:t>Float total = LS − ES = LF − EF</w:t>
            </w:r>
          </w:p>
        </w:tc>
        <w:tc>
          <w:tcPr>
            <w:tcW w:type="dxa" w:w="2070"/>
            <w:vAlign w:val="center"/>
          </w:tcPr>
          <w:p>
            <w:pPr>
              <w:spacing w:after="20" w:before="20" w:line="252" w:lineRule="auto"/>
            </w:pPr>
            <w:r/>
            <w:r>
              <w:rPr>
                <w:rFonts w:ascii="Arial" w:hAnsi="Arial"/>
                <w:b w:val="0"/>
                <w:sz w:val="16"/>
              </w:rPr>
              <w:t>Bab 5</w:t>
            </w:r>
          </w:p>
        </w:tc>
      </w:tr>
      <w:tr>
        <w:trPr>
          <w:cantSplit/>
        </w:trPr>
        <w:tc>
          <w:tcPr>
            <w:tcW w:type="dxa" w:w="1694"/>
            <w:shd w:val="clear" w:color="auto" w:fill="E6ECFD"/>
            <w:vAlign w:val="center"/>
          </w:tcPr>
          <w:p>
            <w:pPr>
              <w:spacing w:after="20" w:before="20" w:line="252" w:lineRule="auto"/>
            </w:pPr>
            <w:r/>
            <w:r>
              <w:rPr>
                <w:rFonts w:ascii="Arial" w:hAnsi="Arial"/>
                <w:b/>
                <w:sz w:val="16"/>
              </w:rPr>
              <w:t>EMV</w:t>
            </w:r>
          </w:p>
        </w:tc>
        <w:tc>
          <w:tcPr>
            <w:tcW w:type="dxa" w:w="5647"/>
            <w:shd w:val="clear" w:color="auto" w:fill="E6ECFD"/>
            <w:vAlign w:val="center"/>
          </w:tcPr>
          <w:p>
            <w:pPr>
              <w:spacing w:after="20" w:before="20" w:line="252" w:lineRule="auto"/>
            </w:pPr>
            <w:r/>
            <w:r>
              <w:rPr>
                <w:rFonts w:ascii="Arial" w:hAnsi="Arial"/>
                <w:b w:val="0"/>
                <w:sz w:val="16"/>
              </w:rPr>
              <w:t>EMV = Probabilitas × Dampak; Σ EMV sebagai dasar awal kontingensi</w:t>
            </w:r>
          </w:p>
        </w:tc>
        <w:tc>
          <w:tcPr>
            <w:tcW w:type="dxa" w:w="2070"/>
            <w:shd w:val="clear" w:color="auto" w:fill="E6ECFD"/>
            <w:vAlign w:val="center"/>
          </w:tcPr>
          <w:p>
            <w:pPr>
              <w:spacing w:after="20" w:before="20" w:line="252" w:lineRule="auto"/>
            </w:pPr>
            <w:r/>
            <w:r>
              <w:rPr>
                <w:rFonts w:ascii="Arial" w:hAnsi="Arial"/>
                <w:b w:val="0"/>
                <w:sz w:val="16"/>
              </w:rPr>
              <w:t>Bab 7</w:t>
            </w:r>
          </w:p>
        </w:tc>
      </w:tr>
      <w:tr>
        <w:trPr>
          <w:cantSplit/>
        </w:trPr>
        <w:tc>
          <w:tcPr>
            <w:tcW w:type="dxa" w:w="1694"/>
            <w:vAlign w:val="center"/>
          </w:tcPr>
          <w:p>
            <w:pPr>
              <w:spacing w:after="20" w:before="20" w:line="252" w:lineRule="auto"/>
            </w:pPr>
            <w:r/>
            <w:r>
              <w:rPr>
                <w:rFonts w:ascii="Arial" w:hAnsi="Arial"/>
                <w:b/>
                <w:sz w:val="16"/>
              </w:rPr>
              <w:t>NPV dan IRR</w:t>
            </w:r>
          </w:p>
        </w:tc>
        <w:tc>
          <w:tcPr>
            <w:tcW w:type="dxa" w:w="5647"/>
            <w:vAlign w:val="center"/>
          </w:tcPr>
          <w:p>
            <w:pPr>
              <w:spacing w:after="20" w:before="20" w:line="252" w:lineRule="auto"/>
            </w:pPr>
            <w:r/>
            <w:r>
              <w:rPr>
                <w:rFonts w:ascii="Arial" w:hAnsi="Arial"/>
                <w:b w:val="0"/>
                <w:sz w:val="16"/>
              </w:rPr>
              <w:t>NPV = Σ CFt/(1+r)^t; IRR adalah r yang membuat NPV = 0; anuitas 10 tahun: 5,6502 (12%), 6,4177 (9%)</w:t>
            </w:r>
          </w:p>
        </w:tc>
        <w:tc>
          <w:tcPr>
            <w:tcW w:type="dxa" w:w="2070"/>
            <w:vAlign w:val="center"/>
          </w:tcPr>
          <w:p>
            <w:pPr>
              <w:spacing w:after="20" w:before="20" w:line="252" w:lineRule="auto"/>
            </w:pPr>
            <w:r/>
            <w:r>
              <w:rPr>
                <w:rFonts w:ascii="Arial" w:hAnsi="Arial"/>
                <w:b w:val="0"/>
                <w:sz w:val="16"/>
              </w:rPr>
              <w:t>Bab 4: −100 + 15×5,6502 = −15,25; −100 + 21×6,4177 = 34,77</w:t>
            </w:r>
          </w:p>
        </w:tc>
      </w:tr>
      <w:tr>
        <w:trPr>
          <w:cantSplit/>
        </w:trPr>
        <w:tc>
          <w:tcPr>
            <w:tcW w:type="dxa" w:w="1694"/>
            <w:shd w:val="clear" w:color="auto" w:fill="E6ECFD"/>
            <w:vAlign w:val="center"/>
          </w:tcPr>
          <w:p>
            <w:pPr>
              <w:spacing w:after="20" w:before="20" w:line="252" w:lineRule="auto"/>
            </w:pPr>
            <w:r/>
            <w:r>
              <w:rPr>
                <w:rFonts w:ascii="Arial" w:hAnsi="Arial"/>
                <w:b/>
                <w:sz w:val="16"/>
              </w:rPr>
              <w:t>DSCR / LLCR</w:t>
            </w:r>
          </w:p>
        </w:tc>
        <w:tc>
          <w:tcPr>
            <w:tcW w:type="dxa" w:w="5647"/>
            <w:shd w:val="clear" w:color="auto" w:fill="E6ECFD"/>
            <w:vAlign w:val="center"/>
          </w:tcPr>
          <w:p>
            <w:pPr>
              <w:spacing w:after="20" w:before="20" w:line="252" w:lineRule="auto"/>
            </w:pPr>
            <w:r/>
            <w:r>
              <w:rPr>
                <w:rFonts w:ascii="Arial" w:hAnsi="Arial"/>
                <w:b w:val="0"/>
                <w:sz w:val="16"/>
              </w:rPr>
              <w:t>DSCR = CFADS / (pokok + bunga); LLCR = NPV(CFADS selama umur pinjaman) / saldo utang</w:t>
            </w:r>
          </w:p>
        </w:tc>
        <w:tc>
          <w:tcPr>
            <w:tcW w:type="dxa" w:w="2070"/>
            <w:shd w:val="clear" w:color="auto" w:fill="E6ECFD"/>
            <w:vAlign w:val="center"/>
          </w:tcPr>
          <w:p>
            <w:pPr>
              <w:spacing w:after="20" w:before="20" w:line="252" w:lineRule="auto"/>
            </w:pPr>
            <w:r/>
            <w:r>
              <w:rPr>
                <w:rFonts w:ascii="Arial" w:hAnsi="Arial"/>
                <w:b w:val="0"/>
                <w:sz w:val="16"/>
              </w:rPr>
              <w:t>Bab 11</w:t>
            </w:r>
          </w:p>
        </w:tc>
      </w:tr>
      <w:tr>
        <w:trPr>
          <w:cantSplit/>
        </w:trPr>
        <w:tc>
          <w:tcPr>
            <w:tcW w:type="dxa" w:w="1694"/>
            <w:vAlign w:val="center"/>
          </w:tcPr>
          <w:p>
            <w:pPr>
              <w:spacing w:after="20" w:before="20" w:line="252" w:lineRule="auto"/>
            </w:pPr>
            <w:r/>
            <w:r>
              <w:rPr>
                <w:rFonts w:ascii="Arial" w:hAnsi="Arial"/>
                <w:b/>
                <w:sz w:val="16"/>
              </w:rPr>
              <w:t>Kurva belajar</w:t>
            </w:r>
          </w:p>
        </w:tc>
        <w:tc>
          <w:tcPr>
            <w:tcW w:type="dxa" w:w="5647"/>
            <w:vAlign w:val="center"/>
          </w:tcPr>
          <w:p>
            <w:pPr>
              <w:spacing w:after="20" w:before="20" w:line="252" w:lineRule="auto"/>
            </w:pPr>
            <w:r/>
            <w:r>
              <w:rPr>
                <w:rFonts w:ascii="Arial" w:hAnsi="Arial"/>
                <w:b w:val="0"/>
                <w:sz w:val="16"/>
              </w:rPr>
              <w:t>Biaya per unit ke-2n = biaya ke-n × 0,85 (kurva 85%); indeks 100, 85, 72, 61, 52 pada 1×, 2×, 4×, 8×, 16×; paritas bila harga lokal 1,4× impor tercapai pada 0,85^n = 0,714 → n ≈ 2,07 → ≈ 4,2× volume</w:t>
            </w:r>
          </w:p>
        </w:tc>
        <w:tc>
          <w:tcPr>
            <w:tcW w:type="dxa" w:w="2070"/>
            <w:vAlign w:val="center"/>
          </w:tcPr>
          <w:p>
            <w:pPr>
              <w:spacing w:after="20" w:before="20" w:line="252" w:lineRule="auto"/>
            </w:pPr>
            <w:r/>
            <w:r>
              <w:rPr>
                <w:rFonts w:ascii="Arial" w:hAnsi="Arial"/>
                <w:b w:val="0"/>
                <w:sz w:val="16"/>
              </w:rPr>
              <w:t>Bab 8</w:t>
            </w:r>
          </w:p>
        </w:tc>
      </w:tr>
      <w:tr>
        <w:trPr>
          <w:cantSplit/>
        </w:trPr>
        <w:tc>
          <w:tcPr>
            <w:tcW w:type="dxa" w:w="1694"/>
            <w:shd w:val="clear" w:color="auto" w:fill="E6ECFD"/>
            <w:vAlign w:val="center"/>
          </w:tcPr>
          <w:p>
            <w:pPr>
              <w:spacing w:after="20" w:before="20" w:line="252" w:lineRule="auto"/>
            </w:pPr>
            <w:r/>
            <w:r>
              <w:rPr>
                <w:rFonts w:ascii="Arial" w:hAnsi="Arial"/>
                <w:b/>
                <w:sz w:val="16"/>
              </w:rPr>
              <w:t>Pertumbuhan dan ICOR</w:t>
            </w:r>
          </w:p>
        </w:tc>
        <w:tc>
          <w:tcPr>
            <w:tcW w:type="dxa" w:w="5647"/>
            <w:shd w:val="clear" w:color="auto" w:fill="E6ECFD"/>
            <w:vAlign w:val="center"/>
          </w:tcPr>
          <w:p>
            <w:pPr>
              <w:spacing w:after="20" w:before="20" w:line="252" w:lineRule="auto"/>
            </w:pPr>
            <w:r/>
            <w:r>
              <w:rPr>
                <w:rFonts w:ascii="Arial" w:hAnsi="Arial"/>
                <w:b w:val="0"/>
                <w:sz w:val="16"/>
              </w:rPr>
              <w:t>g ≈ (I/Y) / ICOR; 28,77% / 5,63 = 5,11%; 33,5% / 4,2 ≈ 8,0%; investasi diperlukan = 8 × ICOR</w:t>
            </w:r>
          </w:p>
        </w:tc>
        <w:tc>
          <w:tcPr>
            <w:tcW w:type="dxa" w:w="2070"/>
            <w:shd w:val="clear" w:color="auto" w:fill="E6ECFD"/>
            <w:vAlign w:val="center"/>
          </w:tcPr>
          <w:p>
            <w:pPr>
              <w:spacing w:after="20" w:before="20" w:line="252" w:lineRule="auto"/>
            </w:pPr>
            <w:r/>
            <w:r>
              <w:rPr>
                <w:rFonts w:ascii="Arial" w:hAnsi="Arial"/>
                <w:b w:val="0"/>
                <w:sz w:val="16"/>
              </w:rPr>
              <w:t>Bab 12</w:t>
            </w:r>
          </w:p>
        </w:tc>
      </w:tr>
      <w:tr>
        <w:trPr>
          <w:cantSplit/>
        </w:trPr>
        <w:tc>
          <w:tcPr>
            <w:tcW w:type="dxa" w:w="1694"/>
            <w:vAlign w:val="center"/>
          </w:tcPr>
          <w:p>
            <w:pPr>
              <w:spacing w:after="20" w:before="20" w:line="252" w:lineRule="auto"/>
            </w:pPr>
            <w:r/>
            <w:r>
              <w:rPr>
                <w:rFonts w:ascii="Arial" w:hAnsi="Arial"/>
                <w:b/>
                <w:sz w:val="16"/>
              </w:rPr>
              <w:t>Pelepasan kas dari DSO</w:t>
            </w:r>
          </w:p>
        </w:tc>
        <w:tc>
          <w:tcPr>
            <w:tcW w:type="dxa" w:w="5647"/>
            <w:vAlign w:val="center"/>
          </w:tcPr>
          <w:p>
            <w:pPr>
              <w:spacing w:after="20" w:before="20" w:line="252" w:lineRule="auto"/>
            </w:pPr>
            <w:r/>
            <w:r>
              <w:rPr>
                <w:rFonts w:ascii="Arial" w:hAnsi="Arial"/>
                <w:b w:val="0"/>
                <w:sz w:val="16"/>
              </w:rPr>
              <w:t>Kas = Pendapatan × Δ hari / 365; manfaat = kas × biaya modal; 20.000 × 10/365 = 548 miliar; × 10% = 55 miliar</w:t>
            </w:r>
          </w:p>
        </w:tc>
        <w:tc>
          <w:tcPr>
            <w:tcW w:type="dxa" w:w="2070"/>
            <w:vAlign w:val="center"/>
          </w:tcPr>
          <w:p>
            <w:pPr>
              <w:spacing w:after="20" w:before="20" w:line="252" w:lineRule="auto"/>
            </w:pPr>
            <w:r/>
            <w:r>
              <w:rPr>
                <w:rFonts w:ascii="Arial" w:hAnsi="Arial"/>
                <w:b w:val="0"/>
                <w:sz w:val="16"/>
              </w:rPr>
              <w:t>Bab 14</w:t>
            </w:r>
          </w:p>
        </w:tc>
      </w:tr>
      <w:tr>
        <w:trPr>
          <w:cantSplit/>
        </w:trPr>
        <w:tc>
          <w:tcPr>
            <w:tcW w:type="dxa" w:w="1694"/>
            <w:shd w:val="clear" w:color="auto" w:fill="E6ECFD"/>
            <w:vAlign w:val="center"/>
          </w:tcPr>
          <w:p>
            <w:pPr>
              <w:spacing w:after="20" w:before="20" w:line="252" w:lineRule="auto"/>
            </w:pPr>
            <w:r/>
            <w:r>
              <w:rPr>
                <w:rFonts w:ascii="Arial" w:hAnsi="Arial"/>
                <w:b/>
                <w:sz w:val="16"/>
              </w:rPr>
              <w:t>Imbal hasil PAL-SUB-1</w:t>
            </w:r>
          </w:p>
        </w:tc>
        <w:tc>
          <w:tcPr>
            <w:tcW w:type="dxa" w:w="5647"/>
            <w:shd w:val="clear" w:color="auto" w:fill="E6ECFD"/>
            <w:vAlign w:val="center"/>
          </w:tcPr>
          <w:p>
            <w:pPr>
              <w:spacing w:after="20" w:before="20" w:line="252" w:lineRule="auto"/>
            </w:pPr>
            <w:r/>
            <w:r>
              <w:rPr>
                <w:rFonts w:ascii="Arial" w:hAnsi="Arial"/>
                <w:b w:val="0"/>
                <w:sz w:val="16"/>
              </w:rPr>
              <w:t>Imbal hasil = Pokok × bps/10.000 × hari/365 = 150 × 0,07 × 720/365 = US$20,7 juta (dibulatkan menjadi US$21 juta pada sumber)</w:t>
            </w:r>
          </w:p>
        </w:tc>
        <w:tc>
          <w:tcPr>
            <w:tcW w:type="dxa" w:w="2070"/>
            <w:shd w:val="clear" w:color="auto" w:fill="E6ECFD"/>
            <w:vAlign w:val="center"/>
          </w:tcPr>
          <w:p>
            <w:pPr>
              <w:spacing w:after="20" w:before="20" w:line="252" w:lineRule="auto"/>
            </w:pPr>
            <w:r/>
            <w:r>
              <w:rPr>
                <w:rFonts w:ascii="Arial" w:hAnsi="Arial"/>
                <w:b w:val="0"/>
                <w:sz w:val="16"/>
              </w:rPr>
              <w:t>Bab 8</w:t>
            </w:r>
          </w:p>
        </w:tc>
      </w:tr>
      <w:tr>
        <w:trPr>
          <w:cantSplit/>
        </w:trPr>
        <w:tc>
          <w:tcPr>
            <w:tcW w:type="dxa" w:w="1694"/>
            <w:vAlign w:val="center"/>
          </w:tcPr>
          <w:p>
            <w:pPr>
              <w:spacing w:after="20" w:before="20" w:line="252" w:lineRule="auto"/>
            </w:pPr>
            <w:r/>
            <w:r>
              <w:rPr>
                <w:rFonts w:ascii="Arial" w:hAnsi="Arial"/>
                <w:b/>
                <w:sz w:val="16"/>
              </w:rPr>
              <w:t>Model pekerjaan</w:t>
            </w:r>
          </w:p>
        </w:tc>
        <w:tc>
          <w:tcPr>
            <w:tcW w:type="dxa" w:w="5647"/>
            <w:vAlign w:val="center"/>
          </w:tcPr>
          <w:p>
            <w:pPr>
              <w:spacing w:after="20" w:before="20" w:line="252" w:lineRule="auto"/>
            </w:pPr>
            <w:r/>
            <w:r>
              <w:rPr>
                <w:rFonts w:ascii="Arial" w:hAnsi="Arial"/>
                <w:b w:val="0"/>
                <w:sz w:val="16"/>
              </w:rPr>
              <w:t>Tahun-kerja per Rp1 T = koefisien ERIA × 1.000 / faktor harga (1,2987) × uplift; induksi = 35% × (langsung + tidak langsung); pekerjaan tetap tidak langsung dan induksi = 1,43 × langsung</w:t>
            </w:r>
          </w:p>
        </w:tc>
        <w:tc>
          <w:tcPr>
            <w:tcW w:type="dxa" w:w="2070"/>
            <w:vAlign w:val="center"/>
          </w:tcPr>
          <w:p>
            <w:pPr>
              <w:spacing w:after="20" w:before="20" w:line="252" w:lineRule="auto"/>
            </w:pPr>
            <w:r/>
            <w:r>
              <w:rPr>
                <w:rFonts w:ascii="Arial" w:hAnsi="Arial"/>
                <w:b w:val="0"/>
                <w:sz w:val="16"/>
              </w:rPr>
              <w:t>Bab 12 [K, Bab 5.7; EMP]</w:t>
            </w:r>
          </w:p>
        </w:tc>
      </w:tr>
    </w:tbl>
    <w:p>
      <w:pPr>
        <w:spacing w:after="40"/>
      </w:pPr>
    </w:p>
    <w:p>
      <w:pPr>
        <w:pStyle w:val="Heading2"/>
      </w:pPr>
      <w:r>
        <w:t>C.1  Rekonsiliasi angka yang dihitung ulang</w:t>
      </w:r>
    </w:p>
    <w:p>
      <w:pPr>
        <w:keepNext/>
        <w:spacing w:after="60"/>
      </w:pPr>
      <w:r>
        <w:rPr>
          <w:rFonts w:ascii="Arial" w:hAnsi="Arial"/>
          <w:b/>
          <w:color w:val="051C5C"/>
          <w:sz w:val="19"/>
        </w:rPr>
        <w:t xml:space="preserve">Tabel 63: </w:t>
      </w:r>
      <w:r>
        <w:rPr>
          <w:rFonts w:ascii="Arial" w:hAnsi="Arial"/>
          <w:color w:val="051C5C"/>
          <w:sz w:val="19"/>
        </w:rPr>
        <w:t>Perhitungan yang dapat diulang</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3333"/>
            <w:shd w:val="clear" w:color="auto" w:fill="2251FF"/>
            <w:vAlign w:val="center"/>
          </w:tcPr>
          <w:p>
            <w:pPr>
              <w:spacing w:after="20" w:before="20" w:line="252" w:lineRule="auto"/>
            </w:pPr>
            <w:r/>
            <w:r>
              <w:rPr>
                <w:rFonts w:ascii="Arial" w:hAnsi="Arial"/>
                <w:b/>
                <w:color w:val="FFFFFF"/>
                <w:sz w:val="17"/>
              </w:rPr>
              <w:t>Butir</w:t>
            </w:r>
          </w:p>
        </w:tc>
        <w:tc>
          <w:tcPr>
            <w:tcW w:type="dxa" w:w="3725"/>
            <w:shd w:val="clear" w:color="auto" w:fill="2251FF"/>
            <w:vAlign w:val="center"/>
          </w:tcPr>
          <w:p>
            <w:pPr>
              <w:spacing w:after="20" w:before="20" w:line="252" w:lineRule="auto"/>
            </w:pPr>
            <w:r/>
            <w:r>
              <w:rPr>
                <w:rFonts w:ascii="Arial" w:hAnsi="Arial"/>
                <w:b/>
                <w:color w:val="FFFFFF"/>
                <w:sz w:val="17"/>
              </w:rPr>
              <w:t>Perhitungan</w:t>
            </w:r>
          </w:p>
        </w:tc>
        <w:tc>
          <w:tcPr>
            <w:tcW w:type="dxa" w:w="2353"/>
            <w:shd w:val="clear" w:color="auto" w:fill="2251FF"/>
            <w:vAlign w:val="center"/>
          </w:tcPr>
          <w:p>
            <w:pPr>
              <w:spacing w:after="20" w:before="20" w:line="252" w:lineRule="auto"/>
            </w:pPr>
            <w:r/>
            <w:r>
              <w:rPr>
                <w:rFonts w:ascii="Arial" w:hAnsi="Arial"/>
                <w:b/>
                <w:color w:val="FFFFFF"/>
                <w:sz w:val="17"/>
              </w:rPr>
              <w:t>Hasil</w:t>
            </w:r>
          </w:p>
        </w:tc>
      </w:tr>
      <w:tr>
        <w:trPr>
          <w:cantSplit/>
        </w:trPr>
        <w:tc>
          <w:tcPr>
            <w:tcW w:type="dxa" w:w="3333"/>
            <w:vAlign w:val="center"/>
          </w:tcPr>
          <w:p>
            <w:pPr>
              <w:spacing w:after="20" w:before="20" w:line="252" w:lineRule="auto"/>
            </w:pPr>
            <w:r/>
            <w:r>
              <w:rPr>
                <w:rFonts w:ascii="Arial" w:hAnsi="Arial"/>
                <w:b/>
                <w:sz w:val="17"/>
              </w:rPr>
              <w:t>Kerugian empat BUMN Karya</w:t>
            </w:r>
          </w:p>
        </w:tc>
        <w:tc>
          <w:tcPr>
            <w:tcW w:type="dxa" w:w="3725"/>
            <w:vAlign w:val="center"/>
          </w:tcPr>
          <w:p>
            <w:pPr>
              <w:spacing w:after="20" w:before="20" w:line="252" w:lineRule="auto"/>
            </w:pPr>
            <w:r/>
            <w:r>
              <w:rPr>
                <w:rFonts w:ascii="Arial" w:hAnsi="Arial"/>
                <w:b w:val="0"/>
                <w:sz w:val="17"/>
              </w:rPr>
              <w:t>10,14 + 8,0 + 5,4 + 4,48</w:t>
            </w:r>
          </w:p>
        </w:tc>
        <w:tc>
          <w:tcPr>
            <w:tcW w:type="dxa" w:w="2353"/>
            <w:vAlign w:val="center"/>
          </w:tcPr>
          <w:p>
            <w:pPr>
              <w:spacing w:after="20" w:before="20" w:line="252" w:lineRule="auto"/>
            </w:pPr>
            <w:r/>
            <w:r>
              <w:rPr>
                <w:rFonts w:ascii="Arial" w:hAnsi="Arial"/>
                <w:b w:val="0"/>
                <w:sz w:val="17"/>
              </w:rPr>
              <w:t>Rp28,02 T (≈ Rp28 T)</w:t>
            </w:r>
          </w:p>
        </w:tc>
      </w:tr>
      <w:tr>
        <w:trPr>
          <w:cantSplit/>
        </w:trPr>
        <w:tc>
          <w:tcPr>
            <w:tcW w:type="dxa" w:w="3333"/>
            <w:shd w:val="clear" w:color="auto" w:fill="E6ECFD"/>
            <w:vAlign w:val="center"/>
          </w:tcPr>
          <w:p>
            <w:pPr>
              <w:spacing w:after="20" w:before="20" w:line="252" w:lineRule="auto"/>
            </w:pPr>
            <w:r/>
            <w:r>
              <w:rPr>
                <w:rFonts w:ascii="Arial" w:hAnsi="Arial"/>
                <w:b/>
                <w:sz w:val="17"/>
              </w:rPr>
              <w:t>Penurunan anggaran infrastruktur</w:t>
            </w:r>
          </w:p>
        </w:tc>
        <w:tc>
          <w:tcPr>
            <w:tcW w:type="dxa" w:w="3725"/>
            <w:shd w:val="clear" w:color="auto" w:fill="E6ECFD"/>
            <w:vAlign w:val="center"/>
          </w:tcPr>
          <w:p>
            <w:pPr>
              <w:spacing w:after="20" w:before="20" w:line="252" w:lineRule="auto"/>
            </w:pPr>
            <w:r/>
            <w:r>
              <w:rPr>
                <w:rFonts w:ascii="Arial" w:hAnsi="Arial"/>
                <w:b w:val="0"/>
                <w:sz w:val="17"/>
              </w:rPr>
              <w:t>61,38 / 110,95 − 1</w:t>
            </w:r>
          </w:p>
        </w:tc>
        <w:tc>
          <w:tcPr>
            <w:tcW w:type="dxa" w:w="2353"/>
            <w:shd w:val="clear" w:color="auto" w:fill="E6ECFD"/>
            <w:vAlign w:val="center"/>
          </w:tcPr>
          <w:p>
            <w:pPr>
              <w:spacing w:after="20" w:before="20" w:line="252" w:lineRule="auto"/>
            </w:pPr>
            <w:r/>
            <w:r>
              <w:rPr>
                <w:rFonts w:ascii="Arial" w:hAnsi="Arial"/>
                <w:b w:val="0"/>
                <w:sz w:val="17"/>
              </w:rPr>
              <w:t>−44,7% (≈ 45%)</w:t>
            </w:r>
          </w:p>
        </w:tc>
      </w:tr>
      <w:tr>
        <w:trPr>
          <w:cantSplit/>
        </w:trPr>
        <w:tc>
          <w:tcPr>
            <w:tcW w:type="dxa" w:w="3333"/>
            <w:vAlign w:val="center"/>
          </w:tcPr>
          <w:p>
            <w:pPr>
              <w:spacing w:after="20" w:before="20" w:line="252" w:lineRule="auto"/>
            </w:pPr>
            <w:r/>
            <w:r>
              <w:rPr>
                <w:rFonts w:ascii="Arial" w:hAnsi="Arial"/>
                <w:b/>
                <w:sz w:val="17"/>
              </w:rPr>
              <w:t>Selisih total portofolio</w:t>
            </w:r>
          </w:p>
        </w:tc>
        <w:tc>
          <w:tcPr>
            <w:tcW w:type="dxa" w:w="3725"/>
            <w:vAlign w:val="center"/>
          </w:tcPr>
          <w:p>
            <w:pPr>
              <w:spacing w:after="20" w:before="20" w:line="252" w:lineRule="auto"/>
            </w:pPr>
            <w:r/>
            <w:r>
              <w:rPr>
                <w:rFonts w:ascii="Arial" w:hAnsi="Arial"/>
                <w:b w:val="0"/>
                <w:sz w:val="17"/>
              </w:rPr>
              <w:t>2.091,46 − 2.072,53</w:t>
            </w:r>
          </w:p>
        </w:tc>
        <w:tc>
          <w:tcPr>
            <w:tcW w:type="dxa" w:w="2353"/>
            <w:vAlign w:val="center"/>
          </w:tcPr>
          <w:p>
            <w:pPr>
              <w:spacing w:after="20" w:before="20" w:line="252" w:lineRule="auto"/>
            </w:pPr>
            <w:r/>
            <w:r>
              <w:rPr>
                <w:rFonts w:ascii="Arial" w:hAnsi="Arial"/>
                <w:b w:val="0"/>
                <w:sz w:val="17"/>
              </w:rPr>
              <w:t>Rp18,93 T</w:t>
            </w:r>
          </w:p>
        </w:tc>
      </w:tr>
      <w:tr>
        <w:trPr>
          <w:cantSplit/>
        </w:trPr>
        <w:tc>
          <w:tcPr>
            <w:tcW w:type="dxa" w:w="3333"/>
            <w:shd w:val="clear" w:color="auto" w:fill="E6ECFD"/>
            <w:vAlign w:val="center"/>
          </w:tcPr>
          <w:p>
            <w:pPr>
              <w:spacing w:after="20" w:before="20" w:line="252" w:lineRule="auto"/>
            </w:pPr>
            <w:r/>
            <w:r>
              <w:rPr>
                <w:rFonts w:ascii="Arial" w:hAnsi="Arial"/>
                <w:b/>
                <w:sz w:val="17"/>
              </w:rPr>
              <w:t>Slot bernama terhadap headline</w:t>
            </w:r>
          </w:p>
        </w:tc>
        <w:tc>
          <w:tcPr>
            <w:tcW w:type="dxa" w:w="3725"/>
            <w:shd w:val="clear" w:color="auto" w:fill="E6ECFD"/>
            <w:vAlign w:val="center"/>
          </w:tcPr>
          <w:p>
            <w:pPr>
              <w:spacing w:after="20" w:before="20" w:line="252" w:lineRule="auto"/>
            </w:pPr>
            <w:r/>
            <w:r>
              <w:rPr>
                <w:rFonts w:ascii="Arial" w:hAnsi="Arial"/>
                <w:b w:val="0"/>
                <w:sz w:val="17"/>
              </w:rPr>
              <w:t>604,97 / 2.091,46</w:t>
            </w:r>
          </w:p>
        </w:tc>
        <w:tc>
          <w:tcPr>
            <w:tcW w:type="dxa" w:w="2353"/>
            <w:shd w:val="clear" w:color="auto" w:fill="E6ECFD"/>
            <w:vAlign w:val="center"/>
          </w:tcPr>
          <w:p>
            <w:pPr>
              <w:spacing w:after="20" w:before="20" w:line="252" w:lineRule="auto"/>
            </w:pPr>
            <w:r/>
            <w:r>
              <w:rPr>
                <w:rFonts w:ascii="Arial" w:hAnsi="Arial"/>
                <w:b w:val="0"/>
                <w:sz w:val="17"/>
              </w:rPr>
              <w:t>28,9%</w:t>
            </w:r>
          </w:p>
        </w:tc>
      </w:tr>
      <w:tr>
        <w:trPr>
          <w:cantSplit/>
        </w:trPr>
        <w:tc>
          <w:tcPr>
            <w:tcW w:type="dxa" w:w="3333"/>
            <w:vAlign w:val="center"/>
          </w:tcPr>
          <w:p>
            <w:pPr>
              <w:spacing w:after="20" w:before="20" w:line="252" w:lineRule="auto"/>
            </w:pPr>
            <w:r/>
            <w:r>
              <w:rPr>
                <w:rFonts w:ascii="Arial" w:hAnsi="Arial"/>
                <w:b/>
                <w:sz w:val="17"/>
              </w:rPr>
              <w:t>Residual terhadap RKAP</w:t>
            </w:r>
          </w:p>
        </w:tc>
        <w:tc>
          <w:tcPr>
            <w:tcW w:type="dxa" w:w="3725"/>
            <w:vAlign w:val="center"/>
          </w:tcPr>
          <w:p>
            <w:pPr>
              <w:spacing w:after="20" w:before="20" w:line="252" w:lineRule="auto"/>
            </w:pPr>
            <w:r/>
            <w:r>
              <w:rPr>
                <w:rFonts w:ascii="Arial" w:hAnsi="Arial"/>
                <w:b w:val="0"/>
                <w:sz w:val="17"/>
              </w:rPr>
              <w:t>2.091,46 − 604,97</w:t>
            </w:r>
          </w:p>
        </w:tc>
        <w:tc>
          <w:tcPr>
            <w:tcW w:type="dxa" w:w="2353"/>
            <w:vAlign w:val="center"/>
          </w:tcPr>
          <w:p>
            <w:pPr>
              <w:spacing w:after="20" w:before="20" w:line="252" w:lineRule="auto"/>
            </w:pPr>
            <w:r/>
            <w:r>
              <w:rPr>
                <w:rFonts w:ascii="Arial" w:hAnsi="Arial"/>
                <w:b w:val="0"/>
                <w:sz w:val="17"/>
              </w:rPr>
              <w:t>Rp1.486,49 T (≈ Rp1.486,5 T; hipotesis)</w:t>
            </w:r>
          </w:p>
        </w:tc>
      </w:tr>
      <w:tr>
        <w:trPr>
          <w:cantSplit/>
        </w:trPr>
        <w:tc>
          <w:tcPr>
            <w:tcW w:type="dxa" w:w="3333"/>
            <w:shd w:val="clear" w:color="auto" w:fill="E6ECFD"/>
            <w:vAlign w:val="center"/>
          </w:tcPr>
          <w:p>
            <w:pPr>
              <w:spacing w:after="20" w:before="20" w:line="252" w:lineRule="auto"/>
            </w:pPr>
            <w:r/>
            <w:r>
              <w:rPr>
                <w:rFonts w:ascii="Arial" w:hAnsi="Arial"/>
                <w:b/>
                <w:sz w:val="17"/>
              </w:rPr>
              <w:t>PLTS 100 GW</w:t>
            </w:r>
          </w:p>
        </w:tc>
        <w:tc>
          <w:tcPr>
            <w:tcW w:type="dxa" w:w="3725"/>
            <w:shd w:val="clear" w:color="auto" w:fill="E6ECFD"/>
            <w:vAlign w:val="center"/>
          </w:tcPr>
          <w:p>
            <w:pPr>
              <w:spacing w:after="20" w:before="20" w:line="252" w:lineRule="auto"/>
            </w:pPr>
            <w:r/>
            <w:r>
              <w:rPr>
                <w:rFonts w:ascii="Arial" w:hAnsi="Arial"/>
                <w:b w:val="0"/>
                <w:sz w:val="17"/>
              </w:rPr>
              <w:t>1.130 / 231,4</w:t>
            </w:r>
          </w:p>
        </w:tc>
        <w:tc>
          <w:tcPr>
            <w:tcW w:type="dxa" w:w="2353"/>
            <w:shd w:val="clear" w:color="auto" w:fill="E6ECFD"/>
            <w:vAlign w:val="center"/>
          </w:tcPr>
          <w:p>
            <w:pPr>
              <w:spacing w:after="20" w:before="20" w:line="252" w:lineRule="auto"/>
            </w:pPr>
            <w:r/>
            <w:r>
              <w:rPr>
                <w:rFonts w:ascii="Arial" w:hAnsi="Arial"/>
                <w:b w:val="0"/>
                <w:sz w:val="17"/>
              </w:rPr>
              <w:t>4,88×</w:t>
            </w:r>
          </w:p>
        </w:tc>
      </w:tr>
      <w:tr>
        <w:trPr>
          <w:cantSplit/>
        </w:trPr>
        <w:tc>
          <w:tcPr>
            <w:tcW w:type="dxa" w:w="3333"/>
            <w:vAlign w:val="center"/>
          </w:tcPr>
          <w:p>
            <w:pPr>
              <w:spacing w:after="20" w:before="20" w:line="252" w:lineRule="auto"/>
            </w:pPr>
            <w:r/>
            <w:r>
              <w:rPr>
                <w:rFonts w:ascii="Arial" w:hAnsi="Arial"/>
                <w:b/>
                <w:sz w:val="17"/>
              </w:rPr>
              <w:t>Total tranche PAL</w:t>
            </w:r>
          </w:p>
        </w:tc>
        <w:tc>
          <w:tcPr>
            <w:tcW w:type="dxa" w:w="3725"/>
            <w:vAlign w:val="center"/>
          </w:tcPr>
          <w:p>
            <w:pPr>
              <w:spacing w:after="20" w:before="20" w:line="252" w:lineRule="auto"/>
            </w:pPr>
            <w:r/>
            <w:r>
              <w:rPr>
                <w:rFonts w:ascii="Arial" w:hAnsi="Arial"/>
                <w:b w:val="0"/>
                <w:sz w:val="17"/>
              </w:rPr>
              <w:t>40 + 45 + 40 + 25</w:t>
            </w:r>
          </w:p>
        </w:tc>
        <w:tc>
          <w:tcPr>
            <w:tcW w:type="dxa" w:w="2353"/>
            <w:vAlign w:val="center"/>
          </w:tcPr>
          <w:p>
            <w:pPr>
              <w:spacing w:after="20" w:before="20" w:line="252" w:lineRule="auto"/>
            </w:pPr>
            <w:r/>
            <w:r>
              <w:rPr>
                <w:rFonts w:ascii="Arial" w:hAnsi="Arial"/>
                <w:b w:val="0"/>
                <w:sz w:val="17"/>
              </w:rPr>
              <w:t>US$150 juta</w:t>
            </w:r>
          </w:p>
        </w:tc>
      </w:tr>
      <w:tr>
        <w:trPr>
          <w:cantSplit/>
        </w:trPr>
        <w:tc>
          <w:tcPr>
            <w:tcW w:type="dxa" w:w="3333"/>
            <w:shd w:val="clear" w:color="auto" w:fill="E6ECFD"/>
            <w:vAlign w:val="center"/>
          </w:tcPr>
          <w:p>
            <w:pPr>
              <w:spacing w:after="20" w:before="20" w:line="252" w:lineRule="auto"/>
            </w:pPr>
            <w:r/>
            <w:r>
              <w:rPr>
                <w:rFonts w:ascii="Arial" w:hAnsi="Arial"/>
                <w:b/>
                <w:sz w:val="17"/>
              </w:rPr>
              <w:t>Dua kanal baru</w:t>
            </w:r>
          </w:p>
        </w:tc>
        <w:tc>
          <w:tcPr>
            <w:tcW w:type="dxa" w:w="3725"/>
            <w:shd w:val="clear" w:color="auto" w:fill="E6ECFD"/>
            <w:vAlign w:val="center"/>
          </w:tcPr>
          <w:p>
            <w:pPr>
              <w:spacing w:after="20" w:before="20" w:line="252" w:lineRule="auto"/>
            </w:pPr>
            <w:r/>
            <w:r>
              <w:rPr>
                <w:rFonts w:ascii="Arial" w:hAnsi="Arial"/>
                <w:b w:val="0"/>
                <w:sz w:val="17"/>
              </w:rPr>
              <w:t>(118 + 24) / 2.091</w:t>
            </w:r>
          </w:p>
        </w:tc>
        <w:tc>
          <w:tcPr>
            <w:tcW w:type="dxa" w:w="2353"/>
            <w:shd w:val="clear" w:color="auto" w:fill="E6ECFD"/>
            <w:vAlign w:val="center"/>
          </w:tcPr>
          <w:p>
            <w:pPr>
              <w:spacing w:after="20" w:before="20" w:line="252" w:lineRule="auto"/>
            </w:pPr>
            <w:r/>
            <w:r>
              <w:rPr>
                <w:rFonts w:ascii="Arial" w:hAnsi="Arial"/>
                <w:b w:val="0"/>
                <w:sz w:val="17"/>
              </w:rPr>
              <w:t>6,8%</w:t>
            </w:r>
          </w:p>
        </w:tc>
      </w:tr>
    </w:tbl>
    <w:p>
      <w:pPr>
        <w:spacing w:after="40"/>
      </w:pPr>
    </w:p>
    <w:p>
      <w:r>
        <w:br w:type="page"/>
      </w:r>
    </w:p>
    <w:p>
      <w:pPr>
        <w:pStyle w:val="Heading1"/>
      </w:pPr>
      <w:r>
        <w:t>Lampiran D  Matriks RASCI untuk 24 aktivitas inti (ringkas)</w:t>
      </w:r>
    </w:p>
    <w:p>
      <w:pPr>
        <w:jc w:val="both"/>
      </w:pPr>
      <w:r>
        <w:rPr>
          <w:rFonts w:ascii="Arial" w:hAnsi="Arial"/>
          <w:b w:val="0"/>
          <w:sz w:val="19"/>
        </w:rPr>
        <w:t>Matriks ini ringkasan dari rancangan Kajian: tepat satu A pada setiap baris. Kode peran: KP Kepala Badan Pelaksana; SI Pimpinan Industri Strategis pada BPI; PD MD Portofolio dan Project Delivery; ID MD Pengembangan Industri Strategis; EN MD Rekayasa dan Pelaksanaan; SP sponsor korporasi; PJ project director; CO COO/DAM; CI CIO/DIM; CT CTO; DD DDMF; RS fungsi risiko independen; LC Hukum dan Kepatuhan; FI Keuangan; IA Audit Internal; DW Dewan Pengawas; PR Presiden; OG organ perusahaan yang sah. Rincian R, S, C, dan I per baris ada pada sumber [EVAL, Bagian 14–15].</w:t>
      </w:r>
    </w:p>
    <w:p>
      <w:pPr>
        <w:keepNext/>
        <w:spacing w:after="60"/>
      </w:pPr>
      <w:r>
        <w:rPr>
          <w:rFonts w:ascii="Arial" w:hAnsi="Arial"/>
          <w:b/>
          <w:color w:val="051C5C"/>
          <w:sz w:val="19"/>
        </w:rPr>
        <w:t xml:space="preserve">Tabel 64: </w:t>
      </w:r>
      <w:r>
        <w:rPr>
          <w:rFonts w:ascii="Arial" w:hAnsi="Arial"/>
          <w:color w:val="051C5C"/>
          <w:sz w:val="19"/>
        </w:rPr>
        <w:t>Aktivitas inti dan pemilik akuntabel (A)</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980"/>
            <w:shd w:val="clear" w:color="auto" w:fill="2251FF"/>
            <w:vAlign w:val="center"/>
          </w:tcPr>
          <w:p>
            <w:pPr>
              <w:spacing w:after="20" w:before="20" w:line="252" w:lineRule="auto"/>
            </w:pPr>
            <w:r/>
            <w:r>
              <w:rPr>
                <w:rFonts w:ascii="Arial" w:hAnsi="Arial"/>
                <w:b/>
                <w:color w:val="FFFFFF"/>
                <w:sz w:val="17"/>
              </w:rPr>
              <w:t>Kode</w:t>
            </w:r>
          </w:p>
        </w:tc>
        <w:tc>
          <w:tcPr>
            <w:tcW w:type="dxa" w:w="5882"/>
            <w:shd w:val="clear" w:color="auto" w:fill="2251FF"/>
            <w:vAlign w:val="center"/>
          </w:tcPr>
          <w:p>
            <w:pPr>
              <w:spacing w:after="20" w:before="20" w:line="252" w:lineRule="auto"/>
            </w:pPr>
            <w:r/>
            <w:r>
              <w:rPr>
                <w:rFonts w:ascii="Arial" w:hAnsi="Arial"/>
                <w:b/>
                <w:color w:val="FFFFFF"/>
                <w:sz w:val="17"/>
              </w:rPr>
              <w:t>Aktivitas</w:t>
            </w:r>
          </w:p>
        </w:tc>
        <w:tc>
          <w:tcPr>
            <w:tcW w:type="dxa" w:w="2549"/>
            <w:shd w:val="clear" w:color="auto" w:fill="2251FF"/>
            <w:vAlign w:val="center"/>
          </w:tcPr>
          <w:p>
            <w:pPr>
              <w:spacing w:after="20" w:before="20" w:line="252" w:lineRule="auto"/>
            </w:pPr>
            <w:r/>
            <w:r>
              <w:rPr>
                <w:rFonts w:ascii="Arial" w:hAnsi="Arial"/>
                <w:b/>
                <w:color w:val="FFFFFF"/>
                <w:sz w:val="17"/>
              </w:rPr>
              <w:t>A (dan R bila disebut)</w:t>
            </w:r>
          </w:p>
        </w:tc>
      </w:tr>
      <w:tr>
        <w:trPr>
          <w:cantSplit/>
        </w:trPr>
        <w:tc>
          <w:tcPr>
            <w:tcW w:type="dxa" w:w="980"/>
            <w:vAlign w:val="center"/>
          </w:tcPr>
          <w:p>
            <w:pPr>
              <w:spacing w:after="20" w:before="20" w:line="252" w:lineRule="auto"/>
            </w:pPr>
            <w:r/>
            <w:r>
              <w:rPr>
                <w:rFonts w:ascii="Arial" w:hAnsi="Arial"/>
                <w:b/>
                <w:sz w:val="17"/>
              </w:rPr>
              <w:t>S01</w:t>
            </w:r>
          </w:p>
        </w:tc>
        <w:tc>
          <w:tcPr>
            <w:tcW w:type="dxa" w:w="5882"/>
            <w:vAlign w:val="center"/>
          </w:tcPr>
          <w:p>
            <w:pPr>
              <w:spacing w:after="20" w:before="20" w:line="252" w:lineRule="auto"/>
            </w:pPr>
            <w:r/>
            <w:r>
              <w:rPr>
                <w:rFonts w:ascii="Arial" w:hAnsi="Arial"/>
                <w:b w:val="0"/>
                <w:sz w:val="17"/>
              </w:rPr>
              <w:t>Rekonsiliasi register 40 proyek</w:t>
            </w:r>
          </w:p>
        </w:tc>
        <w:tc>
          <w:tcPr>
            <w:tcW w:type="dxa" w:w="2549"/>
            <w:vAlign w:val="center"/>
          </w:tcPr>
          <w:p>
            <w:pPr>
              <w:spacing w:after="20" w:before="20" w:line="252" w:lineRule="auto"/>
            </w:pPr>
            <w:r/>
            <w:r>
              <w:rPr>
                <w:rFonts w:ascii="Arial" w:hAnsi="Arial"/>
                <w:b w:val="0"/>
                <w:sz w:val="17"/>
              </w:rPr>
              <w:t>PD</w:t>
            </w:r>
          </w:p>
        </w:tc>
      </w:tr>
      <w:tr>
        <w:trPr>
          <w:cantSplit/>
        </w:trPr>
        <w:tc>
          <w:tcPr>
            <w:tcW w:type="dxa" w:w="980"/>
            <w:shd w:val="clear" w:color="auto" w:fill="E6ECFD"/>
            <w:vAlign w:val="center"/>
          </w:tcPr>
          <w:p>
            <w:pPr>
              <w:spacing w:after="20" w:before="20" w:line="252" w:lineRule="auto"/>
            </w:pPr>
            <w:r/>
            <w:r>
              <w:rPr>
                <w:rFonts w:ascii="Arial" w:hAnsi="Arial"/>
                <w:b/>
                <w:sz w:val="17"/>
              </w:rPr>
              <w:t>S02</w:t>
            </w:r>
          </w:p>
        </w:tc>
        <w:tc>
          <w:tcPr>
            <w:tcW w:type="dxa" w:w="5882"/>
            <w:shd w:val="clear" w:color="auto" w:fill="E6ECFD"/>
            <w:vAlign w:val="center"/>
          </w:tcPr>
          <w:p>
            <w:pPr>
              <w:spacing w:after="20" w:before="20" w:line="252" w:lineRule="auto"/>
            </w:pPr>
            <w:r/>
            <w:r>
              <w:rPr>
                <w:rFonts w:ascii="Arial" w:hAnsi="Arial"/>
                <w:b w:val="0"/>
                <w:sz w:val="17"/>
              </w:rPr>
              <w:t>Peta industri dan prioritas</w:t>
            </w:r>
          </w:p>
        </w:tc>
        <w:tc>
          <w:tcPr>
            <w:tcW w:type="dxa" w:w="2549"/>
            <w:shd w:val="clear" w:color="auto" w:fill="E6ECFD"/>
            <w:vAlign w:val="center"/>
          </w:tcPr>
          <w:p>
            <w:pPr>
              <w:spacing w:after="20" w:before="20" w:line="252" w:lineRule="auto"/>
            </w:pPr>
            <w:r/>
            <w:r>
              <w:rPr>
                <w:rFonts w:ascii="Arial" w:hAnsi="Arial"/>
                <w:b w:val="0"/>
                <w:sz w:val="17"/>
              </w:rPr>
              <w:t>SI</w:t>
            </w:r>
          </w:p>
        </w:tc>
      </w:tr>
      <w:tr>
        <w:trPr>
          <w:cantSplit/>
        </w:trPr>
        <w:tc>
          <w:tcPr>
            <w:tcW w:type="dxa" w:w="980"/>
            <w:vAlign w:val="center"/>
          </w:tcPr>
          <w:p>
            <w:pPr>
              <w:spacing w:after="20" w:before="20" w:line="252" w:lineRule="auto"/>
            </w:pPr>
            <w:r/>
            <w:r>
              <w:rPr>
                <w:rFonts w:ascii="Arial" w:hAnsi="Arial"/>
                <w:b/>
                <w:sz w:val="17"/>
              </w:rPr>
              <w:t>S03</w:t>
            </w:r>
          </w:p>
        </w:tc>
        <w:tc>
          <w:tcPr>
            <w:tcW w:type="dxa" w:w="5882"/>
            <w:vAlign w:val="center"/>
          </w:tcPr>
          <w:p>
            <w:pPr>
              <w:spacing w:after="20" w:before="20" w:line="252" w:lineRule="auto"/>
            </w:pPr>
            <w:r/>
            <w:r>
              <w:rPr>
                <w:rFonts w:ascii="Arial" w:hAnsi="Arial"/>
                <w:b w:val="0"/>
                <w:sz w:val="17"/>
              </w:rPr>
              <w:t>Penetapan prioritas Badan</w:t>
            </w:r>
          </w:p>
        </w:tc>
        <w:tc>
          <w:tcPr>
            <w:tcW w:type="dxa" w:w="2549"/>
            <w:vAlign w:val="center"/>
          </w:tcPr>
          <w:p>
            <w:pPr>
              <w:spacing w:after="20" w:before="20" w:line="252" w:lineRule="auto"/>
            </w:pPr>
            <w:r/>
            <w:r>
              <w:rPr>
                <w:rFonts w:ascii="Arial" w:hAnsi="Arial"/>
                <w:b w:val="0"/>
                <w:sz w:val="17"/>
              </w:rPr>
              <w:t>KP</w:t>
            </w:r>
          </w:p>
        </w:tc>
      </w:tr>
      <w:tr>
        <w:trPr>
          <w:cantSplit/>
        </w:trPr>
        <w:tc>
          <w:tcPr>
            <w:tcW w:type="dxa" w:w="980"/>
            <w:shd w:val="clear" w:color="auto" w:fill="E6ECFD"/>
            <w:vAlign w:val="center"/>
          </w:tcPr>
          <w:p>
            <w:pPr>
              <w:spacing w:after="20" w:before="20" w:line="252" w:lineRule="auto"/>
            </w:pPr>
            <w:r/>
            <w:r>
              <w:rPr>
                <w:rFonts w:ascii="Arial" w:hAnsi="Arial"/>
                <w:b/>
                <w:sz w:val="17"/>
              </w:rPr>
              <w:t>S04</w:t>
            </w:r>
          </w:p>
        </w:tc>
        <w:tc>
          <w:tcPr>
            <w:tcW w:type="dxa" w:w="5882"/>
            <w:shd w:val="clear" w:color="auto" w:fill="E6ECFD"/>
            <w:vAlign w:val="center"/>
          </w:tcPr>
          <w:p>
            <w:pPr>
              <w:spacing w:after="20" w:before="20" w:line="252" w:lineRule="auto"/>
            </w:pPr>
            <w:r/>
            <w:r>
              <w:rPr>
                <w:rFonts w:ascii="Arial" w:hAnsi="Arial"/>
                <w:b w:val="0"/>
                <w:sz w:val="17"/>
              </w:rPr>
              <w:t>Paket kelayakan dan kesiapan proyek</w:t>
            </w:r>
          </w:p>
        </w:tc>
        <w:tc>
          <w:tcPr>
            <w:tcW w:type="dxa" w:w="2549"/>
            <w:shd w:val="clear" w:color="auto" w:fill="E6ECFD"/>
            <w:vAlign w:val="center"/>
          </w:tcPr>
          <w:p>
            <w:pPr>
              <w:spacing w:after="20" w:before="20" w:line="252" w:lineRule="auto"/>
            </w:pPr>
            <w:r/>
            <w:r>
              <w:rPr>
                <w:rFonts w:ascii="Arial" w:hAnsi="Arial"/>
                <w:b w:val="0"/>
                <w:sz w:val="17"/>
              </w:rPr>
              <w:t>SP (R: PJ, ID, EN)</w:t>
            </w:r>
          </w:p>
        </w:tc>
      </w:tr>
      <w:tr>
        <w:trPr>
          <w:cantSplit/>
        </w:trPr>
        <w:tc>
          <w:tcPr>
            <w:tcW w:type="dxa" w:w="980"/>
            <w:vAlign w:val="center"/>
          </w:tcPr>
          <w:p>
            <w:pPr>
              <w:spacing w:after="20" w:before="20" w:line="252" w:lineRule="auto"/>
            </w:pPr>
            <w:r/>
            <w:r>
              <w:rPr>
                <w:rFonts w:ascii="Arial" w:hAnsi="Arial"/>
                <w:b/>
                <w:sz w:val="17"/>
              </w:rPr>
              <w:t>S05</w:t>
            </w:r>
          </w:p>
        </w:tc>
        <w:tc>
          <w:tcPr>
            <w:tcW w:type="dxa" w:w="5882"/>
            <w:vAlign w:val="center"/>
          </w:tcPr>
          <w:p>
            <w:pPr>
              <w:spacing w:after="20" w:before="20" w:line="252" w:lineRule="auto"/>
            </w:pPr>
            <w:r/>
            <w:r>
              <w:rPr>
                <w:rFonts w:ascii="Arial" w:hAnsi="Arial"/>
                <w:b w:val="0"/>
                <w:sz w:val="17"/>
              </w:rPr>
              <w:t>Opini teknologi dan HKI</w:t>
            </w:r>
          </w:p>
        </w:tc>
        <w:tc>
          <w:tcPr>
            <w:tcW w:type="dxa" w:w="2549"/>
            <w:vAlign w:val="center"/>
          </w:tcPr>
          <w:p>
            <w:pPr>
              <w:spacing w:after="20" w:before="20" w:line="252" w:lineRule="auto"/>
            </w:pPr>
            <w:r/>
            <w:r>
              <w:rPr>
                <w:rFonts w:ascii="Arial" w:hAnsi="Arial"/>
                <w:b w:val="0"/>
                <w:sz w:val="17"/>
              </w:rPr>
              <w:t>CT</w:t>
            </w:r>
          </w:p>
        </w:tc>
      </w:tr>
      <w:tr>
        <w:trPr>
          <w:cantSplit/>
        </w:trPr>
        <w:tc>
          <w:tcPr>
            <w:tcW w:type="dxa" w:w="980"/>
            <w:shd w:val="clear" w:color="auto" w:fill="E6ECFD"/>
            <w:vAlign w:val="center"/>
          </w:tcPr>
          <w:p>
            <w:pPr>
              <w:spacing w:after="20" w:before="20" w:line="252" w:lineRule="auto"/>
            </w:pPr>
            <w:r/>
            <w:r>
              <w:rPr>
                <w:rFonts w:ascii="Arial" w:hAnsi="Arial"/>
                <w:b/>
                <w:sz w:val="17"/>
              </w:rPr>
              <w:t>S06</w:t>
            </w:r>
          </w:p>
        </w:tc>
        <w:tc>
          <w:tcPr>
            <w:tcW w:type="dxa" w:w="5882"/>
            <w:shd w:val="clear" w:color="auto" w:fill="E6ECFD"/>
            <w:vAlign w:val="center"/>
          </w:tcPr>
          <w:p>
            <w:pPr>
              <w:spacing w:after="20" w:before="20" w:line="252" w:lineRule="auto"/>
            </w:pPr>
            <w:r/>
            <w:r>
              <w:rPr>
                <w:rFonts w:ascii="Arial" w:hAnsi="Arial"/>
                <w:b w:val="0"/>
                <w:sz w:val="17"/>
              </w:rPr>
              <w:t>Opini risiko independen</w:t>
            </w:r>
          </w:p>
        </w:tc>
        <w:tc>
          <w:tcPr>
            <w:tcW w:type="dxa" w:w="2549"/>
            <w:shd w:val="clear" w:color="auto" w:fill="E6ECFD"/>
            <w:vAlign w:val="center"/>
          </w:tcPr>
          <w:p>
            <w:pPr>
              <w:spacing w:after="20" w:before="20" w:line="252" w:lineRule="auto"/>
            </w:pPr>
            <w:r/>
            <w:r>
              <w:rPr>
                <w:rFonts w:ascii="Arial" w:hAnsi="Arial"/>
                <w:b w:val="0"/>
                <w:sz w:val="17"/>
              </w:rPr>
              <w:t>RS</w:t>
            </w:r>
          </w:p>
        </w:tc>
      </w:tr>
      <w:tr>
        <w:trPr>
          <w:cantSplit/>
        </w:trPr>
        <w:tc>
          <w:tcPr>
            <w:tcW w:type="dxa" w:w="980"/>
            <w:vAlign w:val="center"/>
          </w:tcPr>
          <w:p>
            <w:pPr>
              <w:spacing w:after="20" w:before="20" w:line="252" w:lineRule="auto"/>
            </w:pPr>
            <w:r/>
            <w:r>
              <w:rPr>
                <w:rFonts w:ascii="Arial" w:hAnsi="Arial"/>
                <w:b/>
                <w:sz w:val="17"/>
              </w:rPr>
              <w:t>S07</w:t>
            </w:r>
          </w:p>
        </w:tc>
        <w:tc>
          <w:tcPr>
            <w:tcW w:type="dxa" w:w="5882"/>
            <w:vAlign w:val="center"/>
          </w:tcPr>
          <w:p>
            <w:pPr>
              <w:spacing w:after="20" w:before="20" w:line="252" w:lineRule="auto"/>
            </w:pPr>
            <w:r/>
            <w:r>
              <w:rPr>
                <w:rFonts w:ascii="Arial" w:hAnsi="Arial"/>
                <w:b w:val="0"/>
                <w:sz w:val="17"/>
              </w:rPr>
              <w:t>Opini hukum dan jalur otorisasi</w:t>
            </w:r>
          </w:p>
        </w:tc>
        <w:tc>
          <w:tcPr>
            <w:tcW w:type="dxa" w:w="2549"/>
            <w:vAlign w:val="center"/>
          </w:tcPr>
          <w:p>
            <w:pPr>
              <w:spacing w:after="20" w:before="20" w:line="252" w:lineRule="auto"/>
            </w:pPr>
            <w:r/>
            <w:r>
              <w:rPr>
                <w:rFonts w:ascii="Arial" w:hAnsi="Arial"/>
                <w:b w:val="0"/>
                <w:sz w:val="17"/>
              </w:rPr>
              <w:t>LC</w:t>
            </w:r>
          </w:p>
        </w:tc>
      </w:tr>
      <w:tr>
        <w:trPr>
          <w:cantSplit/>
        </w:trPr>
        <w:tc>
          <w:tcPr>
            <w:tcW w:type="dxa" w:w="980"/>
            <w:shd w:val="clear" w:color="auto" w:fill="E6ECFD"/>
            <w:vAlign w:val="center"/>
          </w:tcPr>
          <w:p>
            <w:pPr>
              <w:spacing w:after="20" w:before="20" w:line="252" w:lineRule="auto"/>
            </w:pPr>
            <w:r/>
            <w:r>
              <w:rPr>
                <w:rFonts w:ascii="Arial" w:hAnsi="Arial"/>
                <w:b/>
                <w:sz w:val="17"/>
              </w:rPr>
              <w:t>S08</w:t>
            </w:r>
          </w:p>
        </w:tc>
        <w:tc>
          <w:tcPr>
            <w:tcW w:type="dxa" w:w="5882"/>
            <w:shd w:val="clear" w:color="auto" w:fill="E6ECFD"/>
            <w:vAlign w:val="center"/>
          </w:tcPr>
          <w:p>
            <w:pPr>
              <w:spacing w:after="20" w:before="20" w:line="252" w:lineRule="auto"/>
            </w:pPr>
            <w:r/>
            <w:r>
              <w:rPr>
                <w:rFonts w:ascii="Arial" w:hAnsi="Arial"/>
                <w:b w:val="0"/>
                <w:sz w:val="17"/>
              </w:rPr>
              <w:t>Struktur pembiayaan</w:t>
            </w:r>
          </w:p>
        </w:tc>
        <w:tc>
          <w:tcPr>
            <w:tcW w:type="dxa" w:w="2549"/>
            <w:shd w:val="clear" w:color="auto" w:fill="E6ECFD"/>
            <w:vAlign w:val="center"/>
          </w:tcPr>
          <w:p>
            <w:pPr>
              <w:spacing w:after="20" w:before="20" w:line="252" w:lineRule="auto"/>
            </w:pPr>
            <w:r/>
            <w:r>
              <w:rPr>
                <w:rFonts w:ascii="Arial" w:hAnsi="Arial"/>
                <w:b w:val="0"/>
                <w:sz w:val="17"/>
              </w:rPr>
              <w:t>CI</w:t>
            </w:r>
          </w:p>
        </w:tc>
      </w:tr>
      <w:tr>
        <w:trPr>
          <w:cantSplit/>
        </w:trPr>
        <w:tc>
          <w:tcPr>
            <w:tcW w:type="dxa" w:w="980"/>
            <w:vAlign w:val="center"/>
          </w:tcPr>
          <w:p>
            <w:pPr>
              <w:spacing w:after="20" w:before="20" w:line="252" w:lineRule="auto"/>
            </w:pPr>
            <w:r/>
            <w:r>
              <w:rPr>
                <w:rFonts w:ascii="Arial" w:hAnsi="Arial"/>
                <w:b/>
                <w:sz w:val="17"/>
              </w:rPr>
              <w:t>S09</w:t>
            </w:r>
          </w:p>
        </w:tc>
        <w:tc>
          <w:tcPr>
            <w:tcW w:type="dxa" w:w="5882"/>
            <w:vAlign w:val="center"/>
          </w:tcPr>
          <w:p>
            <w:pPr>
              <w:spacing w:after="20" w:before="20" w:line="252" w:lineRule="auto"/>
            </w:pPr>
            <w:r/>
            <w:r>
              <w:rPr>
                <w:rFonts w:ascii="Arial" w:hAnsi="Arial"/>
                <w:b w:val="0"/>
                <w:sz w:val="17"/>
              </w:rPr>
              <w:t>Paket rekomendasi portofolio</w:t>
            </w:r>
          </w:p>
        </w:tc>
        <w:tc>
          <w:tcPr>
            <w:tcW w:type="dxa" w:w="2549"/>
            <w:vAlign w:val="center"/>
          </w:tcPr>
          <w:p>
            <w:pPr>
              <w:spacing w:after="20" w:before="20" w:line="252" w:lineRule="auto"/>
            </w:pPr>
            <w:r/>
            <w:r>
              <w:rPr>
                <w:rFonts w:ascii="Arial" w:hAnsi="Arial"/>
                <w:b w:val="0"/>
                <w:sz w:val="17"/>
              </w:rPr>
              <w:t>SI</w:t>
            </w:r>
          </w:p>
        </w:tc>
      </w:tr>
      <w:tr>
        <w:trPr>
          <w:cantSplit/>
        </w:trPr>
        <w:tc>
          <w:tcPr>
            <w:tcW w:type="dxa" w:w="980"/>
            <w:shd w:val="clear" w:color="auto" w:fill="E6ECFD"/>
            <w:vAlign w:val="center"/>
          </w:tcPr>
          <w:p>
            <w:pPr>
              <w:spacing w:after="20" w:before="20" w:line="252" w:lineRule="auto"/>
            </w:pPr>
            <w:r/>
            <w:r>
              <w:rPr>
                <w:rFonts w:ascii="Arial" w:hAnsi="Arial"/>
                <w:b/>
                <w:sz w:val="17"/>
              </w:rPr>
              <w:t>S10</w:t>
            </w:r>
          </w:p>
        </w:tc>
        <w:tc>
          <w:tcPr>
            <w:tcW w:type="dxa" w:w="5882"/>
            <w:shd w:val="clear" w:color="auto" w:fill="E6ECFD"/>
            <w:vAlign w:val="center"/>
          </w:tcPr>
          <w:p>
            <w:pPr>
              <w:spacing w:after="20" w:before="20" w:line="252" w:lineRule="auto"/>
            </w:pPr>
            <w:r/>
            <w:r>
              <w:rPr>
                <w:rFonts w:ascii="Arial" w:hAnsi="Arial"/>
                <w:b w:val="0"/>
                <w:sz w:val="17"/>
              </w:rPr>
              <w:t>Keputusan Badan Pelaksana</w:t>
            </w:r>
          </w:p>
        </w:tc>
        <w:tc>
          <w:tcPr>
            <w:tcW w:type="dxa" w:w="2549"/>
            <w:shd w:val="clear" w:color="auto" w:fill="E6ECFD"/>
            <w:vAlign w:val="center"/>
          </w:tcPr>
          <w:p>
            <w:pPr>
              <w:spacing w:after="20" w:before="20" w:line="252" w:lineRule="auto"/>
            </w:pPr>
            <w:r/>
            <w:r>
              <w:rPr>
                <w:rFonts w:ascii="Arial" w:hAnsi="Arial"/>
                <w:b w:val="0"/>
                <w:sz w:val="17"/>
              </w:rPr>
              <w:t>KP</w:t>
            </w:r>
          </w:p>
        </w:tc>
      </w:tr>
      <w:tr>
        <w:trPr>
          <w:cantSplit/>
        </w:trPr>
        <w:tc>
          <w:tcPr>
            <w:tcW w:type="dxa" w:w="980"/>
            <w:vAlign w:val="center"/>
          </w:tcPr>
          <w:p>
            <w:pPr>
              <w:spacing w:after="20" w:before="20" w:line="252" w:lineRule="auto"/>
            </w:pPr>
            <w:r/>
            <w:r>
              <w:rPr>
                <w:rFonts w:ascii="Arial" w:hAnsi="Arial"/>
                <w:b/>
                <w:sz w:val="17"/>
              </w:rPr>
              <w:t>S11</w:t>
            </w:r>
          </w:p>
        </w:tc>
        <w:tc>
          <w:tcPr>
            <w:tcW w:type="dxa" w:w="5882"/>
            <w:vAlign w:val="center"/>
          </w:tcPr>
          <w:p>
            <w:pPr>
              <w:spacing w:after="20" w:before="20" w:line="252" w:lineRule="auto"/>
            </w:pPr>
            <w:r/>
            <w:r>
              <w:rPr>
                <w:rFonts w:ascii="Arial" w:hAnsi="Arial"/>
                <w:b w:val="0"/>
                <w:sz w:val="17"/>
              </w:rPr>
              <w:t>Persetujuan Presiden (bila perlu)</w:t>
            </w:r>
          </w:p>
        </w:tc>
        <w:tc>
          <w:tcPr>
            <w:tcW w:type="dxa" w:w="2549"/>
            <w:vAlign w:val="center"/>
          </w:tcPr>
          <w:p>
            <w:pPr>
              <w:spacing w:after="20" w:before="20" w:line="252" w:lineRule="auto"/>
            </w:pPr>
            <w:r/>
            <w:r>
              <w:rPr>
                <w:rFonts w:ascii="Arial" w:hAnsi="Arial"/>
                <w:b w:val="0"/>
                <w:sz w:val="17"/>
              </w:rPr>
              <w:t>PR</w:t>
            </w:r>
          </w:p>
        </w:tc>
      </w:tr>
      <w:tr>
        <w:trPr>
          <w:cantSplit/>
        </w:trPr>
        <w:tc>
          <w:tcPr>
            <w:tcW w:type="dxa" w:w="980"/>
            <w:shd w:val="clear" w:color="auto" w:fill="E6ECFD"/>
            <w:vAlign w:val="center"/>
          </w:tcPr>
          <w:p>
            <w:pPr>
              <w:spacing w:after="20" w:before="20" w:line="252" w:lineRule="auto"/>
            </w:pPr>
            <w:r/>
            <w:r>
              <w:rPr>
                <w:rFonts w:ascii="Arial" w:hAnsi="Arial"/>
                <w:b/>
                <w:sz w:val="17"/>
              </w:rPr>
              <w:t>S12</w:t>
            </w:r>
          </w:p>
        </w:tc>
        <w:tc>
          <w:tcPr>
            <w:tcW w:type="dxa" w:w="5882"/>
            <w:shd w:val="clear" w:color="auto" w:fill="E6ECFD"/>
            <w:vAlign w:val="center"/>
          </w:tcPr>
          <w:p>
            <w:pPr>
              <w:spacing w:after="20" w:before="20" w:line="252" w:lineRule="auto"/>
            </w:pPr>
            <w:r/>
            <w:r>
              <w:rPr>
                <w:rFonts w:ascii="Arial" w:hAnsi="Arial"/>
                <w:b w:val="0"/>
                <w:sz w:val="17"/>
              </w:rPr>
              <w:t>Persetujuan Dewan Pengawas (bila perlu)</w:t>
            </w:r>
          </w:p>
        </w:tc>
        <w:tc>
          <w:tcPr>
            <w:tcW w:type="dxa" w:w="2549"/>
            <w:shd w:val="clear" w:color="auto" w:fill="E6ECFD"/>
            <w:vAlign w:val="center"/>
          </w:tcPr>
          <w:p>
            <w:pPr>
              <w:spacing w:after="20" w:before="20" w:line="252" w:lineRule="auto"/>
            </w:pPr>
            <w:r/>
            <w:r>
              <w:rPr>
                <w:rFonts w:ascii="Arial" w:hAnsi="Arial"/>
                <w:b w:val="0"/>
                <w:sz w:val="17"/>
              </w:rPr>
              <w:t>DW</w:t>
            </w:r>
          </w:p>
        </w:tc>
      </w:tr>
      <w:tr>
        <w:trPr>
          <w:cantSplit/>
        </w:trPr>
        <w:tc>
          <w:tcPr>
            <w:tcW w:type="dxa" w:w="980"/>
            <w:vAlign w:val="center"/>
          </w:tcPr>
          <w:p>
            <w:pPr>
              <w:spacing w:after="20" w:before="20" w:line="252" w:lineRule="auto"/>
            </w:pPr>
            <w:r/>
            <w:r>
              <w:rPr>
                <w:rFonts w:ascii="Arial" w:hAnsi="Arial"/>
                <w:b/>
                <w:sz w:val="17"/>
              </w:rPr>
              <w:t>S13</w:t>
            </w:r>
          </w:p>
        </w:tc>
        <w:tc>
          <w:tcPr>
            <w:tcW w:type="dxa" w:w="5882"/>
            <w:vAlign w:val="center"/>
          </w:tcPr>
          <w:p>
            <w:pPr>
              <w:spacing w:after="20" w:before="20" w:line="252" w:lineRule="auto"/>
            </w:pPr>
            <w:r/>
            <w:r>
              <w:rPr>
                <w:rFonts w:ascii="Arial" w:hAnsi="Arial"/>
                <w:b w:val="0"/>
                <w:sz w:val="17"/>
              </w:rPr>
              <w:t>Keputusan investasi perusahaan sesuai anggaran dasar</w:t>
            </w:r>
          </w:p>
        </w:tc>
        <w:tc>
          <w:tcPr>
            <w:tcW w:type="dxa" w:w="2549"/>
            <w:vAlign w:val="center"/>
          </w:tcPr>
          <w:p>
            <w:pPr>
              <w:spacing w:after="20" w:before="20" w:line="252" w:lineRule="auto"/>
            </w:pPr>
            <w:r/>
            <w:r>
              <w:rPr>
                <w:rFonts w:ascii="Arial" w:hAnsi="Arial"/>
                <w:b w:val="0"/>
                <w:sz w:val="17"/>
              </w:rPr>
              <w:t>OG</w:t>
            </w:r>
          </w:p>
        </w:tc>
      </w:tr>
      <w:tr>
        <w:trPr>
          <w:cantSplit/>
        </w:trPr>
        <w:tc>
          <w:tcPr>
            <w:tcW w:type="dxa" w:w="980"/>
            <w:shd w:val="clear" w:color="auto" w:fill="E6ECFD"/>
            <w:vAlign w:val="center"/>
          </w:tcPr>
          <w:p>
            <w:pPr>
              <w:spacing w:after="20" w:before="20" w:line="252" w:lineRule="auto"/>
            </w:pPr>
            <w:r/>
            <w:r>
              <w:rPr>
                <w:rFonts w:ascii="Arial" w:hAnsi="Arial"/>
                <w:b/>
                <w:sz w:val="17"/>
              </w:rPr>
              <w:t>S14</w:t>
            </w:r>
          </w:p>
        </w:tc>
        <w:tc>
          <w:tcPr>
            <w:tcW w:type="dxa" w:w="5882"/>
            <w:shd w:val="clear" w:color="auto" w:fill="E6ECFD"/>
            <w:vAlign w:val="center"/>
          </w:tcPr>
          <w:p>
            <w:pPr>
              <w:spacing w:after="20" w:before="20" w:line="252" w:lineRule="auto"/>
            </w:pPr>
            <w:r/>
            <w:r>
              <w:rPr>
                <w:rFonts w:ascii="Arial" w:hAnsi="Arial"/>
                <w:b w:val="0"/>
                <w:sz w:val="17"/>
              </w:rPr>
              <w:t>Efektivitas kontrak dan financial close</w:t>
            </w:r>
          </w:p>
        </w:tc>
        <w:tc>
          <w:tcPr>
            <w:tcW w:type="dxa" w:w="2549"/>
            <w:shd w:val="clear" w:color="auto" w:fill="E6ECFD"/>
            <w:vAlign w:val="center"/>
          </w:tcPr>
          <w:p>
            <w:pPr>
              <w:spacing w:after="20" w:before="20" w:line="252" w:lineRule="auto"/>
            </w:pPr>
            <w:r/>
            <w:r>
              <w:rPr>
                <w:rFonts w:ascii="Arial" w:hAnsi="Arial"/>
                <w:b w:val="0"/>
                <w:sz w:val="17"/>
              </w:rPr>
              <w:t>OG (R: SP, PJ)</w:t>
            </w:r>
          </w:p>
        </w:tc>
      </w:tr>
      <w:tr>
        <w:trPr>
          <w:cantSplit/>
        </w:trPr>
        <w:tc>
          <w:tcPr>
            <w:tcW w:type="dxa" w:w="980"/>
            <w:vAlign w:val="center"/>
          </w:tcPr>
          <w:p>
            <w:pPr>
              <w:spacing w:after="20" w:before="20" w:line="252" w:lineRule="auto"/>
            </w:pPr>
            <w:r/>
            <w:r>
              <w:rPr>
                <w:rFonts w:ascii="Arial" w:hAnsi="Arial"/>
                <w:b/>
                <w:sz w:val="17"/>
              </w:rPr>
              <w:t>S15</w:t>
            </w:r>
          </w:p>
        </w:tc>
        <w:tc>
          <w:tcPr>
            <w:tcW w:type="dxa" w:w="5882"/>
            <w:vAlign w:val="center"/>
          </w:tcPr>
          <w:p>
            <w:pPr>
              <w:spacing w:after="20" w:before="20" w:line="252" w:lineRule="auto"/>
            </w:pPr>
            <w:r/>
            <w:r>
              <w:rPr>
                <w:rFonts w:ascii="Arial" w:hAnsi="Arial"/>
                <w:b w:val="0"/>
                <w:sz w:val="17"/>
              </w:rPr>
              <w:t>Pelaksanaan konstruksi</w:t>
            </w:r>
          </w:p>
        </w:tc>
        <w:tc>
          <w:tcPr>
            <w:tcW w:type="dxa" w:w="2549"/>
            <w:vAlign w:val="center"/>
          </w:tcPr>
          <w:p>
            <w:pPr>
              <w:spacing w:after="20" w:before="20" w:line="252" w:lineRule="auto"/>
            </w:pPr>
            <w:r/>
            <w:r>
              <w:rPr>
                <w:rFonts w:ascii="Arial" w:hAnsi="Arial"/>
                <w:b w:val="0"/>
                <w:sz w:val="17"/>
              </w:rPr>
              <w:t>PJ (R: PJ, EN; S: PD)</w:t>
            </w:r>
          </w:p>
        </w:tc>
      </w:tr>
      <w:tr>
        <w:trPr>
          <w:cantSplit/>
        </w:trPr>
        <w:tc>
          <w:tcPr>
            <w:tcW w:type="dxa" w:w="980"/>
            <w:shd w:val="clear" w:color="auto" w:fill="E6ECFD"/>
            <w:vAlign w:val="center"/>
          </w:tcPr>
          <w:p>
            <w:pPr>
              <w:spacing w:after="20" w:before="20" w:line="252" w:lineRule="auto"/>
            </w:pPr>
            <w:r/>
            <w:r>
              <w:rPr>
                <w:rFonts w:ascii="Arial" w:hAnsi="Arial"/>
                <w:b/>
                <w:sz w:val="17"/>
              </w:rPr>
              <w:t>S16</w:t>
            </w:r>
          </w:p>
        </w:tc>
        <w:tc>
          <w:tcPr>
            <w:tcW w:type="dxa" w:w="5882"/>
            <w:shd w:val="clear" w:color="auto" w:fill="E6ECFD"/>
            <w:vAlign w:val="center"/>
          </w:tcPr>
          <w:p>
            <w:pPr>
              <w:spacing w:after="20" w:before="20" w:line="252" w:lineRule="auto"/>
            </w:pPr>
            <w:r/>
            <w:r>
              <w:rPr>
                <w:rFonts w:ascii="Arial" w:hAnsi="Arial"/>
                <w:b w:val="0"/>
                <w:sz w:val="17"/>
              </w:rPr>
              <w:t>Perubahan kontrak atau biaya material</w:t>
            </w:r>
          </w:p>
        </w:tc>
        <w:tc>
          <w:tcPr>
            <w:tcW w:type="dxa" w:w="2549"/>
            <w:shd w:val="clear" w:color="auto" w:fill="E6ECFD"/>
            <w:vAlign w:val="center"/>
          </w:tcPr>
          <w:p>
            <w:pPr>
              <w:spacing w:after="20" w:before="20" w:line="252" w:lineRule="auto"/>
            </w:pPr>
            <w:r/>
            <w:r>
              <w:rPr>
                <w:rFonts w:ascii="Arial" w:hAnsi="Arial"/>
                <w:b w:val="0"/>
                <w:sz w:val="17"/>
              </w:rPr>
              <w:t>OG (R: SP, PJ)</w:t>
            </w:r>
          </w:p>
        </w:tc>
      </w:tr>
      <w:tr>
        <w:trPr>
          <w:cantSplit/>
        </w:trPr>
        <w:tc>
          <w:tcPr>
            <w:tcW w:type="dxa" w:w="980"/>
            <w:vAlign w:val="center"/>
          </w:tcPr>
          <w:p>
            <w:pPr>
              <w:spacing w:after="20" w:before="20" w:line="252" w:lineRule="auto"/>
            </w:pPr>
            <w:r/>
            <w:r>
              <w:rPr>
                <w:rFonts w:ascii="Arial" w:hAnsi="Arial"/>
                <w:b/>
                <w:sz w:val="17"/>
              </w:rPr>
              <w:t>S17</w:t>
            </w:r>
          </w:p>
        </w:tc>
        <w:tc>
          <w:tcPr>
            <w:tcW w:type="dxa" w:w="5882"/>
            <w:vAlign w:val="center"/>
          </w:tcPr>
          <w:p>
            <w:pPr>
              <w:spacing w:after="20" w:before="20" w:line="252" w:lineRule="auto"/>
            </w:pPr>
            <w:r/>
            <w:r>
              <w:rPr>
                <w:rFonts w:ascii="Arial" w:hAnsi="Arial"/>
                <w:b w:val="0"/>
                <w:sz w:val="17"/>
              </w:rPr>
              <w:t>Penyelesaian masalah internal portofolio</w:t>
            </w:r>
          </w:p>
        </w:tc>
        <w:tc>
          <w:tcPr>
            <w:tcW w:type="dxa" w:w="2549"/>
            <w:vAlign w:val="center"/>
          </w:tcPr>
          <w:p>
            <w:pPr>
              <w:spacing w:after="20" w:before="20" w:line="252" w:lineRule="auto"/>
            </w:pPr>
            <w:r/>
            <w:r>
              <w:rPr>
                <w:rFonts w:ascii="Arial" w:hAnsi="Arial"/>
                <w:b w:val="0"/>
                <w:sz w:val="17"/>
              </w:rPr>
              <w:t>SI (R: PD)</w:t>
            </w:r>
          </w:p>
        </w:tc>
      </w:tr>
      <w:tr>
        <w:trPr>
          <w:cantSplit/>
        </w:trPr>
        <w:tc>
          <w:tcPr>
            <w:tcW w:type="dxa" w:w="980"/>
            <w:shd w:val="clear" w:color="auto" w:fill="E6ECFD"/>
            <w:vAlign w:val="center"/>
          </w:tcPr>
          <w:p>
            <w:pPr>
              <w:spacing w:after="20" w:before="20" w:line="252" w:lineRule="auto"/>
            </w:pPr>
            <w:r/>
            <w:r>
              <w:rPr>
                <w:rFonts w:ascii="Arial" w:hAnsi="Arial"/>
                <w:b/>
                <w:sz w:val="17"/>
              </w:rPr>
              <w:t>S18</w:t>
            </w:r>
          </w:p>
        </w:tc>
        <w:tc>
          <w:tcPr>
            <w:tcW w:type="dxa" w:w="5882"/>
            <w:shd w:val="clear" w:color="auto" w:fill="E6ECFD"/>
            <w:vAlign w:val="center"/>
          </w:tcPr>
          <w:p>
            <w:pPr>
              <w:spacing w:after="20" w:before="20" w:line="252" w:lineRule="auto"/>
            </w:pPr>
            <w:r/>
            <w:r>
              <w:rPr>
                <w:rFonts w:ascii="Arial" w:hAnsi="Arial"/>
                <w:b w:val="0"/>
                <w:sz w:val="17"/>
              </w:rPr>
              <w:t>Eskalasi lintas lembaga kepada forum yang sah</w:t>
            </w:r>
          </w:p>
        </w:tc>
        <w:tc>
          <w:tcPr>
            <w:tcW w:type="dxa" w:w="2549"/>
            <w:shd w:val="clear" w:color="auto" w:fill="E6ECFD"/>
            <w:vAlign w:val="center"/>
          </w:tcPr>
          <w:p>
            <w:pPr>
              <w:spacing w:after="20" w:before="20" w:line="252" w:lineRule="auto"/>
            </w:pPr>
            <w:r/>
            <w:r>
              <w:rPr>
                <w:rFonts w:ascii="Arial" w:hAnsi="Arial"/>
                <w:b w:val="0"/>
                <w:sz w:val="17"/>
              </w:rPr>
              <w:t>KP</w:t>
            </w:r>
          </w:p>
        </w:tc>
      </w:tr>
      <w:tr>
        <w:trPr>
          <w:cantSplit/>
        </w:trPr>
        <w:tc>
          <w:tcPr>
            <w:tcW w:type="dxa" w:w="980"/>
            <w:vAlign w:val="center"/>
          </w:tcPr>
          <w:p>
            <w:pPr>
              <w:spacing w:after="20" w:before="20" w:line="252" w:lineRule="auto"/>
            </w:pPr>
            <w:r/>
            <w:r>
              <w:rPr>
                <w:rFonts w:ascii="Arial" w:hAnsi="Arial"/>
                <w:b/>
                <w:sz w:val="17"/>
              </w:rPr>
              <w:t>S19</w:t>
            </w:r>
          </w:p>
        </w:tc>
        <w:tc>
          <w:tcPr>
            <w:tcW w:type="dxa" w:w="5882"/>
            <w:vAlign w:val="center"/>
          </w:tcPr>
          <w:p>
            <w:pPr>
              <w:spacing w:after="20" w:before="20" w:line="252" w:lineRule="auto"/>
            </w:pPr>
            <w:r/>
            <w:r>
              <w:rPr>
                <w:rFonts w:ascii="Arial" w:hAnsi="Arial"/>
                <w:b w:val="0"/>
                <w:sz w:val="17"/>
              </w:rPr>
              <w:t>Penerimaan komisioning</w:t>
            </w:r>
          </w:p>
        </w:tc>
        <w:tc>
          <w:tcPr>
            <w:tcW w:type="dxa" w:w="2549"/>
            <w:vAlign w:val="center"/>
          </w:tcPr>
          <w:p>
            <w:pPr>
              <w:spacing w:after="20" w:before="20" w:line="252" w:lineRule="auto"/>
            </w:pPr>
            <w:r/>
            <w:r>
              <w:rPr>
                <w:rFonts w:ascii="Arial" w:hAnsi="Arial"/>
                <w:b w:val="0"/>
                <w:sz w:val="17"/>
              </w:rPr>
              <w:t>OG</w:t>
            </w:r>
          </w:p>
        </w:tc>
      </w:tr>
      <w:tr>
        <w:trPr>
          <w:cantSplit/>
        </w:trPr>
        <w:tc>
          <w:tcPr>
            <w:tcW w:type="dxa" w:w="980"/>
            <w:shd w:val="clear" w:color="auto" w:fill="E6ECFD"/>
            <w:vAlign w:val="center"/>
          </w:tcPr>
          <w:p>
            <w:pPr>
              <w:spacing w:after="20" w:before="20" w:line="252" w:lineRule="auto"/>
            </w:pPr>
            <w:r/>
            <w:r>
              <w:rPr>
                <w:rFonts w:ascii="Arial" w:hAnsi="Arial"/>
                <w:b/>
                <w:sz w:val="17"/>
              </w:rPr>
              <w:t>S20</w:t>
            </w:r>
          </w:p>
        </w:tc>
        <w:tc>
          <w:tcPr>
            <w:tcW w:type="dxa" w:w="5882"/>
            <w:shd w:val="clear" w:color="auto" w:fill="E6ECFD"/>
            <w:vAlign w:val="center"/>
          </w:tcPr>
          <w:p>
            <w:pPr>
              <w:spacing w:after="20" w:before="20" w:line="252" w:lineRule="auto"/>
            </w:pPr>
            <w:r/>
            <w:r>
              <w:rPr>
                <w:rFonts w:ascii="Arial" w:hAnsi="Arial"/>
                <w:b w:val="0"/>
                <w:sz w:val="17"/>
              </w:rPr>
              <w:t>Operasi dan kinerja aset</w:t>
            </w:r>
          </w:p>
        </w:tc>
        <w:tc>
          <w:tcPr>
            <w:tcW w:type="dxa" w:w="2549"/>
            <w:shd w:val="clear" w:color="auto" w:fill="E6ECFD"/>
            <w:vAlign w:val="center"/>
          </w:tcPr>
          <w:p>
            <w:pPr>
              <w:spacing w:after="20" w:before="20" w:line="252" w:lineRule="auto"/>
            </w:pPr>
            <w:r/>
            <w:r>
              <w:rPr>
                <w:rFonts w:ascii="Arial" w:hAnsi="Arial"/>
                <w:b w:val="0"/>
                <w:sz w:val="17"/>
              </w:rPr>
              <w:t>SP</w:t>
            </w:r>
          </w:p>
        </w:tc>
      </w:tr>
      <w:tr>
        <w:trPr>
          <w:cantSplit/>
        </w:trPr>
        <w:tc>
          <w:tcPr>
            <w:tcW w:type="dxa" w:w="980"/>
            <w:vAlign w:val="center"/>
          </w:tcPr>
          <w:p>
            <w:pPr>
              <w:spacing w:after="20" w:before="20" w:line="252" w:lineRule="auto"/>
            </w:pPr>
            <w:r/>
            <w:r>
              <w:rPr>
                <w:rFonts w:ascii="Arial" w:hAnsi="Arial"/>
                <w:b/>
                <w:sz w:val="17"/>
              </w:rPr>
              <w:t>S21</w:t>
            </w:r>
          </w:p>
        </w:tc>
        <w:tc>
          <w:tcPr>
            <w:tcW w:type="dxa" w:w="5882"/>
            <w:vAlign w:val="center"/>
          </w:tcPr>
          <w:p>
            <w:pPr>
              <w:spacing w:after="20" w:before="20" w:line="252" w:lineRule="auto"/>
            </w:pPr>
            <w:r/>
            <w:r>
              <w:rPr>
                <w:rFonts w:ascii="Arial" w:hAnsi="Arial"/>
                <w:b w:val="0"/>
                <w:sz w:val="17"/>
              </w:rPr>
              <w:t>Konsolidasi manfaat dan hasil</w:t>
            </w:r>
          </w:p>
        </w:tc>
        <w:tc>
          <w:tcPr>
            <w:tcW w:type="dxa" w:w="2549"/>
            <w:vAlign w:val="center"/>
          </w:tcPr>
          <w:p>
            <w:pPr>
              <w:spacing w:after="20" w:before="20" w:line="252" w:lineRule="auto"/>
            </w:pPr>
            <w:r/>
            <w:r>
              <w:rPr>
                <w:rFonts w:ascii="Arial" w:hAnsi="Arial"/>
                <w:b w:val="0"/>
                <w:sz w:val="17"/>
              </w:rPr>
              <w:t>PD</w:t>
            </w:r>
          </w:p>
        </w:tc>
      </w:tr>
      <w:tr>
        <w:trPr>
          <w:cantSplit/>
        </w:trPr>
        <w:tc>
          <w:tcPr>
            <w:tcW w:type="dxa" w:w="980"/>
            <w:shd w:val="clear" w:color="auto" w:fill="E6ECFD"/>
            <w:vAlign w:val="center"/>
          </w:tcPr>
          <w:p>
            <w:pPr>
              <w:spacing w:after="20" w:before="20" w:line="252" w:lineRule="auto"/>
            </w:pPr>
            <w:r/>
            <w:r>
              <w:rPr>
                <w:rFonts w:ascii="Arial" w:hAnsi="Arial"/>
                <w:b/>
                <w:sz w:val="17"/>
              </w:rPr>
              <w:t>S22</w:t>
            </w:r>
          </w:p>
        </w:tc>
        <w:tc>
          <w:tcPr>
            <w:tcW w:type="dxa" w:w="5882"/>
            <w:shd w:val="clear" w:color="auto" w:fill="E6ECFD"/>
            <w:vAlign w:val="center"/>
          </w:tcPr>
          <w:p>
            <w:pPr>
              <w:spacing w:after="20" w:before="20" w:line="252" w:lineRule="auto"/>
            </w:pPr>
            <w:r/>
            <w:r>
              <w:rPr>
                <w:rFonts w:ascii="Arial" w:hAnsi="Arial"/>
                <w:b w:val="0"/>
                <w:sz w:val="17"/>
              </w:rPr>
              <w:t>Audit proses dan temuan independen</w:t>
            </w:r>
          </w:p>
        </w:tc>
        <w:tc>
          <w:tcPr>
            <w:tcW w:type="dxa" w:w="2549"/>
            <w:shd w:val="clear" w:color="auto" w:fill="E6ECFD"/>
            <w:vAlign w:val="center"/>
          </w:tcPr>
          <w:p>
            <w:pPr>
              <w:spacing w:after="20" w:before="20" w:line="252" w:lineRule="auto"/>
            </w:pPr>
            <w:r/>
            <w:r>
              <w:rPr>
                <w:rFonts w:ascii="Arial" w:hAnsi="Arial"/>
                <w:b w:val="0"/>
                <w:sz w:val="17"/>
              </w:rPr>
              <w:t>IA</w:t>
            </w:r>
          </w:p>
        </w:tc>
      </w:tr>
      <w:tr>
        <w:trPr>
          <w:cantSplit/>
        </w:trPr>
        <w:tc>
          <w:tcPr>
            <w:tcW w:type="dxa" w:w="980"/>
            <w:vAlign w:val="center"/>
          </w:tcPr>
          <w:p>
            <w:pPr>
              <w:spacing w:after="20" w:before="20" w:line="252" w:lineRule="auto"/>
            </w:pPr>
            <w:r/>
            <w:r>
              <w:rPr>
                <w:rFonts w:ascii="Arial" w:hAnsi="Arial"/>
                <w:b/>
                <w:sz w:val="17"/>
              </w:rPr>
              <w:t>S23</w:t>
            </w:r>
          </w:p>
        </w:tc>
        <w:tc>
          <w:tcPr>
            <w:tcW w:type="dxa" w:w="5882"/>
            <w:vAlign w:val="center"/>
          </w:tcPr>
          <w:p>
            <w:pPr>
              <w:spacing w:after="20" w:before="20" w:line="252" w:lineRule="auto"/>
            </w:pPr>
            <w:r/>
            <w:r>
              <w:rPr>
                <w:rFonts w:ascii="Arial" w:hAnsi="Arial"/>
                <w:b w:val="0"/>
                <w:sz w:val="17"/>
              </w:rPr>
              <w:t>Kajian usul penundaan, penghentian, atau keluar</w:t>
            </w:r>
          </w:p>
        </w:tc>
        <w:tc>
          <w:tcPr>
            <w:tcW w:type="dxa" w:w="2549"/>
            <w:vAlign w:val="center"/>
          </w:tcPr>
          <w:p>
            <w:pPr>
              <w:spacing w:after="20" w:before="20" w:line="252" w:lineRule="auto"/>
            </w:pPr>
            <w:r/>
            <w:r>
              <w:rPr>
                <w:rFonts w:ascii="Arial" w:hAnsi="Arial"/>
                <w:b w:val="0"/>
                <w:sz w:val="17"/>
              </w:rPr>
              <w:t>SI</w:t>
            </w:r>
          </w:p>
        </w:tc>
      </w:tr>
      <w:tr>
        <w:trPr>
          <w:cantSplit/>
        </w:trPr>
        <w:tc>
          <w:tcPr>
            <w:tcW w:type="dxa" w:w="980"/>
            <w:shd w:val="clear" w:color="auto" w:fill="E6ECFD"/>
            <w:vAlign w:val="center"/>
          </w:tcPr>
          <w:p>
            <w:pPr>
              <w:spacing w:after="20" w:before="20" w:line="252" w:lineRule="auto"/>
            </w:pPr>
            <w:r/>
            <w:r>
              <w:rPr>
                <w:rFonts w:ascii="Arial" w:hAnsi="Arial"/>
                <w:b/>
                <w:sz w:val="17"/>
              </w:rPr>
              <w:t>S24</w:t>
            </w:r>
          </w:p>
        </w:tc>
        <w:tc>
          <w:tcPr>
            <w:tcW w:type="dxa" w:w="5882"/>
            <w:shd w:val="clear" w:color="auto" w:fill="E6ECFD"/>
            <w:vAlign w:val="center"/>
          </w:tcPr>
          <w:p>
            <w:pPr>
              <w:spacing w:after="20" w:before="20" w:line="252" w:lineRule="auto"/>
            </w:pPr>
            <w:r/>
            <w:r>
              <w:rPr>
                <w:rFonts w:ascii="Arial" w:hAnsi="Arial"/>
                <w:b w:val="0"/>
                <w:sz w:val="17"/>
              </w:rPr>
              <w:t>Keputusan penghentian oleh perusahaan</w:t>
            </w:r>
          </w:p>
        </w:tc>
        <w:tc>
          <w:tcPr>
            <w:tcW w:type="dxa" w:w="2549"/>
            <w:shd w:val="clear" w:color="auto" w:fill="E6ECFD"/>
            <w:vAlign w:val="center"/>
          </w:tcPr>
          <w:p>
            <w:pPr>
              <w:spacing w:after="20" w:before="20" w:line="252" w:lineRule="auto"/>
            </w:pPr>
            <w:r/>
            <w:r>
              <w:rPr>
                <w:rFonts w:ascii="Arial" w:hAnsi="Arial"/>
                <w:b w:val="0"/>
                <w:sz w:val="17"/>
              </w:rPr>
              <w:t>OG</w:t>
            </w:r>
          </w:p>
        </w:tc>
      </w:tr>
    </w:tbl>
    <w:p>
      <w:pPr>
        <w:spacing w:after="40"/>
      </w:pPr>
    </w:p>
    <w:p>
      <w:r>
        <w:br w:type="page"/>
      </w:r>
    </w:p>
    <w:p>
      <w:pPr>
        <w:pStyle w:val="Heading1"/>
      </w:pPr>
      <w:r>
        <w:t>Lampiran E  Daftar sumber dan referensi</w:t>
      </w:r>
    </w:p>
    <w:p>
      <w:pPr>
        <w:pStyle w:val="Heading2"/>
      </w:pPr>
      <w:r>
        <w:t>E.1  Dokumen sumber Danantara yang ditelaah</w:t>
      </w:r>
    </w:p>
    <w:p>
      <w:r>
        <w:rPr>
          <w:rFonts w:ascii="Arial" w:hAnsi="Arial"/>
          <w:b w:val="0"/>
          <w:sz w:val="19"/>
        </w:rPr>
        <w:t>Seluruh dokumen berikut dibaca penuh atau sebagian relevan untuk makalah ini. Kode dipakai pada rujukan di dalam teks.</w:t>
      </w:r>
    </w:p>
    <w:p>
      <w:pPr>
        <w:keepNext/>
        <w:spacing w:after="60"/>
      </w:pPr>
      <w:r>
        <w:rPr>
          <w:rFonts w:ascii="Arial" w:hAnsi="Arial"/>
          <w:b/>
          <w:color w:val="051C5C"/>
          <w:sz w:val="19"/>
        </w:rPr>
        <w:t xml:space="preserve">Tabel 65: </w:t>
      </w:r>
      <w:r>
        <w:rPr>
          <w:rFonts w:ascii="Arial" w:hAnsi="Arial"/>
          <w:color w:val="051C5C"/>
          <w:sz w:val="19"/>
        </w:rPr>
        <w:t>Dokumen sumber</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3137"/>
        <w:gridCol w:w="3137"/>
        <w:gridCol w:w="3137"/>
      </w:tblGrid>
      <w:tr>
        <w:trPr>
          <w:cantSplit/>
          <w:tblHeader/>
        </w:trPr>
        <w:tc>
          <w:tcPr>
            <w:tcW w:type="dxa" w:w="1344"/>
            <w:shd w:val="clear" w:color="auto" w:fill="2251FF"/>
            <w:vAlign w:val="center"/>
          </w:tcPr>
          <w:p>
            <w:pPr>
              <w:spacing w:after="20" w:before="20" w:line="252" w:lineRule="auto"/>
            </w:pPr>
            <w:r/>
            <w:r>
              <w:rPr>
                <w:rFonts w:ascii="Arial" w:hAnsi="Arial"/>
                <w:b/>
                <w:color w:val="FFFFFF"/>
                <w:sz w:val="16"/>
              </w:rPr>
              <w:t>Kode</w:t>
            </w:r>
          </w:p>
        </w:tc>
        <w:tc>
          <w:tcPr>
            <w:tcW w:type="dxa" w:w="4609"/>
            <w:shd w:val="clear" w:color="auto" w:fill="2251FF"/>
            <w:vAlign w:val="center"/>
          </w:tcPr>
          <w:p>
            <w:pPr>
              <w:spacing w:after="20" w:before="20" w:line="252" w:lineRule="auto"/>
            </w:pPr>
            <w:r/>
            <w:r>
              <w:rPr>
                <w:rFonts w:ascii="Arial" w:hAnsi="Arial"/>
                <w:b/>
                <w:color w:val="FFFFFF"/>
                <w:sz w:val="16"/>
              </w:rPr>
              <w:t>Dokumen</w:t>
            </w:r>
          </w:p>
        </w:tc>
        <w:tc>
          <w:tcPr>
            <w:tcW w:type="dxa" w:w="3457"/>
            <w:shd w:val="clear" w:color="auto" w:fill="2251FF"/>
            <w:vAlign w:val="center"/>
          </w:tcPr>
          <w:p>
            <w:pPr>
              <w:spacing w:after="20" w:before="20" w:line="252" w:lineRule="auto"/>
            </w:pPr>
            <w:r/>
            <w:r>
              <w:rPr>
                <w:rFonts w:ascii="Arial" w:hAnsi="Arial"/>
                <w:b/>
                <w:color w:val="FFFFFF"/>
                <w:sz w:val="16"/>
              </w:rPr>
              <w:t>Isi yang dipakai</w:t>
            </w:r>
          </w:p>
        </w:tc>
      </w:tr>
      <w:tr>
        <w:trPr>
          <w:cantSplit/>
        </w:trPr>
        <w:tc>
          <w:tcPr>
            <w:tcW w:type="dxa" w:w="1344"/>
            <w:vAlign w:val="center"/>
          </w:tcPr>
          <w:p>
            <w:pPr>
              <w:spacing w:after="20" w:before="20" w:line="252" w:lineRule="auto"/>
            </w:pPr>
            <w:r/>
            <w:r>
              <w:rPr>
                <w:rFonts w:ascii="Arial" w:hAnsi="Arial"/>
                <w:b/>
                <w:sz w:val="16"/>
              </w:rPr>
              <w:t>K</w:t>
            </w:r>
          </w:p>
        </w:tc>
        <w:tc>
          <w:tcPr>
            <w:tcW w:type="dxa" w:w="4609"/>
            <w:vAlign w:val="center"/>
          </w:tcPr>
          <w:p>
            <w:pPr>
              <w:spacing w:after="20" w:before="20" w:line="252" w:lineRule="auto"/>
            </w:pPr>
            <w:r/>
            <w:r>
              <w:rPr>
                <w:rFonts w:ascii="Arial" w:hAnsi="Arial"/>
                <w:b w:val="0"/>
                <w:sz w:val="16"/>
              </w:rPr>
              <w:t>Kajian Danantara: Platform Kapabilitas Industri Nasional, versi diperkaya 8 Okt 2026 (docx)</w:t>
            </w:r>
          </w:p>
        </w:tc>
        <w:tc>
          <w:tcPr>
            <w:tcW w:type="dxa" w:w="3457"/>
            <w:vAlign w:val="center"/>
          </w:tcPr>
          <w:p>
            <w:pPr>
              <w:spacing w:after="20" w:before="20" w:line="252" w:lineRule="auto"/>
            </w:pPr>
            <w:r/>
            <w:r>
              <w:rPr>
                <w:rFonts w:ascii="Arial" w:hAnsi="Arial"/>
                <w:b w:val="0"/>
                <w:sz w:val="16"/>
              </w:rPr>
              <w:t>Gerbang proyek dan industri, RASCI, rantai pembiayaan, risiko, KPI, peta jalan, dampak makro, BUMN Karya, AI</w:t>
            </w:r>
          </w:p>
        </w:tc>
      </w:tr>
      <w:tr>
        <w:trPr>
          <w:cantSplit/>
        </w:trPr>
        <w:tc>
          <w:tcPr>
            <w:tcW w:type="dxa" w:w="1344"/>
            <w:shd w:val="clear" w:color="auto" w:fill="E6ECFD"/>
            <w:vAlign w:val="center"/>
          </w:tcPr>
          <w:p>
            <w:pPr>
              <w:spacing w:after="20" w:before="20" w:line="252" w:lineRule="auto"/>
            </w:pPr>
            <w:r/>
            <w:r>
              <w:rPr>
                <w:rFonts w:ascii="Arial" w:hAnsi="Arial"/>
                <w:b/>
                <w:sz w:val="16"/>
              </w:rPr>
              <w:t>EVAL</w:t>
            </w:r>
          </w:p>
        </w:tc>
        <w:tc>
          <w:tcPr>
            <w:tcW w:type="dxa" w:w="4609"/>
            <w:shd w:val="clear" w:color="auto" w:fill="E6ECFD"/>
            <w:vAlign w:val="center"/>
          </w:tcPr>
          <w:p>
            <w:pPr>
              <w:spacing w:after="20" w:before="20" w:line="252" w:lineRule="auto"/>
            </w:pPr>
            <w:r/>
            <w:r>
              <w:rPr>
                <w:rFonts w:ascii="Arial" w:hAnsi="Arial"/>
                <w:b w:val="0"/>
                <w:sz w:val="16"/>
              </w:rPr>
              <w:t>Evaluasi Danantara, 40 Proyek dan Arm Industri Strategis (261002, docx)</w:t>
            </w:r>
          </w:p>
        </w:tc>
        <w:tc>
          <w:tcPr>
            <w:tcW w:type="dxa" w:w="3457"/>
            <w:shd w:val="clear" w:color="auto" w:fill="E6ECFD"/>
            <w:vAlign w:val="center"/>
          </w:tcPr>
          <w:p>
            <w:pPr>
              <w:spacing w:after="20" w:before="20" w:line="252" w:lineRule="auto"/>
            </w:pPr>
            <w:r/>
            <w:r>
              <w:rPr>
                <w:rFonts w:ascii="Arial" w:hAnsi="Arial"/>
                <w:b w:val="0"/>
                <w:sz w:val="16"/>
              </w:rPr>
              <w:t>Tata kelola, kesiapan 40 proyek, opsi organisasi, gerbang G0–G6, RASCI 24 aktivitas, uji 90 hari</w:t>
            </w:r>
          </w:p>
        </w:tc>
      </w:tr>
      <w:tr>
        <w:trPr>
          <w:cantSplit/>
        </w:trPr>
        <w:tc>
          <w:tcPr>
            <w:tcW w:type="dxa" w:w="1344"/>
            <w:vAlign w:val="center"/>
          </w:tcPr>
          <w:p>
            <w:pPr>
              <w:spacing w:after="20" w:before="20" w:line="252" w:lineRule="auto"/>
            </w:pPr>
            <w:r/>
            <w:r>
              <w:rPr>
                <w:rFonts w:ascii="Arial" w:hAnsi="Arial"/>
                <w:b/>
                <w:sz w:val="16"/>
              </w:rPr>
              <w:t>D2 / PERF</w:t>
            </w:r>
          </w:p>
        </w:tc>
        <w:tc>
          <w:tcPr>
            <w:tcW w:type="dxa" w:w="4609"/>
            <w:vAlign w:val="center"/>
          </w:tcPr>
          <w:p>
            <w:pPr>
              <w:spacing w:after="20" w:before="20" w:line="252" w:lineRule="auto"/>
            </w:pPr>
            <w:r/>
            <w:r>
              <w:rPr>
                <w:rFonts w:ascii="Arial" w:hAnsi="Arial"/>
                <w:b w:val="0"/>
                <w:sz w:val="16"/>
              </w:rPr>
              <w:t>Danantara Performance Study, 6 Okt 2026 (docx)</w:t>
            </w:r>
          </w:p>
        </w:tc>
        <w:tc>
          <w:tcPr>
            <w:tcW w:type="dxa" w:w="3457"/>
            <w:vAlign w:val="center"/>
          </w:tcPr>
          <w:p>
            <w:pPr>
              <w:spacing w:after="20" w:before="20" w:line="252" w:lineRule="auto"/>
            </w:pPr>
            <w:r/>
            <w:r>
              <w:rPr>
                <w:rFonts w:ascii="Arial" w:hAnsi="Arial"/>
                <w:b w:val="0"/>
                <w:sz w:val="16"/>
              </w:rPr>
              <w:t>Tiga scorecard, kelas bukti, metrik</w:t>
            </w:r>
          </w:p>
        </w:tc>
      </w:tr>
      <w:tr>
        <w:trPr>
          <w:cantSplit/>
        </w:trPr>
        <w:tc>
          <w:tcPr>
            <w:tcW w:type="dxa" w:w="1344"/>
            <w:shd w:val="clear" w:color="auto" w:fill="E6ECFD"/>
            <w:vAlign w:val="center"/>
          </w:tcPr>
          <w:p>
            <w:pPr>
              <w:spacing w:after="20" w:before="20" w:line="252" w:lineRule="auto"/>
            </w:pPr>
            <w:r/>
            <w:r>
              <w:rPr>
                <w:rFonts w:ascii="Arial" w:hAnsi="Arial"/>
                <w:b/>
                <w:sz w:val="16"/>
              </w:rPr>
              <w:t>PLAT</w:t>
            </w:r>
          </w:p>
        </w:tc>
        <w:tc>
          <w:tcPr>
            <w:tcW w:type="dxa" w:w="4609"/>
            <w:shd w:val="clear" w:color="auto" w:fill="E6ECFD"/>
            <w:vAlign w:val="center"/>
          </w:tcPr>
          <w:p>
            <w:pPr>
              <w:spacing w:after="20" w:before="20" w:line="252" w:lineRule="auto"/>
            </w:pPr>
            <w:r/>
            <w:r>
              <w:rPr>
                <w:rFonts w:ascii="Arial" w:hAnsi="Arial"/>
                <w:b w:val="0"/>
                <w:sz w:val="16"/>
              </w:rPr>
              <w:t>Danantara Platform Kapabilitas Industri Nasional 07102601 (pdf, 8 hlm.)</w:t>
            </w:r>
          </w:p>
        </w:tc>
        <w:tc>
          <w:tcPr>
            <w:tcW w:type="dxa" w:w="3457"/>
            <w:shd w:val="clear" w:color="auto" w:fill="E6ECFD"/>
            <w:vAlign w:val="center"/>
          </w:tcPr>
          <w:p>
            <w:pPr>
              <w:spacing w:after="20" w:before="20" w:line="252" w:lineRule="auto"/>
            </w:pPr>
            <w:r/>
            <w:r>
              <w:rPr>
                <w:rFonts w:ascii="Arial" w:hAnsi="Arial"/>
                <w:b w:val="0"/>
                <w:sz w:val="16"/>
              </w:rPr>
              <w:t>Arsitektur platform, NITO, BUMN Konstruksi, AI multi-agen, rencana tiga bulan, sumber daya</w:t>
            </w:r>
          </w:p>
        </w:tc>
      </w:tr>
      <w:tr>
        <w:trPr>
          <w:cantSplit/>
        </w:trPr>
        <w:tc>
          <w:tcPr>
            <w:tcW w:type="dxa" w:w="1344"/>
            <w:vAlign w:val="center"/>
          </w:tcPr>
          <w:p>
            <w:pPr>
              <w:spacing w:after="20" w:before="20" w:line="252" w:lineRule="auto"/>
            </w:pPr>
            <w:r/>
            <w:r>
              <w:rPr>
                <w:rFonts w:ascii="Arial" w:hAnsi="Arial"/>
                <w:b/>
                <w:sz w:val="16"/>
              </w:rPr>
              <w:t>DOCK</w:t>
            </w:r>
          </w:p>
        </w:tc>
        <w:tc>
          <w:tcPr>
            <w:tcW w:type="dxa" w:w="4609"/>
            <w:vAlign w:val="center"/>
          </w:tcPr>
          <w:p>
            <w:pPr>
              <w:spacing w:after="20" w:before="20" w:line="252" w:lineRule="auto"/>
            </w:pPr>
            <w:r/>
            <w:r>
              <w:rPr>
                <w:rFonts w:ascii="Arial" w:hAnsi="Arial"/>
                <w:b w:val="0"/>
                <w:sz w:val="16"/>
              </w:rPr>
              <w:t>DOCK-UP: Membangun Pemasok UKM Siap Produksi (1 Okt 2026, pdf)</w:t>
            </w:r>
          </w:p>
        </w:tc>
        <w:tc>
          <w:tcPr>
            <w:tcW w:type="dxa" w:w="3457"/>
            <w:vAlign w:val="center"/>
          </w:tcPr>
          <w:p>
            <w:pPr>
              <w:spacing w:after="20" w:before="20" w:line="252" w:lineRule="auto"/>
            </w:pPr>
            <w:r/>
            <w:r>
              <w:rPr>
                <w:rFonts w:ascii="Arial" w:hAnsi="Arial"/>
                <w:b w:val="0"/>
                <w:sz w:val="16"/>
              </w:rPr>
              <w:t>TRL/MRL, gerbang G1–G4, asesmen, uji coba</w:t>
            </w:r>
          </w:p>
        </w:tc>
      </w:tr>
      <w:tr>
        <w:trPr>
          <w:cantSplit/>
        </w:trPr>
        <w:tc>
          <w:tcPr>
            <w:tcW w:type="dxa" w:w="1344"/>
            <w:shd w:val="clear" w:color="auto" w:fill="E6ECFD"/>
            <w:vAlign w:val="center"/>
          </w:tcPr>
          <w:p>
            <w:pPr>
              <w:spacing w:after="20" w:before="20" w:line="252" w:lineRule="auto"/>
            </w:pPr>
            <w:r/>
            <w:r>
              <w:rPr>
                <w:rFonts w:ascii="Arial" w:hAnsi="Arial"/>
                <w:b/>
                <w:sz w:val="16"/>
              </w:rPr>
              <w:t>NRF-ES</w:t>
            </w:r>
          </w:p>
        </w:tc>
        <w:tc>
          <w:tcPr>
            <w:tcW w:type="dxa" w:w="4609"/>
            <w:shd w:val="clear" w:color="auto" w:fill="E6ECFD"/>
            <w:vAlign w:val="center"/>
          </w:tcPr>
          <w:p>
            <w:pPr>
              <w:spacing w:after="20" w:before="20" w:line="252" w:lineRule="auto"/>
            </w:pPr>
            <w:r/>
            <w:r>
              <w:rPr>
                <w:rFonts w:ascii="Arial" w:hAnsi="Arial"/>
                <w:b w:val="0"/>
                <w:sz w:val="16"/>
              </w:rPr>
              <w:t>NRF Executive Summary 250925 (pdf)</w:t>
            </w:r>
          </w:p>
        </w:tc>
        <w:tc>
          <w:tcPr>
            <w:tcW w:type="dxa" w:w="3457"/>
            <w:shd w:val="clear" w:color="auto" w:fill="E6ECFD"/>
            <w:vAlign w:val="center"/>
          </w:tcPr>
          <w:p>
            <w:pPr>
              <w:spacing w:after="20" w:before="20" w:line="252" w:lineRule="auto"/>
            </w:pPr>
            <w:r/>
            <w:r>
              <w:rPr>
                <w:rFonts w:ascii="Arial" w:hAnsi="Arial"/>
                <w:b w:val="0"/>
                <w:sz w:val="16"/>
              </w:rPr>
              <w:t>Konsep NRF, langkah strategis, opsi monetisasi</w:t>
            </w:r>
          </w:p>
        </w:tc>
      </w:tr>
      <w:tr>
        <w:trPr>
          <w:cantSplit/>
        </w:trPr>
        <w:tc>
          <w:tcPr>
            <w:tcW w:type="dxa" w:w="1344"/>
            <w:vAlign w:val="center"/>
          </w:tcPr>
          <w:p>
            <w:pPr>
              <w:spacing w:after="20" w:before="20" w:line="252" w:lineRule="auto"/>
            </w:pPr>
            <w:r/>
            <w:r>
              <w:rPr>
                <w:rFonts w:ascii="Arial" w:hAnsi="Arial"/>
                <w:b/>
                <w:sz w:val="16"/>
              </w:rPr>
              <w:t>PAL</w:t>
            </w:r>
          </w:p>
        </w:tc>
        <w:tc>
          <w:tcPr>
            <w:tcW w:type="dxa" w:w="4609"/>
            <w:vAlign w:val="center"/>
          </w:tcPr>
          <w:p>
            <w:pPr>
              <w:spacing w:after="20" w:before="20" w:line="252" w:lineRule="auto"/>
            </w:pPr>
            <w:r/>
            <w:r>
              <w:rPr>
                <w:rFonts w:ascii="Arial" w:hAnsi="Arial"/>
                <w:b w:val="0"/>
                <w:sz w:val="16"/>
              </w:rPr>
              <w:t>PALCapital Sovereign Maritime Tokenization Engine Rev B (pdf)</w:t>
            </w:r>
          </w:p>
        </w:tc>
        <w:tc>
          <w:tcPr>
            <w:tcW w:type="dxa" w:w="3457"/>
            <w:vAlign w:val="center"/>
          </w:tcPr>
          <w:p>
            <w:pPr>
              <w:spacing w:after="20" w:before="20" w:line="252" w:lineRule="auto"/>
            </w:pPr>
            <w:r/>
            <w:r>
              <w:rPr>
                <w:rFonts w:ascii="Arial" w:hAnsi="Arial"/>
                <w:b w:val="0"/>
                <w:sz w:val="16"/>
              </w:rPr>
              <w:t>Instrumen PAL-SUB-1, escrow, tranche, risiko, regulasi</w:t>
            </w:r>
          </w:p>
        </w:tc>
      </w:tr>
      <w:tr>
        <w:trPr>
          <w:cantSplit/>
        </w:trPr>
        <w:tc>
          <w:tcPr>
            <w:tcW w:type="dxa" w:w="1344"/>
            <w:shd w:val="clear" w:color="auto" w:fill="E6ECFD"/>
            <w:vAlign w:val="center"/>
          </w:tcPr>
          <w:p>
            <w:pPr>
              <w:spacing w:after="20" w:before="20" w:line="252" w:lineRule="auto"/>
            </w:pPr>
            <w:r/>
            <w:r>
              <w:rPr>
                <w:rFonts w:ascii="Arial" w:hAnsi="Arial"/>
                <w:b/>
                <w:sz w:val="16"/>
              </w:rPr>
              <w:t>VERO</w:t>
            </w:r>
          </w:p>
        </w:tc>
        <w:tc>
          <w:tcPr>
            <w:tcW w:type="dxa" w:w="4609"/>
            <w:shd w:val="clear" w:color="auto" w:fill="E6ECFD"/>
            <w:vAlign w:val="center"/>
          </w:tcPr>
          <w:p>
            <w:pPr>
              <w:spacing w:after="20" w:before="20" w:line="252" w:lineRule="auto"/>
            </w:pPr>
            <w:r/>
            <w:r>
              <w:rPr>
                <w:rFonts w:ascii="Arial" w:hAnsi="Arial"/>
                <w:b w:val="0"/>
                <w:sz w:val="16"/>
              </w:rPr>
              <w:t>Danantara 40 Strategic Projects Ver O (xlsx; terbatas)</w:t>
            </w:r>
          </w:p>
        </w:tc>
        <w:tc>
          <w:tcPr>
            <w:tcW w:type="dxa" w:w="3457"/>
            <w:shd w:val="clear" w:color="auto" w:fill="E6ECFD"/>
            <w:vAlign w:val="center"/>
          </w:tcPr>
          <w:p>
            <w:pPr>
              <w:spacing w:after="20" w:before="20" w:line="252" w:lineRule="auto"/>
            </w:pPr>
            <w:r/>
            <w:r>
              <w:rPr>
                <w:rFonts w:ascii="Arial" w:hAnsi="Arial"/>
                <w:b w:val="0"/>
                <w:sz w:val="16"/>
              </w:rPr>
              <w:t>Register 40 slot, gerbang M0–M9, mitra, risiko per proyek</w:t>
            </w:r>
          </w:p>
        </w:tc>
      </w:tr>
      <w:tr>
        <w:trPr>
          <w:cantSplit/>
        </w:trPr>
        <w:tc>
          <w:tcPr>
            <w:tcW w:type="dxa" w:w="1344"/>
            <w:vAlign w:val="center"/>
          </w:tcPr>
          <w:p>
            <w:pPr>
              <w:spacing w:after="20" w:before="20" w:line="252" w:lineRule="auto"/>
            </w:pPr>
            <w:r/>
            <w:r>
              <w:rPr>
                <w:rFonts w:ascii="Arial" w:hAnsi="Arial"/>
                <w:b/>
                <w:sz w:val="16"/>
              </w:rPr>
              <w:t>EXEC</w:t>
            </w:r>
          </w:p>
        </w:tc>
        <w:tc>
          <w:tcPr>
            <w:tcW w:type="dxa" w:w="4609"/>
            <w:vAlign w:val="center"/>
          </w:tcPr>
          <w:p>
            <w:pPr>
              <w:spacing w:after="20" w:before="20" w:line="252" w:lineRule="auto"/>
            </w:pPr>
            <w:r/>
            <w:r>
              <w:rPr>
                <w:rFonts w:ascii="Arial" w:hAnsi="Arial"/>
                <w:b w:val="0"/>
                <w:sz w:val="16"/>
              </w:rPr>
              <w:t>Danantara 40 Projects Executive Assessment, 8 Okt 2026 (pptx)</w:t>
            </w:r>
          </w:p>
        </w:tc>
        <w:tc>
          <w:tcPr>
            <w:tcW w:type="dxa" w:w="3457"/>
            <w:vAlign w:val="center"/>
          </w:tcPr>
          <w:p>
            <w:pPr>
              <w:spacing w:after="20" w:before="20" w:line="252" w:lineRule="auto"/>
            </w:pPr>
            <w:r/>
            <w:r>
              <w:rPr>
                <w:rFonts w:ascii="Arial" w:hAnsi="Arial"/>
                <w:b w:val="0"/>
                <w:sz w:val="16"/>
              </w:rPr>
              <w:t>Penilaian tiga pilar, prioritas verifikasi, rencana bukti 90 hari</w:t>
            </w:r>
          </w:p>
        </w:tc>
      </w:tr>
      <w:tr>
        <w:trPr>
          <w:cantSplit/>
        </w:trPr>
        <w:tc>
          <w:tcPr>
            <w:tcW w:type="dxa" w:w="1344"/>
            <w:shd w:val="clear" w:color="auto" w:fill="E6ECFD"/>
            <w:vAlign w:val="center"/>
          </w:tcPr>
          <w:p>
            <w:pPr>
              <w:spacing w:after="20" w:before="20" w:line="252" w:lineRule="auto"/>
            </w:pPr>
            <w:r/>
            <w:r>
              <w:rPr>
                <w:rFonts w:ascii="Arial" w:hAnsi="Arial"/>
                <w:b/>
                <w:sz w:val="16"/>
              </w:rPr>
              <w:t>EMP</w:t>
            </w:r>
          </w:p>
        </w:tc>
        <w:tc>
          <w:tcPr>
            <w:tcW w:type="dxa" w:w="4609"/>
            <w:shd w:val="clear" w:color="auto" w:fill="E6ECFD"/>
            <w:vAlign w:val="center"/>
          </w:tcPr>
          <w:p>
            <w:pPr>
              <w:spacing w:after="20" w:before="20" w:line="252" w:lineRule="auto"/>
            </w:pPr>
            <w:r/>
            <w:r>
              <w:rPr>
                <w:rFonts w:ascii="Arial" w:hAnsi="Arial"/>
                <w:b w:val="0"/>
                <w:sz w:val="16"/>
              </w:rPr>
              <w:t>DDMF Employment Model (xlsx; RESTRICTED)</w:t>
            </w:r>
          </w:p>
        </w:tc>
        <w:tc>
          <w:tcPr>
            <w:tcW w:type="dxa" w:w="3457"/>
            <w:shd w:val="clear" w:color="auto" w:fill="E6ECFD"/>
            <w:vAlign w:val="center"/>
          </w:tcPr>
          <w:p>
            <w:pPr>
              <w:spacing w:after="20" w:before="20" w:line="252" w:lineRule="auto"/>
            </w:pPr>
            <w:r/>
            <w:r>
              <w:rPr>
                <w:rFonts w:ascii="Arial" w:hAnsi="Arial"/>
                <w:b w:val="0"/>
                <w:sz w:val="16"/>
              </w:rPr>
              <w:t>Metode pekerjaan; hanya agregat dipakai</w:t>
            </w:r>
          </w:p>
        </w:tc>
      </w:tr>
      <w:tr>
        <w:trPr>
          <w:cantSplit/>
        </w:trPr>
        <w:tc>
          <w:tcPr>
            <w:tcW w:type="dxa" w:w="1344"/>
            <w:vAlign w:val="center"/>
          </w:tcPr>
          <w:p>
            <w:pPr>
              <w:spacing w:after="20" w:before="20" w:line="252" w:lineRule="auto"/>
            </w:pPr>
            <w:r/>
            <w:r>
              <w:rPr>
                <w:rFonts w:ascii="Arial" w:hAnsi="Arial"/>
                <w:b/>
                <w:sz w:val="16"/>
              </w:rPr>
              <w:t>BP</w:t>
            </w:r>
          </w:p>
        </w:tc>
        <w:tc>
          <w:tcPr>
            <w:tcW w:type="dxa" w:w="4609"/>
            <w:vAlign w:val="center"/>
          </w:tcPr>
          <w:p>
            <w:pPr>
              <w:spacing w:after="20" w:before="20" w:line="252" w:lineRule="auto"/>
            </w:pPr>
            <w:r/>
            <w:r>
              <w:rPr>
                <w:rFonts w:ascii="Arial" w:hAnsi="Arial"/>
                <w:b w:val="0"/>
                <w:sz w:val="16"/>
              </w:rPr>
              <w:t>Danantara Strategic Blueprint (pptx)</w:t>
            </w:r>
          </w:p>
        </w:tc>
        <w:tc>
          <w:tcPr>
            <w:tcW w:type="dxa" w:w="3457"/>
            <w:vAlign w:val="center"/>
          </w:tcPr>
          <w:p>
            <w:pPr>
              <w:spacing w:after="20" w:before="20" w:line="252" w:lineRule="auto"/>
            </w:pPr>
            <w:r/>
            <w:r>
              <w:rPr>
                <w:rFonts w:ascii="Arial" w:hAnsi="Arial"/>
                <w:b w:val="0"/>
                <w:sz w:val="16"/>
              </w:rPr>
              <w:t>Pembiayaan sistemik, portofolio ganda, SPV campuran</w:t>
            </w:r>
          </w:p>
        </w:tc>
      </w:tr>
      <w:tr>
        <w:trPr>
          <w:cantSplit/>
        </w:trPr>
        <w:tc>
          <w:tcPr>
            <w:tcW w:type="dxa" w:w="1344"/>
            <w:shd w:val="clear" w:color="auto" w:fill="E6ECFD"/>
            <w:vAlign w:val="center"/>
          </w:tcPr>
          <w:p>
            <w:pPr>
              <w:spacing w:after="20" w:before="20" w:line="252" w:lineRule="auto"/>
            </w:pPr>
            <w:r/>
            <w:r>
              <w:rPr>
                <w:rFonts w:ascii="Arial" w:hAnsi="Arial"/>
                <w:b/>
                <w:sz w:val="16"/>
              </w:rPr>
              <w:t>MAK / INFO</w:t>
            </w:r>
          </w:p>
        </w:tc>
        <w:tc>
          <w:tcPr>
            <w:tcW w:type="dxa" w:w="4609"/>
            <w:shd w:val="clear" w:color="auto" w:fill="E6ECFD"/>
            <w:vAlign w:val="center"/>
          </w:tcPr>
          <w:p>
            <w:pPr>
              <w:spacing w:after="20" w:before="20" w:line="252" w:lineRule="auto"/>
            </w:pPr>
            <w:r/>
            <w:r>
              <w:rPr>
                <w:rFonts w:ascii="Arial" w:hAnsi="Arial"/>
                <w:b w:val="0"/>
                <w:sz w:val="16"/>
              </w:rPr>
              <w:t>Makalah Terpadu: Menstabilkan, Menabung, Berinvestasi, Tumbuh; infografik EN (docx, pdf)</w:t>
            </w:r>
          </w:p>
        </w:tc>
        <w:tc>
          <w:tcPr>
            <w:tcW w:type="dxa" w:w="3457"/>
            <w:shd w:val="clear" w:color="auto" w:fill="E6ECFD"/>
            <w:vAlign w:val="center"/>
          </w:tcPr>
          <w:p>
            <w:pPr>
              <w:spacing w:after="20" w:before="20" w:line="252" w:lineRule="auto"/>
            </w:pPr>
            <w:r/>
            <w:r>
              <w:rPr>
                <w:rFonts w:ascii="Arial" w:hAnsi="Arial"/>
                <w:b w:val="0"/>
                <w:sz w:val="16"/>
              </w:rPr>
              <w:t>PDB, ICOR, jalur pertumbuhan, dana tiga jendela</w:t>
            </w:r>
          </w:p>
        </w:tc>
      </w:tr>
      <w:tr>
        <w:trPr>
          <w:cantSplit/>
        </w:trPr>
        <w:tc>
          <w:tcPr>
            <w:tcW w:type="dxa" w:w="1344"/>
            <w:vAlign w:val="center"/>
          </w:tcPr>
          <w:p>
            <w:pPr>
              <w:spacing w:after="20" w:before="20" w:line="252" w:lineRule="auto"/>
            </w:pPr>
            <w:r/>
            <w:r>
              <w:rPr>
                <w:rFonts w:ascii="Arial" w:hAnsi="Arial"/>
                <w:b/>
                <w:sz w:val="16"/>
              </w:rPr>
              <w:t>NRF-INF</w:t>
            </w:r>
          </w:p>
        </w:tc>
        <w:tc>
          <w:tcPr>
            <w:tcW w:type="dxa" w:w="4609"/>
            <w:vAlign w:val="center"/>
          </w:tcPr>
          <w:p>
            <w:pPr>
              <w:spacing w:after="20" w:before="20" w:line="252" w:lineRule="auto"/>
            </w:pPr>
            <w:r/>
            <w:r>
              <w:rPr>
                <w:rFonts w:ascii="Arial" w:hAnsi="Arial"/>
                <w:b w:val="0"/>
                <w:sz w:val="16"/>
              </w:rPr>
              <w:t>Kajian NRF: Pemantauan Inflasi (docx, md, html)</w:t>
            </w:r>
          </w:p>
        </w:tc>
        <w:tc>
          <w:tcPr>
            <w:tcW w:type="dxa" w:w="3457"/>
            <w:vAlign w:val="center"/>
          </w:tcPr>
          <w:p>
            <w:pPr>
              <w:spacing w:after="20" w:before="20" w:line="252" w:lineRule="auto"/>
            </w:pPr>
            <w:r/>
            <w:r>
              <w:rPr>
                <w:rFonts w:ascii="Arial" w:hAnsi="Arial"/>
                <w:b w:val="0"/>
                <w:sz w:val="16"/>
              </w:rPr>
              <w:t>Pemantau inflasi dan buku besar proyek</w:t>
            </w:r>
          </w:p>
        </w:tc>
      </w:tr>
      <w:tr>
        <w:trPr>
          <w:cantSplit/>
        </w:trPr>
        <w:tc>
          <w:tcPr>
            <w:tcW w:type="dxa" w:w="1344"/>
            <w:shd w:val="clear" w:color="auto" w:fill="E6ECFD"/>
            <w:vAlign w:val="center"/>
          </w:tcPr>
          <w:p>
            <w:pPr>
              <w:spacing w:after="20" w:before="20" w:line="252" w:lineRule="auto"/>
            </w:pPr>
            <w:r/>
            <w:r>
              <w:rPr>
                <w:rFonts w:ascii="Arial" w:hAnsi="Arial"/>
                <w:b/>
                <w:sz w:val="16"/>
              </w:rPr>
              <w:t>EPC</w:t>
            </w:r>
          </w:p>
        </w:tc>
        <w:tc>
          <w:tcPr>
            <w:tcW w:type="dxa" w:w="4609"/>
            <w:shd w:val="clear" w:color="auto" w:fill="E6ECFD"/>
            <w:vAlign w:val="center"/>
          </w:tcPr>
          <w:p>
            <w:pPr>
              <w:spacing w:after="20" w:before="20" w:line="252" w:lineRule="auto"/>
            </w:pPr>
            <w:r/>
            <w:r>
              <w:rPr>
                <w:rFonts w:ascii="Arial" w:hAnsi="Arial"/>
                <w:b w:val="0"/>
                <w:sz w:val="16"/>
              </w:rPr>
              <w:t>EPC Budget Workflow (md)</w:t>
            </w:r>
          </w:p>
        </w:tc>
        <w:tc>
          <w:tcPr>
            <w:tcW w:type="dxa" w:w="3457"/>
            <w:shd w:val="clear" w:color="auto" w:fill="E6ECFD"/>
            <w:vAlign w:val="center"/>
          </w:tcPr>
          <w:p>
            <w:pPr>
              <w:spacing w:after="20" w:before="20" w:line="252" w:lineRule="auto"/>
            </w:pPr>
            <w:r/>
            <w:r>
              <w:rPr>
                <w:rFonts w:ascii="Arial" w:hAnsi="Arial"/>
                <w:b w:val="0"/>
                <w:sz w:val="16"/>
              </w:rPr>
              <w:t>Rantai biaya EPC, WBS×PBS, EVM, kendali perubahan</w:t>
            </w:r>
          </w:p>
        </w:tc>
      </w:tr>
      <w:tr>
        <w:trPr>
          <w:cantSplit/>
        </w:trPr>
        <w:tc>
          <w:tcPr>
            <w:tcW w:type="dxa" w:w="1344"/>
            <w:vAlign w:val="center"/>
          </w:tcPr>
          <w:p>
            <w:pPr>
              <w:spacing w:after="20" w:before="20" w:line="252" w:lineRule="auto"/>
            </w:pPr>
            <w:r/>
            <w:r>
              <w:rPr>
                <w:rFonts w:ascii="Arial" w:hAnsi="Arial"/>
                <w:b/>
                <w:sz w:val="16"/>
              </w:rPr>
              <w:t>DECK85 / DECK50/70</w:t>
            </w:r>
          </w:p>
        </w:tc>
        <w:tc>
          <w:tcPr>
            <w:tcW w:type="dxa" w:w="4609"/>
            <w:vAlign w:val="center"/>
          </w:tcPr>
          <w:p>
            <w:pPr>
              <w:spacing w:after="20" w:before="20" w:line="252" w:lineRule="auto"/>
            </w:pPr>
            <w:r/>
            <w:r>
              <w:rPr>
                <w:rFonts w:ascii="Arial" w:hAnsi="Arial"/>
                <w:b w:val="0"/>
                <w:sz w:val="16"/>
              </w:rPr>
              <w:t>Deck Transformasi Danantara 85, 70, dan 50 slide (pptx, html)</w:t>
            </w:r>
          </w:p>
        </w:tc>
        <w:tc>
          <w:tcPr>
            <w:tcW w:type="dxa" w:w="3457"/>
            <w:vAlign w:val="center"/>
          </w:tcPr>
          <w:p>
            <w:pPr>
              <w:spacing w:after="20" w:before="20" w:line="252" w:lineRule="auto"/>
            </w:pPr>
            <w:r/>
            <w:r>
              <w:rPr>
                <w:rFonts w:ascii="Arial" w:hAnsi="Arial"/>
                <w:b w:val="0"/>
                <w:sz w:val="16"/>
              </w:rPr>
              <w:t>Penjabaran dan catatan pembicara</w:t>
            </w:r>
          </w:p>
        </w:tc>
      </w:tr>
      <w:tr>
        <w:trPr>
          <w:cantSplit/>
        </w:trPr>
        <w:tc>
          <w:tcPr>
            <w:tcW w:type="dxa" w:w="1344"/>
            <w:shd w:val="clear" w:color="auto" w:fill="E6ECFD"/>
            <w:vAlign w:val="center"/>
          </w:tcPr>
          <w:p>
            <w:pPr>
              <w:spacing w:after="20" w:before="20" w:line="252" w:lineRule="auto"/>
            </w:pPr>
            <w:r/>
            <w:r>
              <w:rPr>
                <w:rFonts w:ascii="Arial" w:hAnsi="Arial"/>
                <w:b/>
                <w:sz w:val="16"/>
              </w:rPr>
              <w:t>KAJ-0</w:t>
            </w:r>
          </w:p>
        </w:tc>
        <w:tc>
          <w:tcPr>
            <w:tcW w:type="dxa" w:w="4609"/>
            <w:shd w:val="clear" w:color="auto" w:fill="E6ECFD"/>
            <w:vAlign w:val="center"/>
          </w:tcPr>
          <w:p>
            <w:pPr>
              <w:spacing w:after="20" w:before="20" w:line="252" w:lineRule="auto"/>
            </w:pPr>
            <w:r/>
            <w:r>
              <w:rPr>
                <w:rFonts w:ascii="Arial" w:hAnsi="Arial"/>
                <w:b w:val="0"/>
                <w:sz w:val="16"/>
              </w:rPr>
              <w:t>Kajian Transformasi Danantara Oktober 2026 (docx); Kajian Danantara NRF Tokenisasi (md)</w:t>
            </w:r>
          </w:p>
        </w:tc>
        <w:tc>
          <w:tcPr>
            <w:tcW w:type="dxa" w:w="3457"/>
            <w:shd w:val="clear" w:color="auto" w:fill="E6ECFD"/>
            <w:vAlign w:val="center"/>
          </w:tcPr>
          <w:p>
            <w:pPr>
              <w:spacing w:after="20" w:before="20" w:line="252" w:lineRule="auto"/>
            </w:pPr>
            <w:r/>
            <w:r>
              <w:rPr>
                <w:rFonts w:ascii="Arial" w:hAnsi="Arial"/>
                <w:b w:val="0"/>
                <w:sz w:val="16"/>
              </w:rPr>
              <w:t>Versi awal Kajian</w:t>
            </w:r>
          </w:p>
        </w:tc>
      </w:tr>
      <w:tr>
        <w:trPr>
          <w:cantSplit/>
        </w:trPr>
        <w:tc>
          <w:tcPr>
            <w:tcW w:type="dxa" w:w="1344"/>
            <w:vAlign w:val="center"/>
          </w:tcPr>
          <w:p>
            <w:pPr>
              <w:spacing w:after="20" w:before="20" w:line="252" w:lineRule="auto"/>
            </w:pPr>
            <w:r/>
            <w:r>
              <w:rPr>
                <w:rFonts w:ascii="Arial" w:hAnsi="Arial"/>
                <w:b/>
                <w:sz w:val="16"/>
              </w:rPr>
              <w:t>DECK-INF</w:t>
            </w:r>
          </w:p>
        </w:tc>
        <w:tc>
          <w:tcPr>
            <w:tcW w:type="dxa" w:w="4609"/>
            <w:vAlign w:val="center"/>
          </w:tcPr>
          <w:p>
            <w:pPr>
              <w:spacing w:after="20" w:before="20" w:line="252" w:lineRule="auto"/>
            </w:pPr>
            <w:r/>
            <w:r>
              <w:rPr>
                <w:rFonts w:ascii="Arial" w:hAnsi="Arial"/>
                <w:b w:val="0"/>
                <w:sz w:val="16"/>
              </w:rPr>
              <w:t>Danantara Transformation Strategy Infographic Deck (png); deck McKinsey-style dan infografik 10 Okt 2026</w:t>
            </w:r>
          </w:p>
        </w:tc>
        <w:tc>
          <w:tcPr>
            <w:tcW w:type="dxa" w:w="3457"/>
            <w:vAlign w:val="center"/>
          </w:tcPr>
          <w:p>
            <w:pPr>
              <w:spacing w:after="20" w:before="20" w:line="252" w:lineRule="auto"/>
            </w:pPr>
            <w:r/>
            <w:r>
              <w:rPr>
                <w:rFonts w:ascii="Arial" w:hAnsi="Arial"/>
                <w:b w:val="0"/>
                <w:sz w:val="16"/>
              </w:rPr>
              <w:t>Ringkasan visual</w:t>
            </w:r>
          </w:p>
        </w:tc>
      </w:tr>
      <w:tr>
        <w:trPr>
          <w:cantSplit/>
        </w:trPr>
        <w:tc>
          <w:tcPr>
            <w:tcW w:type="dxa" w:w="1344"/>
            <w:shd w:val="clear" w:color="auto" w:fill="E6ECFD"/>
            <w:vAlign w:val="center"/>
          </w:tcPr>
          <w:p>
            <w:pPr>
              <w:spacing w:after="20" w:before="20" w:line="252" w:lineRule="auto"/>
            </w:pPr>
            <w:r/>
            <w:r>
              <w:rPr>
                <w:rFonts w:ascii="Arial" w:hAnsi="Arial"/>
                <w:b/>
                <w:sz w:val="16"/>
              </w:rPr>
              <w:t>FW</w:t>
            </w:r>
          </w:p>
        </w:tc>
        <w:tc>
          <w:tcPr>
            <w:tcW w:type="dxa" w:w="4609"/>
            <w:shd w:val="clear" w:color="auto" w:fill="E6ECFD"/>
            <w:vAlign w:val="center"/>
          </w:tcPr>
          <w:p>
            <w:pPr>
              <w:spacing w:after="20" w:before="20" w:line="252" w:lineRule="auto"/>
            </w:pPr>
            <w:r/>
            <w:r>
              <w:rPr>
                <w:rFonts w:ascii="Arial" w:hAnsi="Arial"/>
                <w:b w:val="0"/>
                <w:sz w:val="16"/>
              </w:rPr>
              <w:t>framework.md; instruksi 1010202601.md</w:t>
            </w:r>
          </w:p>
        </w:tc>
        <w:tc>
          <w:tcPr>
            <w:tcW w:type="dxa" w:w="3457"/>
            <w:shd w:val="clear" w:color="auto" w:fill="E6ECFD"/>
            <w:vAlign w:val="center"/>
          </w:tcPr>
          <w:p>
            <w:pPr>
              <w:spacing w:after="20" w:before="20" w:line="252" w:lineRule="auto"/>
            </w:pPr>
            <w:r/>
            <w:r>
              <w:rPr>
                <w:rFonts w:ascii="Arial" w:hAnsi="Arial"/>
                <w:b w:val="0"/>
                <w:sz w:val="16"/>
              </w:rPr>
              <w:t>Kerangka tugas</w:t>
            </w:r>
          </w:p>
        </w:tc>
      </w:tr>
    </w:tbl>
    <w:p>
      <w:pPr>
        <w:spacing w:after="40"/>
      </w:pPr>
    </w:p>
    <w:p>
      <w:pPr>
        <w:pStyle w:val="Heading2"/>
      </w:pPr>
      <w:r>
        <w:t>E.2  Standar dan literatur</w:t>
      </w:r>
    </w:p>
    <w:p>
      <w:pPr>
        <w:pStyle w:val="ListBullet"/>
      </w:pPr>
      <w:r>
        <w:rPr>
          <w:rFonts w:ascii="Arial" w:hAnsi="Arial"/>
          <w:b w:val="0"/>
          <w:sz w:val="19"/>
        </w:rPr>
        <w:t>AACE International (1997; 2005). Recommended Practice 17R-97 dan 18R-97: Cost Estimate Classification System.</w:t>
      </w:r>
    </w:p>
    <w:p>
      <w:pPr>
        <w:pStyle w:val="ListBullet"/>
      </w:pPr>
      <w:r>
        <w:rPr>
          <w:rFonts w:ascii="Arial" w:hAnsi="Arial"/>
          <w:b w:val="0"/>
          <w:sz w:val="19"/>
        </w:rPr>
        <w:t>AXELOS (2023). PRINCE2 7th Edition: Managing Successful Projects.</w:t>
      </w:r>
    </w:p>
    <w:p>
      <w:pPr>
        <w:pStyle w:val="ListBullet"/>
      </w:pPr>
      <w:r>
        <w:rPr>
          <w:rFonts w:ascii="Arial" w:hAnsi="Arial"/>
          <w:b w:val="0"/>
          <w:sz w:val="19"/>
        </w:rPr>
        <w:t>Cooper, R. G. (1990). Stage-gate systems: a new tool for managing new products. Business Horizons, 33(3), 44–54.</w:t>
      </w:r>
    </w:p>
    <w:p>
      <w:pPr>
        <w:pStyle w:val="ListBullet"/>
      </w:pPr>
      <w:r>
        <w:rPr>
          <w:rFonts w:ascii="Arial" w:hAnsi="Arial"/>
          <w:b w:val="0"/>
          <w:sz w:val="19"/>
        </w:rPr>
        <w:t>Construction Industry Institute. Front End Planning dan Project Definition Rating Index (PDRI).</w:t>
      </w:r>
    </w:p>
    <w:p>
      <w:pPr>
        <w:pStyle w:val="ListBullet"/>
      </w:pPr>
      <w:r>
        <w:rPr>
          <w:rFonts w:ascii="Arial" w:hAnsi="Arial"/>
          <w:b w:val="0"/>
          <w:sz w:val="19"/>
        </w:rPr>
        <w:t>FIDIC (2017). Conditions of Contract: Red, Yellow, dan Silver Book (edisi ke-2).</w:t>
      </w:r>
    </w:p>
    <w:p>
      <w:pPr>
        <w:pStyle w:val="ListBullet"/>
      </w:pPr>
      <w:r>
        <w:rPr>
          <w:rFonts w:ascii="Arial" w:hAnsi="Arial"/>
          <w:b w:val="0"/>
          <w:sz w:val="19"/>
        </w:rPr>
        <w:t>Fleming, Q. W. dan Koppelman, J. M. Earned Value Project Management. Project Management Institute.</w:t>
      </w:r>
    </w:p>
    <w:p>
      <w:pPr>
        <w:pStyle w:val="ListBullet"/>
      </w:pPr>
      <w:r>
        <w:rPr>
          <w:rFonts w:ascii="Arial" w:hAnsi="Arial"/>
          <w:b w:val="0"/>
          <w:sz w:val="19"/>
        </w:rPr>
        <w:t>Flyvbjerg, B., Bruzelius, N. dan Rothengatter, W. (2003). Megaprojects and Risk: An Anatomy of Ambition. Cambridge University Press.</w:t>
      </w:r>
    </w:p>
    <w:p>
      <w:pPr>
        <w:pStyle w:val="ListBullet"/>
      </w:pPr>
      <w:r>
        <w:rPr>
          <w:rFonts w:ascii="Arial" w:hAnsi="Arial"/>
          <w:b w:val="0"/>
          <w:sz w:val="19"/>
        </w:rPr>
        <w:t>Flyvbjerg, B. (2006). From Nobel Prize to project management: getting risks right. Project Management Journal, 37(3), 5–15.</w:t>
      </w:r>
    </w:p>
    <w:p>
      <w:pPr>
        <w:pStyle w:val="ListBullet"/>
      </w:pPr>
      <w:r>
        <w:rPr>
          <w:rFonts w:ascii="Arial" w:hAnsi="Arial"/>
          <w:b w:val="0"/>
          <w:sz w:val="19"/>
        </w:rPr>
        <w:t>Flyvbjerg, B. (2014). What you should know about megaprojects and why: an overview. Project Management Journal, 45(2), 6–19.</w:t>
      </w:r>
    </w:p>
    <w:p>
      <w:pPr>
        <w:pStyle w:val="ListBullet"/>
      </w:pPr>
      <w:r>
        <w:rPr>
          <w:rFonts w:ascii="Arial" w:hAnsi="Arial"/>
          <w:b w:val="0"/>
          <w:sz w:val="19"/>
        </w:rPr>
        <w:t>Gibson, G. E. dan Hamilton, M. R. (1994). Analysis of Pre-Project Planning Effort and Success Variables for Capital Facility Projects. CII.</w:t>
      </w:r>
    </w:p>
    <w:p>
      <w:pPr>
        <w:pStyle w:val="ListBullet"/>
      </w:pPr>
      <w:r>
        <w:rPr>
          <w:rFonts w:ascii="Arial" w:hAnsi="Arial"/>
          <w:b w:val="0"/>
          <w:sz w:val="19"/>
        </w:rPr>
        <w:t>Goldratt, E. M. (1997). Critical Chain. North River Press.</w:t>
      </w:r>
    </w:p>
    <w:p>
      <w:pPr>
        <w:pStyle w:val="ListBullet"/>
      </w:pPr>
      <w:r>
        <w:rPr>
          <w:rFonts w:ascii="Arial" w:hAnsi="Arial"/>
          <w:b w:val="0"/>
          <w:sz w:val="19"/>
        </w:rPr>
        <w:t>Hubbard, D. W. (2009). The Failure of Risk Management: Why It's Broken and How to Fix It. Wiley.</w:t>
      </w:r>
    </w:p>
    <w:p>
      <w:pPr>
        <w:pStyle w:val="ListBullet"/>
      </w:pPr>
      <w:r>
        <w:rPr>
          <w:rFonts w:ascii="Arial" w:hAnsi="Arial"/>
          <w:b w:val="0"/>
          <w:sz w:val="19"/>
        </w:rPr>
        <w:t>IPMA (2015). Individual Competence Baseline (ICB4).</w:t>
      </w:r>
    </w:p>
    <w:p>
      <w:pPr>
        <w:pStyle w:val="ListBullet"/>
      </w:pPr>
      <w:r>
        <w:rPr>
          <w:rFonts w:ascii="Arial" w:hAnsi="Arial"/>
          <w:b w:val="0"/>
          <w:sz w:val="19"/>
        </w:rPr>
        <w:t>ISO 21500:2021, ISO 21502:2020, ISO 21504:2022; ISO 31000:2018; ISO 45001:2018.</w:t>
      </w:r>
    </w:p>
    <w:p>
      <w:pPr>
        <w:pStyle w:val="ListBullet"/>
      </w:pPr>
      <w:r>
        <w:rPr>
          <w:rFonts w:ascii="Arial" w:hAnsi="Arial"/>
          <w:b w:val="0"/>
          <w:sz w:val="19"/>
        </w:rPr>
        <w:t>Kaplan, R. S. dan Norton, D. P. (1996). The Balanced Scorecard. Harvard Business School Press.</w:t>
      </w:r>
    </w:p>
    <w:p>
      <w:pPr>
        <w:pStyle w:val="ListBullet"/>
      </w:pPr>
      <w:r>
        <w:rPr>
          <w:rFonts w:ascii="Arial" w:hAnsi="Arial"/>
          <w:b w:val="0"/>
          <w:sz w:val="19"/>
        </w:rPr>
        <w:t>Merrow, E. W. (2011). Industrial Megaprojects: Concepts, Strategies, and Practices for Success. Wiley.</w:t>
      </w:r>
    </w:p>
    <w:p>
      <w:pPr>
        <w:pStyle w:val="ListBullet"/>
      </w:pPr>
      <w:r>
        <w:rPr>
          <w:rFonts w:ascii="Arial" w:hAnsi="Arial"/>
          <w:b w:val="0"/>
          <w:sz w:val="19"/>
        </w:rPr>
        <w:t>Müller, R. (2009). Project Governance. Gower.</w:t>
      </w:r>
    </w:p>
    <w:p>
      <w:pPr>
        <w:pStyle w:val="ListBullet"/>
      </w:pPr>
      <w:r>
        <w:rPr>
          <w:rFonts w:ascii="Arial" w:hAnsi="Arial"/>
          <w:b w:val="0"/>
          <w:sz w:val="19"/>
        </w:rPr>
        <w:t>Project Management Institute (2021). A Guide to the Project Management Body of Knowledge (PMBOK Guide), 7th ed., dan The Standard for Project Management.</w:t>
      </w:r>
    </w:p>
    <w:p>
      <w:pPr>
        <w:pStyle w:val="ListBullet"/>
      </w:pPr>
      <w:r>
        <w:rPr>
          <w:rFonts w:ascii="Arial" w:hAnsi="Arial"/>
          <w:b w:val="0"/>
          <w:sz w:val="19"/>
        </w:rPr>
        <w:t>Project Management Institute (2019). The Standard for Earned Value Management.</w:t>
      </w:r>
    </w:p>
    <w:p>
      <w:pPr>
        <w:pStyle w:val="ListBullet"/>
      </w:pPr>
      <w:r>
        <w:rPr>
          <w:rFonts w:ascii="Arial" w:hAnsi="Arial"/>
          <w:b w:val="0"/>
          <w:sz w:val="19"/>
        </w:rPr>
        <w:t>Peraturan nasional yang disebut dalam sumber: UU 1/2025 dan UU 16/2025 (perubahan UU BUMN); PP 10/2025 jo. PP 19/2026; UU 16/2012 tentang Industri Pertahanan (Pasal 43); PP 45/2019 (super-deduction).</w:t>
      </w:r>
    </w:p>
    <w:tbl>
      <w:tblPr>
        <w:tblW w:type="auto" w:w="0"/>
        <w:jc w:val="center"/>
        <w:tblLook w:firstColumn="1" w:firstRow="1" w:lastColumn="0" w:lastRow="0" w:noHBand="0" w:noVBand="1" w:val="04A0"/>
      </w:tblPr>
      <w:tblGrid>
        <w:gridCol w:w="9412"/>
      </w:tblGrid>
      <w:tr>
        <w:tc>
          <w:tcPr>
            <w:tcW w:type="dxa" w:w="9412"/>
            <w:tcBorders>
              <w:left w:val="single" w:sz="36" w:color="000000"/>
            </w:tcBorders>
            <w:shd w:val="clear" w:color="auto" w:fill="F2F2F2"/>
          </w:tcPr>
          <w:p>
            <w:pPr>
              <w:spacing w:after="40"/>
            </w:pPr>
            <w:r/>
            <w:r>
              <w:rPr>
                <w:rFonts w:ascii="Arial" w:hAnsi="Arial"/>
                <w:b/>
                <w:color w:val="051C5C"/>
                <w:sz w:val="21"/>
              </w:rPr>
              <w:t>Catatan tentang rujukan</w:t>
            </w:r>
          </w:p>
          <w:p>
            <w:pPr>
              <w:spacing w:after="40"/>
            </w:pPr>
            <w:r>
              <w:rPr>
                <w:rFonts w:ascii="Arial" w:hAnsi="Arial"/>
                <w:b w:val="0"/>
                <w:sz w:val="20"/>
              </w:rPr>
              <w:t>Rujukan literatur disebut menurut pengetahuan penulis tentang standar dan publikasi yang diakui; nomor edisi dan halaman perlu diverifikasi sebelum dikutip secara formal. Dokumen sumber Danantara tidak menyebut PMBOK, PRINCE2, ISO 21500, atau Stage-Gate secara langsung; rujukan tersebut berasal dari makalah ini.</w:t>
            </w:r>
          </w:p>
        </w:tc>
      </w:tr>
    </w:tbl>
    <w:p>
      <w:pPr>
        <w:spacing w:after="40"/>
      </w:pPr>
    </w:p>
    <w:p>
      <w:r>
        <w:br w:type="page"/>
      </w:r>
    </w:p>
    <w:p>
      <w:pPr>
        <w:pStyle w:val="Heading1"/>
      </w:pPr>
      <w:r>
        <w:t>Lampiran F  Catatan ketidaksesuaian dan keterbatasan data</w:t>
      </w:r>
    </w:p>
    <w:p>
      <w:r>
        <w:rPr>
          <w:rFonts w:ascii="Arial" w:hAnsi="Arial"/>
          <w:b w:val="0"/>
          <w:sz w:val="19"/>
        </w:rPr>
        <w:t>Ketidaksesuaian berikut ditemukan selama penelaahan dokumen. Tidak satu pun diselesaikan dengan asumsi; masing-masing perlu dikoreksi pemilik data sebelum angkanya dipakai pada keputusan.</w:t>
      </w:r>
    </w:p>
    <w:p>
      <w:pPr>
        <w:keepNext/>
        <w:spacing w:after="60"/>
      </w:pPr>
      <w:r>
        <w:rPr>
          <w:rFonts w:ascii="Arial" w:hAnsi="Arial"/>
          <w:b/>
          <w:color w:val="051C5C"/>
          <w:sz w:val="19"/>
        </w:rPr>
        <w:t xml:space="preserve">Tabel 66: </w:t>
      </w:r>
      <w:r>
        <w:rPr>
          <w:rFonts w:ascii="Arial" w:hAnsi="Arial"/>
          <w:color w:val="051C5C"/>
          <w:sz w:val="19"/>
        </w:rPr>
        <w:t>Catatan data</w:t>
      </w:r>
    </w:p>
    <w:tbl>
      <w:tblPr>
        <w:tblW w:type="auto" w:w="0"/>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Pr>
      <w:tblGrid>
        <w:gridCol w:w="2353"/>
        <w:gridCol w:w="2353"/>
        <w:gridCol w:w="2353"/>
        <w:gridCol w:w="2353"/>
      </w:tblGrid>
      <w:tr>
        <w:trPr>
          <w:cantSplit/>
          <w:tblHeader/>
        </w:trPr>
        <w:tc>
          <w:tcPr>
            <w:tcW w:type="dxa" w:w="485"/>
            <w:shd w:val="clear" w:color="auto" w:fill="2251FF"/>
            <w:vAlign w:val="center"/>
          </w:tcPr>
          <w:p>
            <w:pPr>
              <w:spacing w:after="20" w:before="20" w:line="252" w:lineRule="auto"/>
            </w:pPr>
            <w:r/>
            <w:r>
              <w:rPr>
                <w:rFonts w:ascii="Arial" w:hAnsi="Arial"/>
                <w:b/>
                <w:color w:val="FFFFFF"/>
                <w:sz w:val="16"/>
              </w:rPr>
              <w:t>#</w:t>
            </w:r>
          </w:p>
        </w:tc>
        <w:tc>
          <w:tcPr>
            <w:tcW w:type="dxa" w:w="1940"/>
            <w:shd w:val="clear" w:color="auto" w:fill="2251FF"/>
            <w:vAlign w:val="center"/>
          </w:tcPr>
          <w:p>
            <w:pPr>
              <w:spacing w:after="20" w:before="20" w:line="252" w:lineRule="auto"/>
            </w:pPr>
            <w:r/>
            <w:r>
              <w:rPr>
                <w:rFonts w:ascii="Arial" w:hAnsi="Arial"/>
                <w:b/>
                <w:color w:val="FFFFFF"/>
                <w:sz w:val="16"/>
              </w:rPr>
              <w:t>Sumber</w:t>
            </w:r>
          </w:p>
        </w:tc>
        <w:tc>
          <w:tcPr>
            <w:tcW w:type="dxa" w:w="4851"/>
            <w:shd w:val="clear" w:color="auto" w:fill="2251FF"/>
            <w:vAlign w:val="center"/>
          </w:tcPr>
          <w:p>
            <w:pPr>
              <w:spacing w:after="20" w:before="20" w:line="252" w:lineRule="auto"/>
            </w:pPr>
            <w:r/>
            <w:r>
              <w:rPr>
                <w:rFonts w:ascii="Arial" w:hAnsi="Arial"/>
                <w:b/>
                <w:color w:val="FFFFFF"/>
                <w:sz w:val="16"/>
              </w:rPr>
              <w:t>Catatan</w:t>
            </w:r>
          </w:p>
        </w:tc>
        <w:tc>
          <w:tcPr>
            <w:tcW w:type="dxa" w:w="2134"/>
            <w:shd w:val="clear" w:color="auto" w:fill="2251FF"/>
            <w:vAlign w:val="center"/>
          </w:tcPr>
          <w:p>
            <w:pPr>
              <w:spacing w:after="20" w:before="20" w:line="252" w:lineRule="auto"/>
            </w:pPr>
            <w:r/>
            <w:r>
              <w:rPr>
                <w:rFonts w:ascii="Arial" w:hAnsi="Arial"/>
                <w:b/>
                <w:color w:val="FFFFFF"/>
                <w:sz w:val="16"/>
              </w:rPr>
              <w:t>Tindakan</w:t>
            </w:r>
          </w:p>
        </w:tc>
      </w:tr>
      <w:tr>
        <w:trPr>
          <w:cantSplit/>
        </w:trPr>
        <w:tc>
          <w:tcPr>
            <w:tcW w:type="dxa" w:w="485"/>
            <w:vAlign w:val="center"/>
          </w:tcPr>
          <w:p>
            <w:pPr>
              <w:spacing w:after="20" w:before="20" w:line="252" w:lineRule="auto"/>
            </w:pPr>
            <w:r/>
            <w:r>
              <w:rPr>
                <w:rFonts w:ascii="Arial" w:hAnsi="Arial"/>
                <w:b/>
                <w:sz w:val="16"/>
              </w:rPr>
              <w:t>1</w:t>
            </w:r>
          </w:p>
        </w:tc>
        <w:tc>
          <w:tcPr>
            <w:tcW w:type="dxa" w:w="1940"/>
            <w:vAlign w:val="center"/>
          </w:tcPr>
          <w:p>
            <w:pPr>
              <w:spacing w:after="20" w:before="20" w:line="252" w:lineRule="auto"/>
            </w:pPr>
            <w:r/>
            <w:r>
              <w:rPr>
                <w:rFonts w:ascii="Arial" w:hAnsi="Arial"/>
                <w:b w:val="0"/>
                <w:sz w:val="16"/>
              </w:rPr>
              <w:t>Register 40 proyek</w:t>
            </w:r>
          </w:p>
        </w:tc>
        <w:tc>
          <w:tcPr>
            <w:tcW w:type="dxa" w:w="4851"/>
            <w:vAlign w:val="center"/>
          </w:tcPr>
          <w:p>
            <w:pPr>
              <w:spacing w:after="20" w:before="20" w:line="252" w:lineRule="auto"/>
            </w:pPr>
            <w:r/>
            <w:r>
              <w:rPr>
                <w:rFonts w:ascii="Arial" w:hAnsi="Arial"/>
                <w:b w:val="0"/>
                <w:sz w:val="16"/>
              </w:rPr>
              <w:t>Total ringkasan Rp2.091,46 T vs rincian Rp2.072,53 T (selisih Rp18,93 T); komposisi klaster berbeda jauh</w:t>
            </w:r>
          </w:p>
        </w:tc>
        <w:tc>
          <w:tcPr>
            <w:tcW w:type="dxa" w:w="2134"/>
            <w:vAlign w:val="center"/>
          </w:tcPr>
          <w:p>
            <w:pPr>
              <w:spacing w:after="20" w:before="20" w:line="252" w:lineRule="auto"/>
            </w:pPr>
            <w:r/>
            <w:r>
              <w:rPr>
                <w:rFonts w:ascii="Arial" w:hAnsi="Arial"/>
                <w:b w:val="0"/>
                <w:sz w:val="16"/>
              </w:rPr>
              <w:t>Pemilik data mengonfirmasi satuan dan lingkup</w:t>
            </w:r>
          </w:p>
        </w:tc>
      </w:tr>
      <w:tr>
        <w:trPr>
          <w:cantSplit/>
        </w:trPr>
        <w:tc>
          <w:tcPr>
            <w:tcW w:type="dxa" w:w="485"/>
            <w:shd w:val="clear" w:color="auto" w:fill="E6ECFD"/>
            <w:vAlign w:val="center"/>
          </w:tcPr>
          <w:p>
            <w:pPr>
              <w:spacing w:after="20" w:before="20" w:line="252" w:lineRule="auto"/>
            </w:pPr>
            <w:r/>
            <w:r>
              <w:rPr>
                <w:rFonts w:ascii="Arial" w:hAnsi="Arial"/>
                <w:b/>
                <w:sz w:val="16"/>
              </w:rPr>
              <w:t>2</w:t>
            </w:r>
          </w:p>
        </w:tc>
        <w:tc>
          <w:tcPr>
            <w:tcW w:type="dxa" w:w="1940"/>
            <w:shd w:val="clear" w:color="auto" w:fill="E6ECFD"/>
            <w:vAlign w:val="center"/>
          </w:tcPr>
          <w:p>
            <w:pPr>
              <w:spacing w:after="20" w:before="20" w:line="252" w:lineRule="auto"/>
            </w:pPr>
            <w:r/>
            <w:r>
              <w:rPr>
                <w:rFonts w:ascii="Arial" w:hAnsi="Arial"/>
                <w:b w:val="0"/>
                <w:sz w:val="16"/>
              </w:rPr>
              <w:t>Register dan RKAP</w:t>
            </w:r>
          </w:p>
        </w:tc>
        <w:tc>
          <w:tcPr>
            <w:tcW w:type="dxa" w:w="4851"/>
            <w:shd w:val="clear" w:color="auto" w:fill="E6ECFD"/>
            <w:vAlign w:val="center"/>
          </w:tcPr>
          <w:p>
            <w:pPr>
              <w:spacing w:after="20" w:before="20" w:line="252" w:lineRule="auto"/>
            </w:pPr>
            <w:r/>
            <w:r>
              <w:rPr>
                <w:rFonts w:ascii="Arial" w:hAnsi="Arial"/>
                <w:b w:val="0"/>
                <w:sz w:val="16"/>
              </w:rPr>
              <w:t>Atoma (register) dan Anoa (RKAP) hanya cocok menurut nilai; CDME dan CPE belum dijabarkan</w:t>
            </w:r>
          </w:p>
        </w:tc>
        <w:tc>
          <w:tcPr>
            <w:tcW w:type="dxa" w:w="2134"/>
            <w:shd w:val="clear" w:color="auto" w:fill="E6ECFD"/>
            <w:vAlign w:val="center"/>
          </w:tcPr>
          <w:p>
            <w:pPr>
              <w:spacing w:after="20" w:before="20" w:line="252" w:lineRule="auto"/>
            </w:pPr>
            <w:r/>
            <w:r>
              <w:rPr>
                <w:rFonts w:ascii="Arial" w:hAnsi="Arial"/>
                <w:b w:val="0"/>
                <w:sz w:val="16"/>
              </w:rPr>
              <w:t>Crosswalk satu-ke-satu</w:t>
            </w:r>
          </w:p>
        </w:tc>
      </w:tr>
      <w:tr>
        <w:trPr>
          <w:cantSplit/>
        </w:trPr>
        <w:tc>
          <w:tcPr>
            <w:tcW w:type="dxa" w:w="485"/>
            <w:vAlign w:val="center"/>
          </w:tcPr>
          <w:p>
            <w:pPr>
              <w:spacing w:after="20" w:before="20" w:line="252" w:lineRule="auto"/>
            </w:pPr>
            <w:r/>
            <w:r>
              <w:rPr>
                <w:rFonts w:ascii="Arial" w:hAnsi="Arial"/>
                <w:b/>
                <w:sz w:val="16"/>
              </w:rPr>
              <w:t>3</w:t>
            </w:r>
          </w:p>
        </w:tc>
        <w:tc>
          <w:tcPr>
            <w:tcW w:type="dxa" w:w="1940"/>
            <w:vAlign w:val="center"/>
          </w:tcPr>
          <w:p>
            <w:pPr>
              <w:spacing w:after="20" w:before="20" w:line="252" w:lineRule="auto"/>
            </w:pPr>
            <w:r/>
            <w:r>
              <w:rPr>
                <w:rFonts w:ascii="Arial" w:hAnsi="Arial"/>
                <w:b w:val="0"/>
                <w:sz w:val="16"/>
              </w:rPr>
              <w:t>RKAP</w:t>
            </w:r>
          </w:p>
        </w:tc>
        <w:tc>
          <w:tcPr>
            <w:tcW w:type="dxa" w:w="4851"/>
            <w:vAlign w:val="center"/>
          </w:tcPr>
          <w:p>
            <w:pPr>
              <w:spacing w:after="20" w:before="20" w:line="252" w:lineRule="auto"/>
            </w:pPr>
            <w:r/>
            <w:r>
              <w:rPr>
                <w:rFonts w:ascii="Arial" w:hAnsi="Arial"/>
                <w:b w:val="0"/>
                <w:sz w:val="16"/>
              </w:rPr>
              <w:t>Teks total Rp1.994,5 T vs tabel Rp2.091,5 T (selisih Giant Sea Wall Rp97 T)</w:t>
            </w:r>
          </w:p>
        </w:tc>
        <w:tc>
          <w:tcPr>
            <w:tcW w:type="dxa" w:w="2134"/>
            <w:vAlign w:val="center"/>
          </w:tcPr>
          <w:p>
            <w:pPr>
              <w:spacing w:after="20" w:before="20" w:line="252" w:lineRule="auto"/>
            </w:pPr>
            <w:r/>
            <w:r>
              <w:rPr>
                <w:rFonts w:ascii="Arial" w:hAnsi="Arial"/>
                <w:b w:val="0"/>
                <w:sz w:val="16"/>
              </w:rPr>
              <w:t>Koreksi teks atau tabel</w:t>
            </w:r>
          </w:p>
        </w:tc>
      </w:tr>
      <w:tr>
        <w:trPr>
          <w:cantSplit/>
        </w:trPr>
        <w:tc>
          <w:tcPr>
            <w:tcW w:type="dxa" w:w="485"/>
            <w:shd w:val="clear" w:color="auto" w:fill="E6ECFD"/>
            <w:vAlign w:val="center"/>
          </w:tcPr>
          <w:p>
            <w:pPr>
              <w:spacing w:after="20" w:before="20" w:line="252" w:lineRule="auto"/>
            </w:pPr>
            <w:r/>
            <w:r>
              <w:rPr>
                <w:rFonts w:ascii="Arial" w:hAnsi="Arial"/>
                <w:b/>
                <w:sz w:val="16"/>
              </w:rPr>
              <w:t>4</w:t>
            </w:r>
          </w:p>
        </w:tc>
        <w:tc>
          <w:tcPr>
            <w:tcW w:type="dxa" w:w="1940"/>
            <w:shd w:val="clear" w:color="auto" w:fill="E6ECFD"/>
            <w:vAlign w:val="center"/>
          </w:tcPr>
          <w:p>
            <w:pPr>
              <w:spacing w:after="20" w:before="20" w:line="252" w:lineRule="auto"/>
            </w:pPr>
            <w:r/>
            <w:r>
              <w:rPr>
                <w:rFonts w:ascii="Arial" w:hAnsi="Arial"/>
                <w:b w:val="0"/>
                <w:sz w:val="16"/>
              </w:rPr>
              <w:t>PLTS 100 GW</w:t>
            </w:r>
          </w:p>
        </w:tc>
        <w:tc>
          <w:tcPr>
            <w:tcW w:type="dxa" w:w="4851"/>
            <w:shd w:val="clear" w:color="auto" w:fill="E6ECFD"/>
            <w:vAlign w:val="center"/>
          </w:tcPr>
          <w:p>
            <w:pPr>
              <w:spacing w:after="20" w:before="20" w:line="252" w:lineRule="auto"/>
            </w:pPr>
            <w:r/>
            <w:r>
              <w:rPr>
                <w:rFonts w:ascii="Arial" w:hAnsi="Arial"/>
                <w:b w:val="0"/>
                <w:sz w:val="16"/>
              </w:rPr>
              <w:t>Rp231,4 T vs Rp1.130 T pernyataan resmi; GW vs GWp</w:t>
            </w:r>
          </w:p>
        </w:tc>
        <w:tc>
          <w:tcPr>
            <w:tcW w:type="dxa" w:w="2134"/>
            <w:shd w:val="clear" w:color="auto" w:fill="E6ECFD"/>
            <w:vAlign w:val="center"/>
          </w:tcPr>
          <w:p>
            <w:pPr>
              <w:spacing w:after="20" w:before="20" w:line="252" w:lineRule="auto"/>
            </w:pPr>
            <w:r/>
            <w:r>
              <w:rPr>
                <w:rFonts w:ascii="Arial" w:hAnsi="Arial"/>
                <w:b w:val="0"/>
                <w:sz w:val="16"/>
              </w:rPr>
              <w:t>Rekonsiliasi lingkup dan satuan</w:t>
            </w:r>
          </w:p>
        </w:tc>
      </w:tr>
      <w:tr>
        <w:trPr>
          <w:cantSplit/>
        </w:trPr>
        <w:tc>
          <w:tcPr>
            <w:tcW w:type="dxa" w:w="485"/>
            <w:vAlign w:val="center"/>
          </w:tcPr>
          <w:p>
            <w:pPr>
              <w:spacing w:after="20" w:before="20" w:line="252" w:lineRule="auto"/>
            </w:pPr>
            <w:r/>
            <w:r>
              <w:rPr>
                <w:rFonts w:ascii="Arial" w:hAnsi="Arial"/>
                <w:b/>
                <w:sz w:val="16"/>
              </w:rPr>
              <w:t>5</w:t>
            </w:r>
          </w:p>
        </w:tc>
        <w:tc>
          <w:tcPr>
            <w:tcW w:type="dxa" w:w="1940"/>
            <w:vAlign w:val="center"/>
          </w:tcPr>
          <w:p>
            <w:pPr>
              <w:spacing w:after="20" w:before="20" w:line="252" w:lineRule="auto"/>
            </w:pPr>
            <w:r/>
            <w:r>
              <w:rPr>
                <w:rFonts w:ascii="Arial" w:hAnsi="Arial"/>
                <w:b w:val="0"/>
                <w:sz w:val="16"/>
              </w:rPr>
              <w:t>Gerbang</w:t>
            </w:r>
          </w:p>
        </w:tc>
        <w:tc>
          <w:tcPr>
            <w:tcW w:type="dxa" w:w="4851"/>
            <w:vAlign w:val="center"/>
          </w:tcPr>
          <w:p>
            <w:pPr>
              <w:spacing w:after="20" w:before="20" w:line="252" w:lineRule="auto"/>
            </w:pPr>
            <w:r/>
            <w:r>
              <w:rPr>
                <w:rFonts w:ascii="Arial" w:hAnsi="Arial"/>
                <w:b w:val="0"/>
                <w:sz w:val="16"/>
              </w:rPr>
              <w:t>G0–G6 (EVAL) vs P0–P6 (Kajian); G1–G4 (DOCK) vs S1–S4 (Kajian)</w:t>
            </w:r>
          </w:p>
        </w:tc>
        <w:tc>
          <w:tcPr>
            <w:tcW w:type="dxa" w:w="2134"/>
            <w:vAlign w:val="center"/>
          </w:tcPr>
          <w:p>
            <w:pPr>
              <w:spacing w:after="20" w:before="20" w:line="252" w:lineRule="auto"/>
            </w:pPr>
            <w:r/>
            <w:r>
              <w:rPr>
                <w:rFonts w:ascii="Arial" w:hAnsi="Arial"/>
                <w:b w:val="0"/>
                <w:sz w:val="16"/>
              </w:rPr>
              <w:t>Gunakan satu penamaan pada kebijakan</w:t>
            </w:r>
          </w:p>
        </w:tc>
      </w:tr>
      <w:tr>
        <w:trPr>
          <w:cantSplit/>
        </w:trPr>
        <w:tc>
          <w:tcPr>
            <w:tcW w:type="dxa" w:w="485"/>
            <w:shd w:val="clear" w:color="auto" w:fill="E6ECFD"/>
            <w:vAlign w:val="center"/>
          </w:tcPr>
          <w:p>
            <w:pPr>
              <w:spacing w:after="20" w:before="20" w:line="252" w:lineRule="auto"/>
            </w:pPr>
            <w:r/>
            <w:r>
              <w:rPr>
                <w:rFonts w:ascii="Arial" w:hAnsi="Arial"/>
                <w:b/>
                <w:sz w:val="16"/>
              </w:rPr>
              <w:t>6</w:t>
            </w:r>
          </w:p>
        </w:tc>
        <w:tc>
          <w:tcPr>
            <w:tcW w:type="dxa" w:w="1940"/>
            <w:shd w:val="clear" w:color="auto" w:fill="E6ECFD"/>
            <w:vAlign w:val="center"/>
          </w:tcPr>
          <w:p>
            <w:pPr>
              <w:spacing w:after="20" w:before="20" w:line="252" w:lineRule="auto"/>
            </w:pPr>
            <w:r/>
            <w:r>
              <w:rPr>
                <w:rFonts w:ascii="Arial" w:hAnsi="Arial"/>
                <w:b w:val="0"/>
                <w:sz w:val="16"/>
              </w:rPr>
              <w:t>DOCK-UP</w:t>
            </w:r>
          </w:p>
        </w:tc>
        <w:tc>
          <w:tcPr>
            <w:tcW w:type="dxa" w:w="4851"/>
            <w:shd w:val="clear" w:color="auto" w:fill="E6ECFD"/>
            <w:vAlign w:val="center"/>
          </w:tcPr>
          <w:p>
            <w:pPr>
              <w:spacing w:after="20" w:before="20" w:line="252" w:lineRule="auto"/>
            </w:pPr>
            <w:r/>
            <w:r>
              <w:rPr>
                <w:rFonts w:ascii="Arial" w:hAnsi="Arial"/>
                <w:b w:val="0"/>
                <w:sz w:val="16"/>
              </w:rPr>
              <w:t>Penjabaran akronim berbeda: Develop, Off-taker, Certification, Upgrading vs Development, Offtaker, Certified, Upgrading</w:t>
            </w:r>
          </w:p>
        </w:tc>
        <w:tc>
          <w:tcPr>
            <w:tcW w:type="dxa" w:w="2134"/>
            <w:shd w:val="clear" w:color="auto" w:fill="E6ECFD"/>
            <w:vAlign w:val="center"/>
          </w:tcPr>
          <w:p>
            <w:pPr>
              <w:spacing w:after="20" w:before="20" w:line="252" w:lineRule="auto"/>
            </w:pPr>
            <w:r/>
            <w:r>
              <w:rPr>
                <w:rFonts w:ascii="Arial" w:hAnsi="Arial"/>
                <w:b w:val="0"/>
                <w:sz w:val="16"/>
              </w:rPr>
              <w:t>Gunakan versi dokumen DOCK-UP</w:t>
            </w:r>
          </w:p>
        </w:tc>
      </w:tr>
      <w:tr>
        <w:trPr>
          <w:cantSplit/>
        </w:trPr>
        <w:tc>
          <w:tcPr>
            <w:tcW w:type="dxa" w:w="485"/>
            <w:vAlign w:val="center"/>
          </w:tcPr>
          <w:p>
            <w:pPr>
              <w:spacing w:after="20" w:before="20" w:line="252" w:lineRule="auto"/>
            </w:pPr>
            <w:r/>
            <w:r>
              <w:rPr>
                <w:rFonts w:ascii="Arial" w:hAnsi="Arial"/>
                <w:b/>
                <w:sz w:val="16"/>
              </w:rPr>
              <w:t>7</w:t>
            </w:r>
          </w:p>
        </w:tc>
        <w:tc>
          <w:tcPr>
            <w:tcW w:type="dxa" w:w="1940"/>
            <w:vAlign w:val="center"/>
          </w:tcPr>
          <w:p>
            <w:pPr>
              <w:spacing w:after="20" w:before="20" w:line="252" w:lineRule="auto"/>
            </w:pPr>
            <w:r/>
            <w:r>
              <w:rPr>
                <w:rFonts w:ascii="Arial" w:hAnsi="Arial"/>
                <w:b w:val="0"/>
                <w:sz w:val="16"/>
              </w:rPr>
              <w:t>Rencana AI</w:t>
            </w:r>
          </w:p>
        </w:tc>
        <w:tc>
          <w:tcPr>
            <w:tcW w:type="dxa" w:w="4851"/>
            <w:vAlign w:val="center"/>
          </w:tcPr>
          <w:p>
            <w:pPr>
              <w:spacing w:after="20" w:before="20" w:line="252" w:lineRule="auto"/>
            </w:pPr>
            <w:r/>
            <w:r>
              <w:rPr>
                <w:rFonts w:ascii="Arial" w:hAnsi="Arial"/>
                <w:b w:val="0"/>
                <w:sz w:val="16"/>
              </w:rPr>
              <w:t>"3 bulan" vs diagram M1–M12 vs 24 bulan; peran DevOps dan keamanan berbeda antar halaman</w:t>
            </w:r>
          </w:p>
        </w:tc>
        <w:tc>
          <w:tcPr>
            <w:tcW w:type="dxa" w:w="2134"/>
            <w:vAlign w:val="center"/>
          </w:tcPr>
          <w:p>
            <w:pPr>
              <w:spacing w:after="20" w:before="20" w:line="252" w:lineRule="auto"/>
            </w:pPr>
            <w:r/>
            <w:r>
              <w:rPr>
                <w:rFonts w:ascii="Arial" w:hAnsi="Arial"/>
                <w:b w:val="0"/>
                <w:sz w:val="16"/>
              </w:rPr>
              <w:t>Satu rencana tunggal</w:t>
            </w:r>
          </w:p>
        </w:tc>
      </w:tr>
      <w:tr>
        <w:trPr>
          <w:cantSplit/>
        </w:trPr>
        <w:tc>
          <w:tcPr>
            <w:tcW w:type="dxa" w:w="485"/>
            <w:shd w:val="clear" w:color="auto" w:fill="E6ECFD"/>
            <w:vAlign w:val="center"/>
          </w:tcPr>
          <w:p>
            <w:pPr>
              <w:spacing w:after="20" w:before="20" w:line="252" w:lineRule="auto"/>
            </w:pPr>
            <w:r/>
            <w:r>
              <w:rPr>
                <w:rFonts w:ascii="Arial" w:hAnsi="Arial"/>
                <w:b/>
                <w:sz w:val="16"/>
              </w:rPr>
              <w:t>8</w:t>
            </w:r>
          </w:p>
        </w:tc>
        <w:tc>
          <w:tcPr>
            <w:tcW w:type="dxa" w:w="1940"/>
            <w:shd w:val="clear" w:color="auto" w:fill="E6ECFD"/>
            <w:vAlign w:val="center"/>
          </w:tcPr>
          <w:p>
            <w:pPr>
              <w:spacing w:after="20" w:before="20" w:line="252" w:lineRule="auto"/>
            </w:pPr>
            <w:r/>
            <w:r>
              <w:rPr>
                <w:rFonts w:ascii="Arial" w:hAnsi="Arial"/>
                <w:b w:val="0"/>
                <w:sz w:val="16"/>
              </w:rPr>
              <w:t>PALCapital</w:t>
            </w:r>
          </w:p>
        </w:tc>
        <w:tc>
          <w:tcPr>
            <w:tcW w:type="dxa" w:w="4851"/>
            <w:shd w:val="clear" w:color="auto" w:fill="E6ECFD"/>
            <w:vAlign w:val="center"/>
          </w:tcPr>
          <w:p>
            <w:pPr>
              <w:spacing w:after="20" w:before="20" w:line="252" w:lineRule="auto"/>
            </w:pPr>
            <w:r/>
            <w:r>
              <w:rPr>
                <w:rFonts w:ascii="Arial" w:hAnsi="Arial"/>
                <w:b w:val="0"/>
                <w:sz w:val="16"/>
              </w:rPr>
              <w:t>Go-live "45 hari" vs "90 hari"; imbal hasil US$21 juta vs hitungan US$20,7 juta; "bukan utang" vs surat utang</w:t>
            </w:r>
          </w:p>
        </w:tc>
        <w:tc>
          <w:tcPr>
            <w:tcW w:type="dxa" w:w="2134"/>
            <w:shd w:val="clear" w:color="auto" w:fill="E6ECFD"/>
            <w:vAlign w:val="center"/>
          </w:tcPr>
          <w:p>
            <w:pPr>
              <w:spacing w:after="20" w:before="20" w:line="252" w:lineRule="auto"/>
            </w:pPr>
            <w:r/>
            <w:r>
              <w:rPr>
                <w:rFonts w:ascii="Arial" w:hAnsi="Arial"/>
                <w:b w:val="0"/>
                <w:sz w:val="16"/>
              </w:rPr>
              <w:t>Term sheet yang dikoreksi</w:t>
            </w:r>
          </w:p>
        </w:tc>
      </w:tr>
      <w:tr>
        <w:trPr>
          <w:cantSplit/>
        </w:trPr>
        <w:tc>
          <w:tcPr>
            <w:tcW w:type="dxa" w:w="485"/>
            <w:vAlign w:val="center"/>
          </w:tcPr>
          <w:p>
            <w:pPr>
              <w:spacing w:after="20" w:before="20" w:line="252" w:lineRule="auto"/>
            </w:pPr>
            <w:r/>
            <w:r>
              <w:rPr>
                <w:rFonts w:ascii="Arial" w:hAnsi="Arial"/>
                <w:b/>
                <w:sz w:val="16"/>
              </w:rPr>
              <w:t>9</w:t>
            </w:r>
          </w:p>
        </w:tc>
        <w:tc>
          <w:tcPr>
            <w:tcW w:type="dxa" w:w="1940"/>
            <w:vAlign w:val="center"/>
          </w:tcPr>
          <w:p>
            <w:pPr>
              <w:spacing w:after="20" w:before="20" w:line="252" w:lineRule="auto"/>
            </w:pPr>
            <w:r/>
            <w:r>
              <w:rPr>
                <w:rFonts w:ascii="Arial" w:hAnsi="Arial"/>
                <w:b w:val="0"/>
                <w:sz w:val="16"/>
              </w:rPr>
              <w:t>Metrik</w:t>
            </w:r>
          </w:p>
        </w:tc>
        <w:tc>
          <w:tcPr>
            <w:tcW w:type="dxa" w:w="4851"/>
            <w:vAlign w:val="center"/>
          </w:tcPr>
          <w:p>
            <w:pPr>
              <w:spacing w:after="20" w:before="20" w:line="252" w:lineRule="auto"/>
            </w:pPr>
            <w:r/>
            <w:r>
              <w:rPr>
                <w:rFonts w:ascii="Arial" w:hAnsi="Arial"/>
                <w:b w:val="0"/>
                <w:sz w:val="16"/>
              </w:rPr>
              <w:t>"45 metrik" vs 39 metrik hasil + enam gerbang</w:t>
            </w:r>
          </w:p>
        </w:tc>
        <w:tc>
          <w:tcPr>
            <w:tcW w:type="dxa" w:w="2134"/>
            <w:vAlign w:val="center"/>
          </w:tcPr>
          <w:p>
            <w:pPr>
              <w:spacing w:after="20" w:before="20" w:line="252" w:lineRule="auto"/>
            </w:pPr>
            <w:r/>
            <w:r>
              <w:rPr>
                <w:rFonts w:ascii="Arial" w:hAnsi="Arial"/>
                <w:b w:val="0"/>
                <w:sz w:val="16"/>
              </w:rPr>
              <w:t>Konfirmasi pemilik dokumen</w:t>
            </w:r>
          </w:p>
        </w:tc>
      </w:tr>
      <w:tr>
        <w:trPr>
          <w:cantSplit/>
        </w:trPr>
        <w:tc>
          <w:tcPr>
            <w:tcW w:type="dxa" w:w="485"/>
            <w:shd w:val="clear" w:color="auto" w:fill="E6ECFD"/>
            <w:vAlign w:val="center"/>
          </w:tcPr>
          <w:p>
            <w:pPr>
              <w:spacing w:after="20" w:before="20" w:line="252" w:lineRule="auto"/>
            </w:pPr>
            <w:r/>
            <w:r>
              <w:rPr>
                <w:rFonts w:ascii="Arial" w:hAnsi="Arial"/>
                <w:b/>
                <w:sz w:val="16"/>
              </w:rPr>
              <w:t>10</w:t>
            </w:r>
          </w:p>
        </w:tc>
        <w:tc>
          <w:tcPr>
            <w:tcW w:type="dxa" w:w="1940"/>
            <w:shd w:val="clear" w:color="auto" w:fill="E6ECFD"/>
            <w:vAlign w:val="center"/>
          </w:tcPr>
          <w:p>
            <w:pPr>
              <w:spacing w:after="20" w:before="20" w:line="252" w:lineRule="auto"/>
            </w:pPr>
            <w:r/>
            <w:r>
              <w:rPr>
                <w:rFonts w:ascii="Arial" w:hAnsi="Arial"/>
                <w:b w:val="0"/>
                <w:sz w:val="16"/>
              </w:rPr>
              <w:t>Register risiko</w:t>
            </w:r>
          </w:p>
        </w:tc>
        <w:tc>
          <w:tcPr>
            <w:tcW w:type="dxa" w:w="4851"/>
            <w:shd w:val="clear" w:color="auto" w:fill="E6ECFD"/>
            <w:vAlign w:val="center"/>
          </w:tcPr>
          <w:p>
            <w:pPr>
              <w:spacing w:after="20" w:before="20" w:line="252" w:lineRule="auto"/>
            </w:pPr>
            <w:r/>
            <w:r>
              <w:rPr>
                <w:rFonts w:ascii="Arial" w:hAnsi="Arial"/>
                <w:b w:val="0"/>
                <w:sz w:val="16"/>
              </w:rPr>
              <w:t>Dokumen sumber memuat 19 risiko (studi platform) dan 24 risiko (Kajian v2); jumlah risiko berdampak tinggi pada Kajian v2 adalah 16 menurut peta (3 + 12 + 1)</w:t>
            </w:r>
          </w:p>
        </w:tc>
        <w:tc>
          <w:tcPr>
            <w:tcW w:type="dxa" w:w="2134"/>
            <w:shd w:val="clear" w:color="auto" w:fill="E6ECFD"/>
            <w:vAlign w:val="center"/>
          </w:tcPr>
          <w:p>
            <w:pPr>
              <w:spacing w:after="20" w:before="20" w:line="252" w:lineRule="auto"/>
            </w:pPr>
            <w:r/>
            <w:r>
              <w:rPr>
                <w:rFonts w:ascii="Arial" w:hAnsi="Arial"/>
                <w:b w:val="0"/>
                <w:sz w:val="16"/>
              </w:rPr>
              <w:t>Satu register risiko</w:t>
            </w:r>
          </w:p>
        </w:tc>
      </w:tr>
      <w:tr>
        <w:trPr>
          <w:cantSplit/>
        </w:trPr>
        <w:tc>
          <w:tcPr>
            <w:tcW w:type="dxa" w:w="485"/>
            <w:vAlign w:val="center"/>
          </w:tcPr>
          <w:p>
            <w:pPr>
              <w:spacing w:after="20" w:before="20" w:line="252" w:lineRule="auto"/>
            </w:pPr>
            <w:r/>
            <w:r>
              <w:rPr>
                <w:rFonts w:ascii="Arial" w:hAnsi="Arial"/>
                <w:b/>
                <w:sz w:val="16"/>
              </w:rPr>
              <w:t>11</w:t>
            </w:r>
          </w:p>
        </w:tc>
        <w:tc>
          <w:tcPr>
            <w:tcW w:type="dxa" w:w="1940"/>
            <w:vAlign w:val="center"/>
          </w:tcPr>
          <w:p>
            <w:pPr>
              <w:spacing w:after="20" w:before="20" w:line="252" w:lineRule="auto"/>
            </w:pPr>
            <w:r/>
            <w:r>
              <w:rPr>
                <w:rFonts w:ascii="Arial" w:hAnsi="Arial"/>
                <w:b w:val="0"/>
                <w:sz w:val="16"/>
              </w:rPr>
              <w:t>Vietnam CMSC</w:t>
            </w:r>
          </w:p>
        </w:tc>
        <w:tc>
          <w:tcPr>
            <w:tcW w:type="dxa" w:w="4851"/>
            <w:vAlign w:val="center"/>
          </w:tcPr>
          <w:p>
            <w:pPr>
              <w:spacing w:after="20" w:before="20" w:line="252" w:lineRule="auto"/>
            </w:pPr>
            <w:r/>
            <w:r>
              <w:rPr>
                <w:rFonts w:ascii="Arial" w:hAnsi="Arial"/>
                <w:b w:val="0"/>
                <w:sz w:val="16"/>
              </w:rPr>
              <w:t>Tanggal pembubaran 21 vs 23 Maret 2025 pada bagian berbeda dalam EVAL</w:t>
            </w:r>
          </w:p>
        </w:tc>
        <w:tc>
          <w:tcPr>
            <w:tcW w:type="dxa" w:w="2134"/>
            <w:vAlign w:val="center"/>
          </w:tcPr>
          <w:p>
            <w:pPr>
              <w:spacing w:after="20" w:before="20" w:line="252" w:lineRule="auto"/>
            </w:pPr>
            <w:r/>
            <w:r>
              <w:rPr>
                <w:rFonts w:ascii="Arial" w:hAnsi="Arial"/>
                <w:b w:val="0"/>
                <w:sz w:val="16"/>
              </w:rPr>
              <w:t>Verifikasi</w:t>
            </w:r>
          </w:p>
        </w:tc>
      </w:tr>
      <w:tr>
        <w:trPr>
          <w:cantSplit/>
        </w:trPr>
        <w:tc>
          <w:tcPr>
            <w:tcW w:type="dxa" w:w="485"/>
            <w:shd w:val="clear" w:color="auto" w:fill="E6ECFD"/>
            <w:vAlign w:val="center"/>
          </w:tcPr>
          <w:p>
            <w:pPr>
              <w:spacing w:after="20" w:before="20" w:line="252" w:lineRule="auto"/>
            </w:pPr>
            <w:r/>
            <w:r>
              <w:rPr>
                <w:rFonts w:ascii="Arial" w:hAnsi="Arial"/>
                <w:b/>
                <w:sz w:val="16"/>
              </w:rPr>
              <w:t>12</w:t>
            </w:r>
          </w:p>
        </w:tc>
        <w:tc>
          <w:tcPr>
            <w:tcW w:type="dxa" w:w="1940"/>
            <w:shd w:val="clear" w:color="auto" w:fill="E6ECFD"/>
            <w:vAlign w:val="center"/>
          </w:tcPr>
          <w:p>
            <w:pPr>
              <w:spacing w:after="20" w:before="20" w:line="252" w:lineRule="auto"/>
            </w:pPr>
            <w:r/>
            <w:r>
              <w:rPr>
                <w:rFonts w:ascii="Arial" w:hAnsi="Arial"/>
                <w:b w:val="0"/>
                <w:sz w:val="16"/>
              </w:rPr>
              <w:t>Infografik transformasi</w:t>
            </w:r>
          </w:p>
        </w:tc>
        <w:tc>
          <w:tcPr>
            <w:tcW w:type="dxa" w:w="4851"/>
            <w:shd w:val="clear" w:color="auto" w:fill="E6ECFD"/>
            <w:vAlign w:val="center"/>
          </w:tcPr>
          <w:p>
            <w:pPr>
              <w:spacing w:after="20" w:before="20" w:line="252" w:lineRule="auto"/>
            </w:pPr>
            <w:r/>
            <w:r>
              <w:rPr>
                <w:rFonts w:ascii="Arial" w:hAnsi="Arial"/>
                <w:b w:val="0"/>
                <w:sz w:val="16"/>
              </w:rPr>
              <w:t>Sumbu surat utang berlabel US$ juta, sedangkan sumber lain US$1,5 miliar</w:t>
            </w:r>
          </w:p>
        </w:tc>
        <w:tc>
          <w:tcPr>
            <w:tcW w:type="dxa" w:w="2134"/>
            <w:shd w:val="clear" w:color="auto" w:fill="E6ECFD"/>
            <w:vAlign w:val="center"/>
          </w:tcPr>
          <w:p>
            <w:pPr>
              <w:spacing w:after="20" w:before="20" w:line="252" w:lineRule="auto"/>
            </w:pPr>
            <w:r/>
            <w:r>
              <w:rPr>
                <w:rFonts w:ascii="Arial" w:hAnsi="Arial"/>
                <w:b w:val="0"/>
                <w:sz w:val="16"/>
              </w:rPr>
              <w:t>Koreksi label</w:t>
            </w:r>
          </w:p>
        </w:tc>
      </w:tr>
      <w:tr>
        <w:trPr>
          <w:cantSplit/>
        </w:trPr>
        <w:tc>
          <w:tcPr>
            <w:tcW w:type="dxa" w:w="485"/>
            <w:vAlign w:val="center"/>
          </w:tcPr>
          <w:p>
            <w:pPr>
              <w:spacing w:after="20" w:before="20" w:line="252" w:lineRule="auto"/>
            </w:pPr>
            <w:r/>
            <w:r>
              <w:rPr>
                <w:rFonts w:ascii="Arial" w:hAnsi="Arial"/>
                <w:b/>
                <w:sz w:val="16"/>
              </w:rPr>
              <w:t>13</w:t>
            </w:r>
          </w:p>
        </w:tc>
        <w:tc>
          <w:tcPr>
            <w:tcW w:type="dxa" w:w="1940"/>
            <w:vAlign w:val="center"/>
          </w:tcPr>
          <w:p>
            <w:pPr>
              <w:spacing w:after="20" w:before="20" w:line="252" w:lineRule="auto"/>
            </w:pPr>
            <w:r/>
            <w:r>
              <w:rPr>
                <w:rFonts w:ascii="Arial" w:hAnsi="Arial"/>
                <w:b w:val="0"/>
                <w:sz w:val="16"/>
              </w:rPr>
              <w:t>Dokumen EPC</w:t>
            </w:r>
          </w:p>
        </w:tc>
        <w:tc>
          <w:tcPr>
            <w:tcW w:type="dxa" w:w="4851"/>
            <w:vAlign w:val="center"/>
          </w:tcPr>
          <w:p>
            <w:pPr>
              <w:spacing w:after="20" w:before="20" w:line="252" w:lineRule="auto"/>
            </w:pPr>
            <w:r/>
            <w:r>
              <w:rPr>
                <w:rFonts w:ascii="Arial" w:hAnsi="Arial"/>
                <w:b w:val="0"/>
                <w:sz w:val="16"/>
              </w:rPr>
              <w:t>Angka contoh, 60–70% terkunci pada PO, retensi 5–10%, uang muka 10–20% adalah ancar-ancar tanpa sumber</w:t>
            </w:r>
          </w:p>
        </w:tc>
        <w:tc>
          <w:tcPr>
            <w:tcW w:type="dxa" w:w="2134"/>
            <w:vAlign w:val="center"/>
          </w:tcPr>
          <w:p>
            <w:pPr>
              <w:spacing w:after="20" w:before="20" w:line="252" w:lineRule="auto"/>
            </w:pPr>
            <w:r/>
            <w:r>
              <w:rPr>
                <w:rFonts w:ascii="Arial" w:hAnsi="Arial"/>
                <w:b w:val="0"/>
                <w:sz w:val="16"/>
              </w:rPr>
              <w:t>Perlakukan sebagai praktik umum</w:t>
            </w:r>
          </w:p>
        </w:tc>
      </w:tr>
    </w:tbl>
    <w:p>
      <w:pPr>
        <w:spacing w:after="40"/>
      </w:pPr>
    </w:p>
    <w:p>
      <w:pPr>
        <w:jc w:val="both"/>
      </w:pPr>
      <w:r>
        <w:rPr>
          <w:rFonts w:ascii="Arial" w:hAnsi="Arial"/>
          <w:b/>
          <w:sz w:val="19"/>
        </w:rPr>
        <w:t>Keterbatasan akses.</w:t>
      </w:r>
      <w:r>
        <w:rPr>
          <w:rFonts w:ascii="Arial" w:hAnsi="Arial"/>
          <w:b w:val="0"/>
          <w:sz w:val="19"/>
        </w:rPr>
        <w:t xml:space="preserve"> Buku kerja register 40 proyek, model pekerjaan, dan makalah terpadu berklasifikasi terbatas atau rahasia; makalah ini hanya memakai agregat. Halaman 2 sampai 8 dokumen platform berbentuk gambar dan dibaca secara visual; label kecil pada bagan NITO dan batang Gantt bersifat perkiraan. Berkas project_management.md pada folder sumber kosong (0 byte) pada saat penyusunan; ruang lingkup ditetapkan bersama pemberi tugas sebagai manajemen proyek umum dengan contoh Danantara.</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b w:val="0"/>
        <w:color w:val="051C5C"/>
        <w:sz w:val="16"/>
      </w:rPr>
      <w:t xml:space="preserve">Manajemen Proyek · Makalah Komite Pengarah Danantara · Draf untuk diskusi · Rahasia  |  Halaman </w:t>
    </w:r>
    <w:r>
      <w:rPr>
        <w:color w:val="051C5C"/>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eastAsia="Arial"/>
      <w:b/>
      <w:bCs/>
      <w:color w:val="051C5C"/>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eastAsia="Arial"/>
      <w:b/>
      <w:bCs/>
      <w:color w:val="2251FF"/>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eastAsia="Arial"/>
      <w:b/>
      <w:bCs/>
      <w:color w:val="051C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