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rFonts w:ascii="Arial" w:hAnsi="Arial"/>
          <w:b/>
          <w:i w:val="0"/>
          <w:color w:val="2251FF"/>
          <w:sz w:val="22"/>
        </w:rPr>
        <w:t>MAKALAH KOMITE PENGARAH</w:t>
      </w:r>
    </w:p>
    <w:p>
      <w:pPr>
        <w:spacing w:after="40"/>
      </w:pPr>
      <w:r>
        <w:rPr>
          <w:rFonts w:ascii="Arial" w:hAnsi="Arial"/>
          <w:b/>
          <w:i w:val="0"/>
          <w:color w:val="051C5C"/>
          <w:sz w:val="68"/>
        </w:rPr>
        <w:t>Manajemen Proyek</w:t>
      </w:r>
    </w:p>
    <w:p>
      <w:pPr>
        <w:spacing w:after="360"/>
      </w:pPr>
      <w:r>
        <w:rPr>
          <w:rFonts w:ascii="Arial" w:hAnsi="Arial"/>
          <w:b w:val="0"/>
          <w:i w:val="0"/>
          <w:color w:val="051C5C"/>
          <w:sz w:val="30"/>
        </w:rPr>
        <w:t>Kerangka, praktik, dan usulan penerapannya pada proyek strategis, BUMN Karya, dan platform kapabilitas industri Danantara</w:t>
      </w:r>
    </w:p>
    <w:tbl>
      <w:tblPr>
        <w:tblW w:type="auto" w:w="0"/>
        <w:tblLook w:firstColumn="1" w:firstRow="1" w:lastColumn="0" w:lastRow="0" w:noHBand="0" w:noVBand="1" w:val="04A0"/>
      </w:tblPr>
      <w:tblGrid>
        <w:gridCol w:w="9412"/>
      </w:tblGrid>
      <w:tr>
        <w:tc>
          <w:tcPr>
            <w:tcW w:type="dxa" w:w="9412"/>
            <w:shd w:val="clear" w:color="auto" w:fill="2251FF"/>
          </w:tcPr>
          <w:p>
            <w:pPr>
              <w:spacing w:before="160" w:after="160"/>
            </w:pPr>
            <w:r/>
            <w:r>
              <w:rPr>
                <w:rFonts w:ascii="Arial" w:hAnsi="Arial"/>
                <w:b/>
                <w:i w:val="0"/>
                <w:color w:val="FFFFFF"/>
                <w:sz w:val="24"/>
              </w:rPr>
              <w:t>Dari register yang belum terekonsiliasi menuju sistem pengendalian proyek yang dapat diuji</w:t>
            </w:r>
          </w:p>
        </w:tc>
      </w:tr>
    </w:tbl>
    <w:p/>
    <w:p/>
    <w:p/>
    <w:p/>
    <w:p/>
    <w:p/>
    <w:p/>
    <w:p/>
    <w:p/>
    <w:p>
      <w:r>
        <w:rPr>
          <w:rFonts w:ascii="Arial" w:hAnsi="Arial"/>
          <w:b/>
          <w:i w:val="0"/>
          <w:sz w:val="24"/>
        </w:rPr>
        <w:t>Oktober 2026</w:t>
      </w:r>
    </w:p>
    <w:p>
      <w:r>
        <w:rPr>
          <w:rFonts w:ascii="Arial" w:hAnsi="Arial"/>
          <w:b w:val="0"/>
          <w:i w:val="0"/>
          <w:sz w:val="21"/>
        </w:rPr>
        <w:t>Disusun untuk organ tata kelola dan manajemen Danantara</w:t>
      </w:r>
    </w:p>
    <w:p>
      <w:r>
        <w:rPr>
          <w:rFonts w:ascii="Arial" w:hAnsi="Arial"/>
          <w:b w:val="0"/>
          <w:i w:val="0"/>
          <w:sz w:val="21"/>
        </w:rPr>
        <w:t>Draf untuk diskusi · Rahasia</w:t>
      </w:r>
    </w:p>
    <w:p>
      <w:pPr>
        <w:sectPr>
          <w:footerReference w:type="default" r:id="rId9"/>
          <w:pgSz w:w="11906" w:h="16838"/>
          <w:pgMar w:top="1247" w:right="1247" w:bottom="1134" w:left="1247" w:header="720" w:footer="720" w:gutter="0"/>
          <w:cols w:space="720"/>
          <w:docGrid w:linePitch="360"/>
        </w:sectPr>
      </w:pPr>
    </w:p>
    <w:p>
      <w:pPr>
        <w:keepNext/>
        <w:spacing w:after="160"/>
      </w:pPr>
      <w:r>
        <w:rPr>
          <w:rFonts w:ascii="Arial" w:hAnsi="Arial"/>
          <w:b/>
          <w:i w:val="0"/>
          <w:color w:val="051C5C"/>
          <w:sz w:val="28"/>
        </w:rPr>
        <w:t>Pemberitahuan penting</w:t>
      </w:r>
    </w:p>
    <w:p>
      <w:r>
        <w:rPr>
          <w:rFonts w:ascii="Arial" w:hAnsi="Arial"/>
          <w:b w:val="0"/>
          <w:i w:val="0"/>
          <w:sz w:val="20"/>
        </w:rPr>
        <w:t>Makalah ini adalah kajian analitis untuk mendukung diskusi di antara pemangku kepentingan Danantara. Makalah ini berstatus draf dan tidak mencerminkan keputusan, kebijakan, atau posisi Danantara, organ-organnya, maupun Pemerintah Republik Indonesia.</w:t>
      </w:r>
    </w:p>
    <w:p>
      <w:r>
        <w:rPr>
          <w:rFonts w:ascii="Arial" w:hAnsi="Arial"/>
          <w:b/>
          <w:i w:val="0"/>
          <w:sz w:val="20"/>
        </w:rPr>
        <w:t>Dasar penyusunan.</w:t>
      </w:r>
      <w:r>
        <w:rPr>
          <w:rFonts w:ascii="Arial" w:hAnsi="Arial"/>
          <w:b w:val="0"/>
          <w:i w:val="0"/>
          <w:sz w:val="20"/>
        </w:rPr>
        <w:t xml:space="preserve"> Bagian teori disusun dari standar dan literatur yang diakui (Lampiran E). Bagian tentang Danantara disusun dari dokumen kerja internal dan terbatas; sebagian berklasifikasi rahasia, misalnya register 40 slot proyek dan model pekerjaan RKAP DDMF. Versi untuk pihak eksternal perlu disunting.</w:t>
      </w:r>
    </w:p>
    <w:p>
      <w:r>
        <w:rPr>
          <w:rFonts w:ascii="Arial" w:hAnsi="Arial"/>
          <w:b/>
          <w:i w:val="0"/>
          <w:sz w:val="20"/>
        </w:rPr>
        <w:t>Sifat pekerjaan.</w:t>
      </w:r>
      <w:r>
        <w:rPr>
          <w:rFonts w:ascii="Arial" w:hAnsi="Arial"/>
          <w:b w:val="0"/>
          <w:i w:val="0"/>
          <w:sz w:val="20"/>
        </w:rPr>
        <w:t xml:space="preserve"> Makalah ini bukan audit, reviu, atau perikatan asurans lain; bukan penilaian (valuasi); bukan opini hukum, pajak, atau akuntansi; dan bukan pemeringkatan. Rancangan, ambang, bobot, jadwal, dan struktur yang diusulkan adalah rekomendasi untuk dipertimbangkan.</w:t>
      </w:r>
    </w:p>
    <w:p>
      <w:r>
        <w:rPr>
          <w:rFonts w:ascii="Arial" w:hAnsi="Arial"/>
          <w:b/>
          <w:i w:val="0"/>
          <w:sz w:val="20"/>
        </w:rPr>
        <w:t>Kelas bukti.</w:t>
      </w:r>
      <w:r>
        <w:rPr>
          <w:rFonts w:ascii="Arial" w:hAnsi="Arial"/>
          <w:b w:val="0"/>
          <w:i w:val="0"/>
          <w:sz w:val="20"/>
        </w:rPr>
        <w:t xml:space="preserve"> Angka diberi kelas A (diaudit), B (dilaporkan resmi), C (pengumuman, proyeksi, atau estimasi), D (ilustrasi atau asumsi), atau NR (tidak dapat dinilai). Angka kelas C dan D tidak boleh dibaca sebagai hasil yang telah terealisasi.</w:t>
      </w:r>
    </w:p>
    <w:p>
      <w:r>
        <w:rPr>
          <w:rFonts w:ascii="Arial" w:hAnsi="Arial"/>
          <w:b/>
          <w:i w:val="0"/>
          <w:sz w:val="20"/>
        </w:rPr>
        <w:t>Benturan kepentingan.</w:t>
      </w:r>
      <w:r>
        <w:rPr>
          <w:rFonts w:ascii="Arial" w:hAnsi="Arial"/>
          <w:b w:val="0"/>
          <w:i w:val="0"/>
          <w:sz w:val="20"/>
        </w:rPr>
        <w:t xml:space="preserve"> Sebagian dokumen sumber (PALCapital, DOCK-UP, dan sebagian proyek jangkar) berfokus pada industri maritim dan pertahanan serta PT PAL. Pembaca perlu menimbang contoh maritim dan pertahanan dengan memperhatikan hal itu.</w:t>
      </w:r>
    </w:p>
    <w:p>
      <w:r>
        <w:rPr>
          <w:rFonts w:ascii="Arial" w:hAnsi="Arial"/>
          <w:b/>
          <w:i w:val="0"/>
          <w:sz w:val="20"/>
        </w:rPr>
        <w:t>Independensi.</w:t>
      </w:r>
      <w:r>
        <w:rPr>
          <w:rFonts w:ascii="Arial" w:hAnsi="Arial"/>
          <w:b w:val="0"/>
          <w:i w:val="0"/>
          <w:sz w:val="20"/>
        </w:rPr>
        <w:t xml:space="preserve"> Dokumen ini tidak disusun oleh, tidak berafiliasi dengan, dan tidak didukung oleh firma jasa profesional atau lembaga standar mana pun yang disebut sebagai rujukan.</w:t>
      </w:r>
    </w:p>
    <w:p>
      <w:r>
        <w:br w:type="page"/>
      </w:r>
    </w:p>
    <w:p>
      <w:pPr>
        <w:keepNext/>
        <w:spacing w:after="160"/>
      </w:pPr>
      <w:r>
        <w:rPr>
          <w:rFonts w:ascii="Arial" w:hAnsi="Arial"/>
          <w:b/>
          <w:i w:val="0"/>
          <w:color w:val="051C5C"/>
          <w:sz w:val="32"/>
        </w:rPr>
        <w:t>Daftar isi</w:t>
      </w:r>
    </w:p>
    <w:p>
      <w:pPr>
        <w:tabs>
          <w:tab w:pos="9411" w:val="right" w:leader="dot"/>
        </w:tabs>
        <w:spacing w:after="60"/>
      </w:pPr>
      <w:r>
        <w:fldChar w:fldCharType="begin"/>
        <w:instrText xml:space="preserve">TOC \o "1-1" \h \z \u</w:instrText>
        <w:fldChar w:fldCharType="separate"/>
      </w:r>
      <w:hyperlink w:anchor="_Toc001" w:history="1">
        <w:r>
          <w:rPr>
            <w:rFonts w:ascii="Arial" w:hAnsi="Arial"/>
            <w:sz w:val="21"/>
          </w:rPr>
          <w:t xml:space="preserve">Ringkasan eksekutif</w:t>
        </w:r>
        <w:r>
          <w:rPr>
            <w:rFonts w:ascii="Arial" w:hAnsi="Arial"/>
            <w:sz w:val="21"/>
          </w:rPr>
          <w:tab/>
        </w:r>
        <w:r>
          <w:rPr>
            <w:rFonts w:ascii="Arial" w:hAnsi="Arial"/>
            <w:sz w:val="21"/>
          </w:rPr>
          <w:fldChar w:fldCharType="begin"/>
        </w:r>
        <w:r>
          <w:rPr>
            <w:rFonts w:ascii="Arial" w:hAnsi="Arial"/>
            <w:sz w:val="21"/>
          </w:rPr>
          <w:instrText xml:space="preserve"> PAGEREF _Toc001 \h </w:instrText>
        </w:r>
        <w:r>
          <w:rPr>
            <w:rFonts w:ascii="Arial" w:hAnsi="Arial"/>
            <w:sz w:val="21"/>
          </w:rPr>
          <w:fldChar w:fldCharType="separate"/>
        </w:r>
        <w:r>
          <w:rPr>
            <w:rFonts w:ascii="Arial" w:hAnsi="Arial"/>
            <w:sz w:val="21"/>
          </w:rPr>
          <w:t xml:space="preserve">iii</w:t>
        </w:r>
        <w:r>
          <w:rPr>
            <w:rFonts w:ascii="Arial" w:hAnsi="Arial"/>
            <w:sz w:val="21"/>
          </w:rPr>
          <w:fldChar w:fldCharType="end"/>
        </w:r>
      </w:hyperlink>
    </w:p>
    <w:p>
      <w:pPr>
        <w:tabs>
          <w:tab w:pos="9411" w:val="right" w:leader="dot"/>
        </w:tabs>
        <w:spacing w:after="60"/>
      </w:pPr>
      <w:hyperlink w:anchor="_Toc002" w:history="1">
        <w:r>
          <w:rPr>
            <w:rFonts w:ascii="Arial" w:hAnsi="Arial"/>
            <w:sz w:val="21"/>
          </w:rPr>
          <w:t xml:space="preserve">1  Pendahuluan</w:t>
        </w:r>
        <w:r>
          <w:rPr>
            <w:rFonts w:ascii="Arial" w:hAnsi="Arial"/>
            <w:sz w:val="21"/>
          </w:rPr>
          <w:tab/>
        </w:r>
        <w:r>
          <w:rPr>
            <w:rFonts w:ascii="Arial" w:hAnsi="Arial"/>
            <w:sz w:val="21"/>
          </w:rPr>
          <w:fldChar w:fldCharType="begin"/>
        </w:r>
        <w:r>
          <w:rPr>
            <w:rFonts w:ascii="Arial" w:hAnsi="Arial"/>
            <w:sz w:val="21"/>
          </w:rPr>
          <w:instrText xml:space="preserve"> PAGEREF _Toc002 \h </w:instrText>
        </w:r>
        <w:r>
          <w:rPr>
            <w:rFonts w:ascii="Arial" w:hAnsi="Arial"/>
            <w:sz w:val="21"/>
          </w:rPr>
          <w:fldChar w:fldCharType="separate"/>
        </w:r>
        <w:r>
          <w:rPr>
            <w:rFonts w:ascii="Arial" w:hAnsi="Arial"/>
            <w:sz w:val="21"/>
          </w:rPr>
          <w:t xml:space="preserve">1</w:t>
        </w:r>
        <w:r>
          <w:rPr>
            <w:rFonts w:ascii="Arial" w:hAnsi="Arial"/>
            <w:sz w:val="21"/>
          </w:rPr>
          <w:fldChar w:fldCharType="end"/>
        </w:r>
      </w:hyperlink>
    </w:p>
    <w:p>
      <w:pPr>
        <w:tabs>
          <w:tab w:pos="9411" w:val="right" w:leader="dot"/>
        </w:tabs>
        <w:spacing w:after="60"/>
      </w:pPr>
      <w:hyperlink w:anchor="_Toc003" w:history="1">
        <w:r>
          <w:rPr>
            <w:rFonts w:ascii="Arial" w:hAnsi="Arial"/>
            <w:sz w:val="21"/>
          </w:rPr>
          <w:t xml:space="preserve">2  Landasan konseptual dan standar</w:t>
        </w:r>
        <w:r>
          <w:rPr>
            <w:rFonts w:ascii="Arial" w:hAnsi="Arial"/>
            <w:sz w:val="21"/>
          </w:rPr>
          <w:tab/>
        </w:r>
        <w:r>
          <w:rPr>
            <w:rFonts w:ascii="Arial" w:hAnsi="Arial"/>
            <w:sz w:val="21"/>
          </w:rPr>
          <w:fldChar w:fldCharType="begin"/>
        </w:r>
        <w:r>
          <w:rPr>
            <w:rFonts w:ascii="Arial" w:hAnsi="Arial"/>
            <w:sz w:val="21"/>
          </w:rPr>
          <w:instrText xml:space="preserve"> PAGEREF _Toc003 \h </w:instrText>
        </w:r>
        <w:r>
          <w:rPr>
            <w:rFonts w:ascii="Arial" w:hAnsi="Arial"/>
            <w:sz w:val="21"/>
          </w:rPr>
          <w:fldChar w:fldCharType="separate"/>
        </w:r>
        <w:r>
          <w:rPr>
            <w:rFonts w:ascii="Arial" w:hAnsi="Arial"/>
            <w:sz w:val="21"/>
          </w:rPr>
          <w:t xml:space="preserve">3</w:t>
        </w:r>
        <w:r>
          <w:rPr>
            <w:rFonts w:ascii="Arial" w:hAnsi="Arial"/>
            <w:sz w:val="21"/>
          </w:rPr>
          <w:fldChar w:fldCharType="end"/>
        </w:r>
      </w:hyperlink>
    </w:p>
    <w:p>
      <w:pPr>
        <w:tabs>
          <w:tab w:pos="9411" w:val="right" w:leader="dot"/>
        </w:tabs>
        <w:spacing w:after="60"/>
      </w:pPr>
      <w:hyperlink w:anchor="_Toc004" w:history="1">
        <w:r>
          <w:rPr>
            <w:rFonts w:ascii="Arial" w:hAnsi="Arial"/>
            <w:sz w:val="21"/>
          </w:rPr>
          <w:t xml:space="preserve">3  Tata kelola dan gerbang</w:t>
        </w:r>
        <w:r>
          <w:rPr>
            <w:rFonts w:ascii="Arial" w:hAnsi="Arial"/>
            <w:sz w:val="21"/>
          </w:rPr>
          <w:tab/>
        </w:r>
        <w:r>
          <w:rPr>
            <w:rFonts w:ascii="Arial" w:hAnsi="Arial"/>
            <w:sz w:val="21"/>
          </w:rPr>
          <w:fldChar w:fldCharType="begin"/>
        </w:r>
        <w:r>
          <w:rPr>
            <w:rFonts w:ascii="Arial" w:hAnsi="Arial"/>
            <w:sz w:val="21"/>
          </w:rPr>
          <w:instrText xml:space="preserve"> PAGEREF _Toc004 \h </w:instrText>
        </w:r>
        <w:r>
          <w:rPr>
            <w:rFonts w:ascii="Arial" w:hAnsi="Arial"/>
            <w:sz w:val="21"/>
          </w:rPr>
          <w:fldChar w:fldCharType="separate"/>
        </w:r>
        <w:r>
          <w:rPr>
            <w:rFonts w:ascii="Arial" w:hAnsi="Arial"/>
            <w:sz w:val="21"/>
          </w:rPr>
          <w:t xml:space="preserve">6</w:t>
        </w:r>
        <w:r>
          <w:rPr>
            <w:rFonts w:ascii="Arial" w:hAnsi="Arial"/>
            <w:sz w:val="21"/>
          </w:rPr>
          <w:fldChar w:fldCharType="end"/>
        </w:r>
      </w:hyperlink>
    </w:p>
    <w:p>
      <w:pPr>
        <w:tabs>
          <w:tab w:pos="9411" w:val="right" w:leader="dot"/>
        </w:tabs>
        <w:spacing w:after="60"/>
      </w:pPr>
      <w:hyperlink w:anchor="_Toc005" w:history="1">
        <w:r>
          <w:rPr>
            <w:rFonts w:ascii="Arial" w:hAnsi="Arial"/>
            <w:sz w:val="21"/>
          </w:rPr>
          <w:t xml:space="preserve">4  Inisiasi, lingkup, dan kesiapan proyek</w:t>
        </w:r>
        <w:r>
          <w:rPr>
            <w:rFonts w:ascii="Arial" w:hAnsi="Arial"/>
            <w:sz w:val="21"/>
          </w:rPr>
          <w:tab/>
        </w:r>
        <w:r>
          <w:rPr>
            <w:rFonts w:ascii="Arial" w:hAnsi="Arial"/>
            <w:sz w:val="21"/>
          </w:rPr>
          <w:fldChar w:fldCharType="begin"/>
        </w:r>
        <w:r>
          <w:rPr>
            <w:rFonts w:ascii="Arial" w:hAnsi="Arial"/>
            <w:sz w:val="21"/>
          </w:rPr>
          <w:instrText xml:space="preserve"> PAGEREF _Toc005 \h </w:instrText>
        </w:r>
        <w:r>
          <w:rPr>
            <w:rFonts w:ascii="Arial" w:hAnsi="Arial"/>
            <w:sz w:val="21"/>
          </w:rPr>
          <w:fldChar w:fldCharType="separate"/>
        </w:r>
        <w:r>
          <w:rPr>
            <w:rFonts w:ascii="Arial" w:hAnsi="Arial"/>
            <w:sz w:val="21"/>
          </w:rPr>
          <w:t xml:space="preserve">9</w:t>
        </w:r>
        <w:r>
          <w:rPr>
            <w:rFonts w:ascii="Arial" w:hAnsi="Arial"/>
            <w:sz w:val="21"/>
          </w:rPr>
          <w:fldChar w:fldCharType="end"/>
        </w:r>
      </w:hyperlink>
    </w:p>
    <w:p>
      <w:pPr>
        <w:tabs>
          <w:tab w:pos="9411" w:val="right" w:leader="dot"/>
        </w:tabs>
        <w:spacing w:after="60"/>
      </w:pPr>
      <w:hyperlink w:anchor="_Toc006" w:history="1">
        <w:r>
          <w:rPr>
            <w:rFonts w:ascii="Arial" w:hAnsi="Arial"/>
            <w:sz w:val="21"/>
          </w:rPr>
          <w:t xml:space="preserve">5  Manajemen jadwal</w:t>
        </w:r>
        <w:r>
          <w:rPr>
            <w:rFonts w:ascii="Arial" w:hAnsi="Arial"/>
            <w:sz w:val="21"/>
          </w:rPr>
          <w:tab/>
        </w:r>
        <w:r>
          <w:rPr>
            <w:rFonts w:ascii="Arial" w:hAnsi="Arial"/>
            <w:sz w:val="21"/>
          </w:rPr>
          <w:fldChar w:fldCharType="begin"/>
        </w:r>
        <w:r>
          <w:rPr>
            <w:rFonts w:ascii="Arial" w:hAnsi="Arial"/>
            <w:sz w:val="21"/>
          </w:rPr>
          <w:instrText xml:space="preserve"> PAGEREF _Toc006 \h </w:instrText>
        </w:r>
        <w:r>
          <w:rPr>
            <w:rFonts w:ascii="Arial" w:hAnsi="Arial"/>
            <w:sz w:val="21"/>
          </w:rPr>
          <w:fldChar w:fldCharType="separate"/>
        </w:r>
        <w:r>
          <w:rPr>
            <w:rFonts w:ascii="Arial" w:hAnsi="Arial"/>
            <w:sz w:val="21"/>
          </w:rPr>
          <w:t xml:space="preserve">12</w:t>
        </w:r>
        <w:r>
          <w:rPr>
            <w:rFonts w:ascii="Arial" w:hAnsi="Arial"/>
            <w:sz w:val="21"/>
          </w:rPr>
          <w:fldChar w:fldCharType="end"/>
        </w:r>
      </w:hyperlink>
    </w:p>
    <w:p>
      <w:pPr>
        <w:tabs>
          <w:tab w:pos="9411" w:val="right" w:leader="dot"/>
        </w:tabs>
        <w:spacing w:after="60"/>
      </w:pPr>
      <w:hyperlink w:anchor="_Toc007" w:history="1">
        <w:r>
          <w:rPr>
            <w:rFonts w:ascii="Arial" w:hAnsi="Arial"/>
            <w:sz w:val="21"/>
          </w:rPr>
          <w:t xml:space="preserve">6  Manajemen biaya dan pengendalian keuangan proyek</w:t>
        </w:r>
        <w:r>
          <w:rPr>
            <w:rFonts w:ascii="Arial" w:hAnsi="Arial"/>
            <w:sz w:val="21"/>
          </w:rPr>
          <w:tab/>
        </w:r>
        <w:r>
          <w:rPr>
            <w:rFonts w:ascii="Arial" w:hAnsi="Arial"/>
            <w:sz w:val="21"/>
          </w:rPr>
          <w:fldChar w:fldCharType="begin"/>
        </w:r>
        <w:r>
          <w:rPr>
            <w:rFonts w:ascii="Arial" w:hAnsi="Arial"/>
            <w:sz w:val="21"/>
          </w:rPr>
          <w:instrText xml:space="preserve"> PAGEREF _Toc007 \h </w:instrText>
        </w:r>
        <w:r>
          <w:rPr>
            <w:rFonts w:ascii="Arial" w:hAnsi="Arial"/>
            <w:sz w:val="21"/>
          </w:rPr>
          <w:fldChar w:fldCharType="separate"/>
        </w:r>
        <w:r>
          <w:rPr>
            <w:rFonts w:ascii="Arial" w:hAnsi="Arial"/>
            <w:sz w:val="21"/>
          </w:rPr>
          <w:t xml:space="preserve">15</w:t>
        </w:r>
        <w:r>
          <w:rPr>
            <w:rFonts w:ascii="Arial" w:hAnsi="Arial"/>
            <w:sz w:val="21"/>
          </w:rPr>
          <w:fldChar w:fldCharType="end"/>
        </w:r>
      </w:hyperlink>
    </w:p>
    <w:p>
      <w:pPr>
        <w:tabs>
          <w:tab w:pos="9411" w:val="right" w:leader="dot"/>
        </w:tabs>
        <w:spacing w:after="60"/>
      </w:pPr>
      <w:hyperlink w:anchor="_Toc008" w:history="1">
        <w:r>
          <w:rPr>
            <w:rFonts w:ascii="Arial" w:hAnsi="Arial"/>
            <w:sz w:val="21"/>
          </w:rPr>
          <w:t xml:space="preserve">7  Manajemen risiko</w:t>
        </w:r>
        <w:r>
          <w:rPr>
            <w:rFonts w:ascii="Arial" w:hAnsi="Arial"/>
            <w:sz w:val="21"/>
          </w:rPr>
          <w:tab/>
        </w:r>
        <w:r>
          <w:rPr>
            <w:rFonts w:ascii="Arial" w:hAnsi="Arial"/>
            <w:sz w:val="21"/>
          </w:rPr>
          <w:fldChar w:fldCharType="begin"/>
        </w:r>
        <w:r>
          <w:rPr>
            <w:rFonts w:ascii="Arial" w:hAnsi="Arial"/>
            <w:sz w:val="21"/>
          </w:rPr>
          <w:instrText xml:space="preserve"> PAGEREF _Toc008 \h </w:instrText>
        </w:r>
        <w:r>
          <w:rPr>
            <w:rFonts w:ascii="Arial" w:hAnsi="Arial"/>
            <w:sz w:val="21"/>
          </w:rPr>
          <w:fldChar w:fldCharType="separate"/>
        </w:r>
        <w:r>
          <w:rPr>
            <w:rFonts w:ascii="Arial" w:hAnsi="Arial"/>
            <w:sz w:val="21"/>
          </w:rPr>
          <w:t xml:space="preserve">19</w:t>
        </w:r>
        <w:r>
          <w:rPr>
            <w:rFonts w:ascii="Arial" w:hAnsi="Arial"/>
            <w:sz w:val="21"/>
          </w:rPr>
          <w:fldChar w:fldCharType="end"/>
        </w:r>
      </w:hyperlink>
    </w:p>
    <w:p>
      <w:pPr>
        <w:tabs>
          <w:tab w:pos="9411" w:val="right" w:leader="dot"/>
        </w:tabs>
        <w:spacing w:after="60"/>
      </w:pPr>
      <w:hyperlink w:anchor="_Toc009" w:history="1">
        <w:r>
          <w:rPr>
            <w:rFonts w:ascii="Arial" w:hAnsi="Arial"/>
            <w:sz w:val="21"/>
          </w:rPr>
          <w:t xml:space="preserve">8  Pengadaan, kontrak, mutu, dan komisioning</w:t>
        </w:r>
        <w:r>
          <w:rPr>
            <w:rFonts w:ascii="Arial" w:hAnsi="Arial"/>
            <w:sz w:val="21"/>
          </w:rPr>
          <w:tab/>
        </w:r>
        <w:r>
          <w:rPr>
            <w:rFonts w:ascii="Arial" w:hAnsi="Arial"/>
            <w:sz w:val="21"/>
          </w:rPr>
          <w:fldChar w:fldCharType="begin"/>
        </w:r>
        <w:r>
          <w:rPr>
            <w:rFonts w:ascii="Arial" w:hAnsi="Arial"/>
            <w:sz w:val="21"/>
          </w:rPr>
          <w:instrText xml:space="preserve"> PAGEREF _Toc009 \h </w:instrText>
        </w:r>
        <w:r>
          <w:rPr>
            <w:rFonts w:ascii="Arial" w:hAnsi="Arial"/>
            <w:sz w:val="21"/>
          </w:rPr>
          <w:fldChar w:fldCharType="separate"/>
        </w:r>
        <w:r>
          <w:rPr>
            <w:rFonts w:ascii="Arial" w:hAnsi="Arial"/>
            <w:sz w:val="21"/>
          </w:rPr>
          <w:t xml:space="preserve">22</w:t>
        </w:r>
        <w:r>
          <w:rPr>
            <w:rFonts w:ascii="Arial" w:hAnsi="Arial"/>
            <w:sz w:val="21"/>
          </w:rPr>
          <w:fldChar w:fldCharType="end"/>
        </w:r>
      </w:hyperlink>
    </w:p>
    <w:p>
      <w:pPr>
        <w:tabs>
          <w:tab w:pos="9411" w:val="right" w:leader="dot"/>
        </w:tabs>
        <w:spacing w:after="60"/>
      </w:pPr>
      <w:hyperlink w:anchor="_Toc010" w:history="1">
        <w:r>
          <w:rPr>
            <w:rFonts w:ascii="Arial" w:hAnsi="Arial"/>
            <w:sz w:val="21"/>
          </w:rPr>
          <w:t xml:space="preserve">9  Pemangku kepentingan, komunikasi, dan tim</w:t>
        </w:r>
        <w:r>
          <w:rPr>
            <w:rFonts w:ascii="Arial" w:hAnsi="Arial"/>
            <w:sz w:val="21"/>
          </w:rPr>
          <w:tab/>
        </w:r>
        <w:r>
          <w:rPr>
            <w:rFonts w:ascii="Arial" w:hAnsi="Arial"/>
            <w:sz w:val="21"/>
          </w:rPr>
          <w:fldChar w:fldCharType="begin"/>
        </w:r>
        <w:r>
          <w:rPr>
            <w:rFonts w:ascii="Arial" w:hAnsi="Arial"/>
            <w:sz w:val="21"/>
          </w:rPr>
          <w:instrText xml:space="preserve"> PAGEREF _Toc010 \h </w:instrText>
        </w:r>
        <w:r>
          <w:rPr>
            <w:rFonts w:ascii="Arial" w:hAnsi="Arial"/>
            <w:sz w:val="21"/>
          </w:rPr>
          <w:fldChar w:fldCharType="separate"/>
        </w:r>
        <w:r>
          <w:rPr>
            <w:rFonts w:ascii="Arial" w:hAnsi="Arial"/>
            <w:sz w:val="21"/>
          </w:rPr>
          <w:t xml:space="preserve">26</w:t>
        </w:r>
        <w:r>
          <w:rPr>
            <w:rFonts w:ascii="Arial" w:hAnsi="Arial"/>
            <w:sz w:val="21"/>
          </w:rPr>
          <w:fldChar w:fldCharType="end"/>
        </w:r>
      </w:hyperlink>
    </w:p>
    <w:p>
      <w:pPr>
        <w:tabs>
          <w:tab w:pos="9411" w:val="right" w:leader="dot"/>
        </w:tabs>
        <w:spacing w:after="60"/>
      </w:pPr>
      <w:hyperlink w:anchor="_Toc011" w:history="1">
        <w:r>
          <w:rPr>
            <w:rFonts w:ascii="Arial" w:hAnsi="Arial"/>
            <w:sz w:val="21"/>
          </w:rPr>
          <w:t xml:space="preserve">10  Pembiayaan proyek, pengendalian dana, dan manfaat</w:t>
        </w:r>
        <w:r>
          <w:rPr>
            <w:rFonts w:ascii="Arial" w:hAnsi="Arial"/>
            <w:sz w:val="21"/>
          </w:rPr>
          <w:tab/>
        </w:r>
        <w:r>
          <w:rPr>
            <w:rFonts w:ascii="Arial" w:hAnsi="Arial"/>
            <w:sz w:val="21"/>
          </w:rPr>
          <w:fldChar w:fldCharType="begin"/>
        </w:r>
        <w:r>
          <w:rPr>
            <w:rFonts w:ascii="Arial" w:hAnsi="Arial"/>
            <w:sz w:val="21"/>
          </w:rPr>
          <w:instrText xml:space="preserve"> PAGEREF _Toc011 \h </w:instrText>
        </w:r>
        <w:r>
          <w:rPr>
            <w:rFonts w:ascii="Arial" w:hAnsi="Arial"/>
            <w:sz w:val="21"/>
          </w:rPr>
          <w:fldChar w:fldCharType="separate"/>
        </w:r>
        <w:r>
          <w:rPr>
            <w:rFonts w:ascii="Arial" w:hAnsi="Arial"/>
            <w:sz w:val="21"/>
          </w:rPr>
          <w:t xml:space="preserve">28</w:t>
        </w:r>
        <w:r>
          <w:rPr>
            <w:rFonts w:ascii="Arial" w:hAnsi="Arial"/>
            <w:sz w:val="21"/>
          </w:rPr>
          <w:fldChar w:fldCharType="end"/>
        </w:r>
      </w:hyperlink>
    </w:p>
    <w:p>
      <w:pPr>
        <w:tabs>
          <w:tab w:pos="9411" w:val="right" w:leader="dot"/>
        </w:tabs>
        <w:spacing w:after="60"/>
      </w:pPr>
      <w:hyperlink w:anchor="_Toc012" w:history="1">
        <w:r>
          <w:rPr>
            <w:rFonts w:ascii="Arial" w:hAnsi="Arial"/>
            <w:sz w:val="21"/>
          </w:rPr>
          <w:t xml:space="preserve">11  Pengukuran kinerja, pelaporan, dan data</w:t>
        </w:r>
        <w:r>
          <w:rPr>
            <w:rFonts w:ascii="Arial" w:hAnsi="Arial"/>
            <w:sz w:val="21"/>
          </w:rPr>
          <w:tab/>
        </w:r>
        <w:r>
          <w:rPr>
            <w:rFonts w:ascii="Arial" w:hAnsi="Arial"/>
            <w:sz w:val="21"/>
          </w:rPr>
          <w:fldChar w:fldCharType="begin"/>
        </w:r>
        <w:r>
          <w:rPr>
            <w:rFonts w:ascii="Arial" w:hAnsi="Arial"/>
            <w:sz w:val="21"/>
          </w:rPr>
          <w:instrText xml:space="preserve"> PAGEREF _Toc012 \h </w:instrText>
        </w:r>
        <w:r>
          <w:rPr>
            <w:rFonts w:ascii="Arial" w:hAnsi="Arial"/>
            <w:sz w:val="21"/>
          </w:rPr>
          <w:fldChar w:fldCharType="separate"/>
        </w:r>
        <w:r>
          <w:rPr>
            <w:rFonts w:ascii="Arial" w:hAnsi="Arial"/>
            <w:sz w:val="21"/>
          </w:rPr>
          <w:t xml:space="preserve">32</w:t>
        </w:r>
        <w:r>
          <w:rPr>
            <w:rFonts w:ascii="Arial" w:hAnsi="Arial"/>
            <w:sz w:val="21"/>
          </w:rPr>
          <w:fldChar w:fldCharType="end"/>
        </w:r>
      </w:hyperlink>
    </w:p>
    <w:p>
      <w:pPr>
        <w:tabs>
          <w:tab w:pos="9411" w:val="right" w:leader="dot"/>
        </w:tabs>
        <w:spacing w:after="60"/>
      </w:pPr>
      <w:hyperlink w:anchor="_Toc013" w:history="1">
        <w:r>
          <w:rPr>
            <w:rFonts w:ascii="Arial" w:hAnsi="Arial"/>
            <w:sz w:val="21"/>
          </w:rPr>
          <w:t xml:space="preserve">12  AI multiagen dalam manajemen proyek</w:t>
        </w:r>
        <w:r>
          <w:rPr>
            <w:rFonts w:ascii="Arial" w:hAnsi="Arial"/>
            <w:sz w:val="21"/>
          </w:rPr>
          <w:tab/>
        </w:r>
        <w:r>
          <w:rPr>
            <w:rFonts w:ascii="Arial" w:hAnsi="Arial"/>
            <w:sz w:val="21"/>
          </w:rPr>
          <w:fldChar w:fldCharType="begin"/>
        </w:r>
        <w:r>
          <w:rPr>
            <w:rFonts w:ascii="Arial" w:hAnsi="Arial"/>
            <w:sz w:val="21"/>
          </w:rPr>
          <w:instrText xml:space="preserve"> PAGEREF _Toc013 \h </w:instrText>
        </w:r>
        <w:r>
          <w:rPr>
            <w:rFonts w:ascii="Arial" w:hAnsi="Arial"/>
            <w:sz w:val="21"/>
          </w:rPr>
          <w:fldChar w:fldCharType="separate"/>
        </w:r>
        <w:r>
          <w:rPr>
            <w:rFonts w:ascii="Arial" w:hAnsi="Arial"/>
            <w:sz w:val="21"/>
          </w:rPr>
          <w:t xml:space="preserve">35</w:t>
        </w:r>
        <w:r>
          <w:rPr>
            <w:rFonts w:ascii="Arial" w:hAnsi="Arial"/>
            <w:sz w:val="21"/>
          </w:rPr>
          <w:fldChar w:fldCharType="end"/>
        </w:r>
      </w:hyperlink>
    </w:p>
    <w:p>
      <w:pPr>
        <w:tabs>
          <w:tab w:pos="9411" w:val="right" w:leader="dot"/>
        </w:tabs>
        <w:spacing w:after="60"/>
      </w:pPr>
      <w:hyperlink w:anchor="_Toc014" w:history="1">
        <w:r>
          <w:rPr>
            <w:rFonts w:ascii="Arial" w:hAnsi="Arial"/>
            <w:sz w:val="21"/>
          </w:rPr>
          <w:t xml:space="preserve">13  Studi kasus 1: BUMN Karya</w:t>
        </w:r>
        <w:r>
          <w:rPr>
            <w:rFonts w:ascii="Arial" w:hAnsi="Arial"/>
            <w:sz w:val="21"/>
          </w:rPr>
          <w:tab/>
        </w:r>
        <w:r>
          <w:rPr>
            <w:rFonts w:ascii="Arial" w:hAnsi="Arial"/>
            <w:sz w:val="21"/>
          </w:rPr>
          <w:fldChar w:fldCharType="begin"/>
        </w:r>
        <w:r>
          <w:rPr>
            <w:rFonts w:ascii="Arial" w:hAnsi="Arial"/>
            <w:sz w:val="21"/>
          </w:rPr>
          <w:instrText xml:space="preserve"> PAGEREF _Toc014 \h </w:instrText>
        </w:r>
        <w:r>
          <w:rPr>
            <w:rFonts w:ascii="Arial" w:hAnsi="Arial"/>
            <w:sz w:val="21"/>
          </w:rPr>
          <w:fldChar w:fldCharType="separate"/>
        </w:r>
        <w:r>
          <w:rPr>
            <w:rFonts w:ascii="Arial" w:hAnsi="Arial"/>
            <w:sz w:val="21"/>
          </w:rPr>
          <w:t xml:space="preserve">38</w:t>
        </w:r>
        <w:r>
          <w:rPr>
            <w:rFonts w:ascii="Arial" w:hAnsi="Arial"/>
            <w:sz w:val="21"/>
          </w:rPr>
          <w:fldChar w:fldCharType="end"/>
        </w:r>
      </w:hyperlink>
    </w:p>
    <w:p>
      <w:pPr>
        <w:tabs>
          <w:tab w:pos="9411" w:val="right" w:leader="dot"/>
        </w:tabs>
        <w:spacing w:after="60"/>
      </w:pPr>
      <w:hyperlink w:anchor="_Toc015" w:history="1">
        <w:r>
          <w:rPr>
            <w:rFonts w:ascii="Arial" w:hAnsi="Arial"/>
            <w:sz w:val="21"/>
          </w:rPr>
          <w:t xml:space="preserve">14  Studi kasus 2: register 40 slot proyek strategis</w:t>
        </w:r>
        <w:r>
          <w:rPr>
            <w:rFonts w:ascii="Arial" w:hAnsi="Arial"/>
            <w:sz w:val="21"/>
          </w:rPr>
          <w:tab/>
        </w:r>
        <w:r>
          <w:rPr>
            <w:rFonts w:ascii="Arial" w:hAnsi="Arial"/>
            <w:sz w:val="21"/>
          </w:rPr>
          <w:fldChar w:fldCharType="begin"/>
        </w:r>
        <w:r>
          <w:rPr>
            <w:rFonts w:ascii="Arial" w:hAnsi="Arial"/>
            <w:sz w:val="21"/>
          </w:rPr>
          <w:instrText xml:space="preserve"> PAGEREF _Toc015 \h </w:instrText>
        </w:r>
        <w:r>
          <w:rPr>
            <w:rFonts w:ascii="Arial" w:hAnsi="Arial"/>
            <w:sz w:val="21"/>
          </w:rPr>
          <w:fldChar w:fldCharType="separate"/>
        </w:r>
        <w:r>
          <w:rPr>
            <w:rFonts w:ascii="Arial" w:hAnsi="Arial"/>
            <w:sz w:val="21"/>
          </w:rPr>
          <w:t xml:space="preserve">40</w:t>
        </w:r>
        <w:r>
          <w:rPr>
            <w:rFonts w:ascii="Arial" w:hAnsi="Arial"/>
            <w:sz w:val="21"/>
          </w:rPr>
          <w:fldChar w:fldCharType="end"/>
        </w:r>
      </w:hyperlink>
    </w:p>
    <w:p>
      <w:pPr>
        <w:tabs>
          <w:tab w:pos="9411" w:val="right" w:leader="dot"/>
        </w:tabs>
        <w:spacing w:after="60"/>
      </w:pPr>
      <w:hyperlink w:anchor="_Toc016" w:history="1">
        <w:r>
          <w:rPr>
            <w:rFonts w:ascii="Arial" w:hAnsi="Arial"/>
            <w:sz w:val="21"/>
          </w:rPr>
          <w:t xml:space="preserve">15  Sistem Manajemen Proyek Terpadu Danantara I: komponen, gerbang, peran</w:t>
        </w:r>
        <w:r>
          <w:rPr>
            <w:rFonts w:ascii="Arial" w:hAnsi="Arial"/>
            <w:sz w:val="21"/>
          </w:rPr>
          <w:tab/>
        </w:r>
        <w:r>
          <w:rPr>
            <w:rFonts w:ascii="Arial" w:hAnsi="Arial"/>
            <w:sz w:val="21"/>
          </w:rPr>
          <w:fldChar w:fldCharType="begin"/>
        </w:r>
        <w:r>
          <w:rPr>
            <w:rFonts w:ascii="Arial" w:hAnsi="Arial"/>
            <w:sz w:val="21"/>
          </w:rPr>
          <w:instrText xml:space="preserve"> PAGEREF _Toc016 \h </w:instrText>
        </w:r>
        <w:r>
          <w:rPr>
            <w:rFonts w:ascii="Arial" w:hAnsi="Arial"/>
            <w:sz w:val="21"/>
          </w:rPr>
          <w:fldChar w:fldCharType="separate"/>
        </w:r>
        <w:r>
          <w:rPr>
            <w:rFonts w:ascii="Arial" w:hAnsi="Arial"/>
            <w:sz w:val="21"/>
          </w:rPr>
          <w:t xml:space="preserve">43</w:t>
        </w:r>
        <w:r>
          <w:rPr>
            <w:rFonts w:ascii="Arial" w:hAnsi="Arial"/>
            <w:sz w:val="21"/>
          </w:rPr>
          <w:fldChar w:fldCharType="end"/>
        </w:r>
      </w:hyperlink>
    </w:p>
    <w:p>
      <w:pPr>
        <w:tabs>
          <w:tab w:pos="9411" w:val="right" w:leader="dot"/>
        </w:tabs>
        <w:spacing w:after="60"/>
      </w:pPr>
      <w:hyperlink w:anchor="_Toc017" w:history="1">
        <w:r>
          <w:rPr>
            <w:rFonts w:ascii="Arial" w:hAnsi="Arial"/>
            <w:sz w:val="21"/>
          </w:rPr>
          <w:t xml:space="preserve">16  Sistem Manajemen Proyek Terpadu Danantara II: standar, kematangan, peta jalan</w:t>
        </w:r>
        <w:r>
          <w:rPr>
            <w:rFonts w:ascii="Arial" w:hAnsi="Arial"/>
            <w:sz w:val="21"/>
          </w:rPr>
          <w:tab/>
        </w:r>
        <w:r>
          <w:rPr>
            <w:rFonts w:ascii="Arial" w:hAnsi="Arial"/>
            <w:sz w:val="21"/>
          </w:rPr>
          <w:fldChar w:fldCharType="begin"/>
        </w:r>
        <w:r>
          <w:rPr>
            <w:rFonts w:ascii="Arial" w:hAnsi="Arial"/>
            <w:sz w:val="21"/>
          </w:rPr>
          <w:instrText xml:space="preserve"> PAGEREF _Toc017 \h </w:instrText>
        </w:r>
        <w:r>
          <w:rPr>
            <w:rFonts w:ascii="Arial" w:hAnsi="Arial"/>
            <w:sz w:val="21"/>
          </w:rPr>
          <w:fldChar w:fldCharType="separate"/>
        </w:r>
        <w:r>
          <w:rPr>
            <w:rFonts w:ascii="Arial" w:hAnsi="Arial"/>
            <w:sz w:val="21"/>
          </w:rPr>
          <w:t xml:space="preserve">45</w:t>
        </w:r>
        <w:r>
          <w:rPr>
            <w:rFonts w:ascii="Arial" w:hAnsi="Arial"/>
            <w:sz w:val="21"/>
          </w:rPr>
          <w:fldChar w:fldCharType="end"/>
        </w:r>
      </w:hyperlink>
    </w:p>
    <w:p>
      <w:pPr>
        <w:tabs>
          <w:tab w:pos="9411" w:val="right" w:leader="dot"/>
        </w:tabs>
        <w:spacing w:after="60"/>
      </w:pPr>
      <w:hyperlink w:anchor="_Toc018" w:history="1">
        <w:r>
          <w:rPr>
            <w:rFonts w:ascii="Arial" w:hAnsi="Arial"/>
            <w:sz w:val="21"/>
          </w:rPr>
          <w:t xml:space="preserve">17  Risiko penerapan, kesimpulan, dan rekomendasi</w:t>
        </w:r>
        <w:r>
          <w:rPr>
            <w:rFonts w:ascii="Arial" w:hAnsi="Arial"/>
            <w:sz w:val="21"/>
          </w:rPr>
          <w:tab/>
        </w:r>
        <w:r>
          <w:rPr>
            <w:rFonts w:ascii="Arial" w:hAnsi="Arial"/>
            <w:sz w:val="21"/>
          </w:rPr>
          <w:fldChar w:fldCharType="begin"/>
        </w:r>
        <w:r>
          <w:rPr>
            <w:rFonts w:ascii="Arial" w:hAnsi="Arial"/>
            <w:sz w:val="21"/>
          </w:rPr>
          <w:instrText xml:space="preserve"> PAGEREF _Toc018 \h </w:instrText>
        </w:r>
        <w:r>
          <w:rPr>
            <w:rFonts w:ascii="Arial" w:hAnsi="Arial"/>
            <w:sz w:val="21"/>
          </w:rPr>
          <w:fldChar w:fldCharType="separate"/>
        </w:r>
        <w:r>
          <w:rPr>
            <w:rFonts w:ascii="Arial" w:hAnsi="Arial"/>
            <w:sz w:val="21"/>
          </w:rPr>
          <w:t xml:space="preserve">47</w:t>
        </w:r>
        <w:r>
          <w:rPr>
            <w:rFonts w:ascii="Arial" w:hAnsi="Arial"/>
            <w:sz w:val="21"/>
          </w:rPr>
          <w:fldChar w:fldCharType="end"/>
        </w:r>
      </w:hyperlink>
    </w:p>
    <w:p>
      <w:pPr>
        <w:tabs>
          <w:tab w:pos="9411" w:val="right" w:leader="dot"/>
        </w:tabs>
        <w:spacing w:after="60"/>
      </w:pPr>
      <w:hyperlink w:anchor="_Toc019" w:history="1">
        <w:r>
          <w:rPr>
            <w:rFonts w:ascii="Arial" w:hAnsi="Arial"/>
            <w:sz w:val="21"/>
          </w:rPr>
          <w:t xml:space="preserve">Lampiran A  Glosarium</w:t>
        </w:r>
        <w:r>
          <w:rPr>
            <w:rFonts w:ascii="Arial" w:hAnsi="Arial"/>
            <w:sz w:val="21"/>
          </w:rPr>
          <w:tab/>
        </w:r>
        <w:r>
          <w:rPr>
            <w:rFonts w:ascii="Arial" w:hAnsi="Arial"/>
            <w:sz w:val="21"/>
          </w:rPr>
          <w:fldChar w:fldCharType="begin"/>
        </w:r>
        <w:r>
          <w:rPr>
            <w:rFonts w:ascii="Arial" w:hAnsi="Arial"/>
            <w:sz w:val="21"/>
          </w:rPr>
          <w:instrText xml:space="preserve"> PAGEREF _Toc019 \h </w:instrText>
        </w:r>
        <w:r>
          <w:rPr>
            <w:rFonts w:ascii="Arial" w:hAnsi="Arial"/>
            <w:sz w:val="21"/>
          </w:rPr>
          <w:fldChar w:fldCharType="separate"/>
        </w:r>
        <w:r>
          <w:rPr>
            <w:rFonts w:ascii="Arial" w:hAnsi="Arial"/>
            <w:sz w:val="21"/>
          </w:rPr>
          <w:t xml:space="preserve">49</w:t>
        </w:r>
        <w:r>
          <w:rPr>
            <w:rFonts w:ascii="Arial" w:hAnsi="Arial"/>
            <w:sz w:val="21"/>
          </w:rPr>
          <w:fldChar w:fldCharType="end"/>
        </w:r>
      </w:hyperlink>
    </w:p>
    <w:p>
      <w:pPr>
        <w:tabs>
          <w:tab w:pos="9411" w:val="right" w:leader="dot"/>
        </w:tabs>
        <w:spacing w:after="60"/>
      </w:pPr>
      <w:hyperlink w:anchor="_Toc020" w:history="1">
        <w:r>
          <w:rPr>
            <w:rFonts w:ascii="Arial" w:hAnsi="Arial"/>
            <w:sz w:val="21"/>
          </w:rPr>
          <w:t xml:space="preserve">Lampiran B  Templat dasar</w:t>
        </w:r>
        <w:r>
          <w:rPr>
            <w:rFonts w:ascii="Arial" w:hAnsi="Arial"/>
            <w:sz w:val="21"/>
          </w:rPr>
          <w:tab/>
        </w:r>
        <w:r>
          <w:rPr>
            <w:rFonts w:ascii="Arial" w:hAnsi="Arial"/>
            <w:sz w:val="21"/>
          </w:rPr>
          <w:fldChar w:fldCharType="begin"/>
        </w:r>
        <w:r>
          <w:rPr>
            <w:rFonts w:ascii="Arial" w:hAnsi="Arial"/>
            <w:sz w:val="21"/>
          </w:rPr>
          <w:instrText xml:space="preserve"> PAGEREF _Toc020 \h </w:instrText>
        </w:r>
        <w:r>
          <w:rPr>
            <w:rFonts w:ascii="Arial" w:hAnsi="Arial"/>
            <w:sz w:val="21"/>
          </w:rPr>
          <w:fldChar w:fldCharType="separate"/>
        </w:r>
        <w:r>
          <w:rPr>
            <w:rFonts w:ascii="Arial" w:hAnsi="Arial"/>
            <w:sz w:val="21"/>
          </w:rPr>
          <w:t xml:space="preserve">51</w:t>
        </w:r>
        <w:r>
          <w:rPr>
            <w:rFonts w:ascii="Arial" w:hAnsi="Arial"/>
            <w:sz w:val="21"/>
          </w:rPr>
          <w:fldChar w:fldCharType="end"/>
        </w:r>
      </w:hyperlink>
    </w:p>
    <w:p>
      <w:pPr>
        <w:tabs>
          <w:tab w:pos="9411" w:val="right" w:leader="dot"/>
        </w:tabs>
        <w:spacing w:after="60"/>
      </w:pPr>
      <w:hyperlink w:anchor="_Toc021" w:history="1">
        <w:r>
          <w:rPr>
            <w:rFonts w:ascii="Arial" w:hAnsi="Arial"/>
            <w:sz w:val="21"/>
          </w:rPr>
          <w:t xml:space="preserve">Lampiran C  Rumus dan perhitungan</w:t>
        </w:r>
        <w:r>
          <w:rPr>
            <w:rFonts w:ascii="Arial" w:hAnsi="Arial"/>
            <w:sz w:val="21"/>
          </w:rPr>
          <w:tab/>
        </w:r>
        <w:r>
          <w:rPr>
            <w:rFonts w:ascii="Arial" w:hAnsi="Arial"/>
            <w:sz w:val="21"/>
          </w:rPr>
          <w:fldChar w:fldCharType="begin"/>
        </w:r>
        <w:r>
          <w:rPr>
            <w:rFonts w:ascii="Arial" w:hAnsi="Arial"/>
            <w:sz w:val="21"/>
          </w:rPr>
          <w:instrText xml:space="preserve"> PAGEREF _Toc021 \h </w:instrText>
        </w:r>
        <w:r>
          <w:rPr>
            <w:rFonts w:ascii="Arial" w:hAnsi="Arial"/>
            <w:sz w:val="21"/>
          </w:rPr>
          <w:fldChar w:fldCharType="separate"/>
        </w:r>
        <w:r>
          <w:rPr>
            <w:rFonts w:ascii="Arial" w:hAnsi="Arial"/>
            <w:sz w:val="21"/>
          </w:rPr>
          <w:t xml:space="preserve">53</w:t>
        </w:r>
        <w:r>
          <w:rPr>
            <w:rFonts w:ascii="Arial" w:hAnsi="Arial"/>
            <w:sz w:val="21"/>
          </w:rPr>
          <w:fldChar w:fldCharType="end"/>
        </w:r>
      </w:hyperlink>
    </w:p>
    <w:p>
      <w:pPr>
        <w:tabs>
          <w:tab w:pos="9411" w:val="right" w:leader="dot"/>
        </w:tabs>
        <w:spacing w:after="60"/>
      </w:pPr>
      <w:hyperlink w:anchor="_Toc022" w:history="1">
        <w:r>
          <w:rPr>
            <w:rFonts w:ascii="Arial" w:hAnsi="Arial"/>
            <w:sz w:val="21"/>
          </w:rPr>
          <w:t xml:space="preserve">Lampiran D  Matriks RASCI untuk 24 aktivitas inti (ringkas)</w:t>
        </w:r>
        <w:r>
          <w:rPr>
            <w:rFonts w:ascii="Arial" w:hAnsi="Arial"/>
            <w:sz w:val="21"/>
          </w:rPr>
          <w:tab/>
        </w:r>
        <w:r>
          <w:rPr>
            <w:rFonts w:ascii="Arial" w:hAnsi="Arial"/>
            <w:sz w:val="21"/>
          </w:rPr>
          <w:fldChar w:fldCharType="begin"/>
        </w:r>
        <w:r>
          <w:rPr>
            <w:rFonts w:ascii="Arial" w:hAnsi="Arial"/>
            <w:sz w:val="21"/>
          </w:rPr>
          <w:instrText xml:space="preserve"> PAGEREF _Toc022 \h </w:instrText>
        </w:r>
        <w:r>
          <w:rPr>
            <w:rFonts w:ascii="Arial" w:hAnsi="Arial"/>
            <w:sz w:val="21"/>
          </w:rPr>
          <w:fldChar w:fldCharType="separate"/>
        </w:r>
        <w:r>
          <w:rPr>
            <w:rFonts w:ascii="Arial" w:hAnsi="Arial"/>
            <w:sz w:val="21"/>
          </w:rPr>
          <w:t xml:space="preserve">55</w:t>
        </w:r>
        <w:r>
          <w:rPr>
            <w:rFonts w:ascii="Arial" w:hAnsi="Arial"/>
            <w:sz w:val="21"/>
          </w:rPr>
          <w:fldChar w:fldCharType="end"/>
        </w:r>
      </w:hyperlink>
    </w:p>
    <w:p>
      <w:pPr>
        <w:tabs>
          <w:tab w:pos="9411" w:val="right" w:leader="dot"/>
        </w:tabs>
        <w:spacing w:after="60"/>
      </w:pPr>
      <w:hyperlink w:anchor="_Toc023" w:history="1">
        <w:r>
          <w:rPr>
            <w:rFonts w:ascii="Arial" w:hAnsi="Arial"/>
            <w:sz w:val="21"/>
          </w:rPr>
          <w:t xml:space="preserve">Lampiran E  Daftar sumber dan referensi</w:t>
        </w:r>
        <w:r>
          <w:rPr>
            <w:rFonts w:ascii="Arial" w:hAnsi="Arial"/>
            <w:sz w:val="21"/>
          </w:rPr>
          <w:tab/>
        </w:r>
        <w:r>
          <w:rPr>
            <w:rFonts w:ascii="Arial" w:hAnsi="Arial"/>
            <w:sz w:val="21"/>
          </w:rPr>
          <w:fldChar w:fldCharType="begin"/>
        </w:r>
        <w:r>
          <w:rPr>
            <w:rFonts w:ascii="Arial" w:hAnsi="Arial"/>
            <w:sz w:val="21"/>
          </w:rPr>
          <w:instrText xml:space="preserve"> PAGEREF _Toc023 \h </w:instrText>
        </w:r>
        <w:r>
          <w:rPr>
            <w:rFonts w:ascii="Arial" w:hAnsi="Arial"/>
            <w:sz w:val="21"/>
          </w:rPr>
          <w:fldChar w:fldCharType="separate"/>
        </w:r>
        <w:r>
          <w:rPr>
            <w:rFonts w:ascii="Arial" w:hAnsi="Arial"/>
            <w:sz w:val="21"/>
          </w:rPr>
          <w:t xml:space="preserve">56</w:t>
        </w:r>
        <w:r>
          <w:rPr>
            <w:rFonts w:ascii="Arial" w:hAnsi="Arial"/>
            <w:sz w:val="21"/>
          </w:rPr>
          <w:fldChar w:fldCharType="end"/>
        </w:r>
      </w:hyperlink>
    </w:p>
    <w:p>
      <w:pPr>
        <w:tabs>
          <w:tab w:pos="9411" w:val="right" w:leader="dot"/>
        </w:tabs>
        <w:spacing w:after="60"/>
      </w:pPr>
      <w:hyperlink w:anchor="_Toc024" w:history="1">
        <w:r>
          <w:rPr>
            <w:rFonts w:ascii="Arial" w:hAnsi="Arial"/>
            <w:sz w:val="21"/>
          </w:rPr>
          <w:t xml:space="preserve">Lampiran F  Catatan ketidaksesuaian dan keterbatasan data</w:t>
        </w:r>
        <w:r>
          <w:rPr>
            <w:rFonts w:ascii="Arial" w:hAnsi="Arial"/>
            <w:sz w:val="21"/>
          </w:rPr>
          <w:tab/>
        </w:r>
        <w:r>
          <w:rPr>
            <w:rFonts w:ascii="Arial" w:hAnsi="Arial"/>
            <w:sz w:val="21"/>
          </w:rPr>
          <w:fldChar w:fldCharType="begin"/>
        </w:r>
        <w:r>
          <w:rPr>
            <w:rFonts w:ascii="Arial" w:hAnsi="Arial"/>
            <w:sz w:val="21"/>
          </w:rPr>
          <w:instrText xml:space="preserve"> PAGEREF _Toc024 \h </w:instrText>
        </w:r>
        <w:r>
          <w:rPr>
            <w:rFonts w:ascii="Arial" w:hAnsi="Arial"/>
            <w:sz w:val="21"/>
          </w:rPr>
          <w:fldChar w:fldCharType="separate"/>
        </w:r>
        <w:r>
          <w:rPr>
            <w:rFonts w:ascii="Arial" w:hAnsi="Arial"/>
            <w:sz w:val="21"/>
          </w:rPr>
          <w:t xml:space="preserve">58</w:t>
        </w:r>
        <w:r>
          <w:rPr>
            <w:rFonts w:ascii="Arial" w:hAnsi="Arial"/>
            <w:sz w:val="21"/>
          </w:rPr>
          <w:fldChar w:fldCharType="end"/>
        </w:r>
      </w:hyperlink>
      <w:r>
        <w:fldChar w:fldCharType="end"/>
      </w:r>
    </w:p>
    <w:p>
      <w:pPr>
        <w:pStyle w:val="Heading1"/>
      </w:pPr>
      <w:bookmarkStart w:id="1" w:name="_Toc001"/>
      <w:r>
        <w:t>Ringkasan eksekutif</w:t>
      </w:r>
      <w:bookmarkEnd w:id="1"/>
    </w:p>
    <w:p>
      <w:pPr>
        <w:keepNext/>
        <w:keepLines/>
        <w:pBdr>
          <w:left w:val="single" w:sz="36" w:space="8" w:color="2251FF"/>
        </w:pBdr>
        <w:shd w:val="clear" w:color="auto" w:fill="E6ECFD"/>
        <w:spacing w:after="0" w:before="0"/>
        <w:ind w:left="170" w:right="113"/>
      </w:pPr>
      <w:r>
        <w:rPr>
          <w:rFonts w:ascii="Arial" w:hAnsi="Arial"/>
          <w:b/>
          <w:i w:val="0"/>
          <w:color w:val="051C5C"/>
          <w:sz w:val="21"/>
        </w:rPr>
        <w:t>Pesan utama</w:t>
      </w:r>
    </w:p>
    <w:p>
      <w:pPr>
        <w:keepLines/>
        <w:pBdr>
          <w:left w:val="single" w:sz="36" w:space="8" w:color="2251FF"/>
        </w:pBdr>
        <w:shd w:val="clear" w:color="auto" w:fill="E6ECFD"/>
        <w:spacing w:after="160" w:before="0"/>
        <w:ind w:left="170" w:right="113"/>
      </w:pPr>
      <w:r>
        <w:rPr>
          <w:rFonts w:ascii="Arial" w:hAnsi="Arial"/>
          <w:b w:val="0"/>
          <w:i w:val="0"/>
          <w:sz w:val="20"/>
        </w:rPr>
        <w:t>Dokumen kerja Danantara memuat banyak unsur manajemen proyek, tetapi belum menyatukannya dalam satu sistem. Makalah ini mengusulkan Sistem Manajemen Proyek Terpadu Danantara (DPMS) yang dapat diuji dalam 90 hari dengan kriteria yang disepakati sebelumnya.</w:t>
      </w:r>
    </w:p>
    <w:p>
      <w:pPr>
        <w:jc w:val="both"/>
      </w:pPr>
      <w:r>
        <w:rPr>
          <w:rFonts w:ascii="Arial" w:hAnsi="Arial"/>
          <w:b/>
          <w:i w:val="0"/>
        </w:rPr>
        <w:t>Latar.</w:t>
      </w:r>
      <w:r>
        <w:rPr>
          <w:rFonts w:ascii="Arial" w:hAnsi="Arial"/>
          <w:b w:val="0"/>
          <w:i w:val="0"/>
        </w:rPr>
        <w:t xml:space="preserve"> Agenda industrialisasi Danantara dijalankan melalui proyek: register kerja memuat 40 slot proyek strategis dengan nilai dinyatakan Rp2.091,46 triliun, di luar proyek pemasok, pembiayaan, dan reformasi BUMN. Pada sisi pelaksana, empat BUMN Karya mencatat estimasi kerugian 2025 sekitar Rp28 triliun, dan anggaran infrastruktur turun sekitar 45% (kelas C) [PLAT hlm. 3].</w:t>
      </w:r>
    </w:p>
    <w:p>
      <w:pPr>
        <w:jc w:val="both"/>
      </w:pPr>
      <w:r>
        <w:rPr>
          <w:rFonts w:ascii="Arial" w:hAnsi="Arial"/>
          <w:b/>
          <w:i w:val="0"/>
        </w:rPr>
        <w:t>Dasar bukti.</w:t>
      </w:r>
      <w:r>
        <w:rPr>
          <w:rFonts w:ascii="Arial" w:hAnsi="Arial"/>
          <w:b w:val="0"/>
          <w:i w:val="0"/>
        </w:rPr>
        <w:t xml:space="preserve"> Makalah ini membaca dokumen kerja yang seluruhnya berstatus draf diskusi; ia tidak memeriksa praktik internal Danantara. Angka diberi kelas bukti A sampai D atau NR (subbab 1.3). Untuk topik yang tidak dibahas sumber (jalur kritis, nilai terhasil, prosedur perubahan), penyusun memakai teori standar dan alur kerja anggaran EPC.</w:t>
      </w:r>
    </w:p>
    <w:p>
      <w:pPr>
        <w:keepNext/>
        <w:spacing w:after="40"/>
      </w:pPr>
      <w:r>
        <w:rPr>
          <w:rFonts w:ascii="Arial" w:hAnsi="Arial"/>
          <w:b/>
          <w:i w:val="0"/>
        </w:rPr>
        <w:t>Lima temuan.</w:t>
      </w:r>
    </w:p>
    <w:p>
      <w:pPr>
        <w:pStyle w:val="ListNumber"/>
        <w:numPr>
          <w:ilvl w:val="0"/>
          <w:numId w:val="10"/>
        </w:numPr>
        <w:spacing w:after="40"/>
      </w:pPr>
      <w:r>
        <w:rPr>
          <w:rFonts w:ascii="Arial" w:hAnsi="Arial"/>
          <w:b/>
          <w:i w:val="0"/>
        </w:rPr>
        <w:t>Register belum menjadi dasar keputusan.</w:t>
      </w:r>
      <w:r>
        <w:rPr>
          <w:rFonts w:ascii="Arial" w:hAnsi="Arial"/>
          <w:b w:val="0"/>
          <w:i w:val="0"/>
        </w:rPr>
        <w:t xml:space="preserve"> Hanya 18 dari 40 slot bernama (Rp604,97 triliun; 28,9% dari nilai dinyatakan), dua total dalam sumber berbeda Rp18,93 triliun, dan register kerja belum mencatat gerbang terverifikasi untuk satu pun slot (dihitung penyusun dari register, kelas C).</w:t>
      </w:r>
    </w:p>
    <w:p>
      <w:pPr>
        <w:pStyle w:val="ListNumber"/>
        <w:numPr>
          <w:ilvl w:val="0"/>
          <w:numId w:val="10"/>
        </w:numPr>
        <w:spacing w:after="40"/>
      </w:pPr>
      <w:r>
        <w:rPr>
          <w:rFonts w:ascii="Arial" w:hAnsi="Arial"/>
          <w:b/>
          <w:i w:val="0"/>
        </w:rPr>
        <w:t>Unsur manajemen proyek tersedia tetapi terpisah.</w:t>
      </w:r>
      <w:r>
        <w:rPr>
          <w:rFonts w:ascii="Arial" w:hAnsi="Arial"/>
          <w:b w:val="0"/>
          <w:i w:val="0"/>
        </w:rPr>
        <w:t xml:space="preserve"> Dokumen sumber memuat gerbang proyek (P0–P6), gerbang industri (M0–M9), gerbang pemasok (S1–S4), RASCI untuk 24 aktivitas, rantai anggaran EPC, register risiko 24 butir, dan tiga scorecard.</w:t>
      </w:r>
    </w:p>
    <w:p>
      <w:pPr>
        <w:pStyle w:val="ListNumber"/>
        <w:numPr>
          <w:ilvl w:val="0"/>
          <w:numId w:val="10"/>
        </w:numPr>
        <w:spacing w:after="40"/>
      </w:pPr>
      <w:r>
        <w:rPr>
          <w:rFonts w:ascii="Arial" w:hAnsi="Arial"/>
          <w:b/>
          <w:i w:val="0"/>
        </w:rPr>
        <w:t>Satu prinsip berulang: uang dan volume mengikuti bukti kesiapan.</w:t>
      </w:r>
      <w:r>
        <w:rPr>
          <w:rFonts w:ascii="Arial" w:hAnsi="Arial"/>
          <w:b w:val="0"/>
          <w:i w:val="0"/>
        </w:rPr>
        <w:t xml:space="preserve"> Prinsip ini tampak pada DOCK-UP dan PALCapital; DOCK-UP menyebut risiko terbesarnya adalah memperlakukan skema itu sebagai kuota [DOCK hlm. 10].</w:t>
      </w:r>
    </w:p>
    <w:p>
      <w:pPr>
        <w:pStyle w:val="ListNumber"/>
        <w:numPr>
          <w:ilvl w:val="0"/>
          <w:numId w:val="10"/>
        </w:numPr>
        <w:spacing w:after="40"/>
      </w:pPr>
      <w:r>
        <w:rPr>
          <w:rFonts w:ascii="Arial" w:hAnsi="Arial"/>
          <w:b/>
          <w:i w:val="0"/>
        </w:rPr>
        <w:t>Dokumen platform mengaitkan tekanan BUMN Karya dengan masalah manajemen proyek:</w:t>
      </w:r>
      <w:r>
        <w:rPr>
          <w:rFonts w:ascii="Arial" w:hAnsi="Arial"/>
          <w:b w:val="0"/>
          <w:i w:val="0"/>
        </w:rPr>
        <w:t xml:space="preserve"> seleksi proyek, margin, piutang, risiko EPC, dan insentif yang mengukur penyelesaian proyek, bukan profitabilitas. Makalah ini membacanya sebagai kegagalan pengendalian, dengan catatan angka kerugian belum teraudit.</w:t>
      </w:r>
    </w:p>
    <w:p>
      <w:pPr>
        <w:pStyle w:val="ListNumber"/>
        <w:numPr>
          <w:ilvl w:val="0"/>
          <w:numId w:val="10"/>
        </w:numPr>
        <w:spacing w:after="120"/>
      </w:pPr>
      <w:r>
        <w:rPr>
          <w:rFonts w:ascii="Arial" w:hAnsi="Arial"/>
          <w:b/>
          <w:i w:val="0"/>
        </w:rPr>
        <w:t>AI multiagen dapat mengodekan disiplin proses,</w:t>
      </w:r>
      <w:r>
        <w:rPr>
          <w:rFonts w:ascii="Arial" w:hAnsi="Arial"/>
          <w:b w:val="0"/>
          <w:i w:val="0"/>
        </w:rPr>
        <w:t xml:space="preserve"> tetapi bergantung pada data induk, integrasi ERP, dan persetujuan manusia.</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Angka kunci</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Angka kunci"/>
      </w:tblPr>
      <w:tblGrid>
        <w:gridCol w:w="3137"/>
        <w:gridCol w:w="3137"/>
        <w:gridCol w:w="3137"/>
      </w:tblGrid>
      <w:tr>
        <w:trPr>
          <w:cantSplit/>
          <w:tblHeader/>
        </w:trPr>
        <w:tc>
          <w:tcPr>
            <w:tcW w:type="dxa" w:w="2774"/>
            <w:shd w:val="clear" w:color="auto" w:fill="2251FF"/>
            <w:vAlign w:val="center"/>
          </w:tcPr>
          <w:p>
            <w:pPr>
              <w:spacing w:after="20" w:before="20" w:line="252" w:lineRule="auto"/>
            </w:pPr>
            <w:r/>
            <w:r>
              <w:rPr>
                <w:rFonts w:ascii="Arial" w:hAnsi="Arial"/>
                <w:b/>
                <w:i w:val="0"/>
                <w:color w:val="FFFFFF"/>
                <w:sz w:val="17"/>
              </w:rPr>
              <w:t>Angka</w:t>
            </w:r>
          </w:p>
        </w:tc>
        <w:tc>
          <w:tcPr>
            <w:tcW w:type="dxa" w:w="5944"/>
            <w:shd w:val="clear" w:color="auto" w:fill="2251FF"/>
            <w:vAlign w:val="center"/>
          </w:tcPr>
          <w:p>
            <w:pPr>
              <w:spacing w:after="20" w:before="20" w:line="252" w:lineRule="auto"/>
            </w:pPr>
            <w:r/>
            <w:r>
              <w:rPr>
                <w:rFonts w:ascii="Arial" w:hAnsi="Arial"/>
                <w:b/>
                <w:i w:val="0"/>
                <w:color w:val="FFFFFF"/>
                <w:sz w:val="17"/>
              </w:rPr>
              <w:t>Makna</w:t>
            </w:r>
          </w:p>
        </w:tc>
        <w:tc>
          <w:tcPr>
            <w:tcW w:type="dxa" w:w="693"/>
            <w:shd w:val="clear" w:color="auto" w:fill="2251FF"/>
            <w:vAlign w:val="center"/>
          </w:tcPr>
          <w:p>
            <w:pPr>
              <w:spacing w:after="20" w:before="20" w:line="252" w:lineRule="auto"/>
            </w:pPr>
            <w:r/>
            <w:r>
              <w:rPr>
                <w:rFonts w:ascii="Arial" w:hAnsi="Arial"/>
                <w:b/>
                <w:i w:val="0"/>
                <w:color w:val="FFFFFF"/>
                <w:sz w:val="17"/>
              </w:rPr>
              <w:t>Kelas</w:t>
            </w:r>
          </w:p>
        </w:tc>
      </w:tr>
      <w:tr>
        <w:trPr>
          <w:cantSplit/>
        </w:trPr>
        <w:tc>
          <w:tcPr>
            <w:tcW w:type="dxa" w:w="2774"/>
            <w:vAlign w:val="center"/>
          </w:tcPr>
          <w:p>
            <w:pPr>
              <w:spacing w:after="20" w:before="20" w:line="252" w:lineRule="auto"/>
            </w:pPr>
            <w:r/>
            <w:r>
              <w:rPr>
                <w:rFonts w:ascii="Arial" w:hAnsi="Arial"/>
                <w:b/>
                <w:i w:val="0"/>
                <w:sz w:val="17"/>
              </w:rPr>
              <w:t>Rp2.091,46 T</w:t>
            </w:r>
          </w:p>
        </w:tc>
        <w:tc>
          <w:tcPr>
            <w:tcW w:type="dxa" w:w="5944"/>
            <w:vAlign w:val="center"/>
          </w:tcPr>
          <w:p>
            <w:pPr>
              <w:spacing w:after="20" w:before="20" w:line="252" w:lineRule="auto"/>
            </w:pPr>
            <w:r/>
            <w:r>
              <w:rPr>
                <w:rFonts w:ascii="Arial" w:hAnsi="Arial"/>
                <w:b w:val="0"/>
                <w:i w:val="0"/>
                <w:sz w:val="17"/>
              </w:rPr>
              <w:t>Nilai dinyatakan portofolio 40 slot; tabel rincian Rp2.072,53 T</w:t>
            </w:r>
          </w:p>
        </w:tc>
        <w:tc>
          <w:tcPr>
            <w:tcW w:type="dxa" w:w="693"/>
            <w:vAlign w:val="center"/>
          </w:tcPr>
          <w:p>
            <w:pPr>
              <w:spacing w:after="20" w:before="20" w:line="252" w:lineRule="auto"/>
            </w:pPr>
            <w:r/>
            <w:r>
              <w:rPr>
                <w:rFonts w:ascii="Arial" w:hAnsi="Arial"/>
                <w:b w:val="0"/>
                <w:i w:val="0"/>
                <w:sz w:val="17"/>
              </w:rPr>
              <w:t>C</w:t>
            </w:r>
          </w:p>
        </w:tc>
      </w:tr>
      <w:tr>
        <w:trPr>
          <w:cantSplit/>
        </w:trPr>
        <w:tc>
          <w:tcPr>
            <w:tcW w:type="dxa" w:w="2774"/>
            <w:shd w:val="clear" w:color="auto" w:fill="E6ECFD"/>
            <w:vAlign w:val="center"/>
          </w:tcPr>
          <w:p>
            <w:pPr>
              <w:spacing w:after="20" w:before="20" w:line="252" w:lineRule="auto"/>
            </w:pPr>
            <w:r/>
            <w:r>
              <w:rPr>
                <w:rFonts w:ascii="Arial" w:hAnsi="Arial"/>
                <w:b/>
                <w:i w:val="0"/>
                <w:sz w:val="17"/>
              </w:rPr>
              <w:t>18 dari 40</w:t>
            </w:r>
          </w:p>
        </w:tc>
        <w:tc>
          <w:tcPr>
            <w:tcW w:type="dxa" w:w="5944"/>
            <w:shd w:val="clear" w:color="auto" w:fill="E6ECFD"/>
            <w:vAlign w:val="center"/>
          </w:tcPr>
          <w:p>
            <w:pPr>
              <w:spacing w:after="20" w:before="20" w:line="252" w:lineRule="auto"/>
            </w:pPr>
            <w:r/>
            <w:r>
              <w:rPr>
                <w:rFonts w:ascii="Arial" w:hAnsi="Arial"/>
                <w:b w:val="0"/>
                <w:i w:val="0"/>
                <w:sz w:val="17"/>
              </w:rPr>
              <w:t>Slot bernama, Rp604,97 T (28,9%); 22 slot tanpa identitas</w:t>
            </w:r>
          </w:p>
        </w:tc>
        <w:tc>
          <w:tcPr>
            <w:tcW w:type="dxa" w:w="693"/>
            <w:shd w:val="clear" w:color="auto" w:fill="E6ECFD"/>
            <w:vAlign w:val="center"/>
          </w:tcPr>
          <w:p>
            <w:pPr>
              <w:spacing w:after="20" w:before="20" w:line="252" w:lineRule="auto"/>
            </w:pPr>
            <w:r/>
            <w:r>
              <w:rPr>
                <w:rFonts w:ascii="Arial" w:hAnsi="Arial"/>
                <w:b w:val="0"/>
                <w:i w:val="0"/>
                <w:sz w:val="17"/>
              </w:rPr>
              <w:t>C*</w:t>
            </w:r>
          </w:p>
        </w:tc>
      </w:tr>
      <w:tr>
        <w:trPr>
          <w:cantSplit/>
        </w:trPr>
        <w:tc>
          <w:tcPr>
            <w:tcW w:type="dxa" w:w="2774"/>
            <w:vAlign w:val="center"/>
          </w:tcPr>
          <w:p>
            <w:pPr>
              <w:spacing w:after="20" w:before="20" w:line="252" w:lineRule="auto"/>
            </w:pPr>
            <w:r/>
            <w:r>
              <w:rPr>
                <w:rFonts w:ascii="Arial" w:hAnsi="Arial"/>
                <w:b/>
                <w:i w:val="0"/>
                <w:sz w:val="17"/>
              </w:rPr>
              <w:t>≈ Rp28 T</w:t>
            </w:r>
          </w:p>
        </w:tc>
        <w:tc>
          <w:tcPr>
            <w:tcW w:type="dxa" w:w="5944"/>
            <w:vAlign w:val="center"/>
          </w:tcPr>
          <w:p>
            <w:pPr>
              <w:spacing w:after="20" w:before="20" w:line="252" w:lineRule="auto"/>
            </w:pPr>
            <w:r/>
            <w:r>
              <w:rPr>
                <w:rFonts w:ascii="Arial" w:hAnsi="Arial"/>
                <w:b w:val="0"/>
                <w:i w:val="0"/>
                <w:sz w:val="17"/>
              </w:rPr>
              <w:t>Estimasi kerugian 2025 empat BUMN Karya</w:t>
            </w:r>
          </w:p>
        </w:tc>
        <w:tc>
          <w:tcPr>
            <w:tcW w:type="dxa" w:w="693"/>
            <w:vAlign w:val="center"/>
          </w:tcPr>
          <w:p>
            <w:pPr>
              <w:spacing w:after="20" w:before="20" w:line="252" w:lineRule="auto"/>
            </w:pPr>
            <w:r/>
            <w:r>
              <w:rPr>
                <w:rFonts w:ascii="Arial" w:hAnsi="Arial"/>
                <w:b w:val="0"/>
                <w:i w:val="0"/>
                <w:sz w:val="17"/>
              </w:rPr>
              <w:t>C</w:t>
            </w:r>
          </w:p>
        </w:tc>
      </w:tr>
      <w:tr>
        <w:trPr>
          <w:cantSplit/>
        </w:trPr>
        <w:tc>
          <w:tcPr>
            <w:tcW w:type="dxa" w:w="2774"/>
            <w:shd w:val="clear" w:color="auto" w:fill="E6ECFD"/>
            <w:vAlign w:val="center"/>
          </w:tcPr>
          <w:p>
            <w:pPr>
              <w:spacing w:after="20" w:before="20" w:line="252" w:lineRule="auto"/>
            </w:pPr>
            <w:r/>
            <w:r>
              <w:rPr>
                <w:rFonts w:ascii="Arial" w:hAnsi="Arial"/>
                <w:b/>
                <w:i w:val="0"/>
                <w:sz w:val="17"/>
              </w:rPr>
              <w:t>Rp578 T + 118 T + 24 T + 1.371 T</w:t>
            </w:r>
          </w:p>
        </w:tc>
        <w:tc>
          <w:tcPr>
            <w:tcW w:type="dxa" w:w="5944"/>
            <w:shd w:val="clear" w:color="auto" w:fill="E6ECFD"/>
            <w:vAlign w:val="center"/>
          </w:tcPr>
          <w:p>
            <w:pPr>
              <w:spacing w:after="20" w:before="20" w:line="252" w:lineRule="auto"/>
            </w:pPr>
            <w:r/>
            <w:r>
              <w:rPr>
                <w:rFonts w:ascii="Arial" w:hAnsi="Arial"/>
                <w:b w:val="0"/>
                <w:i w:val="0"/>
                <w:sz w:val="17"/>
              </w:rPr>
              <w:t>Alokasi strategis Danantara, NRF Tahap 1, surat tagihan proyek, dan sisa untuk mencapai Rp2.091 T; dua kanal baru Rp142 T (6,8%)</w:t>
            </w:r>
          </w:p>
        </w:tc>
        <w:tc>
          <w:tcPr>
            <w:tcW w:type="dxa" w:w="693"/>
            <w:shd w:val="clear" w:color="auto" w:fill="E6ECFD"/>
            <w:vAlign w:val="center"/>
          </w:tcPr>
          <w:p>
            <w:pPr>
              <w:spacing w:after="20" w:before="20" w:line="252" w:lineRule="auto"/>
            </w:pPr>
            <w:r/>
            <w:r>
              <w:rPr>
                <w:rFonts w:ascii="Arial" w:hAnsi="Arial"/>
                <w:b w:val="0"/>
                <w:i w:val="0"/>
                <w:sz w:val="17"/>
              </w:rPr>
              <w:t>D</w:t>
            </w:r>
          </w:p>
        </w:tc>
      </w:tr>
      <w:tr>
        <w:trPr>
          <w:cantSplit/>
        </w:trPr>
        <w:tc>
          <w:tcPr>
            <w:tcW w:type="dxa" w:w="2774"/>
            <w:vAlign w:val="center"/>
          </w:tcPr>
          <w:p>
            <w:pPr>
              <w:spacing w:after="20" w:before="20" w:line="252" w:lineRule="auto"/>
            </w:pPr>
            <w:r/>
            <w:r>
              <w:rPr>
                <w:rFonts w:ascii="Arial" w:hAnsi="Arial"/>
                <w:b/>
                <w:i w:val="0"/>
                <w:sz w:val="17"/>
              </w:rPr>
              <w:t>US$150 juta</w:t>
            </w:r>
          </w:p>
        </w:tc>
        <w:tc>
          <w:tcPr>
            <w:tcW w:type="dxa" w:w="5944"/>
            <w:vAlign w:val="center"/>
          </w:tcPr>
          <w:p>
            <w:pPr>
              <w:spacing w:after="20" w:before="20" w:line="252" w:lineRule="auto"/>
            </w:pPr>
            <w:r/>
            <w:r>
              <w:rPr>
                <w:rFonts w:ascii="Arial" w:hAnsi="Arial"/>
                <w:b w:val="0"/>
                <w:i w:val="0"/>
                <w:sz w:val="17"/>
              </w:rPr>
              <w:t>Uji coba PAL-SUB-1 dalam empat tranche (40, 45, 40, 25 juta)</w:t>
            </w:r>
          </w:p>
        </w:tc>
        <w:tc>
          <w:tcPr>
            <w:tcW w:type="dxa" w:w="693"/>
            <w:vAlign w:val="center"/>
          </w:tcPr>
          <w:p>
            <w:pPr>
              <w:spacing w:after="20" w:before="20" w:line="252" w:lineRule="auto"/>
            </w:pPr>
            <w:r/>
            <w:r>
              <w:rPr>
                <w:rFonts w:ascii="Arial" w:hAnsi="Arial"/>
                <w:b w:val="0"/>
                <w:i w:val="0"/>
                <w:sz w:val="17"/>
              </w:rPr>
              <w:t>C</w:t>
            </w:r>
          </w:p>
        </w:tc>
      </w:tr>
      <w:tr>
        <w:trPr>
          <w:cantSplit/>
        </w:trPr>
        <w:tc>
          <w:tcPr>
            <w:tcW w:type="dxa" w:w="2774"/>
            <w:shd w:val="clear" w:color="auto" w:fill="E6ECFD"/>
            <w:vAlign w:val="center"/>
          </w:tcPr>
          <w:p>
            <w:pPr>
              <w:spacing w:after="20" w:before="20" w:line="252" w:lineRule="auto"/>
            </w:pPr>
            <w:r/>
            <w:r>
              <w:rPr>
                <w:rFonts w:ascii="Arial" w:hAnsi="Arial"/>
                <w:b/>
                <w:i w:val="0"/>
                <w:sz w:val="17"/>
              </w:rPr>
              <w:t>11,4 juta; 976 ribu</w:t>
            </w:r>
          </w:p>
        </w:tc>
        <w:tc>
          <w:tcPr>
            <w:tcW w:type="dxa" w:w="5944"/>
            <w:shd w:val="clear" w:color="auto" w:fill="E6ECFD"/>
            <w:vAlign w:val="center"/>
          </w:tcPr>
          <w:p>
            <w:pPr>
              <w:spacing w:after="20" w:before="20" w:line="252" w:lineRule="auto"/>
            </w:pPr>
            <w:r/>
            <w:r>
              <w:rPr>
                <w:rFonts w:ascii="Arial" w:hAnsi="Arial"/>
                <w:b w:val="0"/>
                <w:i w:val="0"/>
                <w:sz w:val="17"/>
              </w:rPr>
              <w:t>Tahun-kerja konstruksi dan pekerjaan tetap yang didukung pipeline (bruto)</w:t>
            </w:r>
          </w:p>
        </w:tc>
        <w:tc>
          <w:tcPr>
            <w:tcW w:type="dxa" w:w="693"/>
            <w:shd w:val="clear" w:color="auto" w:fill="E6ECFD"/>
            <w:vAlign w:val="center"/>
          </w:tcPr>
          <w:p>
            <w:pPr>
              <w:spacing w:after="20" w:before="20" w:line="252" w:lineRule="auto"/>
            </w:pPr>
            <w:r/>
            <w:r>
              <w:rPr>
                <w:rFonts w:ascii="Arial" w:hAnsi="Arial"/>
                <w:b w:val="0"/>
                <w:i w:val="0"/>
                <w:sz w:val="17"/>
              </w:rPr>
              <w:t>D</w:t>
            </w:r>
          </w:p>
        </w:tc>
      </w:tr>
    </w:tbl>
    <w:p>
      <w:pPr>
        <w:spacing w:after="160"/>
      </w:pPr>
      <w:r>
        <w:rPr>
          <w:rFonts w:ascii="Arial" w:hAnsi="Arial"/>
          <w:b w:val="0"/>
          <w:i/>
          <w:color w:val="051C5C"/>
          <w:sz w:val="17"/>
        </w:rPr>
        <w:t>Sumber: [K], [VERO], [PLAT hlm. 3], [PAL hlm. 8]. *Dihitung penyusun dari register; kelas ikut kelas sumbernya. Rp2.091 T = 578 + 118 + 24 + 1.371 (pembulatan).</w:t>
      </w:r>
    </w:p>
    <w:p>
      <w:pPr>
        <w:jc w:val="both"/>
      </w:pPr>
      <w:r>
        <w:rPr>
          <w:rFonts w:ascii="Arial" w:hAnsi="Arial"/>
          <w:b/>
          <w:i w:val="0"/>
        </w:rPr>
        <w:t>Usulan.</w:t>
      </w:r>
      <w:r>
        <w:rPr>
          <w:rFonts w:ascii="Arial" w:hAnsi="Arial"/>
          <w:b w:val="0"/>
          <w:i w:val="0"/>
        </w:rPr>
        <w:t xml:space="preserve"> DPMS terdiri dari tujuh komponen: kebijakan dan standar; organisasi dan peran (unit Industri Strategis atau NITO sebagai kantor manajemen proyek (PMO) portofolio); proses dan gerbang terpadu; artefak dan templat; data dan teknologi; kinerja dan pelaporan; serta kapabilitas dan budaya (Bab 15, Bab 16). Standar minimumnya mencakup identitas tunggal; sponsor dan direktur proyek yang ditunjuk dengan nama; estimasi kelas 3 dan kontingensi berbasis risiko sebelum keputusan modal; baseline yang dibekukan pada P4; tiga pemeriksaan pada setiap permintaan pembelian; pencairan berbasis tonggak yang diverifikasi independen; dan pelepasan pesanan pemasok sesuai gerbang S.</w:t>
      </w:r>
    </w:p>
    <w:p>
      <w:pPr>
        <w:jc w:val="both"/>
      </w:pPr>
      <w:r>
        <w:rPr>
          <w:rFonts w:ascii="Arial" w:hAnsi="Arial"/>
          <w:b/>
          <w:i w:val="0"/>
        </w:rPr>
        <w:t>Lima keputusan yang diusulkan untuk dipertimbangkan pimpinan Danantara</w:t>
      </w:r>
      <w:r>
        <w:rPr>
          <w:rFonts w:ascii="Arial" w:hAnsi="Arial"/>
          <w:b w:val="0"/>
          <w:i w:val="0"/>
        </w:rPr>
        <w:t xml:space="preserve"> (Hari 0 adalah tanggal persetujuan prinsip): (1) menyetujui prinsip DPMS dan uji coba 90 hari; (2) mengesahkan register 40 slot yang direkonsiliasi sebagai penyebut tunggal pada Hari 45; (3) menunjuk sponsor dan direktur proyek pada Hari 45; (4) menetapkan gerbang DOCK-UP dan desain uji coba pada Hari 60; (5) menetapkan scorecard pada Hari 90. Dua belas rekomendasi lengkap ada pada subbab 17.3.</w:t>
      </w:r>
    </w:p>
    <w:p>
      <w:pPr>
        <w:sectPr>
          <w:footerReference w:type="default" r:id="rId10"/>
          <w:headerReference w:type="default" r:id="rId11"/>
          <w:pgSz w:w="11906" w:h="16838"/>
          <w:pgMar w:top="1247" w:right="1247" w:bottom="1134" w:left="1247" w:header="720" w:footer="720" w:gutter="0"/>
          <w:pgNumType w:fmt="lowerRoman" w:start="1"/>
          <w:cols w:space="720"/>
          <w:docGrid w:linePitch="360"/>
        </w:sectPr>
      </w:pPr>
    </w:p>
    <w:p>
      <w:pPr>
        <w:pStyle w:val="Heading1"/>
      </w:pPr>
      <w:bookmarkStart w:id="2" w:name="_Toc002"/>
      <w:r>
        <w:t>1  Pendahuluan</w:t>
      </w:r>
      <w:bookmarkEnd w:id="2"/>
    </w:p>
    <w:p>
      <w:pPr>
        <w:pStyle w:val="Heading2"/>
      </w:pPr>
      <w:r>
        <w:t>1.1  Latar belakang</w:t>
      </w:r>
    </w:p>
    <w:p>
      <w:pPr>
        <w:jc w:val="both"/>
      </w:pPr>
      <w:r>
        <w:rPr>
          <w:rFonts w:ascii="Arial" w:hAnsi="Arial"/>
          <w:b w:val="0"/>
          <w:i w:val="0"/>
        </w:rPr>
        <w:t>Kebijakan industri dan pembiayaan baru menghasilkan manfaat bila setiap proyek dikelola dari sisi lingkup, biaya, jadwal, mutu, risiko, dan kontrak. Bagi Danantara hal ini relevan karena agenda industrialisasinya dijalankan terutama melalui proyek: portofolio 40 slot proyek strategis, proyek pengembangan pemasok, proyek pembiayaan, dan proyek reformasi BUMN [K §4.6].</w:t>
      </w:r>
    </w:p>
    <w:p>
      <w:pPr>
        <w:jc w:val="both"/>
      </w:pPr>
      <w:r>
        <w:rPr>
          <w:rFonts w:ascii="Arial" w:hAnsi="Arial"/>
          <w:b w:val="0"/>
          <w:i w:val="0"/>
        </w:rPr>
        <w:t>Dokumen kerja yang ditelaah belum memuat register terintegrasi yang menghubungkan setiap proyek dengan pemimpin, tahap keputusan, dan hasilnya. Hanya 18 dari 40 slot yang bernama, dan dua total dalam sumber berbeda Rp18,93 triliun [K §4.6; EVAL §1]. Pada sisi pelaksana, dokumen platform mengaitkan estimasi kerugian 2025 empat BUMN Karya (sekitar Rp28 triliun) dengan ekspansi tanpa seleksi, margin tipis, piutang yang terlambat, risiko EPC dan turnkey, serta insentif yang mengukur penyelesaian proyek [PLAT hlm. 3]. Dibanding lapisan mandat dan pembiayaan, lapisan manajemen proyek dan portofolio tampak paling kurang berkembang dalam dokumen tersebut.</w:t>
      </w:r>
    </w:p>
    <w:p>
      <w:pPr>
        <w:pStyle w:val="Heading2"/>
      </w:pPr>
      <w:r>
        <w:t>1.2  Tujuan dan pertanyaan</w:t>
      </w:r>
    </w:p>
    <w:p>
      <w:pPr>
        <w:jc w:val="both"/>
      </w:pPr>
      <w:r>
        <w:rPr>
          <w:rFonts w:ascii="Arial" w:hAnsi="Arial"/>
          <w:b w:val="0"/>
          <w:i w:val="0"/>
        </w:rPr>
        <w:t>Makalah ini bertujuan (1) menjelaskan kerangka manajemen proyek, program, dan portofolio; (2) menunjukkan cara area pengetahuan inti bekerja pada proyek padat modal dan berdimensi industri; (3) membandingkan praktik dan rancangan dalam dokumen sumber dengan kerangka itu, termasuk celahnya; dan (4) mengusulkan DPMS beserta peta jalan penerapannya. Pertanyaan yang dijawab, menurut bab:</w:t>
      </w:r>
    </w:p>
    <w:p>
      <w:pPr>
        <w:pStyle w:val="ListBullet"/>
        <w:spacing w:after="40"/>
      </w:pPr>
      <w:r>
        <w:rPr>
          <w:rFonts w:ascii="Arial" w:hAnsi="Arial"/>
          <w:b w:val="0"/>
          <w:i w:val="0"/>
        </w:rPr>
        <w:t>Konsep dan standar apa yang menjadi rujukan (Bab 2)?</w:t>
      </w:r>
    </w:p>
    <w:p>
      <w:pPr>
        <w:pStyle w:val="ListBullet"/>
        <w:spacing w:after="40"/>
      </w:pPr>
      <w:r>
        <w:rPr>
          <w:rFonts w:ascii="Arial" w:hAnsi="Arial"/>
          <w:b w:val="0"/>
          <w:i w:val="0"/>
        </w:rPr>
        <w:t>Bagaimana proyek diatur dan diputuskan lewat tata kelola, gerbang, dan PMO (Bab 3)?</w:t>
      </w:r>
    </w:p>
    <w:p>
      <w:pPr>
        <w:pStyle w:val="ListBullet"/>
        <w:spacing w:after="40"/>
      </w:pPr>
      <w:r>
        <w:rPr>
          <w:rFonts w:ascii="Arial" w:hAnsi="Arial"/>
          <w:b w:val="0"/>
          <w:i w:val="0"/>
        </w:rPr>
        <w:t>Bagaimana lingkup, jadwal, biaya, dan risiko dikendalikan (Bab 4 sampai Bab 7)?</w:t>
      </w:r>
    </w:p>
    <w:p>
      <w:pPr>
        <w:pStyle w:val="ListBullet"/>
        <w:spacing w:after="40"/>
      </w:pPr>
      <w:r>
        <w:rPr>
          <w:rFonts w:ascii="Arial" w:hAnsi="Arial"/>
          <w:b w:val="0"/>
          <w:i w:val="0"/>
        </w:rPr>
        <w:t>Bagaimana pengadaan, kontrak, mutu, pemangku kepentingan, pembiayaan, dan manfaat dikelola (Bab 8 sampai Bab 10)?</w:t>
      </w:r>
    </w:p>
    <w:p>
      <w:pPr>
        <w:pStyle w:val="ListBullet"/>
        <w:spacing w:after="40"/>
      </w:pPr>
      <w:r>
        <w:rPr>
          <w:rFonts w:ascii="Arial" w:hAnsi="Arial"/>
          <w:b w:val="0"/>
          <w:i w:val="0"/>
        </w:rPr>
        <w:t>Bagaimana kinerja diukur dan bagaimana AI multiagen membantu (Bab 11, Bab 12)?</w:t>
      </w:r>
    </w:p>
    <w:p>
      <w:pPr>
        <w:pStyle w:val="ListBullet"/>
        <w:spacing w:after="40"/>
      </w:pPr>
      <w:r>
        <w:rPr>
          <w:rFonts w:ascii="Arial" w:hAnsi="Arial"/>
          <w:b w:val="0"/>
          <w:i w:val="0"/>
        </w:rPr>
        <w:t>Apa pelajaran dari BUMN Karya dan dari register 40 slot (Bab 13, Bab 14)?</w:t>
      </w:r>
    </w:p>
    <w:p>
      <w:pPr>
        <w:pStyle w:val="ListBullet"/>
        <w:spacing w:after="120"/>
      </w:pPr>
      <w:r>
        <w:rPr>
          <w:rFonts w:ascii="Arial" w:hAnsi="Arial"/>
          <w:b w:val="0"/>
          <w:i w:val="0"/>
        </w:rPr>
        <w:t>Sistem apa yang diusulkan, bagaimana menerapkannya, dan apa risikonya (Bab 15 sampai Bab 17)?</w:t>
      </w:r>
    </w:p>
    <w:p>
      <w:pPr>
        <w:pStyle w:val="Heading2"/>
      </w:pPr>
      <w:r>
        <w:t>1.3  Ruang lingkup, metode, dan konvensi</w:t>
      </w:r>
    </w:p>
    <w:p>
      <w:pPr>
        <w:jc w:val="both"/>
      </w:pPr>
      <w:r>
        <w:rPr>
          <w:rFonts w:ascii="Arial" w:hAnsi="Arial"/>
          <w:b w:val="0"/>
          <w:i w:val="0"/>
        </w:rPr>
        <w:t>Makalah ini bersifat analitis dan konsultatif. Dokumen sumber tentang Danantara seluruhnya draf kerja; evaluasi tata kelola dalam sumber mengakui bahwa tidak ada pemeriksaan berkas proyek [EVAL §1]. Karena itu setiap kalimat tentang Danantara dalam makalah ini harus dibaca sebagai isi dokumen sumber atau usulan penyusun, bukan sebagai pernyataan faktual tentang praktik internal. Pembahasan teori mengikuti standar yang diakui; contoh hitung generik ditandai ilustratif.</w:t>
      </w:r>
    </w:p>
    <w:p>
      <w:pPr>
        <w:jc w:val="both"/>
      </w:pPr>
      <w:r>
        <w:rPr>
          <w:rFonts w:ascii="Arial" w:hAnsi="Arial"/>
          <w:b w:val="0"/>
          <w:i w:val="0"/>
        </w:rPr>
        <w:t>Makalah disusun dari tiga lapisan: teori dan standar manajemen proyek; dokumen sumber Danantara yang dibaca (Lampiran E); dan analisis penyusun berupa rekonsiliasi angka, pemetaan celah, dan rancangan sistem.</w:t>
      </w:r>
    </w:p>
    <w:p>
      <w:pPr>
        <w:keepNext/>
        <w:keepLines/>
        <w:pBdr>
          <w:left w:val="single" w:sz="36" w:space="8" w:color="2251FF"/>
        </w:pBdr>
        <w:shd w:val="clear" w:color="auto" w:fill="E6ECFD"/>
        <w:spacing w:after="0" w:before="0"/>
        <w:ind w:left="170" w:right="113"/>
      </w:pPr>
      <w:r>
        <w:rPr>
          <w:rFonts w:ascii="Arial" w:hAnsi="Arial"/>
          <w:b/>
          <w:i w:val="0"/>
          <w:color w:val="051C5C"/>
          <w:sz w:val="21"/>
        </w:rPr>
        <w:t>Konvensi yang dipakai</w:t>
      </w:r>
    </w:p>
    <w:p>
      <w:pPr>
        <w:keepNext/>
        <w:keepLines/>
        <w:pBdr>
          <w:left w:val="single" w:sz="36" w:space="8" w:color="2251FF"/>
        </w:pBdr>
        <w:shd w:val="clear" w:color="auto" w:fill="E6ECFD"/>
        <w:spacing w:after="0" w:before="0"/>
        <w:ind w:left="170" w:right="113"/>
      </w:pPr>
      <w:r>
        <w:rPr>
          <w:rFonts w:ascii="Arial" w:hAnsi="Arial"/>
          <w:b/>
          <w:i w:val="0"/>
          <w:sz w:val="20"/>
        </w:rPr>
        <w:t>Kelas bukti:</w:t>
      </w:r>
      <w:r>
        <w:rPr>
          <w:rFonts w:ascii="Arial" w:hAnsi="Arial"/>
          <w:b w:val="0"/>
          <w:i w:val="0"/>
          <w:sz w:val="20"/>
        </w:rPr>
        <w:t xml:space="preserve"> A teraudit; B dilaporkan resmi; C pengumuman, proyeksi, atau estimasi; D ilustrasi atau asumsi; NR tidak dapat dinilai. Angka dari sumber Danantara umumnya kelas C atau D.</w:t>
      </w:r>
    </w:p>
    <w:p>
      <w:pPr>
        <w:keepNext/>
        <w:keepLines/>
        <w:pBdr>
          <w:left w:val="single" w:sz="36" w:space="8" w:color="2251FF"/>
        </w:pBdr>
        <w:shd w:val="clear" w:color="auto" w:fill="E6ECFD"/>
        <w:spacing w:after="0" w:before="0"/>
        <w:ind w:left="170" w:right="113"/>
      </w:pPr>
      <w:r>
        <w:rPr>
          <w:rFonts w:ascii="Arial" w:hAnsi="Arial"/>
          <w:b/>
          <w:i w:val="0"/>
          <w:sz w:val="20"/>
        </w:rPr>
        <w:t>Rujukan:</w:t>
      </w:r>
      <w:r>
        <w:rPr>
          <w:rFonts w:ascii="Arial" w:hAnsi="Arial"/>
          <w:b w:val="0"/>
          <w:i w:val="0"/>
          <w:sz w:val="20"/>
        </w:rPr>
        <w:t xml:space="preserve"> [K §7.4] menunjuk subbab Kajian Komite Pengarah (Kajian) yang menjadi sumber; [EVAL §11], [PLAT hlm. 3], [DOCK hlm. 6], [PAL hlm. 8], [VERO], [EXEC slide 17], dan [EPC §4.1] menunjuk dokumen lain pada Lampiran E. Kata "Bab" dan nomor tanpa kurung siku menunjuk makalah ini.</w:t>
      </w:r>
    </w:p>
    <w:p>
      <w:pPr>
        <w:keepNext/>
        <w:keepLines/>
        <w:pBdr>
          <w:left w:val="single" w:sz="36" w:space="8" w:color="2251FF"/>
        </w:pBdr>
        <w:shd w:val="clear" w:color="auto" w:fill="E6ECFD"/>
        <w:spacing w:after="0" w:before="0"/>
        <w:ind w:left="170" w:right="113"/>
      </w:pPr>
      <w:r>
        <w:rPr>
          <w:rFonts w:ascii="Arial" w:hAnsi="Arial"/>
          <w:b/>
          <w:i w:val="0"/>
          <w:sz w:val="20"/>
        </w:rPr>
        <w:t>Gerbang:</w:t>
      </w:r>
      <w:r>
        <w:rPr>
          <w:rFonts w:ascii="Arial" w:hAnsi="Arial"/>
          <w:b w:val="0"/>
          <w:i w:val="0"/>
          <w:sz w:val="20"/>
        </w:rPr>
        <w:t xml:space="preserve"> makalah ini memakai P0–P6 (proyek), M0–M9 (industri), dan S1–S4 (pemasok). Dokumen sumber memakai G0–G6 dan G1–G4; padanannya ada pada Tabel 4.</w:t>
      </w:r>
    </w:p>
    <w:p>
      <w:pPr>
        <w:keepLines/>
        <w:pBdr>
          <w:left w:val="single" w:sz="36" w:space="8" w:color="2251FF"/>
        </w:pBdr>
        <w:shd w:val="clear" w:color="auto" w:fill="E6ECFD"/>
        <w:spacing w:after="160" w:before="0"/>
        <w:ind w:left="170" w:right="113"/>
      </w:pPr>
      <w:r>
        <w:rPr>
          <w:rFonts w:ascii="Arial" w:hAnsi="Arial"/>
          <w:b/>
          <w:i w:val="0"/>
          <w:sz w:val="20"/>
        </w:rPr>
        <w:t>Satuan:</w:t>
      </w:r>
      <w:r>
        <w:rPr>
          <w:rFonts w:ascii="Arial" w:hAnsi="Arial"/>
          <w:b w:val="0"/>
          <w:i w:val="0"/>
          <w:sz w:val="20"/>
        </w:rPr>
        <w:t xml:space="preserve"> </w:t>
      </w:r>
      <w:r>
        <w:rPr>
          <w:rFonts w:ascii="Arial" w:hAnsi="Arial"/>
          <w:b w:val="0"/>
          <w:i/>
          <w:sz w:val="20"/>
        </w:rPr>
        <w:t>Rp</w:t>
      </w:r>
      <w:r>
        <w:rPr>
          <w:rFonts w:ascii="Arial" w:hAnsi="Arial"/>
          <w:b w:val="0"/>
          <w:i w:val="0"/>
          <w:sz w:val="20"/>
        </w:rPr>
        <w:t xml:space="preserve"> dalam triliun (T) atau miliar, </w:t>
      </w:r>
      <w:r>
        <w:rPr>
          <w:rFonts w:ascii="Arial" w:hAnsi="Arial"/>
          <w:b w:val="0"/>
          <w:i/>
          <w:sz w:val="20"/>
        </w:rPr>
        <w:t>US$</w:t>
      </w:r>
      <w:r>
        <w:rPr>
          <w:rFonts w:ascii="Arial" w:hAnsi="Arial"/>
          <w:b w:val="0"/>
          <w:i w:val="0"/>
          <w:sz w:val="20"/>
        </w:rPr>
        <w:t xml:space="preserve"> dalam juta atau miliar; koma sebagai pemisah desimal. "40 slot" menunjuk butir pada register kerja, bukan 40 proyek yang telah terverifikasi.</w:t>
      </w:r>
    </w:p>
    <w:p>
      <w:pPr>
        <w:jc w:val="both"/>
      </w:pPr>
      <w:r>
        <w:rPr>
          <w:rFonts w:ascii="Arial" w:hAnsi="Arial"/>
          <w:b w:val="0"/>
          <w:i w:val="0"/>
        </w:rPr>
        <w:t>Bab 2 meletakkan konsep dan standar. Bab 3 sampai 10 membahas area pengetahuan inti. Bab 11 dan 12 membahas pengukuran dan AI. Bab 13 dan 14 adalah dua studi kasus, dan Bab 15 sampai 17 memuat usulan sistem, peta jalan, dan rekomendasi. Lampiran berisi glosarium, templat, rumus, RASCI, sumber, dan catatan data.</w:t>
      </w:r>
    </w:p>
    <w:p>
      <w:pPr>
        <w:pStyle w:val="Heading1"/>
      </w:pPr>
      <w:bookmarkStart w:id="3" w:name="_Toc003"/>
      <w:r>
        <w:t>2  Landasan konseptual dan standar</w:t>
      </w:r>
      <w:bookmarkEnd w:id="3"/>
    </w:p>
    <w:p>
      <w:pPr>
        <w:pStyle w:val="Heading2"/>
      </w:pPr>
      <w:r>
        <w:t>2.1  Proyek, program, portofolio, dan operasi</w:t>
      </w:r>
    </w:p>
    <w:p>
      <w:pPr>
        <w:jc w:val="both"/>
      </w:pPr>
      <w:r>
        <w:rPr>
          <w:rFonts w:ascii="Arial" w:hAnsi="Arial"/>
          <w:b w:val="0"/>
          <w:i w:val="0"/>
        </w:rPr>
        <w:t>Proyek adalah upaya sementara untuk menghasilkan produk, layanan, atau hasil yang unik (PMI, 2021). Operasi berulang dan berkelanjutan. Garis ini penting bagi Danantara karena sebagian kegiatan yang disebut proyek, seperti pengelolaan aset BUMN dan penerbitan surat utang, berupa operasi atau transaksi; pembangunan pabrik, tanggul laut, atau kapal selam adalah proyek dalam arti sesungguhnya.</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Proyek, program, dan portofolio</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Proyek, program, dan portofolio"/>
      </w:tblPr>
      <w:tblGrid>
        <w:gridCol w:w="2353"/>
        <w:gridCol w:w="2353"/>
        <w:gridCol w:w="2353"/>
        <w:gridCol w:w="2353"/>
      </w:tblGrid>
      <w:tr>
        <w:trPr>
          <w:cantSplit/>
          <w:tblHeader/>
        </w:trPr>
        <w:tc>
          <w:tcPr>
            <w:tcW w:type="dxa" w:w="1470"/>
            <w:shd w:val="clear" w:color="auto" w:fill="2251FF"/>
            <w:vAlign w:val="center"/>
          </w:tcPr>
          <w:p>
            <w:pPr>
              <w:spacing w:after="20" w:before="20" w:line="252" w:lineRule="auto"/>
            </w:pPr>
            <w:r/>
            <w:r>
              <w:rPr>
                <w:rFonts w:ascii="Arial" w:hAnsi="Arial"/>
                <w:b/>
                <w:i w:val="0"/>
                <w:color w:val="FFFFFF"/>
                <w:sz w:val="17"/>
              </w:rPr>
              <w:t>Aspek</w:t>
            </w:r>
          </w:p>
        </w:tc>
        <w:tc>
          <w:tcPr>
            <w:tcW w:type="dxa" w:w="2549"/>
            <w:shd w:val="clear" w:color="auto" w:fill="2251FF"/>
            <w:vAlign w:val="center"/>
          </w:tcPr>
          <w:p>
            <w:pPr>
              <w:spacing w:after="20" w:before="20" w:line="252" w:lineRule="auto"/>
            </w:pPr>
            <w:r/>
            <w:r>
              <w:rPr>
                <w:rFonts w:ascii="Arial" w:hAnsi="Arial"/>
                <w:b/>
                <w:i w:val="0"/>
                <w:color w:val="FFFFFF"/>
                <w:sz w:val="17"/>
              </w:rPr>
              <w:t>Proyek</w:t>
            </w:r>
          </w:p>
        </w:tc>
        <w:tc>
          <w:tcPr>
            <w:tcW w:type="dxa" w:w="2745"/>
            <w:shd w:val="clear" w:color="auto" w:fill="2251FF"/>
            <w:vAlign w:val="center"/>
          </w:tcPr>
          <w:p>
            <w:pPr>
              <w:spacing w:after="20" w:before="20" w:line="252" w:lineRule="auto"/>
            </w:pPr>
            <w:r/>
            <w:r>
              <w:rPr>
                <w:rFonts w:ascii="Arial" w:hAnsi="Arial"/>
                <w:b/>
                <w:i w:val="0"/>
                <w:color w:val="FFFFFF"/>
                <w:sz w:val="17"/>
              </w:rPr>
              <w:t>Program (klaster)</w:t>
            </w:r>
          </w:p>
        </w:tc>
        <w:tc>
          <w:tcPr>
            <w:tcW w:type="dxa" w:w="2647"/>
            <w:shd w:val="clear" w:color="auto" w:fill="2251FF"/>
            <w:vAlign w:val="center"/>
          </w:tcPr>
          <w:p>
            <w:pPr>
              <w:spacing w:after="20" w:before="20" w:line="252" w:lineRule="auto"/>
            </w:pPr>
            <w:r/>
            <w:r>
              <w:rPr>
                <w:rFonts w:ascii="Arial" w:hAnsi="Arial"/>
                <w:b/>
                <w:i w:val="0"/>
                <w:color w:val="FFFFFF"/>
                <w:sz w:val="17"/>
              </w:rPr>
              <w:t>Portofolio</w:t>
            </w:r>
          </w:p>
        </w:tc>
      </w:tr>
      <w:tr>
        <w:trPr>
          <w:cantSplit/>
        </w:trPr>
        <w:tc>
          <w:tcPr>
            <w:tcW w:type="dxa" w:w="1470"/>
            <w:vAlign w:val="center"/>
          </w:tcPr>
          <w:p>
            <w:pPr>
              <w:spacing w:after="20" w:before="20" w:line="252" w:lineRule="auto"/>
            </w:pPr>
            <w:r/>
            <w:r>
              <w:rPr>
                <w:rFonts w:ascii="Arial" w:hAnsi="Arial"/>
                <w:b/>
                <w:i w:val="0"/>
                <w:sz w:val="17"/>
              </w:rPr>
              <w:t>Fokus</w:t>
            </w:r>
          </w:p>
        </w:tc>
        <w:tc>
          <w:tcPr>
            <w:tcW w:type="dxa" w:w="2549"/>
            <w:vAlign w:val="center"/>
          </w:tcPr>
          <w:p>
            <w:pPr>
              <w:spacing w:after="20" w:before="20" w:line="252" w:lineRule="auto"/>
            </w:pPr>
            <w:r/>
            <w:r>
              <w:rPr>
                <w:rFonts w:ascii="Arial" w:hAnsi="Arial"/>
                <w:b w:val="0"/>
                <w:i w:val="0"/>
                <w:sz w:val="17"/>
              </w:rPr>
              <w:t>Keluaran dalam lingkup, biaya, dan waktu</w:t>
            </w:r>
          </w:p>
        </w:tc>
        <w:tc>
          <w:tcPr>
            <w:tcW w:type="dxa" w:w="2745"/>
            <w:vAlign w:val="center"/>
          </w:tcPr>
          <w:p>
            <w:pPr>
              <w:spacing w:after="20" w:before="20" w:line="252" w:lineRule="auto"/>
            </w:pPr>
            <w:r/>
            <w:r>
              <w:rPr>
                <w:rFonts w:ascii="Arial" w:hAnsi="Arial"/>
                <w:b w:val="0"/>
                <w:i w:val="0"/>
                <w:sz w:val="17"/>
              </w:rPr>
              <w:t>Manfaat yang tidak tercapai bila proyek dikelola terpisah</w:t>
            </w:r>
          </w:p>
        </w:tc>
        <w:tc>
          <w:tcPr>
            <w:tcW w:type="dxa" w:w="2647"/>
            <w:vAlign w:val="center"/>
          </w:tcPr>
          <w:p>
            <w:pPr>
              <w:spacing w:after="20" w:before="20" w:line="252" w:lineRule="auto"/>
            </w:pPr>
            <w:r/>
            <w:r>
              <w:rPr>
                <w:rFonts w:ascii="Arial" w:hAnsi="Arial"/>
                <w:b w:val="0"/>
                <w:i w:val="0"/>
                <w:sz w:val="17"/>
              </w:rPr>
              <w:t>Pemilihan, urutan, dan keseimbangan investasi</w:t>
            </w:r>
          </w:p>
        </w:tc>
      </w:tr>
      <w:tr>
        <w:trPr>
          <w:cantSplit/>
        </w:trPr>
        <w:tc>
          <w:tcPr>
            <w:tcW w:type="dxa" w:w="1470"/>
            <w:shd w:val="clear" w:color="auto" w:fill="E6ECFD"/>
            <w:vAlign w:val="center"/>
          </w:tcPr>
          <w:p>
            <w:pPr>
              <w:spacing w:after="20" w:before="20" w:line="252" w:lineRule="auto"/>
            </w:pPr>
            <w:r/>
            <w:r>
              <w:rPr>
                <w:rFonts w:ascii="Arial" w:hAnsi="Arial"/>
                <w:b/>
                <w:i w:val="0"/>
                <w:sz w:val="17"/>
              </w:rPr>
              <w:t>Pertanyaan</w:t>
            </w:r>
          </w:p>
        </w:tc>
        <w:tc>
          <w:tcPr>
            <w:tcW w:type="dxa" w:w="2549"/>
            <w:shd w:val="clear" w:color="auto" w:fill="E6ECFD"/>
            <w:vAlign w:val="center"/>
          </w:tcPr>
          <w:p>
            <w:pPr>
              <w:spacing w:after="20" w:before="20" w:line="252" w:lineRule="auto"/>
            </w:pPr>
            <w:r/>
            <w:r>
              <w:rPr>
                <w:rFonts w:ascii="Arial" w:hAnsi="Arial"/>
                <w:b w:val="0"/>
                <w:i w:val="0"/>
                <w:sz w:val="17"/>
              </w:rPr>
              <w:t>Apakah kita membangun dengan benar?</w:t>
            </w:r>
          </w:p>
        </w:tc>
        <w:tc>
          <w:tcPr>
            <w:tcW w:type="dxa" w:w="2745"/>
            <w:shd w:val="clear" w:color="auto" w:fill="E6ECFD"/>
            <w:vAlign w:val="center"/>
          </w:tcPr>
          <w:p>
            <w:pPr>
              <w:spacing w:after="20" w:before="20" w:line="252" w:lineRule="auto"/>
            </w:pPr>
            <w:r/>
            <w:r>
              <w:rPr>
                <w:rFonts w:ascii="Arial" w:hAnsi="Arial"/>
                <w:b w:val="0"/>
                <w:i w:val="0"/>
                <w:sz w:val="17"/>
              </w:rPr>
              <w:t>Apakah manfaat tercapai?</w:t>
            </w:r>
          </w:p>
        </w:tc>
        <w:tc>
          <w:tcPr>
            <w:tcW w:type="dxa" w:w="2647"/>
            <w:shd w:val="clear" w:color="auto" w:fill="E6ECFD"/>
            <w:vAlign w:val="center"/>
          </w:tcPr>
          <w:p>
            <w:pPr>
              <w:spacing w:after="20" w:before="20" w:line="252" w:lineRule="auto"/>
            </w:pPr>
            <w:r/>
            <w:r>
              <w:rPr>
                <w:rFonts w:ascii="Arial" w:hAnsi="Arial"/>
                <w:b w:val="0"/>
                <w:i w:val="0"/>
                <w:sz w:val="17"/>
              </w:rPr>
              <w:t>Apakah kita membangun hal yang benar, dengan urutan yang tepat?</w:t>
            </w:r>
          </w:p>
        </w:tc>
      </w:tr>
      <w:tr>
        <w:trPr>
          <w:cantSplit/>
        </w:trPr>
        <w:tc>
          <w:tcPr>
            <w:tcW w:type="dxa" w:w="1470"/>
            <w:vAlign w:val="center"/>
          </w:tcPr>
          <w:p>
            <w:pPr>
              <w:spacing w:after="20" w:before="20" w:line="252" w:lineRule="auto"/>
            </w:pPr>
            <w:r/>
            <w:r>
              <w:rPr>
                <w:rFonts w:ascii="Arial" w:hAnsi="Arial"/>
                <w:b/>
                <w:i w:val="0"/>
                <w:sz w:val="17"/>
              </w:rPr>
              <w:t>Contoh di Danantara</w:t>
            </w:r>
          </w:p>
        </w:tc>
        <w:tc>
          <w:tcPr>
            <w:tcW w:type="dxa" w:w="2549"/>
            <w:vAlign w:val="center"/>
          </w:tcPr>
          <w:p>
            <w:pPr>
              <w:spacing w:after="20" w:before="20" w:line="252" w:lineRule="auto"/>
            </w:pPr>
            <w:r/>
            <w:r>
              <w:rPr>
                <w:rFonts w:ascii="Arial" w:hAnsi="Arial"/>
                <w:b w:val="0"/>
                <w:i w:val="0"/>
                <w:sz w:val="17"/>
              </w:rPr>
              <w:t>PSEL Bogor Raya 1; satu kapal selam PT PAL</w:t>
            </w:r>
          </w:p>
        </w:tc>
        <w:tc>
          <w:tcPr>
            <w:tcW w:type="dxa" w:w="2745"/>
            <w:vAlign w:val="center"/>
          </w:tcPr>
          <w:p>
            <w:pPr>
              <w:spacing w:after="20" w:before="20" w:line="252" w:lineRule="auto"/>
            </w:pPr>
            <w:r/>
            <w:r>
              <w:rPr>
                <w:rFonts w:ascii="Arial" w:hAnsi="Arial"/>
                <w:b w:val="0"/>
                <w:i w:val="0"/>
                <w:sz w:val="17"/>
              </w:rPr>
              <w:t>Platform industri maritim (galangan, komponen, MRO, pemasok)</w:t>
            </w:r>
          </w:p>
        </w:tc>
        <w:tc>
          <w:tcPr>
            <w:tcW w:type="dxa" w:w="2647"/>
            <w:vAlign w:val="center"/>
          </w:tcPr>
          <w:p>
            <w:pPr>
              <w:spacing w:after="20" w:before="20" w:line="252" w:lineRule="auto"/>
            </w:pPr>
            <w:r/>
            <w:r>
              <w:rPr>
                <w:rFonts w:ascii="Arial" w:hAnsi="Arial"/>
                <w:b w:val="0"/>
                <w:i w:val="0"/>
                <w:sz w:val="17"/>
              </w:rPr>
              <w:t>Lima portofolio dan 40 slot proyek strategis</w:t>
            </w:r>
          </w:p>
        </w:tc>
      </w:tr>
    </w:tbl>
    <w:p>
      <w:pPr>
        <w:spacing w:after="160"/>
      </w:pPr>
      <w:r>
        <w:rPr>
          <w:rFonts w:ascii="Arial" w:hAnsi="Arial"/>
          <w:b w:val="0"/>
          <w:i/>
          <w:color w:val="051C5C"/>
          <w:sz w:val="17"/>
        </w:rPr>
        <w:t>Sumber: PMI (2021); ISO 21502:2020; contoh dari [K §5.4] dan [PLAT hlm. 2]. Analisis penyusun.</w:t>
      </w:r>
    </w:p>
    <w:p>
      <w:pPr>
        <w:jc w:val="both"/>
      </w:pPr>
      <w:r>
        <w:rPr>
          <w:rFonts w:ascii="Arial" w:hAnsi="Arial"/>
          <w:b w:val="0"/>
          <w:i w:val="0"/>
        </w:rPr>
        <w:t>Evaluasi tata kelola dalam sumber menyatakan bahwa kesenjangan Danantara "bukan kekurangan jabatan, melainkan tidak adanya lapisan pengelolaan portofolio yang memiliki register, mengintegrasikan lintas arm, menyelesaikan hambatan dan mengukur hasil" [EVAL §5]. Pembedaan proyek, program, dan portofolio memperjelas letak kesenjangan itu: fungsi korporasi sudah ada, sedangkan pertanyaan portofolio belum dijawab secara sistematis.</w:t>
      </w:r>
    </w:p>
    <w:p>
      <w:pPr>
        <w:pStyle w:val="Heading2"/>
      </w:pPr>
      <w:r>
        <w:t>2.2  Siklus hidup proyek</w:t>
      </w:r>
    </w:p>
    <w:p>
      <w:pPr>
        <w:jc w:val="both"/>
      </w:pPr>
      <w:r>
        <w:rPr>
          <w:rFonts w:ascii="Arial" w:hAnsi="Arial"/>
          <w:b w:val="0"/>
          <w:i w:val="0"/>
        </w:rPr>
        <w:t xml:space="preserve">Proyek bergerak dari gagasan dan seleksi, konsep, prakelayakan, desain dan kesiapan investasi, keputusan modal, pelaksanaan, komisioning, sampai operasi dan evaluasi. Pada proyek industri dan energi, tahap awal disebut </w:t>
      </w:r>
      <w:r>
        <w:rPr>
          <w:rFonts w:ascii="Arial" w:hAnsi="Arial"/>
          <w:b w:val="0"/>
          <w:i/>
        </w:rPr>
        <w:t>front-end loading</w:t>
      </w:r>
      <w:r>
        <w:rPr>
          <w:rFonts w:ascii="Arial" w:hAnsi="Arial"/>
          <w:b w:val="0"/>
          <w:i w:val="0"/>
        </w:rPr>
        <w:t xml:space="preserve"> (FEL): FEL 1 (pemilihan konsep), FEL 2 (prakelayakan), dan FEL 3 (</w:t>
      </w:r>
      <w:r>
        <w:rPr>
          <w:rFonts w:ascii="Arial" w:hAnsi="Arial"/>
          <w:b w:val="0"/>
          <w:i/>
        </w:rPr>
        <w:t>front-end engineering design</w:t>
      </w:r>
      <w:r>
        <w:rPr>
          <w:rFonts w:ascii="Arial" w:hAnsi="Arial"/>
          <w:b w:val="0"/>
          <w:i w:val="0"/>
        </w:rPr>
        <w:t>, FEED, dan kesiapan pembiayaan). Studi CII menunjukkan keterkaitan antara kelengkapan definisi proyek sebelum keputusan investasi akhir (FID) dan hasil biaya serta jadwal pada pelaksanaan (Gibson dan Hamilton, 1994).</w:t>
      </w:r>
    </w:p>
    <w:p>
      <w:pPr>
        <w:keepNext/>
        <w:jc w:val="center"/>
      </w:pPr>
      <w:r>
        <w:drawing>
          <wp:inline xmlns:a="http://schemas.openxmlformats.org/drawingml/2006/main" xmlns:pic="http://schemas.openxmlformats.org/drawingml/2006/picture">
            <wp:extent cx="5580000" cy="3491270"/>
            <wp:docPr id="1" name="Picture 1" descr="Kemampuan memengaruhi hasil menurun dan biaya perubahan naik sepanjang siklus hidup; gerbang menandai titik keputusan" title="Kemampuan memengaruhi hasil menurun dan biaya perubahan naik sepanjang siklus hi"/>
            <wp:cNvGraphicFramePr>
              <a:graphicFrameLocks noChangeAspect="1"/>
            </wp:cNvGraphicFramePr>
            <a:graphic>
              <a:graphicData uri="http://schemas.openxmlformats.org/drawingml/2006/picture">
                <pic:pic>
                  <pic:nvPicPr>
                    <pic:cNvPr id="0" name="f_lifecycle.png"/>
                    <pic:cNvPicPr/>
                  </pic:nvPicPr>
                  <pic:blipFill>
                    <a:blip r:embed="rId14"/>
                    <a:stretch>
                      <a:fillRect/>
                    </a:stretch>
                  </pic:blipFill>
                  <pic:spPr>
                    <a:xfrm>
                      <a:off x="0" y="0"/>
                      <a:ext cx="5580000" cy="3491270"/>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Kemampuan memengaruhi hasil menurun dan biaya perubahan naik sepanjang siklus hidup; gerbang menandai titik keputusan</w:t>
      </w:r>
    </w:p>
    <w:p>
      <w:pPr>
        <w:spacing w:after="160"/>
      </w:pPr>
      <w:r>
        <w:rPr>
          <w:rFonts w:ascii="Arial" w:hAnsi="Arial"/>
          <w:b w:val="0"/>
          <w:i/>
          <w:color w:val="051C5C"/>
          <w:sz w:val="17"/>
        </w:rPr>
        <w:t>Sumber: konsep dari PMI (2021) dan CII; pemetaan gerbang dari [K §7.4]. Kurva bersifat skematis.</w:t>
      </w:r>
    </w:p>
    <w:p>
      <w:pPr>
        <w:jc w:val="both"/>
      </w:pPr>
      <w:r>
        <w:rPr>
          <w:rFonts w:ascii="Arial" w:hAnsi="Arial"/>
          <w:b w:val="0"/>
          <w:i w:val="0"/>
        </w:rPr>
        <w:t>Artinya, biaya dan perhatian pada tahap definisi hampir selalu lebih murah daripada biaya memperbaiki proyek yang sudah dibangun. Gerbang adalah titik ketika organisasi dengan sengaja memutuskan untuk melanjutkan, memperbaiki, menunda, atau menghentikan sebelum tahap berikutnya dibiayai.</w:t>
      </w:r>
    </w:p>
    <w:p>
      <w:pPr>
        <w:pStyle w:val="Heading2"/>
      </w:pPr>
      <w:r>
        <w:t>2.3  Kerangka dan standar rujukan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Kerangka dan standar yang dipakai sebagai rujukan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Kerangka dan standar yang dipakai sebagai rujukan"/>
      </w:tblPr>
      <w:tblGrid>
        <w:gridCol w:w="3137"/>
        <w:gridCol w:w="3137"/>
        <w:gridCol w:w="3137"/>
      </w:tblGrid>
      <w:tr>
        <w:trPr>
          <w:cantSplit/>
          <w:tblHeader/>
        </w:trPr>
        <w:tc>
          <w:tcPr>
            <w:tcW w:type="dxa" w:w="2941"/>
            <w:shd w:val="clear" w:color="auto" w:fill="2251FF"/>
            <w:vAlign w:val="center"/>
          </w:tcPr>
          <w:p>
            <w:pPr>
              <w:spacing w:after="20" w:before="20" w:line="252" w:lineRule="auto"/>
            </w:pPr>
            <w:r/>
            <w:r>
              <w:rPr>
                <w:rFonts w:ascii="Arial" w:hAnsi="Arial"/>
                <w:b/>
                <w:i w:val="0"/>
                <w:color w:val="FFFFFF"/>
                <w:sz w:val="17"/>
              </w:rPr>
              <w:t>Rujukan</w:t>
            </w:r>
          </w:p>
        </w:tc>
        <w:tc>
          <w:tcPr>
            <w:tcW w:type="dxa" w:w="3529"/>
            <w:shd w:val="clear" w:color="auto" w:fill="2251FF"/>
            <w:vAlign w:val="center"/>
          </w:tcPr>
          <w:p>
            <w:pPr>
              <w:spacing w:after="20" w:before="20" w:line="252" w:lineRule="auto"/>
            </w:pPr>
            <w:r/>
            <w:r>
              <w:rPr>
                <w:rFonts w:ascii="Arial" w:hAnsi="Arial"/>
                <w:b/>
                <w:i w:val="0"/>
                <w:color w:val="FFFFFF"/>
                <w:sz w:val="17"/>
              </w:rPr>
              <w:t>Ciri utama</w:t>
            </w:r>
          </w:p>
        </w:tc>
        <w:tc>
          <w:tcPr>
            <w:tcW w:type="dxa" w:w="2941"/>
            <w:shd w:val="clear" w:color="auto" w:fill="2251FF"/>
            <w:vAlign w:val="center"/>
          </w:tcPr>
          <w:p>
            <w:pPr>
              <w:spacing w:after="20" w:before="20" w:line="252" w:lineRule="auto"/>
            </w:pPr>
            <w:r/>
            <w:r>
              <w:rPr>
                <w:rFonts w:ascii="Arial" w:hAnsi="Arial"/>
                <w:b/>
                <w:i w:val="0"/>
                <w:color w:val="FFFFFF"/>
                <w:sz w:val="17"/>
              </w:rPr>
              <w:t>Dipakai untuk</w:t>
            </w:r>
          </w:p>
        </w:tc>
      </w:tr>
      <w:tr>
        <w:trPr>
          <w:cantSplit/>
        </w:trPr>
        <w:tc>
          <w:tcPr>
            <w:tcW w:type="dxa" w:w="2941"/>
            <w:vAlign w:val="center"/>
          </w:tcPr>
          <w:p>
            <w:pPr>
              <w:spacing w:after="20" w:before="20" w:line="252" w:lineRule="auto"/>
            </w:pPr>
            <w:r/>
            <w:r>
              <w:rPr>
                <w:rFonts w:ascii="Arial" w:hAnsi="Arial"/>
                <w:b/>
                <w:i w:val="0"/>
                <w:sz w:val="17"/>
              </w:rPr>
              <w:t>PMBOK Guide edisi ke-7 (PMI, 2021)</w:t>
            </w:r>
          </w:p>
        </w:tc>
        <w:tc>
          <w:tcPr>
            <w:tcW w:type="dxa" w:w="3529"/>
            <w:vAlign w:val="center"/>
          </w:tcPr>
          <w:p>
            <w:pPr>
              <w:spacing w:after="20" w:before="20" w:line="252" w:lineRule="auto"/>
            </w:pPr>
            <w:r/>
            <w:r>
              <w:rPr>
                <w:rFonts w:ascii="Arial" w:hAnsi="Arial"/>
                <w:b w:val="0"/>
                <w:i w:val="0"/>
                <w:sz w:val="17"/>
              </w:rPr>
              <w:t>Dua belas prinsip, delapan domain kinerja</w:t>
            </w:r>
          </w:p>
        </w:tc>
        <w:tc>
          <w:tcPr>
            <w:tcW w:type="dxa" w:w="2941"/>
            <w:vAlign w:val="center"/>
          </w:tcPr>
          <w:p>
            <w:pPr>
              <w:spacing w:after="20" w:before="20" w:line="252" w:lineRule="auto"/>
            </w:pPr>
            <w:r/>
            <w:r>
              <w:rPr>
                <w:rFonts w:ascii="Arial" w:hAnsi="Arial"/>
                <w:b w:val="0"/>
                <w:i w:val="0"/>
                <w:sz w:val="17"/>
              </w:rPr>
              <w:t>Bahasa dan domain umum untuk PMO</w:t>
            </w:r>
          </w:p>
        </w:tc>
      </w:tr>
      <w:tr>
        <w:trPr>
          <w:cantSplit/>
        </w:trPr>
        <w:tc>
          <w:tcPr>
            <w:tcW w:type="dxa" w:w="2941"/>
            <w:shd w:val="clear" w:color="auto" w:fill="E6ECFD"/>
            <w:vAlign w:val="center"/>
          </w:tcPr>
          <w:p>
            <w:pPr>
              <w:spacing w:after="20" w:before="20" w:line="252" w:lineRule="auto"/>
            </w:pPr>
            <w:r/>
            <w:r>
              <w:rPr>
                <w:rFonts w:ascii="Arial" w:hAnsi="Arial"/>
                <w:b/>
                <w:i w:val="0"/>
                <w:sz w:val="17"/>
              </w:rPr>
              <w:t>PRINCE2 edisi ke-7 (AXELOS, 2023)</w:t>
            </w:r>
          </w:p>
        </w:tc>
        <w:tc>
          <w:tcPr>
            <w:tcW w:type="dxa" w:w="3529"/>
            <w:shd w:val="clear" w:color="auto" w:fill="E6ECFD"/>
            <w:vAlign w:val="center"/>
          </w:tcPr>
          <w:p>
            <w:pPr>
              <w:spacing w:after="20" w:before="20" w:line="252" w:lineRule="auto"/>
            </w:pPr>
            <w:r/>
            <w:r>
              <w:rPr>
                <w:rFonts w:ascii="Arial" w:hAnsi="Arial"/>
                <w:b w:val="0"/>
                <w:i w:val="0"/>
                <w:sz w:val="17"/>
              </w:rPr>
              <w:t>Tata kelola berbasis kasus bisnis, tahap, dan manajemen berdasarkan pengecualian</w:t>
            </w:r>
          </w:p>
        </w:tc>
        <w:tc>
          <w:tcPr>
            <w:tcW w:type="dxa" w:w="2941"/>
            <w:shd w:val="clear" w:color="auto" w:fill="E6ECFD"/>
            <w:vAlign w:val="center"/>
          </w:tcPr>
          <w:p>
            <w:pPr>
              <w:spacing w:after="20" w:before="20" w:line="252" w:lineRule="auto"/>
            </w:pPr>
            <w:r/>
            <w:r>
              <w:rPr>
                <w:rFonts w:ascii="Arial" w:hAnsi="Arial"/>
                <w:b w:val="0"/>
                <w:i w:val="0"/>
                <w:sz w:val="17"/>
              </w:rPr>
              <w:t>Mekanisme gerbang dan Project Board</w:t>
            </w:r>
          </w:p>
        </w:tc>
      </w:tr>
      <w:tr>
        <w:trPr>
          <w:cantSplit/>
        </w:trPr>
        <w:tc>
          <w:tcPr>
            <w:tcW w:type="dxa" w:w="2941"/>
            <w:vAlign w:val="center"/>
          </w:tcPr>
          <w:p>
            <w:pPr>
              <w:spacing w:after="20" w:before="20" w:line="252" w:lineRule="auto"/>
            </w:pPr>
            <w:r/>
            <w:r>
              <w:rPr>
                <w:rFonts w:ascii="Arial" w:hAnsi="Arial"/>
                <w:b/>
                <w:i w:val="0"/>
                <w:sz w:val="17"/>
              </w:rPr>
              <w:t>ISO 21500/21502 dan ISO 31000</w:t>
            </w:r>
          </w:p>
        </w:tc>
        <w:tc>
          <w:tcPr>
            <w:tcW w:type="dxa" w:w="3529"/>
            <w:vAlign w:val="center"/>
          </w:tcPr>
          <w:p>
            <w:pPr>
              <w:spacing w:after="20" w:before="20" w:line="252" w:lineRule="auto"/>
            </w:pPr>
            <w:r/>
            <w:r>
              <w:rPr>
                <w:rFonts w:ascii="Arial" w:hAnsi="Arial"/>
                <w:b w:val="0"/>
                <w:i w:val="0"/>
                <w:sz w:val="17"/>
              </w:rPr>
              <w:t>Panduan netral untuk proyek, portofolio, dan risiko</w:t>
            </w:r>
          </w:p>
        </w:tc>
        <w:tc>
          <w:tcPr>
            <w:tcW w:type="dxa" w:w="2941"/>
            <w:vAlign w:val="center"/>
          </w:tcPr>
          <w:p>
            <w:pPr>
              <w:spacing w:after="20" w:before="20" w:line="252" w:lineRule="auto"/>
            </w:pPr>
            <w:r/>
            <w:r>
              <w:rPr>
                <w:rFonts w:ascii="Arial" w:hAnsi="Arial"/>
                <w:b w:val="0"/>
                <w:i w:val="0"/>
                <w:sz w:val="17"/>
              </w:rPr>
              <w:t>Piagam PMO dan register risiko</w:t>
            </w:r>
          </w:p>
        </w:tc>
      </w:tr>
      <w:tr>
        <w:trPr>
          <w:cantSplit/>
        </w:trPr>
        <w:tc>
          <w:tcPr>
            <w:tcW w:type="dxa" w:w="2941"/>
            <w:shd w:val="clear" w:color="auto" w:fill="E6ECFD"/>
            <w:vAlign w:val="center"/>
          </w:tcPr>
          <w:p>
            <w:pPr>
              <w:spacing w:after="20" w:before="20" w:line="252" w:lineRule="auto"/>
            </w:pPr>
            <w:r/>
            <w:r>
              <w:rPr>
                <w:rFonts w:ascii="Arial" w:hAnsi="Arial"/>
                <w:b/>
                <w:i w:val="0"/>
                <w:sz w:val="17"/>
              </w:rPr>
              <w:t>Praktik AACE dan CII (FEL, PDRI)</w:t>
            </w:r>
          </w:p>
        </w:tc>
        <w:tc>
          <w:tcPr>
            <w:tcW w:type="dxa" w:w="3529"/>
            <w:shd w:val="clear" w:color="auto" w:fill="E6ECFD"/>
            <w:vAlign w:val="center"/>
          </w:tcPr>
          <w:p>
            <w:pPr>
              <w:spacing w:after="20" w:before="20" w:line="252" w:lineRule="auto"/>
            </w:pPr>
            <w:r/>
            <w:r>
              <w:rPr>
                <w:rFonts w:ascii="Arial" w:hAnsi="Arial"/>
                <w:b w:val="0"/>
                <w:i w:val="0"/>
                <w:sz w:val="17"/>
              </w:rPr>
              <w:t>Kelas estimasi dan indeks kesiapan definisi</w:t>
            </w:r>
          </w:p>
        </w:tc>
        <w:tc>
          <w:tcPr>
            <w:tcW w:type="dxa" w:w="2941"/>
            <w:shd w:val="clear" w:color="auto" w:fill="E6ECFD"/>
            <w:vAlign w:val="center"/>
          </w:tcPr>
          <w:p>
            <w:pPr>
              <w:spacing w:after="20" w:before="20" w:line="252" w:lineRule="auto"/>
            </w:pPr>
            <w:r/>
            <w:r>
              <w:rPr>
                <w:rFonts w:ascii="Arial" w:hAnsi="Arial"/>
                <w:b w:val="0"/>
                <w:i w:val="0"/>
                <w:sz w:val="17"/>
              </w:rPr>
              <w:t>Disiplin estimasi pada P2–P3</w:t>
            </w:r>
          </w:p>
        </w:tc>
      </w:tr>
      <w:tr>
        <w:trPr>
          <w:cantSplit/>
        </w:trPr>
        <w:tc>
          <w:tcPr>
            <w:tcW w:type="dxa" w:w="2941"/>
            <w:vAlign w:val="center"/>
          </w:tcPr>
          <w:p>
            <w:pPr>
              <w:spacing w:after="20" w:before="20" w:line="252" w:lineRule="auto"/>
            </w:pPr>
            <w:r/>
            <w:r>
              <w:rPr>
                <w:rFonts w:ascii="Arial" w:hAnsi="Arial"/>
                <w:b/>
                <w:i w:val="0"/>
                <w:sz w:val="17"/>
              </w:rPr>
              <w:t>FIDIC (Red, Yellow, Silver Book)</w:t>
            </w:r>
          </w:p>
        </w:tc>
        <w:tc>
          <w:tcPr>
            <w:tcW w:type="dxa" w:w="3529"/>
            <w:vAlign w:val="center"/>
          </w:tcPr>
          <w:p>
            <w:pPr>
              <w:spacing w:after="20" w:before="20" w:line="252" w:lineRule="auto"/>
            </w:pPr>
            <w:r/>
            <w:r>
              <w:rPr>
                <w:rFonts w:ascii="Arial" w:hAnsi="Arial"/>
                <w:b w:val="0"/>
                <w:i w:val="0"/>
                <w:sz w:val="17"/>
              </w:rPr>
              <w:t>Bentuk kontrak dan alokasi risiko</w:t>
            </w:r>
          </w:p>
        </w:tc>
        <w:tc>
          <w:tcPr>
            <w:tcW w:type="dxa" w:w="2941"/>
            <w:vAlign w:val="center"/>
          </w:tcPr>
          <w:p>
            <w:pPr>
              <w:spacing w:after="20" w:before="20" w:line="252" w:lineRule="auto"/>
            </w:pPr>
            <w:r/>
            <w:r>
              <w:rPr>
                <w:rFonts w:ascii="Arial" w:hAnsi="Arial"/>
                <w:b w:val="0"/>
                <w:i w:val="0"/>
                <w:sz w:val="17"/>
              </w:rPr>
              <w:t>Alokasi risiko kontrak proyek jangkar</w:t>
            </w:r>
          </w:p>
        </w:tc>
      </w:tr>
      <w:tr>
        <w:trPr>
          <w:cantSplit/>
        </w:trPr>
        <w:tc>
          <w:tcPr>
            <w:tcW w:type="dxa" w:w="2941"/>
            <w:shd w:val="clear" w:color="auto" w:fill="E6ECFD"/>
            <w:vAlign w:val="center"/>
          </w:tcPr>
          <w:p>
            <w:pPr>
              <w:spacing w:after="20" w:before="20" w:line="252" w:lineRule="auto"/>
            </w:pPr>
            <w:r/>
            <w:r>
              <w:rPr>
                <w:rFonts w:ascii="Arial" w:hAnsi="Arial"/>
                <w:b/>
                <w:i w:val="0"/>
                <w:sz w:val="17"/>
              </w:rPr>
              <w:t>Standar EVM (PMI, 2019)</w:t>
            </w:r>
          </w:p>
        </w:tc>
        <w:tc>
          <w:tcPr>
            <w:tcW w:type="dxa" w:w="3529"/>
            <w:shd w:val="clear" w:color="auto" w:fill="E6ECFD"/>
            <w:vAlign w:val="center"/>
          </w:tcPr>
          <w:p>
            <w:pPr>
              <w:spacing w:after="20" w:before="20" w:line="252" w:lineRule="auto"/>
            </w:pPr>
            <w:r/>
            <w:r>
              <w:rPr>
                <w:rFonts w:ascii="Arial" w:hAnsi="Arial"/>
                <w:b w:val="0"/>
                <w:i w:val="0"/>
                <w:sz w:val="17"/>
              </w:rPr>
              <w:t>Pengukuran kinerja biaya dan jadwal</w:t>
            </w:r>
          </w:p>
        </w:tc>
        <w:tc>
          <w:tcPr>
            <w:tcW w:type="dxa" w:w="2941"/>
            <w:shd w:val="clear" w:color="auto" w:fill="E6ECFD"/>
            <w:vAlign w:val="center"/>
          </w:tcPr>
          <w:p>
            <w:pPr>
              <w:spacing w:after="20" w:before="20" w:line="252" w:lineRule="auto"/>
            </w:pPr>
            <w:r/>
            <w:r>
              <w:rPr>
                <w:rFonts w:ascii="Arial" w:hAnsi="Arial"/>
                <w:b w:val="0"/>
                <w:i w:val="0"/>
                <w:sz w:val="17"/>
              </w:rPr>
              <w:t>Rumus CPI, SPI, EAC</w:t>
            </w:r>
          </w:p>
        </w:tc>
      </w:tr>
    </w:tbl>
    <w:p>
      <w:pPr>
        <w:spacing w:after="160"/>
      </w:pPr>
      <w:r>
        <w:rPr>
          <w:rFonts w:ascii="Arial" w:hAnsi="Arial"/>
          <w:b w:val="0"/>
          <w:i/>
          <w:color w:val="051C5C"/>
          <w:sz w:val="17"/>
        </w:rPr>
        <w:t>Sumber: dokumen yang disebut; penilaian relevansi adalah analisis penyusun. Dokumen sumber Danantara tidak menyebut kerangka-kerangka ini secara langsung.</w:t>
      </w:r>
    </w:p>
    <w:p>
      <w:pPr>
        <w:jc w:val="both"/>
      </w:pPr>
      <w:r>
        <w:rPr>
          <w:rFonts w:ascii="Arial" w:hAnsi="Arial"/>
          <w:b w:val="0"/>
          <w:i w:val="0"/>
        </w:rPr>
        <w:t>Tidak ada satu kerangka yang cukup. Makalah ini mengusulkan agar Danantara menetapkan kebijakan manajemen proyek sendiri yang merujuk pada standar tersebut dan menetapkan ambang, artefak, dan peran minimum (Bab 15).</w:t>
      </w:r>
    </w:p>
    <w:p>
      <w:pPr>
        <w:pStyle w:val="Heading2"/>
      </w:pPr>
      <w:r>
        <w:t>2.4  Karakter proyek yang dihadapi Danantara</w:t>
      </w:r>
    </w:p>
    <w:p>
      <w:pPr>
        <w:pStyle w:val="ListBullet"/>
        <w:spacing w:after="40"/>
      </w:pPr>
      <w:r>
        <w:rPr>
          <w:rFonts w:ascii="Arial" w:hAnsi="Arial"/>
          <w:b/>
          <w:i w:val="0"/>
        </w:rPr>
        <w:t>Skala dan durasi.</w:t>
      </w:r>
      <w:r>
        <w:rPr>
          <w:rFonts w:ascii="Arial" w:hAnsi="Arial"/>
          <w:b w:val="0"/>
          <w:i w:val="0"/>
        </w:rPr>
        <w:t xml:space="preserve"> Siklus pembangunan kapal selam dan fregat 60 sampai 96 bulan [PAL hlm. 2]; PSEL Bogor Raya 1 ditargetkan beroperasi pertengahan 2028 [K §3.4]. Proyek besar secara historis cenderung melampaui biaya (Flyvbjerg dkk., 2003).</w:t>
      </w:r>
    </w:p>
    <w:p>
      <w:pPr>
        <w:pStyle w:val="ListBullet"/>
        <w:spacing w:after="40"/>
      </w:pPr>
      <w:r>
        <w:rPr>
          <w:rFonts w:ascii="Arial" w:hAnsi="Arial"/>
          <w:b/>
          <w:i w:val="0"/>
        </w:rPr>
        <w:t>Tujuan ganda.</w:t>
      </w:r>
      <w:r>
        <w:rPr>
          <w:rFonts w:ascii="Arial" w:hAnsi="Arial"/>
          <w:b w:val="0"/>
          <w:i w:val="0"/>
        </w:rPr>
        <w:t xml:space="preserve"> Selain imbal hasil, proyek diharapkan membangun kapabilitas industri dan pemasok domestik.</w:t>
      </w:r>
    </w:p>
    <w:p>
      <w:pPr>
        <w:pStyle w:val="ListBullet"/>
        <w:spacing w:after="40"/>
      </w:pPr>
      <w:r>
        <w:rPr>
          <w:rFonts w:ascii="Arial" w:hAnsi="Arial"/>
          <w:b/>
          <w:i w:val="0"/>
        </w:rPr>
        <w:t>Banyak lapisan otoritas.</w:t>
      </w:r>
      <w:r>
        <w:rPr>
          <w:rFonts w:ascii="Arial" w:hAnsi="Arial"/>
          <w:b w:val="0"/>
          <w:i w:val="0"/>
        </w:rPr>
        <w:t xml:space="preserve"> Keputusan Badan Pelaksana, keputusan perusahaan, persetujuan Dewan Pengawas dan Presiden, serta kewenangan kementerian [EVAL §12].</w:t>
      </w:r>
    </w:p>
    <w:p>
      <w:pPr>
        <w:pStyle w:val="ListBullet"/>
        <w:spacing w:after="40"/>
      </w:pPr>
      <w:r>
        <w:rPr>
          <w:rFonts w:ascii="Arial" w:hAnsi="Arial"/>
          <w:b/>
          <w:i w:val="0"/>
        </w:rPr>
        <w:t>Kandungan impor.</w:t>
      </w:r>
      <w:r>
        <w:rPr>
          <w:rFonts w:ascii="Arial" w:hAnsi="Arial"/>
          <w:b w:val="0"/>
          <w:i w:val="0"/>
        </w:rPr>
        <w:t xml:space="preserve"> PT PAL melaporkan sekitar 75% material diimpor [PAL hlm. 2].</w:t>
      </w:r>
    </w:p>
    <w:p>
      <w:pPr>
        <w:pStyle w:val="ListBullet"/>
        <w:spacing w:after="120"/>
      </w:pPr>
      <w:r>
        <w:rPr>
          <w:rFonts w:ascii="Arial" w:hAnsi="Arial"/>
          <w:b/>
          <w:i w:val="0"/>
        </w:rPr>
        <w:t>Kualitas data.</w:t>
      </w:r>
      <w:r>
        <w:rPr>
          <w:rFonts w:ascii="Arial" w:hAnsi="Arial"/>
          <w:b w:val="0"/>
          <w:i w:val="0"/>
        </w:rPr>
        <w:t xml:space="preserve"> Register 40 slot belum menjadi dasar keputusan (Bab 14).</w:t>
      </w:r>
    </w:p>
    <w:p>
      <w:pPr>
        <w:pStyle w:val="Heading2"/>
      </w:pPr>
      <w:r>
        <w:t>2.5  Prinsip dan istilah peran</w:t>
      </w:r>
    </w:p>
    <w:p>
      <w:pPr>
        <w:keepNext/>
        <w:jc w:val="both"/>
      </w:pPr>
      <w:r>
        <w:rPr>
          <w:rFonts w:ascii="Arial" w:hAnsi="Arial"/>
          <w:b w:val="0"/>
          <w:i w:val="0"/>
        </w:rPr>
        <w:t>Makalah ini bertumpu pada enam prinsip. Prinsip pertama dan kedua tampak pada DOCK-UP dan PALCapital [DOCK hlm. 5; PAL hlm. 8]; keenamnya disusun ulang oleh penyusun dari seluruh dokumen sumber.</w:t>
      </w:r>
    </w:p>
    <w:p>
      <w:pPr>
        <w:pStyle w:val="ListNumber"/>
        <w:numPr>
          <w:ilvl w:val="0"/>
          <w:numId w:val="11"/>
        </w:numPr>
        <w:spacing w:after="40"/>
      </w:pPr>
      <w:r>
        <w:rPr>
          <w:rFonts w:ascii="Arial" w:hAnsi="Arial"/>
          <w:b/>
          <w:i w:val="0"/>
        </w:rPr>
        <w:t>Uang dan volume mengikuti bukti kesiapan,</w:t>
      </w:r>
      <w:r>
        <w:rPr>
          <w:rFonts w:ascii="Arial" w:hAnsi="Arial"/>
          <w:b w:val="0"/>
          <w:i w:val="0"/>
        </w:rPr>
        <w:t xml:space="preserve"> bukan janji.</w:t>
      </w:r>
    </w:p>
    <w:p>
      <w:pPr>
        <w:pStyle w:val="ListNumber"/>
        <w:numPr>
          <w:ilvl w:val="0"/>
          <w:numId w:val="11"/>
        </w:numPr>
        <w:spacing w:after="40"/>
      </w:pPr>
      <w:r>
        <w:rPr>
          <w:rFonts w:ascii="Arial" w:hAnsi="Arial"/>
          <w:b/>
          <w:i w:val="0"/>
        </w:rPr>
        <w:t>Satu register, satu penyebut:</w:t>
      </w:r>
      <w:r>
        <w:rPr>
          <w:rFonts w:ascii="Arial" w:hAnsi="Arial"/>
          <w:b w:val="0"/>
          <w:i w:val="0"/>
        </w:rPr>
        <w:t xml:space="preserve"> setiap proyek, kontrak, pemasok, dan instrumen pembiayaan memiliki satu identitas.</w:t>
      </w:r>
    </w:p>
    <w:p>
      <w:pPr>
        <w:pStyle w:val="ListNumber"/>
        <w:numPr>
          <w:ilvl w:val="0"/>
          <w:numId w:val="11"/>
        </w:numPr>
        <w:spacing w:after="40"/>
      </w:pPr>
      <w:r>
        <w:rPr>
          <w:rFonts w:ascii="Arial" w:hAnsi="Arial"/>
          <w:b/>
          <w:i w:val="0"/>
        </w:rPr>
        <w:t>Satu pemimpin hasil per proyek,</w:t>
      </w:r>
      <w:r>
        <w:rPr>
          <w:rFonts w:ascii="Arial" w:hAnsi="Arial"/>
          <w:b w:val="0"/>
          <w:i w:val="0"/>
        </w:rPr>
        <w:t xml:space="preserve"> dan satu pemilik akuntabel (A) pada setiap aktivitas.</w:t>
      </w:r>
    </w:p>
    <w:p>
      <w:pPr>
        <w:pStyle w:val="ListNumber"/>
        <w:numPr>
          <w:ilvl w:val="0"/>
          <w:numId w:val="11"/>
        </w:numPr>
        <w:spacing w:after="40"/>
      </w:pPr>
      <w:r>
        <w:rPr>
          <w:rFonts w:ascii="Arial" w:hAnsi="Arial"/>
          <w:b/>
          <w:i w:val="0"/>
        </w:rPr>
        <w:t>Yang diukur adalah hasil tambahan,</w:t>
      </w:r>
      <w:r>
        <w:rPr>
          <w:rFonts w:ascii="Arial" w:hAnsi="Arial"/>
          <w:b w:val="0"/>
          <w:i w:val="0"/>
        </w:rPr>
        <w:t xml:space="preserve"> bukan keluaran bruto.</w:t>
      </w:r>
    </w:p>
    <w:p>
      <w:pPr>
        <w:pStyle w:val="ListNumber"/>
        <w:numPr>
          <w:ilvl w:val="0"/>
          <w:numId w:val="11"/>
        </w:numPr>
        <w:spacing w:after="40"/>
      </w:pPr>
      <w:r>
        <w:rPr>
          <w:rFonts w:ascii="Arial" w:hAnsi="Arial"/>
          <w:b/>
          <w:i w:val="0"/>
        </w:rPr>
        <w:t>Pengusul dipisahkan dari penilai.</w:t>
      </w:r>
      <w:r>
        <w:rPr>
          <w:rFonts w:ascii="Arial" w:hAnsi="Arial"/>
          <w:b w:val="0"/>
          <w:i w:val="0"/>
        </w:rPr>
        <w:t xml:space="preserve"> Fungsi risiko, hukum, dan audit independen dari pengusul proyek.</w:t>
      </w:r>
    </w:p>
    <w:p>
      <w:pPr>
        <w:pStyle w:val="ListNumber"/>
        <w:numPr>
          <w:ilvl w:val="0"/>
          <w:numId w:val="11"/>
        </w:numPr>
        <w:spacing w:after="120"/>
      </w:pPr>
      <w:r>
        <w:rPr>
          <w:rFonts w:ascii="Arial" w:hAnsi="Arial"/>
          <w:b/>
          <w:i w:val="0"/>
        </w:rPr>
        <w:t>Perubahan dikendalikan</w:t>
      </w:r>
      <w:r>
        <w:rPr>
          <w:rFonts w:ascii="Arial" w:hAnsi="Arial"/>
          <w:b w:val="0"/>
          <w:i w:val="0"/>
        </w:rPr>
        <w:t xml:space="preserve"> terhadap baseline yang dibekukan.</w:t>
      </w:r>
    </w:p>
    <w:p>
      <w:pPr>
        <w:jc w:val="both"/>
      </w:pPr>
      <w:r>
        <w:rPr>
          <w:rFonts w:ascii="Arial" w:hAnsi="Arial"/>
          <w:b w:val="0"/>
          <w:i w:val="0"/>
        </w:rPr>
        <w:t xml:space="preserve">Istilah peran dipakai secara tetap: </w:t>
      </w:r>
      <w:r>
        <w:rPr>
          <w:rFonts w:ascii="Arial" w:hAnsi="Arial"/>
          <w:b/>
          <w:i w:val="0"/>
        </w:rPr>
        <w:t>sponsor korporasi</w:t>
      </w:r>
      <w:r>
        <w:rPr>
          <w:rFonts w:ascii="Arial" w:hAnsi="Arial"/>
          <w:b w:val="0"/>
          <w:i w:val="0"/>
        </w:rPr>
        <w:t xml:space="preserve"> memiliki kasus bisnis dan mengajukan paket gerbang; </w:t>
      </w:r>
      <w:r>
        <w:rPr>
          <w:rFonts w:ascii="Arial" w:hAnsi="Arial"/>
          <w:b/>
          <w:i w:val="0"/>
        </w:rPr>
        <w:t>pengusul</w:t>
      </w:r>
      <w:r>
        <w:rPr>
          <w:rFonts w:ascii="Arial" w:hAnsi="Arial"/>
          <w:b w:val="0"/>
          <w:i w:val="0"/>
        </w:rPr>
        <w:t xml:space="preserve"> adalah pihak yang mengajukan proyek ke gerbang (biasanya sponsor); </w:t>
      </w:r>
      <w:r>
        <w:rPr>
          <w:rFonts w:ascii="Arial" w:hAnsi="Arial"/>
          <w:b/>
          <w:i w:val="0"/>
        </w:rPr>
        <w:t>direktur proyek</w:t>
      </w:r>
      <w:r>
        <w:rPr>
          <w:rFonts w:ascii="Arial" w:hAnsi="Arial"/>
          <w:b w:val="0"/>
          <w:i w:val="0"/>
        </w:rPr>
        <w:t xml:space="preserve"> memimpin pelaksanaan pada perusahaan pelaksana; </w:t>
      </w:r>
      <w:r>
        <w:rPr>
          <w:rFonts w:ascii="Arial" w:hAnsi="Arial"/>
          <w:b/>
          <w:i w:val="0"/>
        </w:rPr>
        <w:t>pemberi kerja</w:t>
      </w:r>
      <w:r>
        <w:rPr>
          <w:rFonts w:ascii="Arial" w:hAnsi="Arial"/>
          <w:b w:val="0"/>
          <w:i w:val="0"/>
        </w:rPr>
        <w:t xml:space="preserve"> adalah pihak dalam kontrak yang membayar pelaksana; </w:t>
      </w:r>
      <w:r>
        <w:rPr>
          <w:rFonts w:ascii="Arial" w:hAnsi="Arial"/>
          <w:b/>
          <w:i w:val="0"/>
        </w:rPr>
        <w:t>pemrakarsa</w:t>
      </w:r>
      <w:r>
        <w:rPr>
          <w:rFonts w:ascii="Arial" w:hAnsi="Arial"/>
          <w:b w:val="0"/>
          <w:i w:val="0"/>
        </w:rPr>
        <w:t xml:space="preserve"> adalah peminta suatu perubahan.</w:t>
      </w:r>
    </w:p>
    <w:p>
      <w:pPr>
        <w:pStyle w:val="Heading1"/>
      </w:pPr>
      <w:bookmarkStart w:id="4" w:name="_Toc004"/>
      <w:r>
        <w:t>3  Tata kelola dan gerbang</w:t>
      </w:r>
      <w:bookmarkEnd w:id="4"/>
    </w:p>
    <w:p>
      <w:pPr>
        <w:pStyle w:val="Heading2"/>
      </w:pPr>
      <w:r>
        <w:t>3.1  Mengapa tata kelola menentukan</w:t>
      </w:r>
    </w:p>
    <w:p>
      <w:pPr>
        <w:jc w:val="both"/>
      </w:pPr>
      <w:r>
        <w:rPr>
          <w:rFonts w:ascii="Arial" w:hAnsi="Arial"/>
          <w:b w:val="0"/>
          <w:i w:val="0"/>
        </w:rPr>
        <w:t>Tata kelola proyek adalah sistem yang menetapkan siapa memutuskan apa, berdasarkan bukti apa, dan dengan akuntabilitas kepada siapa. Literatur proyek besar menempatkan kejelasan tujuan, kualitas keputusan awal, dan independensi penilai sebagai penentu utama hasil (Müller, 2009; Flyvbjerg, 2014). Dokumen sumber menyatakan bahwa fondasi organ Danantara tersedia (pemisahan Dewan Pengawas dan Badan Pelaksana, keputusan Badan pada Kepala, dan kewajiban portofolio risiko pada Pasal 14 PP 10/2025), tetapi efektivitasnya belum terverifikasi [EVAL §3]. Struktur formal belum menjamin sistem yang bekerja.</w:t>
      </w:r>
    </w:p>
    <w:p>
      <w:pPr>
        <w:pStyle w:val="Heading2"/>
      </w:pPr>
      <w:r>
        <w:t>3.2  Tiga tingkat dan jaminan independen</w:t>
      </w:r>
    </w:p>
    <w:p>
      <w:pPr>
        <w:keepNext/>
        <w:jc w:val="center"/>
      </w:pPr>
      <w:r>
        <w:drawing>
          <wp:inline xmlns:a="http://schemas.openxmlformats.org/drawingml/2006/main" xmlns:pic="http://schemas.openxmlformats.org/drawingml/2006/picture">
            <wp:extent cx="5580000" cy="3556320"/>
            <wp:docPr id="2" name="Picture 2" descr="Tiga tingkat tata kelola dengan fungsi jaminan independen dan unit PMO" title="Tiga tingkat tata kelola dengan fungsi jaminan independen dan unit PMO"/>
            <wp:cNvGraphicFramePr>
              <a:graphicFrameLocks noChangeAspect="1"/>
            </wp:cNvGraphicFramePr>
            <a:graphic>
              <a:graphicData uri="http://schemas.openxmlformats.org/drawingml/2006/picture">
                <pic:pic>
                  <pic:nvPicPr>
                    <pic:cNvPr id="0" name="f_governance.png"/>
                    <pic:cNvPicPr/>
                  </pic:nvPicPr>
                  <pic:blipFill>
                    <a:blip r:embed="rId15"/>
                    <a:stretch>
                      <a:fillRect/>
                    </a:stretch>
                  </pic:blipFill>
                  <pic:spPr>
                    <a:xfrm>
                      <a:off x="0" y="0"/>
                      <a:ext cx="5580000" cy="3556320"/>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Tiga tingkat tata kelola dengan fungsi jaminan independen dan unit PMO</w:t>
      </w:r>
    </w:p>
    <w:p>
      <w:pPr>
        <w:spacing w:after="160"/>
      </w:pPr>
      <w:r>
        <w:rPr>
          <w:rFonts w:ascii="Arial" w:hAnsi="Arial"/>
          <w:b w:val="0"/>
          <w:i/>
          <w:color w:val="051C5C"/>
          <w:sz w:val="17"/>
        </w:rPr>
        <w:t>Sumber: analisis penyusun dari PRINCE2 (AXELOS, 2023), ISO 21504, [EVAL §8–10], dan [K §13].</w:t>
      </w:r>
    </w:p>
    <w:p>
      <w:pPr>
        <w:jc w:val="both"/>
      </w:pPr>
      <w:r>
        <w:rPr>
          <w:rFonts w:ascii="Arial" w:hAnsi="Arial"/>
          <w:b w:val="0"/>
          <w:i w:val="0"/>
        </w:rPr>
        <w:t>Pada tingkat portofolio, Kepala Badan Pelaksana menetapkan prioritas dan keputusan gerbang atas nama Badan, dengan unit Industri Strategis (NITO) menyiapkan paket keputusan. Pada tingkat program atau klaster, empat pemimpin klaster (mineral; energi dan infrastruktur; pertahanan dan maritim; manufaktur lain) menyelesaikan ketergantungan dan menyusun rencana lokalisasi. Pada tingkat proyek, sponsor korporasi dan direktur proyek pada perusahaan pelaksana memimpin pelaksanaan [K §13.3–13.5].</w:t>
      </w:r>
    </w:p>
    <w:p>
      <w:pPr>
        <w:pStyle w:val="Heading2"/>
      </w:pPr>
      <w:r>
        <w:t>3.3  Pemisahan peran</w:t>
      </w:r>
    </w:p>
    <w:p>
      <w:pPr>
        <w:jc w:val="both"/>
      </w:pPr>
      <w:r>
        <w:rPr>
          <w:rFonts w:ascii="Arial" w:hAnsi="Arial"/>
          <w:b w:val="0"/>
          <w:i w:val="0"/>
        </w:rPr>
        <w:t>Tiga pemisahan menjadi prasyarat tata kelola yang dapat dipercaya. Pertama, pengusul proyek dipisahkan dari penilai risiko, hukum, dan audit; fungsi penilai tidak melapor secara substantif kepada pengusul [EVAL §10]. Kedua, kewenangan tanda tangan dipisahkan dari persetujuan bisnis [EVAL §3, §13]. Ketiga, auditor tidak menjadi pemilik investasi atau pelaksana konstruksi yang kelak diaudit [EVAL §15]. Kajian juga mencatat bahwa COO, CIO, dan CTO Badan Pelaksana sekaligus memimpin DAM, DIM, dan DDMF, sehingga dokumen keputusan harus dipisahkan dan benturan kepentingan dikelola [K §3.2].</w:t>
      </w:r>
    </w:p>
    <w:p>
      <w:pPr>
        <w:pStyle w:val="Heading2"/>
      </w:pPr>
      <w:r>
        <w:t>3.4  Gerbang proyek, industri, dan pemasok</w:t>
      </w:r>
    </w:p>
    <w:p>
      <w:pPr>
        <w:jc w:val="both"/>
      </w:pPr>
      <w:r>
        <w:rPr>
          <w:rFonts w:ascii="Arial" w:hAnsi="Arial"/>
          <w:b w:val="0"/>
          <w:i w:val="0"/>
        </w:rPr>
        <w:t>Gerbang tahap, yang dipopulerkan Cooper (1990), adalah titik keputusan formal dengan kriteria masuk, keluaran yang diperiksa, pemutus yang berwenang, dan empat kemungkinan keputusan: lanjut, lanjut dengan syarat, tahan atau perbaiki, atau hentikan. Kajian mendefinisikan gerbang sebagai "keputusan untuk melanjutkan, memperbaiki, menunda atau menghentikan tahap pekerjaan, sesuai kewenangan" dan mengusulkan tujuh gerbang proyek [EVAL §11; K §7.4]. Makalah ini memadukannya dengan gerbang industri M0–M9 [VERO Milestones] dan gerbang pemasok S1–S4 [DOCK hlm. 6] pada satu lintasan.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4</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Lintasan gerbang terpadu: padanan, bukti untuk melanjutkan, dan pemilik keluaran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Lintasan gerbang terpadu: padanan, bukti untuk melanjutkan, dan pemilik keluaran"/>
      </w:tblPr>
      <w:tblGrid>
        <w:gridCol w:w="2353"/>
        <w:gridCol w:w="2353"/>
        <w:gridCol w:w="2353"/>
        <w:gridCol w:w="2353"/>
      </w:tblGrid>
      <w:tr>
        <w:trPr>
          <w:cantSplit/>
          <w:tblHeader/>
        </w:trPr>
        <w:tc>
          <w:tcPr>
            <w:tcW w:type="dxa" w:w="1953"/>
            <w:shd w:val="clear" w:color="auto" w:fill="2251FF"/>
            <w:vAlign w:val="center"/>
          </w:tcPr>
          <w:p>
            <w:pPr>
              <w:spacing w:after="20" w:before="20" w:line="252" w:lineRule="auto"/>
            </w:pPr>
            <w:r/>
            <w:r>
              <w:rPr>
                <w:rFonts w:ascii="Arial" w:hAnsi="Arial"/>
                <w:b/>
                <w:i w:val="0"/>
                <w:color w:val="FFFFFF"/>
                <w:sz w:val="16"/>
              </w:rPr>
              <w:t>Gerbang proyek</w:t>
            </w:r>
          </w:p>
        </w:tc>
        <w:tc>
          <w:tcPr>
            <w:tcW w:type="dxa" w:w="1243"/>
            <w:shd w:val="clear" w:color="auto" w:fill="2251FF"/>
            <w:vAlign w:val="center"/>
          </w:tcPr>
          <w:p>
            <w:pPr>
              <w:spacing w:after="20" w:before="20" w:line="252" w:lineRule="auto"/>
            </w:pPr>
            <w:r/>
            <w:r>
              <w:rPr>
                <w:rFonts w:ascii="Arial" w:hAnsi="Arial"/>
                <w:b/>
                <w:i w:val="0"/>
                <w:color w:val="FFFFFF"/>
                <w:sz w:val="16"/>
              </w:rPr>
              <w:t>M / S</w:t>
            </w:r>
          </w:p>
        </w:tc>
        <w:tc>
          <w:tcPr>
            <w:tcW w:type="dxa" w:w="4084"/>
            <w:shd w:val="clear" w:color="auto" w:fill="2251FF"/>
            <w:vAlign w:val="center"/>
          </w:tcPr>
          <w:p>
            <w:pPr>
              <w:spacing w:after="20" w:before="20" w:line="252" w:lineRule="auto"/>
            </w:pPr>
            <w:r/>
            <w:r>
              <w:rPr>
                <w:rFonts w:ascii="Arial" w:hAnsi="Arial"/>
                <w:b/>
                <w:i w:val="0"/>
                <w:color w:val="FFFFFF"/>
                <w:sz w:val="16"/>
              </w:rPr>
              <w:t>Bukti untuk melanjutkan</w:t>
            </w:r>
          </w:p>
        </w:tc>
        <w:tc>
          <w:tcPr>
            <w:tcW w:type="dxa" w:w="2131"/>
            <w:shd w:val="clear" w:color="auto" w:fill="2251FF"/>
            <w:vAlign w:val="center"/>
          </w:tcPr>
          <w:p>
            <w:pPr>
              <w:spacing w:after="20" w:before="20" w:line="252" w:lineRule="auto"/>
            </w:pPr>
            <w:r/>
            <w:r>
              <w:rPr>
                <w:rFonts w:ascii="Arial" w:hAnsi="Arial"/>
                <w:b/>
                <w:i w:val="0"/>
                <w:color w:val="FFFFFF"/>
                <w:sz w:val="16"/>
              </w:rPr>
              <w:t>Pemilik keluaran</w:t>
            </w:r>
          </w:p>
        </w:tc>
      </w:tr>
      <w:tr>
        <w:trPr>
          <w:cantSplit/>
        </w:trPr>
        <w:tc>
          <w:tcPr>
            <w:tcW w:type="dxa" w:w="1953"/>
            <w:vAlign w:val="center"/>
          </w:tcPr>
          <w:p>
            <w:pPr>
              <w:spacing w:after="20" w:before="20" w:line="252" w:lineRule="auto"/>
            </w:pPr>
            <w:r/>
            <w:r>
              <w:rPr>
                <w:rFonts w:ascii="Arial" w:hAnsi="Arial"/>
                <w:b/>
                <w:i w:val="0"/>
                <w:sz w:val="16"/>
              </w:rPr>
              <w:t>P0 Validasi mandat</w:t>
            </w:r>
          </w:p>
        </w:tc>
        <w:tc>
          <w:tcPr>
            <w:tcW w:type="dxa" w:w="1243"/>
            <w:vAlign w:val="center"/>
          </w:tcPr>
          <w:p>
            <w:pPr>
              <w:spacing w:after="20" w:before="20" w:line="252" w:lineRule="auto"/>
            </w:pPr>
            <w:r/>
            <w:r>
              <w:rPr>
                <w:rFonts w:ascii="Arial" w:hAnsi="Arial"/>
                <w:b w:val="0"/>
                <w:i w:val="0"/>
                <w:sz w:val="16"/>
              </w:rPr>
              <w:t>M0</w:t>
            </w:r>
          </w:p>
        </w:tc>
        <w:tc>
          <w:tcPr>
            <w:tcW w:type="dxa" w:w="4084"/>
            <w:vAlign w:val="center"/>
          </w:tcPr>
          <w:p>
            <w:pPr>
              <w:spacing w:after="20" w:before="20" w:line="252" w:lineRule="auto"/>
            </w:pPr>
            <w:r/>
            <w:r>
              <w:rPr>
                <w:rFonts w:ascii="Arial" w:hAnsi="Arial"/>
                <w:b w:val="0"/>
                <w:i w:val="0"/>
                <w:sz w:val="16"/>
              </w:rPr>
              <w:t>Identitas proyek, dasar penugasan, sponsor, batas lingkup, data biaya, jalur keputusan</w:t>
            </w:r>
          </w:p>
        </w:tc>
        <w:tc>
          <w:tcPr>
            <w:tcW w:type="dxa" w:w="2131"/>
            <w:vAlign w:val="center"/>
          </w:tcPr>
          <w:p>
            <w:pPr>
              <w:spacing w:after="20" w:before="20" w:line="252" w:lineRule="auto"/>
            </w:pPr>
            <w:r/>
            <w:r>
              <w:rPr>
                <w:rFonts w:ascii="Arial" w:hAnsi="Arial"/>
                <w:b w:val="0"/>
                <w:i w:val="0"/>
                <w:sz w:val="16"/>
              </w:rPr>
              <w:t>MD Portofolio; sponsor</w:t>
            </w:r>
          </w:p>
        </w:tc>
      </w:tr>
      <w:tr>
        <w:trPr>
          <w:cantSplit/>
        </w:trPr>
        <w:tc>
          <w:tcPr>
            <w:tcW w:type="dxa" w:w="1953"/>
            <w:shd w:val="clear" w:color="auto" w:fill="E6ECFD"/>
            <w:vAlign w:val="center"/>
          </w:tcPr>
          <w:p>
            <w:pPr>
              <w:spacing w:after="20" w:before="20" w:line="252" w:lineRule="auto"/>
            </w:pPr>
            <w:r/>
            <w:r>
              <w:rPr>
                <w:rFonts w:ascii="Arial" w:hAnsi="Arial"/>
                <w:b/>
                <w:i w:val="0"/>
                <w:sz w:val="16"/>
              </w:rPr>
              <w:t>P1 Prioritas dan opsi</w:t>
            </w:r>
          </w:p>
        </w:tc>
        <w:tc>
          <w:tcPr>
            <w:tcW w:type="dxa" w:w="1243"/>
            <w:shd w:val="clear" w:color="auto" w:fill="E6ECFD"/>
            <w:vAlign w:val="center"/>
          </w:tcPr>
          <w:p>
            <w:pPr>
              <w:spacing w:after="20" w:before="20" w:line="252" w:lineRule="auto"/>
            </w:pPr>
            <w:r/>
            <w:r>
              <w:rPr>
                <w:rFonts w:ascii="Arial" w:hAnsi="Arial"/>
                <w:b w:val="0"/>
                <w:i w:val="0"/>
                <w:sz w:val="16"/>
              </w:rPr>
              <w:t>M1</w:t>
            </w:r>
          </w:p>
        </w:tc>
        <w:tc>
          <w:tcPr>
            <w:tcW w:type="dxa" w:w="4084"/>
            <w:shd w:val="clear" w:color="auto" w:fill="E6ECFD"/>
            <w:vAlign w:val="center"/>
          </w:tcPr>
          <w:p>
            <w:pPr>
              <w:spacing w:after="20" w:before="20" w:line="252" w:lineRule="auto"/>
            </w:pPr>
            <w:r/>
            <w:r>
              <w:rPr>
                <w:rFonts w:ascii="Arial" w:hAnsi="Arial"/>
                <w:b w:val="0"/>
                <w:i w:val="0"/>
                <w:sz w:val="16"/>
              </w:rPr>
              <w:t>Kajian finansial dan dampak nasional; alternatif termasuk tidak membangun; rencana lokalisasi awal</w:t>
            </w:r>
          </w:p>
        </w:tc>
        <w:tc>
          <w:tcPr>
            <w:tcW w:type="dxa" w:w="2131"/>
            <w:shd w:val="clear" w:color="auto" w:fill="E6ECFD"/>
            <w:vAlign w:val="center"/>
          </w:tcPr>
          <w:p>
            <w:pPr>
              <w:spacing w:after="20" w:before="20" w:line="252" w:lineRule="auto"/>
            </w:pPr>
            <w:r/>
            <w:r>
              <w:rPr>
                <w:rFonts w:ascii="Arial" w:hAnsi="Arial"/>
                <w:b w:val="0"/>
                <w:i w:val="0"/>
                <w:sz w:val="16"/>
              </w:rPr>
              <w:t>MD Pengembangan Industri; sponsor</w:t>
            </w:r>
          </w:p>
        </w:tc>
      </w:tr>
      <w:tr>
        <w:trPr>
          <w:cantSplit/>
        </w:trPr>
        <w:tc>
          <w:tcPr>
            <w:tcW w:type="dxa" w:w="1953"/>
            <w:vAlign w:val="center"/>
          </w:tcPr>
          <w:p>
            <w:pPr>
              <w:spacing w:after="20" w:before="20" w:line="252" w:lineRule="auto"/>
            </w:pPr>
            <w:r/>
            <w:r>
              <w:rPr>
                <w:rFonts w:ascii="Arial" w:hAnsi="Arial"/>
                <w:b/>
                <w:i w:val="0"/>
                <w:sz w:val="16"/>
              </w:rPr>
              <w:t>P2 Kesiapan investasi</w:t>
            </w:r>
          </w:p>
        </w:tc>
        <w:tc>
          <w:tcPr>
            <w:tcW w:type="dxa" w:w="1243"/>
            <w:vAlign w:val="center"/>
          </w:tcPr>
          <w:p>
            <w:pPr>
              <w:spacing w:after="20" w:before="20" w:line="252" w:lineRule="auto"/>
            </w:pPr>
            <w:r/>
            <w:r>
              <w:rPr>
                <w:rFonts w:ascii="Arial" w:hAnsi="Arial"/>
                <w:b w:val="0"/>
                <w:i w:val="0"/>
                <w:sz w:val="16"/>
              </w:rPr>
              <w:t>M2–M3; Masuk, S1</w:t>
            </w:r>
          </w:p>
        </w:tc>
        <w:tc>
          <w:tcPr>
            <w:tcW w:type="dxa" w:w="4084"/>
            <w:vAlign w:val="center"/>
          </w:tcPr>
          <w:p>
            <w:pPr>
              <w:spacing w:after="20" w:before="20" w:line="252" w:lineRule="auto"/>
            </w:pPr>
            <w:r/>
            <w:r>
              <w:rPr>
                <w:rFonts w:ascii="Arial" w:hAnsi="Arial"/>
                <w:b w:val="0"/>
                <w:i w:val="0"/>
                <w:sz w:val="16"/>
              </w:rPr>
              <w:t>Kajian teknis, lahan, izin, HKI, pasar, offtake, risiko, biaya, sumber modal; peta pemasok dan target gerbang S</w:t>
            </w:r>
          </w:p>
        </w:tc>
        <w:tc>
          <w:tcPr>
            <w:tcW w:type="dxa" w:w="2131"/>
            <w:vAlign w:val="center"/>
          </w:tcPr>
          <w:p>
            <w:pPr>
              <w:spacing w:after="20" w:before="20" w:line="252" w:lineRule="auto"/>
            </w:pPr>
            <w:r/>
            <w:r>
              <w:rPr>
                <w:rFonts w:ascii="Arial" w:hAnsi="Arial"/>
                <w:b w:val="0"/>
                <w:i w:val="0"/>
                <w:sz w:val="16"/>
              </w:rPr>
              <w:t>Sponsor; fungsi teknis, risiko, hukum, investor</w:t>
            </w:r>
          </w:p>
        </w:tc>
      </w:tr>
      <w:tr>
        <w:trPr>
          <w:cantSplit/>
        </w:trPr>
        <w:tc>
          <w:tcPr>
            <w:tcW w:type="dxa" w:w="1953"/>
            <w:shd w:val="clear" w:color="auto" w:fill="E6ECFD"/>
            <w:vAlign w:val="center"/>
          </w:tcPr>
          <w:p>
            <w:pPr>
              <w:spacing w:after="20" w:before="20" w:line="252" w:lineRule="auto"/>
            </w:pPr>
            <w:r/>
            <w:r>
              <w:rPr>
                <w:rFonts w:ascii="Arial" w:hAnsi="Arial"/>
                <w:b/>
                <w:i w:val="0"/>
                <w:sz w:val="16"/>
              </w:rPr>
              <w:t>P3 Keputusan modal</w:t>
            </w:r>
          </w:p>
        </w:tc>
        <w:tc>
          <w:tcPr>
            <w:tcW w:type="dxa" w:w="1243"/>
            <w:shd w:val="clear" w:color="auto" w:fill="E6ECFD"/>
            <w:vAlign w:val="center"/>
          </w:tcPr>
          <w:p>
            <w:pPr>
              <w:spacing w:after="20" w:before="20" w:line="252" w:lineRule="auto"/>
            </w:pPr>
            <w:r/>
            <w:r>
              <w:rPr>
                <w:rFonts w:ascii="Arial" w:hAnsi="Arial"/>
                <w:b w:val="0"/>
                <w:i w:val="0"/>
                <w:sz w:val="16"/>
              </w:rPr>
              <w:t>M4</w:t>
            </w:r>
          </w:p>
        </w:tc>
        <w:tc>
          <w:tcPr>
            <w:tcW w:type="dxa" w:w="4084"/>
            <w:shd w:val="clear" w:color="auto" w:fill="E6ECFD"/>
            <w:vAlign w:val="center"/>
          </w:tcPr>
          <w:p>
            <w:pPr>
              <w:spacing w:after="20" w:before="20" w:line="252" w:lineRule="auto"/>
            </w:pPr>
            <w:r/>
            <w:r>
              <w:rPr>
                <w:rFonts w:ascii="Arial" w:hAnsi="Arial"/>
                <w:b w:val="0"/>
                <w:i w:val="0"/>
                <w:sz w:val="16"/>
              </w:rPr>
              <w:t>Rekomendasi komite; perbedaan pendapat; benturan kepentingan; persetujuan yang dicadangkan; syarat kontrak</w:t>
            </w:r>
          </w:p>
        </w:tc>
        <w:tc>
          <w:tcPr>
            <w:tcW w:type="dxa" w:w="2131"/>
            <w:shd w:val="clear" w:color="auto" w:fill="E6ECFD"/>
            <w:vAlign w:val="center"/>
          </w:tcPr>
          <w:p>
            <w:pPr>
              <w:spacing w:after="20" w:before="20" w:line="252" w:lineRule="auto"/>
            </w:pPr>
            <w:r/>
            <w:r>
              <w:rPr>
                <w:rFonts w:ascii="Arial" w:hAnsi="Arial"/>
                <w:b w:val="0"/>
                <w:i w:val="0"/>
                <w:sz w:val="16"/>
              </w:rPr>
              <w:t>Kepala (Badan); organ perusahaan</w:t>
            </w:r>
          </w:p>
        </w:tc>
      </w:tr>
      <w:tr>
        <w:trPr>
          <w:cantSplit/>
        </w:trPr>
        <w:tc>
          <w:tcPr>
            <w:tcW w:type="dxa" w:w="1953"/>
            <w:vAlign w:val="center"/>
          </w:tcPr>
          <w:p>
            <w:pPr>
              <w:spacing w:after="20" w:before="20" w:line="252" w:lineRule="auto"/>
            </w:pPr>
            <w:r/>
            <w:r>
              <w:rPr>
                <w:rFonts w:ascii="Arial" w:hAnsi="Arial"/>
                <w:b/>
                <w:i w:val="0"/>
                <w:sz w:val="16"/>
              </w:rPr>
              <w:t>P4 Financial close dan konstruksi</w:t>
            </w:r>
          </w:p>
        </w:tc>
        <w:tc>
          <w:tcPr>
            <w:tcW w:type="dxa" w:w="1243"/>
            <w:vAlign w:val="center"/>
          </w:tcPr>
          <w:p>
            <w:pPr>
              <w:spacing w:after="20" w:before="20" w:line="252" w:lineRule="auto"/>
            </w:pPr>
            <w:r/>
            <w:r>
              <w:rPr>
                <w:rFonts w:ascii="Arial" w:hAnsi="Arial"/>
                <w:b w:val="0"/>
                <w:i w:val="0"/>
                <w:sz w:val="16"/>
              </w:rPr>
              <w:t>M4–M5; S1–S3</w:t>
            </w:r>
          </w:p>
        </w:tc>
        <w:tc>
          <w:tcPr>
            <w:tcW w:type="dxa" w:w="4084"/>
            <w:vAlign w:val="center"/>
          </w:tcPr>
          <w:p>
            <w:pPr>
              <w:spacing w:after="20" w:before="20" w:line="252" w:lineRule="auto"/>
            </w:pPr>
            <w:r/>
            <w:r>
              <w:rPr>
                <w:rFonts w:ascii="Arial" w:hAnsi="Arial"/>
                <w:b w:val="0"/>
                <w:i w:val="0"/>
                <w:sz w:val="16"/>
              </w:rPr>
              <w:t>Pendanaan mengikat; syarat pendahuluan; kontrak efektif; izin; jadwal dasar; pengendalian perubahan</w:t>
            </w:r>
          </w:p>
        </w:tc>
        <w:tc>
          <w:tcPr>
            <w:tcW w:type="dxa" w:w="2131"/>
            <w:vAlign w:val="center"/>
          </w:tcPr>
          <w:p>
            <w:pPr>
              <w:spacing w:after="20" w:before="20" w:line="252" w:lineRule="auto"/>
            </w:pPr>
            <w:r/>
            <w:r>
              <w:rPr>
                <w:rFonts w:ascii="Arial" w:hAnsi="Arial"/>
                <w:b w:val="0"/>
                <w:i w:val="0"/>
                <w:sz w:val="16"/>
              </w:rPr>
              <w:t>Organ perusahaan pelaksana; direktur proyek</w:t>
            </w:r>
          </w:p>
        </w:tc>
      </w:tr>
      <w:tr>
        <w:trPr>
          <w:cantSplit/>
        </w:trPr>
        <w:tc>
          <w:tcPr>
            <w:tcW w:type="dxa" w:w="1953"/>
            <w:shd w:val="clear" w:color="auto" w:fill="E6ECFD"/>
            <w:vAlign w:val="center"/>
          </w:tcPr>
          <w:p>
            <w:pPr>
              <w:spacing w:after="20" w:before="20" w:line="252" w:lineRule="auto"/>
            </w:pPr>
            <w:r/>
            <w:r>
              <w:rPr>
                <w:rFonts w:ascii="Arial" w:hAnsi="Arial"/>
                <w:b/>
                <w:i w:val="0"/>
                <w:sz w:val="16"/>
              </w:rPr>
              <w:t>P5 Komisioning dan operasi</w:t>
            </w:r>
          </w:p>
        </w:tc>
        <w:tc>
          <w:tcPr>
            <w:tcW w:type="dxa" w:w="1243"/>
            <w:shd w:val="clear" w:color="auto" w:fill="E6ECFD"/>
            <w:vAlign w:val="center"/>
          </w:tcPr>
          <w:p>
            <w:pPr>
              <w:spacing w:after="20" w:before="20" w:line="252" w:lineRule="auto"/>
            </w:pPr>
            <w:r/>
            <w:r>
              <w:rPr>
                <w:rFonts w:ascii="Arial" w:hAnsi="Arial"/>
                <w:b w:val="0"/>
                <w:i w:val="0"/>
                <w:sz w:val="16"/>
              </w:rPr>
              <w:t>M6–M8</w:t>
            </w:r>
          </w:p>
        </w:tc>
        <w:tc>
          <w:tcPr>
            <w:tcW w:type="dxa" w:w="4084"/>
            <w:shd w:val="clear" w:color="auto" w:fill="E6ECFD"/>
            <w:vAlign w:val="center"/>
          </w:tcPr>
          <w:p>
            <w:pPr>
              <w:spacing w:after="20" w:before="20" w:line="252" w:lineRule="auto"/>
            </w:pPr>
            <w:r/>
            <w:r>
              <w:rPr>
                <w:rFonts w:ascii="Arial" w:hAnsi="Arial"/>
                <w:b w:val="0"/>
                <w:i w:val="0"/>
                <w:sz w:val="16"/>
              </w:rPr>
              <w:t>Uji kinerja, keselamatan, penerimaan aset, operator, kesiapan rantai pasok, sertifikasi</w:t>
            </w:r>
          </w:p>
        </w:tc>
        <w:tc>
          <w:tcPr>
            <w:tcW w:type="dxa" w:w="2131"/>
            <w:shd w:val="clear" w:color="auto" w:fill="E6ECFD"/>
            <w:vAlign w:val="center"/>
          </w:tcPr>
          <w:p>
            <w:pPr>
              <w:spacing w:after="20" w:before="20" w:line="252" w:lineRule="auto"/>
            </w:pPr>
            <w:r/>
            <w:r>
              <w:rPr>
                <w:rFonts w:ascii="Arial" w:hAnsi="Arial"/>
                <w:b w:val="0"/>
                <w:i w:val="0"/>
                <w:sz w:val="16"/>
              </w:rPr>
              <w:t>Perusahaan pelaksana</w:t>
            </w:r>
          </w:p>
        </w:tc>
      </w:tr>
      <w:tr>
        <w:trPr>
          <w:cantSplit/>
        </w:trPr>
        <w:tc>
          <w:tcPr>
            <w:tcW w:type="dxa" w:w="1953"/>
            <w:vAlign w:val="center"/>
          </w:tcPr>
          <w:p>
            <w:pPr>
              <w:spacing w:after="20" w:before="20" w:line="252" w:lineRule="auto"/>
            </w:pPr>
            <w:r/>
            <w:r>
              <w:rPr>
                <w:rFonts w:ascii="Arial" w:hAnsi="Arial"/>
                <w:b/>
                <w:i w:val="0"/>
                <w:sz w:val="16"/>
              </w:rPr>
              <w:t>P6 Evaluasi hasil</w:t>
            </w:r>
          </w:p>
        </w:tc>
        <w:tc>
          <w:tcPr>
            <w:tcW w:type="dxa" w:w="1243"/>
            <w:vAlign w:val="center"/>
          </w:tcPr>
          <w:p>
            <w:pPr>
              <w:spacing w:after="20" w:before="20" w:line="252" w:lineRule="auto"/>
            </w:pPr>
            <w:r/>
            <w:r>
              <w:rPr>
                <w:rFonts w:ascii="Arial" w:hAnsi="Arial"/>
                <w:b w:val="0"/>
                <w:i w:val="0"/>
                <w:sz w:val="16"/>
              </w:rPr>
              <w:t>M9; S4</w:t>
            </w:r>
          </w:p>
        </w:tc>
        <w:tc>
          <w:tcPr>
            <w:tcW w:type="dxa" w:w="4084"/>
            <w:vAlign w:val="center"/>
          </w:tcPr>
          <w:p>
            <w:pPr>
              <w:spacing w:after="20" w:before="20" w:line="252" w:lineRule="auto"/>
            </w:pPr>
            <w:r/>
            <w:r>
              <w:rPr>
                <w:rFonts w:ascii="Arial" w:hAnsi="Arial"/>
                <w:b w:val="0"/>
                <w:i w:val="0"/>
                <w:sz w:val="16"/>
              </w:rPr>
              <w:t>Biaya akhir, manfaat aktual, kapasitas, teknologi, emisi; tindakan korektif atau keluar</w:t>
            </w:r>
          </w:p>
        </w:tc>
        <w:tc>
          <w:tcPr>
            <w:tcW w:type="dxa" w:w="2131"/>
            <w:vAlign w:val="center"/>
          </w:tcPr>
          <w:p>
            <w:pPr>
              <w:spacing w:after="20" w:before="20" w:line="252" w:lineRule="auto"/>
            </w:pPr>
            <w:r/>
            <w:r>
              <w:rPr>
                <w:rFonts w:ascii="Arial" w:hAnsi="Arial"/>
                <w:b w:val="0"/>
                <w:i w:val="0"/>
                <w:sz w:val="16"/>
              </w:rPr>
              <w:t>Sponsor; MD Portofolio; audit memberi jaminan</w:t>
            </w:r>
          </w:p>
        </w:tc>
      </w:tr>
    </w:tbl>
    <w:p>
      <w:pPr>
        <w:spacing w:after="160"/>
      </w:pPr>
      <w:r>
        <w:rPr>
          <w:rFonts w:ascii="Arial" w:hAnsi="Arial"/>
          <w:b w:val="0"/>
          <w:i/>
          <w:color w:val="051C5C"/>
          <w:sz w:val="17"/>
        </w:rPr>
        <w:t>Sumber: [EVAL §11; K §7.4]; [VERO Milestones]; [DOCK hlm. 6]. Padanan: G0–G6 pada EVAL = P0–P6 (pelabelan ulang Kajian); G1–G4 pada DOCK = S1–S4 ("Masuk" mendahului S1). Pemetaan M/S ke P bersifat indikatif.</w:t>
      </w:r>
    </w:p>
    <w:p>
      <w:pPr>
        <w:jc w:val="both"/>
      </w:pPr>
      <w:r>
        <w:rPr>
          <w:rFonts w:ascii="Arial" w:hAnsi="Arial"/>
          <w:b w:val="0"/>
          <w:i w:val="0"/>
        </w:rPr>
        <w:t>Langkah koordinasi dapat berjalan paralel, tetapi keputusan investasi menunggu bukti dan persetujuan wajib; keterlambatan penyelesaian hambatan tidak menimbulkan persetujuan otomatis. Gerbang proyek dan gerbang pemasok perlu saling mengunci agar pesanan dan pembiayaan pemasok mengikuti kesiapan yang sama [K §7.4].</w:t>
      </w:r>
    </w:p>
    <w:p>
      <w:pPr>
        <w:keepNext/>
        <w:keepLines/>
        <w:pBdr>
          <w:left w:val="single" w:sz="36" w:space="8" w:color="2251FF"/>
        </w:pBdr>
        <w:shd w:val="clear" w:color="auto" w:fill="E6ECFD"/>
        <w:spacing w:after="0" w:before="0"/>
        <w:ind w:left="170" w:right="113"/>
      </w:pPr>
      <w:r>
        <w:rPr>
          <w:rFonts w:ascii="Arial" w:hAnsi="Arial"/>
          <w:b/>
          <w:i w:val="0"/>
          <w:color w:val="051C5C"/>
          <w:sz w:val="21"/>
        </w:rPr>
        <w:t>Standar waktu penyelesaian hambatan (usulan)</w:t>
      </w:r>
    </w:p>
    <w:p>
      <w:pPr>
        <w:keepLines/>
        <w:pBdr>
          <w:left w:val="single" w:sz="36" w:space="8" w:color="2251FF"/>
        </w:pBdr>
        <w:shd w:val="clear" w:color="auto" w:fill="E6ECFD"/>
        <w:spacing w:after="160" w:before="0"/>
        <w:ind w:left="170" w:right="113"/>
      </w:pPr>
      <w:r>
        <w:rPr>
          <w:rFonts w:ascii="Arial" w:hAnsi="Arial"/>
          <w:b w:val="0"/>
          <w:i w:val="0"/>
          <w:sz w:val="20"/>
        </w:rPr>
        <w:t>Triase dalam 2 hari kerja; rencana penanganan dalam 5 hari; kajian lengkap dalam 15 hari sejak dokumen lengkap; isu lintas arm yang belum selesai dalam 10 hari dieskalasi kepada Kepala. Angka ini target internal, bukan tenggat hukum, dan laporan harus memisahkan waktu kajian aktif dari waktu menunggu pihak lain [EVAL §11].</w:t>
      </w:r>
    </w:p>
    <w:p>
      <w:pPr>
        <w:pStyle w:val="Heading2"/>
      </w:pPr>
      <w:r>
        <w:t>3.5  Kantor manajemen proyek: dari konsep NITO ke PMO yang bekerja</w:t>
      </w:r>
    </w:p>
    <w:p>
      <w:pPr>
        <w:jc w:val="both"/>
      </w:pPr>
      <w:r>
        <w:rPr>
          <w:rFonts w:ascii="Arial" w:hAnsi="Arial"/>
          <w:b w:val="0"/>
          <w:i w:val="0"/>
        </w:rPr>
        <w:t xml:space="preserve">PMO dapat berperan sebagai pendukung (templat dan pelatihan), pengendali (kepatuhan pada metode), atau pengarah (mengelola proyek langsung). Infografik platform mengusulkan </w:t>
      </w:r>
      <w:r>
        <w:rPr>
          <w:rFonts w:ascii="Arial" w:hAnsi="Arial"/>
          <w:b w:val="0"/>
          <w:i/>
        </w:rPr>
        <w:t>Danantara National Industrial Transformation Office</w:t>
      </w:r>
      <w:r>
        <w:rPr>
          <w:rFonts w:ascii="Arial" w:hAnsi="Arial"/>
          <w:b w:val="0"/>
          <w:i w:val="0"/>
        </w:rPr>
        <w:t xml:space="preserve"> (NITO) dengan delapan fungsi [PLAT hlm. 2]. Kajian menerapkannya sebagai unit Industri Strategis dan Pelaksanaan Proyek pada Badan Pelaksana (Opsi B), tanpa kewenangan persetujuan umum, dengan tiga Managing Director (MD) dan empat pemimpin klaster yang pada awalnya ditugaskan dari fungsi yang ada [K §13]. Menurut penyusun, fungsi itu paling dekat dengan PMO pengendali untuk portofolio dan PMO pendukung untuk kajian teknis; kantor DOCK-UP berperan lebih mengarah.</w:t>
      </w:r>
    </w:p>
    <w:p>
      <w:pPr>
        <w:jc w:val="both"/>
      </w:pPr>
      <w:r>
        <w:rPr>
          <w:rFonts w:ascii="Arial" w:hAnsi="Arial"/>
          <w:b w:val="0"/>
          <w:i w:val="0"/>
        </w:rPr>
        <w:t>Kajian memberi aturan kapasitas: satu pimpinan tidak ditugaskan mengelola langsung 40 proyek sebagai pelaksana harian, dan kapasitas kontrak, rekayasa, model finansial, hukum, serta komisioning diuji sebelum menambah jabatan [EVAL §9].</w:t>
      </w:r>
    </w:p>
    <w:p>
      <w:pPr>
        <w:pStyle w:val="Heading2"/>
      </w:pPr>
      <w:r>
        <w:t>3.6  Hak keputusan dan RASCI</w:t>
      </w:r>
    </w:p>
    <w:p>
      <w:pPr>
        <w:jc w:val="both"/>
      </w:pPr>
      <w:r>
        <w:rPr>
          <w:rFonts w:ascii="Arial" w:hAnsi="Arial"/>
          <w:b w:val="0"/>
          <w:i w:val="0"/>
        </w:rPr>
        <w:t>Matriks RASCI (</w:t>
      </w:r>
      <w:r>
        <w:rPr>
          <w:rFonts w:ascii="Arial" w:hAnsi="Arial"/>
          <w:b w:val="0"/>
          <w:i/>
        </w:rPr>
        <w:t>Responsible, Accountable, Support, Consulted, Informed</w:t>
      </w:r>
      <w:r>
        <w:rPr>
          <w:rFonts w:ascii="Arial" w:hAnsi="Arial"/>
          <w:b w:val="0"/>
          <w:i w:val="0"/>
        </w:rPr>
        <w:t>) membuat hak keputusan eksplisit dengan aturan tepat satu A per aktivitas. Rancangan Kajian memuat 24 aktivitas inti dengan satu A pada setiap baris. Rancangan itu menegaskan bahwa kode peran tidak berarti satu orang memegang semua kapasitas, dan bahwa sponsor, direktur proyek, dan organ perusahaan yang sah ditetapkan namanya untuk setiap proyek sebelum gerbang pertama [EVAL §13–15]. Pelaksanaan konstruksi (S15) dimiliki direktur proyek; perubahan kontrak atau biaya material (S16) dan penerimaan komisioning (S19) dimiliki organ perusahaan yang sah. Matriks lengkap ada pada Lampiran D.</w:t>
      </w:r>
    </w:p>
    <w:p>
      <w:pPr>
        <w:pStyle w:val="Heading2"/>
      </w:pPr>
      <w:r>
        <w:t>3.7  Pelajaran dari lembaga sejenis</w:t>
      </w:r>
    </w:p>
    <w:p>
      <w:pPr>
        <w:jc w:val="both"/>
      </w:pPr>
      <w:r>
        <w:rPr>
          <w:rFonts w:ascii="Arial" w:hAnsi="Arial"/>
          <w:b w:val="0"/>
          <w:i w:val="0"/>
        </w:rPr>
        <w:t>Evaluasi tata kelola membandingkan China (SASAC, SDIC), Vietnam (CMSC, SCIC), India (PRAGATI, NIIF), dan Malaysia (Khazanah). Ringkasannya: perusahaan sebagai subjek keputusan dan evaluasi pascainvestasi (China); daftar kewenangan yang berpindah pada setiap reorganisasi, mengingat CMSC dibentuk 2018 untuk 19 perusahaan dan dibubarkan efektif 21 Maret 2025 (Vietnam); forum penyelesaian hambatan yang dipisah dari pengujian investasi (India); serta piagam, daftar hal yang dicadangkan, dan batas kewenangan per mandat (Malaysia) [EVAL §4–5; K §13.9]. Kajian menyimpulkan bahwa usulan sebuah unit berbeda dari bukti keberhasilannya, sehingga unit diuji 90 hari sebelum struktur permanen ditetapkan [K §13.8].</w:t>
      </w:r>
    </w:p>
    <w:p>
      <w:pPr>
        <w:pStyle w:val="Heading1"/>
      </w:pPr>
      <w:bookmarkStart w:id="5" w:name="_Toc005"/>
      <w:r>
        <w:t>4  Inisiasi, lingkup, dan kesiapan proyek</w:t>
      </w:r>
      <w:bookmarkEnd w:id="5"/>
    </w:p>
    <w:p>
      <w:pPr>
        <w:jc w:val="both"/>
      </w:pPr>
      <w:r>
        <w:rPr>
          <w:rFonts w:ascii="Arial" w:hAnsi="Arial"/>
          <w:b/>
          <w:i w:val="0"/>
        </w:rPr>
        <w:t>Ringkasnya:</w:t>
      </w:r>
      <w:r>
        <w:rPr>
          <w:rFonts w:ascii="Arial" w:hAnsi="Arial"/>
          <w:b w:val="0"/>
          <w:i w:val="0"/>
        </w:rPr>
        <w:t xml:space="preserve"> keputusan terbaik untuk menghentikan proyek yang lemah adalah keputusan sebelum modal dikomitmenkan. Bab ini memuat lima artefak inisiasi, cara menilai kasus bisnis, penetapan lingkup, dan uji kesiapan investasi.</w:t>
      </w:r>
    </w:p>
    <w:p>
      <w:pPr>
        <w:pStyle w:val="Heading2"/>
      </w:pPr>
      <w:r>
        <w:t>4.1  Dari gagasan ke mandat</w:t>
      </w:r>
    </w:p>
    <w:p>
      <w:pPr>
        <w:jc w:val="both"/>
      </w:pPr>
      <w:r>
        <w:rPr>
          <w:rFonts w:ascii="Arial" w:hAnsi="Arial"/>
          <w:b w:val="0"/>
          <w:i w:val="0"/>
        </w:rPr>
        <w:t>Dokumen inisiasi minimum terdiri dari kasus bisnis, piagam proyek, daftar pemangku kepentingan, register asumsi dan risiko awal, dan rencana kesiapan menuju gerbang berikutnya. Gerbang P0 menuntut identitas proyek, dasar penugasan, sponsor, batas lingkup, data biaya, dan jalur keputusan [EVAL §11]. Kajian merinci register minimum: identitas, dasar mandat, lokasi, sponsor dan perusahaan pelaksana, batas lingkup, biaya dan porsi Danantara, sumber dana, jadwal, tahap keputusan, teknologi dan HKI, pasar, izin, lahan, risiko utama, pemimpin proyek, dan persetujuan terbuka, dengan versi dan alasan untuk setiap perubahan [K §4.6; EVAL §1].</w:t>
      </w:r>
    </w:p>
    <w:p>
      <w:pPr>
        <w:pStyle w:val="Heading2"/>
      </w:pPr>
      <w:r>
        <w:t>4.2  Kasus bisnis: dua pertanyaan</w:t>
      </w:r>
    </w:p>
    <w:p>
      <w:pPr>
        <w:jc w:val="both"/>
      </w:pPr>
      <w:r>
        <w:rPr>
          <w:rFonts w:ascii="Arial" w:hAnsi="Arial"/>
          <w:b w:val="0"/>
          <w:i w:val="0"/>
        </w:rPr>
        <w:t>Proyek yang dibiayai atau diprakarsai negara perlu menjawab dua pertanyaan terpisah: apakah proyek layak secara finansial bagi investor (NPV dan IRR finansial), dan apakah layak secara ekonomi bagi bangsa (NPV dan IRR ekonomi, yang memasukkan manfaat dan biaya eksternal). Contoh dalam Kajian memperlihatkan bedanya.</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5</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Contoh kasus bisnis finansial dan ekonomi (ilustratif, kelas D)</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Contoh kasus bisnis finansial dan ekonomi (ilustratif, kelas D)"/>
      </w:tblPr>
      <w:tblGrid>
        <w:gridCol w:w="3137"/>
        <w:gridCol w:w="3137"/>
        <w:gridCol w:w="3137"/>
      </w:tblGrid>
      <w:tr>
        <w:trPr>
          <w:cantSplit/>
          <w:tblHeader/>
        </w:trPr>
        <w:tc>
          <w:tcPr>
            <w:tcW w:type="dxa" w:w="3004"/>
            <w:shd w:val="clear" w:color="auto" w:fill="2251FF"/>
            <w:vAlign w:val="center"/>
          </w:tcPr>
          <w:p>
            <w:pPr>
              <w:spacing w:after="20" w:before="20" w:line="252" w:lineRule="auto"/>
            </w:pPr>
            <w:r/>
            <w:r>
              <w:rPr>
                <w:rFonts w:ascii="Arial" w:hAnsi="Arial"/>
                <w:b/>
                <w:i w:val="0"/>
                <w:color w:val="FFFFFF"/>
                <w:sz w:val="17"/>
              </w:rPr>
              <w:t>Ukuran</w:t>
            </w:r>
          </w:p>
        </w:tc>
        <w:tc>
          <w:tcPr>
            <w:tcW w:type="dxa" w:w="3004"/>
            <w:shd w:val="clear" w:color="auto" w:fill="2251FF"/>
            <w:vAlign w:val="center"/>
          </w:tcPr>
          <w:p>
            <w:pPr>
              <w:spacing w:after="20" w:before="20" w:line="252" w:lineRule="auto"/>
            </w:pPr>
            <w:r/>
            <w:r>
              <w:rPr>
                <w:rFonts w:ascii="Arial" w:hAnsi="Arial"/>
                <w:b/>
                <w:i w:val="0"/>
                <w:color w:val="FFFFFF"/>
                <w:sz w:val="17"/>
              </w:rPr>
              <w:t>Hasil</w:t>
            </w:r>
          </w:p>
        </w:tc>
        <w:tc>
          <w:tcPr>
            <w:tcW w:type="dxa" w:w="3404"/>
            <w:shd w:val="clear" w:color="auto" w:fill="2251FF"/>
            <w:vAlign w:val="center"/>
          </w:tcPr>
          <w:p>
            <w:pPr>
              <w:spacing w:after="20" w:before="20" w:line="252" w:lineRule="auto"/>
            </w:pPr>
            <w:r/>
            <w:r>
              <w:rPr>
                <w:rFonts w:ascii="Arial" w:hAnsi="Arial"/>
                <w:b/>
                <w:i w:val="0"/>
                <w:color w:val="FFFFFF"/>
                <w:sz w:val="17"/>
              </w:rPr>
              <w:t>Tafsir</w:t>
            </w:r>
          </w:p>
        </w:tc>
      </w:tr>
      <w:tr>
        <w:trPr>
          <w:cantSplit/>
        </w:trPr>
        <w:tc>
          <w:tcPr>
            <w:tcW w:type="dxa" w:w="3004"/>
            <w:vAlign w:val="center"/>
          </w:tcPr>
          <w:p>
            <w:pPr>
              <w:spacing w:after="20" w:before="20" w:line="252" w:lineRule="auto"/>
            </w:pPr>
            <w:r/>
            <w:r>
              <w:rPr>
                <w:rFonts w:ascii="Arial" w:hAnsi="Arial"/>
                <w:b/>
                <w:i w:val="0"/>
                <w:sz w:val="17"/>
              </w:rPr>
              <w:t>Belanja modal; arus kas investor</w:t>
            </w:r>
          </w:p>
        </w:tc>
        <w:tc>
          <w:tcPr>
            <w:tcW w:type="dxa" w:w="3004"/>
            <w:vAlign w:val="center"/>
          </w:tcPr>
          <w:p>
            <w:pPr>
              <w:spacing w:after="20" w:before="20" w:line="252" w:lineRule="auto"/>
            </w:pPr>
            <w:r/>
            <w:r>
              <w:rPr>
                <w:rFonts w:ascii="Arial" w:hAnsi="Arial"/>
                <w:b w:val="0"/>
                <w:i w:val="0"/>
                <w:sz w:val="17"/>
              </w:rPr>
              <w:t>Rp100 miliar; Rp15 miliar per tahun selama 10 tahun</w:t>
            </w:r>
          </w:p>
        </w:tc>
        <w:tc>
          <w:tcPr>
            <w:tcW w:type="dxa" w:w="3404"/>
            <w:vAlign w:val="center"/>
          </w:tcPr>
          <w:p>
            <w:pPr>
              <w:spacing w:after="20" w:before="20" w:line="252" w:lineRule="auto"/>
            </w:pPr>
            <w:r/>
            <w:r>
              <w:rPr>
                <w:rFonts w:ascii="Arial" w:hAnsi="Arial"/>
                <w:b w:val="0"/>
                <w:i w:val="0"/>
                <w:sz w:val="17"/>
              </w:rPr>
              <w:t>Dasar NPV finansial</w:t>
            </w:r>
          </w:p>
        </w:tc>
      </w:tr>
      <w:tr>
        <w:trPr>
          <w:cantSplit/>
        </w:trPr>
        <w:tc>
          <w:tcPr>
            <w:tcW w:type="dxa" w:w="3004"/>
            <w:shd w:val="clear" w:color="auto" w:fill="E6ECFD"/>
            <w:vAlign w:val="center"/>
          </w:tcPr>
          <w:p>
            <w:pPr>
              <w:spacing w:after="20" w:before="20" w:line="252" w:lineRule="auto"/>
            </w:pPr>
            <w:r/>
            <w:r>
              <w:rPr>
                <w:rFonts w:ascii="Arial" w:hAnsi="Arial"/>
                <w:b/>
                <w:i w:val="0"/>
                <w:sz w:val="17"/>
              </w:rPr>
              <w:t>Manfaat eksternal</w:t>
            </w:r>
          </w:p>
        </w:tc>
        <w:tc>
          <w:tcPr>
            <w:tcW w:type="dxa" w:w="3004"/>
            <w:shd w:val="clear" w:color="auto" w:fill="E6ECFD"/>
            <w:vAlign w:val="center"/>
          </w:tcPr>
          <w:p>
            <w:pPr>
              <w:spacing w:after="20" w:before="20" w:line="252" w:lineRule="auto"/>
            </w:pPr>
            <w:r/>
            <w:r>
              <w:rPr>
                <w:rFonts w:ascii="Arial" w:hAnsi="Arial"/>
                <w:b w:val="0"/>
                <w:i w:val="0"/>
                <w:sz w:val="17"/>
              </w:rPr>
              <w:t>Rp6 miliar per tahun selama 10 tahun</w:t>
            </w:r>
          </w:p>
        </w:tc>
        <w:tc>
          <w:tcPr>
            <w:tcW w:type="dxa" w:w="3404"/>
            <w:shd w:val="clear" w:color="auto" w:fill="E6ECFD"/>
            <w:vAlign w:val="center"/>
          </w:tcPr>
          <w:p>
            <w:pPr>
              <w:spacing w:after="20" w:before="20" w:line="252" w:lineRule="auto"/>
            </w:pPr>
            <w:r/>
            <w:r>
              <w:rPr>
                <w:rFonts w:ascii="Arial" w:hAnsi="Arial"/>
                <w:b w:val="0"/>
                <w:i w:val="0"/>
                <w:sz w:val="17"/>
              </w:rPr>
              <w:t>Total manfaat ekonomi Rp21 miliar per tahun</w:t>
            </w:r>
          </w:p>
        </w:tc>
      </w:tr>
      <w:tr>
        <w:trPr>
          <w:cantSplit/>
        </w:trPr>
        <w:tc>
          <w:tcPr>
            <w:tcW w:type="dxa" w:w="3004"/>
            <w:vAlign w:val="center"/>
          </w:tcPr>
          <w:p>
            <w:pPr>
              <w:spacing w:after="20" w:before="20" w:line="252" w:lineRule="auto"/>
            </w:pPr>
            <w:r/>
            <w:r>
              <w:rPr>
                <w:rFonts w:ascii="Arial" w:hAnsi="Arial"/>
                <w:b/>
                <w:i w:val="0"/>
                <w:sz w:val="17"/>
              </w:rPr>
              <w:t>NPV finansial pada 12%</w:t>
            </w:r>
          </w:p>
        </w:tc>
        <w:tc>
          <w:tcPr>
            <w:tcW w:type="dxa" w:w="3004"/>
            <w:vAlign w:val="center"/>
          </w:tcPr>
          <w:p>
            <w:pPr>
              <w:spacing w:after="20" w:before="20" w:line="252" w:lineRule="auto"/>
            </w:pPr>
            <w:r/>
            <w:r>
              <w:rPr>
                <w:rFonts w:ascii="Arial" w:hAnsi="Arial"/>
                <w:b w:val="0"/>
                <w:i w:val="0"/>
                <w:sz w:val="17"/>
              </w:rPr>
              <w:t>−Rp15,25 miliar (IRR 8,14%)</w:t>
            </w:r>
          </w:p>
        </w:tc>
        <w:tc>
          <w:tcPr>
            <w:tcW w:type="dxa" w:w="3404"/>
            <w:vAlign w:val="center"/>
          </w:tcPr>
          <w:p>
            <w:pPr>
              <w:spacing w:after="20" w:before="20" w:line="252" w:lineRule="auto"/>
            </w:pPr>
            <w:r/>
            <w:r>
              <w:rPr>
                <w:rFonts w:ascii="Arial" w:hAnsi="Arial"/>
                <w:b w:val="0"/>
                <w:i w:val="0"/>
                <w:sz w:val="17"/>
              </w:rPr>
              <w:t>Di bawah ambang komersial</w:t>
            </w:r>
          </w:p>
        </w:tc>
      </w:tr>
      <w:tr>
        <w:trPr>
          <w:cantSplit/>
        </w:trPr>
        <w:tc>
          <w:tcPr>
            <w:tcW w:type="dxa" w:w="3004"/>
            <w:shd w:val="clear" w:color="auto" w:fill="E6ECFD"/>
            <w:vAlign w:val="center"/>
          </w:tcPr>
          <w:p>
            <w:pPr>
              <w:spacing w:after="20" w:before="20" w:line="252" w:lineRule="auto"/>
            </w:pPr>
            <w:r/>
            <w:r>
              <w:rPr>
                <w:rFonts w:ascii="Arial" w:hAnsi="Arial"/>
                <w:b/>
                <w:i w:val="0"/>
                <w:sz w:val="17"/>
              </w:rPr>
              <w:t>NPV ekonomi pada 9%</w:t>
            </w:r>
          </w:p>
        </w:tc>
        <w:tc>
          <w:tcPr>
            <w:tcW w:type="dxa" w:w="3004"/>
            <w:shd w:val="clear" w:color="auto" w:fill="E6ECFD"/>
            <w:vAlign w:val="center"/>
          </w:tcPr>
          <w:p>
            <w:pPr>
              <w:spacing w:after="20" w:before="20" w:line="252" w:lineRule="auto"/>
            </w:pPr>
            <w:r/>
            <w:r>
              <w:rPr>
                <w:rFonts w:ascii="Arial" w:hAnsi="Arial"/>
                <w:b w:val="0"/>
                <w:i w:val="0"/>
                <w:sz w:val="17"/>
              </w:rPr>
              <w:t>+Rp34,77 miliar (IRR 16,40%)</w:t>
            </w:r>
          </w:p>
        </w:tc>
        <w:tc>
          <w:tcPr>
            <w:tcW w:type="dxa" w:w="3404"/>
            <w:shd w:val="clear" w:color="auto" w:fill="E6ECFD"/>
            <w:vAlign w:val="center"/>
          </w:tcPr>
          <w:p>
            <w:pPr>
              <w:spacing w:after="20" w:before="20" w:line="252" w:lineRule="auto"/>
            </w:pPr>
            <w:r/>
            <w:r>
              <w:rPr>
                <w:rFonts w:ascii="Arial" w:hAnsi="Arial"/>
                <w:b w:val="0"/>
                <w:i w:val="0"/>
                <w:sz w:val="17"/>
              </w:rPr>
              <w:t>Positif hanya bila manfaat eksternal dapat dipertanggungjawabkan</w:t>
            </w:r>
          </w:p>
        </w:tc>
      </w:tr>
      <w:tr>
        <w:trPr>
          <w:cantSplit/>
        </w:trPr>
        <w:tc>
          <w:tcPr>
            <w:tcW w:type="dxa" w:w="3004"/>
            <w:vAlign w:val="center"/>
          </w:tcPr>
          <w:p>
            <w:pPr>
              <w:spacing w:after="20" w:before="20" w:line="252" w:lineRule="auto"/>
            </w:pPr>
            <w:r/>
            <w:r>
              <w:rPr>
                <w:rFonts w:ascii="Arial" w:hAnsi="Arial"/>
                <w:b/>
                <w:i w:val="0"/>
                <w:sz w:val="17"/>
              </w:rPr>
              <w:t>Hibah kesenjangan kelayakan</w:t>
            </w:r>
          </w:p>
        </w:tc>
        <w:tc>
          <w:tcPr>
            <w:tcW w:type="dxa" w:w="3004"/>
            <w:vAlign w:val="center"/>
          </w:tcPr>
          <w:p>
            <w:pPr>
              <w:spacing w:after="20" w:before="20" w:line="252" w:lineRule="auto"/>
            </w:pPr>
            <w:r/>
            <w:r>
              <w:rPr>
                <w:rFonts w:ascii="Arial" w:hAnsi="Arial"/>
                <w:b w:val="0"/>
                <w:i w:val="0"/>
                <w:sz w:val="17"/>
              </w:rPr>
              <w:t>Rp15,25 miliar</w:t>
            </w:r>
          </w:p>
        </w:tc>
        <w:tc>
          <w:tcPr>
            <w:tcW w:type="dxa" w:w="3404"/>
            <w:vAlign w:val="center"/>
          </w:tcPr>
          <w:p>
            <w:pPr>
              <w:spacing w:after="20" w:before="20" w:line="252" w:lineRule="auto"/>
            </w:pPr>
            <w:r/>
            <w:r>
              <w:rPr>
                <w:rFonts w:ascii="Arial" w:hAnsi="Arial"/>
                <w:b w:val="0"/>
                <w:i w:val="0"/>
                <w:sz w:val="17"/>
              </w:rPr>
              <w:t>Membuat NPV investor nol; biaya publik, bukan penciptaan manfaat</w:t>
            </w:r>
          </w:p>
        </w:tc>
      </w:tr>
    </w:tbl>
    <w:p>
      <w:pPr>
        <w:spacing w:after="160"/>
      </w:pPr>
      <w:r>
        <w:rPr>
          <w:rFonts w:ascii="Arial" w:hAnsi="Arial"/>
          <w:b w:val="0"/>
          <w:i/>
          <w:color w:val="051C5C"/>
          <w:sz w:val="17"/>
        </w:rPr>
        <w:t>Sumber: contoh D2 dalam [K §10.5, Lampiran C]; faktor anuitas 10 tahun 5,6502 (12%) dan 6,4177 (9%). Ambang 9% adalah acuan umum ADB, bukan hurdle resmi Danantara.</w:t>
      </w:r>
    </w:p>
    <w:p>
      <w:pPr>
        <w:jc w:val="both"/>
      </w:pPr>
      <w:r>
        <w:rPr>
          <w:rFonts w:ascii="Arial" w:hAnsi="Arial"/>
          <w:b w:val="0"/>
          <w:i w:val="0"/>
        </w:rPr>
        <w:t>Aturan keputusan yang diturunkan: bila NPV finansial ≥ 0 dan NPV ekonomi &gt; 0, dahulukan pendanaan komersial; bila NPV ekonomi &gt; 0 tetapi NPV finansial &lt; 0, uji dukungan minimum yang paling murah; bila NPV ekonomi ≤ 0, desain ulang proyek, karena dukungan tidak memperbaiki nilai ekonomi [K §10.5; EXEC slide 14].</w:t>
      </w:r>
    </w:p>
    <w:p>
      <w:pPr>
        <w:pStyle w:val="Heading2"/>
      </w:pPr>
      <w:r>
        <w:t>4.3  Piagam dan penunjukan sponsor</w:t>
      </w:r>
    </w:p>
    <w:p>
      <w:pPr>
        <w:jc w:val="both"/>
      </w:pPr>
      <w:r>
        <w:rPr>
          <w:rFonts w:ascii="Arial" w:hAnsi="Arial"/>
          <w:b w:val="0"/>
          <w:i w:val="0"/>
        </w:rPr>
        <w:t>Piagam proyek memberi otorisasi kepada direktur proyek dan menetapkan tujuan terukur, batas lingkup, anggaran dan jadwal tingkat tinggi, asumsi, pemangku kepentingan, kriteria keberhasilan, dan kewenangan. Kajian mengusulkan agar setiap proyek memiliki tiga penunjukan sebelum P0: sponsor korporasi, direktur proyek, dan organ perusahaan yang sah [EVAL §13]. Register kerja menunjukkan alasannya: seluruh 18 slot bernama berstatus "gerbang saat ini belum terverifikasi" dan 22 slot tanpa nama berstatus "tidak diketahui", dan register mencatat bahwa kemampuan operator yang disebut "tidak membuktikan penunjukan proyek" [VERO Projects 40, Portfolio summary].</w:t>
      </w:r>
    </w:p>
    <w:p>
      <w:pPr>
        <w:pStyle w:val="Heading2"/>
      </w:pPr>
      <w:r>
        <w:t>4.4  Lingkup: PBS, WBS, dan batas</w:t>
      </w:r>
    </w:p>
    <w:p>
      <w:pPr>
        <w:jc w:val="both"/>
      </w:pPr>
      <w:r>
        <w:rPr>
          <w:rFonts w:ascii="Arial" w:hAnsi="Arial"/>
          <w:b w:val="0"/>
          <w:i w:val="0"/>
        </w:rPr>
        <w:t xml:space="preserve">Lingkup proyek adalah seluruh pekerjaan yang diperlukan, dan hanya yang diperlukan. Alat utamanya adalah struktur rincian: </w:t>
      </w:r>
      <w:r>
        <w:rPr>
          <w:rFonts w:ascii="Arial" w:hAnsi="Arial"/>
          <w:b w:val="0"/>
          <w:i/>
        </w:rPr>
        <w:t>product breakdown structure</w:t>
      </w:r>
      <w:r>
        <w:rPr>
          <w:rFonts w:ascii="Arial" w:hAnsi="Arial"/>
          <w:b w:val="0"/>
          <w:i w:val="0"/>
        </w:rPr>
        <w:t xml:space="preserve"> (PBS) menguraikan apa yang dibangun; </w:t>
      </w:r>
      <w:r>
        <w:rPr>
          <w:rFonts w:ascii="Arial" w:hAnsi="Arial"/>
          <w:b w:val="0"/>
          <w:i/>
        </w:rPr>
        <w:t>work breakdown structure</w:t>
      </w:r>
      <w:r>
        <w:rPr>
          <w:rFonts w:ascii="Arial" w:hAnsi="Arial"/>
          <w:b w:val="0"/>
          <w:i w:val="0"/>
        </w:rPr>
        <w:t xml:space="preserve"> (WBS) menguraikan pekerjaan dan penanggung jawab; </w:t>
      </w:r>
      <w:r>
        <w:rPr>
          <w:rFonts w:ascii="Arial" w:hAnsi="Arial"/>
          <w:b w:val="0"/>
          <w:i/>
        </w:rPr>
        <w:t>cost breakdown structure</w:t>
      </w:r>
      <w:r>
        <w:rPr>
          <w:rFonts w:ascii="Arial" w:hAnsi="Arial"/>
          <w:b w:val="0"/>
          <w:i w:val="0"/>
        </w:rPr>
        <w:t xml:space="preserve"> (CBS) mengklasifikasikan biaya; dan </w:t>
      </w:r>
      <w:r>
        <w:rPr>
          <w:rFonts w:ascii="Arial" w:hAnsi="Arial"/>
          <w:b w:val="0"/>
          <w:i/>
        </w:rPr>
        <w:t>organization breakdown structure</w:t>
      </w:r>
      <w:r>
        <w:rPr>
          <w:rFonts w:ascii="Arial" w:hAnsi="Arial"/>
          <w:b w:val="0"/>
          <w:i w:val="0"/>
        </w:rPr>
        <w:t xml:space="preserve"> (OBS) menetapkan pemilik. Perpotongan WBS dan OBS membentuk akun kendali, tempat anggaran, jadwal, dan kemajuan dikelola; tingkat terendah WBS adalah paket kerja dengan anggaran, tanggal, dan metode pengukuran kemajuan [EPC §3].</w:t>
      </w:r>
    </w:p>
    <w:p>
      <w:pPr>
        <w:keepNext/>
        <w:jc w:val="center"/>
      </w:pPr>
      <w:r>
        <w:drawing>
          <wp:inline xmlns:a="http://schemas.openxmlformats.org/drawingml/2006/main" xmlns:pic="http://schemas.openxmlformats.org/drawingml/2006/picture">
            <wp:extent cx="5580000" cy="3084512"/>
            <wp:docPr id="3" name="Picture 3" descr="PBS dan WBS bertemu pada akun kendali, dan satu kode biaya berjalan sepanjang rantai pengadaan" title="PBS dan WBS bertemu pada akun kendali, dan satu kode biaya berjalan sepanjang ra"/>
            <wp:cNvGraphicFramePr>
              <a:graphicFrameLocks noChangeAspect="1"/>
            </wp:cNvGraphicFramePr>
            <a:graphic>
              <a:graphicData uri="http://schemas.openxmlformats.org/drawingml/2006/picture">
                <pic:pic>
                  <pic:nvPicPr>
                    <pic:cNvPr id="0" name="f_wbs.png"/>
                    <pic:cNvPicPr/>
                  </pic:nvPicPr>
                  <pic:blipFill>
                    <a:blip r:embed="rId16"/>
                    <a:stretch>
                      <a:fillRect/>
                    </a:stretch>
                  </pic:blipFill>
                  <pic:spPr>
                    <a:xfrm>
                      <a:off x="0" y="0"/>
                      <a:ext cx="5580000" cy="3084512"/>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3</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PBS dan WBS bertemu pada akun kendali, dan satu kode biaya berjalan sepanjang rantai pengadaan</w:t>
      </w:r>
    </w:p>
    <w:p>
      <w:pPr>
        <w:spacing w:after="160"/>
      </w:pPr>
      <w:r>
        <w:rPr>
          <w:rFonts w:ascii="Arial" w:hAnsi="Arial"/>
          <w:b w:val="0"/>
          <w:i/>
          <w:color w:val="051C5C"/>
          <w:sz w:val="17"/>
        </w:rPr>
        <w:t>Sumber: diolah dari [EPC §3, §4.1]; contoh kode `C.U200.PIP / U200-P-101 / MAT` dari sumber yang sama.</w:t>
      </w:r>
    </w:p>
    <w:p>
      <w:pPr>
        <w:jc w:val="both"/>
      </w:pPr>
      <w:r>
        <w:rPr>
          <w:rFonts w:ascii="Arial" w:hAnsi="Arial"/>
          <w:b w:val="0"/>
          <w:i w:val="0"/>
        </w:rPr>
        <w:t>Aturan paling penting dari alur kerja EPC: tidak ada baris permintaan pembelian (PR) tanpa elemen WBS dan butir PBS; baris tanpa butir pada daftar kuantitas material (MTO) menandai celah lingkup atau estimasi [EPC §4.1]. Struktur rincian dengan demikian menjadi tulang punggung kendali, bukan sekadar dokumen perencanaan.</w:t>
      </w:r>
    </w:p>
    <w:p>
      <w:pPr>
        <w:pStyle w:val="Heading2"/>
      </w:pPr>
      <w:r>
        <w:t>4.5  Kesiapan sebelum modal: FEL, PDRI, dan kelas estimasi</w:t>
      </w:r>
    </w:p>
    <w:p>
      <w:pPr>
        <w:jc w:val="both"/>
      </w:pPr>
      <w:r>
        <w:rPr>
          <w:rFonts w:ascii="Arial" w:hAnsi="Arial"/>
          <w:b w:val="0"/>
          <w:i w:val="0"/>
        </w:rPr>
        <w:t xml:space="preserve">Praktik CII dan AACE mengaitkan kematangan definisi proyek dengan akurasi estimasi. Register kerja mengusulkan sepuluh gerbang industri M0–M9 yang bertumpu pada FEL CII, kematangan estimasi AACE, dan kesiapan teknologi (TRL): M1–M3 setara FEL 1–3, M4 FID dan financial close, M5 EPC dan industrialisasi, M6 penyelesaian mekanis, M7 komisioning dan penerimaan kinerja, M8 rilis komersial atau regulasi, dan M9 </w:t>
      </w:r>
      <w:r>
        <w:rPr>
          <w:rFonts w:ascii="Arial" w:hAnsi="Arial"/>
          <w:b w:val="0"/>
          <w:i/>
        </w:rPr>
        <w:t>ramp-up</w:t>
      </w:r>
      <w:r>
        <w:rPr>
          <w:rFonts w:ascii="Arial" w:hAnsi="Arial"/>
          <w:b w:val="0"/>
          <w:i w:val="0"/>
        </w:rPr>
        <w:t xml:space="preserve"> serta realisasi manfaat [VERO Milestones; K §7.7].</w:t>
      </w:r>
    </w:p>
    <w:p>
      <w:pPr>
        <w:keepNext/>
        <w:jc w:val="center"/>
      </w:pPr>
      <w:r>
        <w:drawing>
          <wp:inline xmlns:a="http://schemas.openxmlformats.org/drawingml/2006/main" xmlns:pic="http://schemas.openxmlformats.org/drawingml/2006/picture">
            <wp:extent cx="5580000" cy="3094790"/>
            <wp:docPr id="4" name="Picture 4" descr="Semakin matang definisi proyek, semakin sempit rentang akurasi estimasi biaya (kelas estimasi AACE 5 sampai 1)" title="Semakin matang definisi proyek, semakin sempit rentang akurasi estimasi biaya (k"/>
            <wp:cNvGraphicFramePr>
              <a:graphicFrameLocks noChangeAspect="1"/>
            </wp:cNvGraphicFramePr>
            <a:graphic>
              <a:graphicData uri="http://schemas.openxmlformats.org/drawingml/2006/picture">
                <pic:pic>
                  <pic:nvPicPr>
                    <pic:cNvPr id="0" name="f_aace.png"/>
                    <pic:cNvPicPr/>
                  </pic:nvPicPr>
                  <pic:blipFill>
                    <a:blip r:embed="rId17"/>
                    <a:stretch>
                      <a:fillRect/>
                    </a:stretch>
                  </pic:blipFill>
                  <pic:spPr>
                    <a:xfrm>
                      <a:off x="0" y="0"/>
                      <a:ext cx="5580000" cy="3094790"/>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4</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Semakin matang definisi proyek, semakin sempit rentang akurasi estimasi biaya (kelas estimasi AACE 5 sampai 1)</w:t>
      </w:r>
    </w:p>
    <w:p>
      <w:pPr>
        <w:spacing w:after="160"/>
      </w:pPr>
      <w:r>
        <w:rPr>
          <w:rFonts w:ascii="Arial" w:hAnsi="Arial"/>
          <w:b w:val="0"/>
          <w:i/>
          <w:color w:val="051C5C"/>
          <w:sz w:val="17"/>
        </w:rPr>
        <w:t>Sumber: AACE International RP 17R-97 dan 18R-97, rentang tipikal untuk industri proses; kematangan definisi 0–2% (kelas 5), 1–15% (4), 10–40% (3), 30–75% (2), 65–100% (1). Pemetaan ke gerbang adalah analisis penyusun: kelas 5 pada M1, kelas 4 pada M2, kelas 3 pada M3, kelas 2 pada M4, kelas 1 pada M5–M6.</w:t>
      </w:r>
    </w:p>
    <w:p>
      <w:pPr>
        <w:jc w:val="both"/>
      </w:pPr>
      <w:r>
        <w:rPr>
          <w:rFonts w:ascii="Arial" w:hAnsi="Arial"/>
          <w:b w:val="0"/>
          <w:i w:val="0"/>
        </w:rPr>
        <w:t>Dua catatan dari register kerja. Pertama, alokasi 15% pada kolom jumlah perencanaan adalah asumsi skenario analis, "bukan kontingensi yang disetujui, inflasi, P90, atau rentang akurasi AACE", dan anggaran sumber tidak dapat diasumsikan memenuhi kelas estimasi tertentu [VERO Portfolio summary, Milestones]. Kedua, PLTS 100 GW dicatat Rp231,4 triliun pada register, sedangkan pernyataan resmi menyebut Rp1.130 triliun (4,88 kali); selisih itu belum dapat disebut pembengkakan biaya karena satuan, kapasitas (GW atau GWp), dan cakupan (jaringan, penyimpanan) belum dikonfirmasi [EXEC slide 17, 23]. Batas lingkup dan basis estimasi karenanya harus ditetapkan sebelum angka dipakai sebagai plafon.</w:t>
      </w:r>
    </w:p>
    <w:p>
      <w:pPr>
        <w:pStyle w:val="Heading2"/>
      </w:pPr>
      <w:r>
        <w:t>4.6  Daftar periksa kesiapan investasi (P2)</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6</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Daftar periksa kesiapan sebelum keputusan modal</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Daftar periksa kesiapan sebelum keputusan modal"/>
      </w:tblPr>
      <w:tblGrid>
        <w:gridCol w:w="4706"/>
        <w:gridCol w:w="4706"/>
      </w:tblGrid>
      <w:tr>
        <w:trPr>
          <w:cantSplit/>
          <w:tblHeader/>
        </w:trPr>
        <w:tc>
          <w:tcPr>
            <w:tcW w:type="dxa" w:w="1961"/>
            <w:shd w:val="clear" w:color="auto" w:fill="2251FF"/>
            <w:vAlign w:val="center"/>
          </w:tcPr>
          <w:p>
            <w:pPr>
              <w:spacing w:after="20" w:before="20" w:line="252" w:lineRule="auto"/>
            </w:pPr>
            <w:r/>
            <w:r>
              <w:rPr>
                <w:rFonts w:ascii="Arial" w:hAnsi="Arial"/>
                <w:b/>
                <w:i w:val="0"/>
                <w:color w:val="FFFFFF"/>
                <w:sz w:val="17"/>
              </w:rPr>
              <w:t>Dimensi</w:t>
            </w:r>
          </w:p>
        </w:tc>
        <w:tc>
          <w:tcPr>
            <w:tcW w:type="dxa" w:w="7450"/>
            <w:shd w:val="clear" w:color="auto" w:fill="2251FF"/>
            <w:vAlign w:val="center"/>
          </w:tcPr>
          <w:p>
            <w:pPr>
              <w:spacing w:after="20" w:before="20" w:line="252" w:lineRule="auto"/>
            </w:pPr>
            <w:r/>
            <w:r>
              <w:rPr>
                <w:rFonts w:ascii="Arial" w:hAnsi="Arial"/>
                <w:b/>
                <w:i w:val="0"/>
                <w:color w:val="FFFFFF"/>
                <w:sz w:val="17"/>
              </w:rPr>
              <w:t>Pertanyaan uji dan bukti</w:t>
            </w:r>
          </w:p>
        </w:tc>
      </w:tr>
      <w:tr>
        <w:trPr>
          <w:cantSplit/>
        </w:trPr>
        <w:tc>
          <w:tcPr>
            <w:tcW w:type="dxa" w:w="1961"/>
            <w:vAlign w:val="center"/>
          </w:tcPr>
          <w:p>
            <w:pPr>
              <w:spacing w:after="20" w:before="20" w:line="252" w:lineRule="auto"/>
            </w:pPr>
            <w:r/>
            <w:r>
              <w:rPr>
                <w:rFonts w:ascii="Arial" w:hAnsi="Arial"/>
                <w:b/>
                <w:i w:val="0"/>
                <w:sz w:val="17"/>
              </w:rPr>
              <w:t>Lingkup</w:t>
            </w:r>
          </w:p>
        </w:tc>
        <w:tc>
          <w:tcPr>
            <w:tcW w:type="dxa" w:w="7450"/>
            <w:vAlign w:val="center"/>
          </w:tcPr>
          <w:p>
            <w:pPr>
              <w:spacing w:after="20" w:before="20" w:line="252" w:lineRule="auto"/>
            </w:pPr>
            <w:r/>
            <w:r>
              <w:rPr>
                <w:rFonts w:ascii="Arial" w:hAnsi="Arial"/>
                <w:b w:val="0"/>
                <w:i w:val="0"/>
                <w:sz w:val="17"/>
              </w:rPr>
              <w:t>PBS/WBS, batas, dan antarmuka terdefinisi; apa yang dikecualikan. Bukti: dokumen lingkup.</w:t>
            </w:r>
          </w:p>
        </w:tc>
      </w:tr>
      <w:tr>
        <w:trPr>
          <w:cantSplit/>
        </w:trPr>
        <w:tc>
          <w:tcPr>
            <w:tcW w:type="dxa" w:w="1961"/>
            <w:shd w:val="clear" w:color="auto" w:fill="E6ECFD"/>
            <w:vAlign w:val="center"/>
          </w:tcPr>
          <w:p>
            <w:pPr>
              <w:spacing w:after="20" w:before="20" w:line="252" w:lineRule="auto"/>
            </w:pPr>
            <w:r/>
            <w:r>
              <w:rPr>
                <w:rFonts w:ascii="Arial" w:hAnsi="Arial"/>
                <w:b/>
                <w:i w:val="0"/>
                <w:sz w:val="17"/>
              </w:rPr>
              <w:t>Teknologi</w:t>
            </w:r>
          </w:p>
        </w:tc>
        <w:tc>
          <w:tcPr>
            <w:tcW w:type="dxa" w:w="7450"/>
            <w:shd w:val="clear" w:color="auto" w:fill="E6ECFD"/>
            <w:vAlign w:val="center"/>
          </w:tcPr>
          <w:p>
            <w:pPr>
              <w:spacing w:after="20" w:before="20" w:line="252" w:lineRule="auto"/>
            </w:pPr>
            <w:r/>
            <w:r>
              <w:rPr>
                <w:rFonts w:ascii="Arial" w:hAnsi="Arial"/>
                <w:b w:val="0"/>
                <w:i w:val="0"/>
                <w:sz w:val="17"/>
              </w:rPr>
              <w:t>TRL memadai, pemilik HKI jelas, hasil uji skala tersedia. Bukti: kajian teknologi independen (CTO).</w:t>
            </w:r>
          </w:p>
        </w:tc>
      </w:tr>
      <w:tr>
        <w:trPr>
          <w:cantSplit/>
        </w:trPr>
        <w:tc>
          <w:tcPr>
            <w:tcW w:type="dxa" w:w="1961"/>
            <w:vAlign w:val="center"/>
          </w:tcPr>
          <w:p>
            <w:pPr>
              <w:spacing w:after="20" w:before="20" w:line="252" w:lineRule="auto"/>
            </w:pPr>
            <w:r/>
            <w:r>
              <w:rPr>
                <w:rFonts w:ascii="Arial" w:hAnsi="Arial"/>
                <w:b/>
                <w:i w:val="0"/>
                <w:sz w:val="17"/>
              </w:rPr>
              <w:t>Biaya</w:t>
            </w:r>
          </w:p>
        </w:tc>
        <w:tc>
          <w:tcPr>
            <w:tcW w:type="dxa" w:w="7450"/>
            <w:vAlign w:val="center"/>
          </w:tcPr>
          <w:p>
            <w:pPr>
              <w:spacing w:after="20" w:before="20" w:line="252" w:lineRule="auto"/>
            </w:pPr>
            <w:r/>
            <w:r>
              <w:rPr>
                <w:rFonts w:ascii="Arial" w:hAnsi="Arial"/>
                <w:b w:val="0"/>
                <w:i w:val="0"/>
                <w:sz w:val="17"/>
              </w:rPr>
              <w:t>Kelas estimasi 3 atau lebih tinggi dengan basis; kontingensi berbasis risiko; eskalasi dan kurs.</w:t>
            </w:r>
          </w:p>
        </w:tc>
      </w:tr>
      <w:tr>
        <w:trPr>
          <w:cantSplit/>
        </w:trPr>
        <w:tc>
          <w:tcPr>
            <w:tcW w:type="dxa" w:w="1961"/>
            <w:shd w:val="clear" w:color="auto" w:fill="E6ECFD"/>
            <w:vAlign w:val="center"/>
          </w:tcPr>
          <w:p>
            <w:pPr>
              <w:spacing w:after="20" w:before="20" w:line="252" w:lineRule="auto"/>
            </w:pPr>
            <w:r/>
            <w:r>
              <w:rPr>
                <w:rFonts w:ascii="Arial" w:hAnsi="Arial"/>
                <w:b/>
                <w:i w:val="0"/>
                <w:sz w:val="17"/>
              </w:rPr>
              <w:t>Jadwal</w:t>
            </w:r>
          </w:p>
        </w:tc>
        <w:tc>
          <w:tcPr>
            <w:tcW w:type="dxa" w:w="7450"/>
            <w:shd w:val="clear" w:color="auto" w:fill="E6ECFD"/>
            <w:vAlign w:val="center"/>
          </w:tcPr>
          <w:p>
            <w:pPr>
              <w:spacing w:after="20" w:before="20" w:line="252" w:lineRule="auto"/>
            </w:pPr>
            <w:r/>
            <w:r>
              <w:rPr>
                <w:rFonts w:ascii="Arial" w:hAnsi="Arial"/>
                <w:b w:val="0"/>
                <w:i w:val="0"/>
                <w:sz w:val="17"/>
              </w:rPr>
              <w:t>Jadwal dasar dengan jalur kritis, item waktu tunggu panjang, perizinan, lahan.</w:t>
            </w:r>
          </w:p>
        </w:tc>
      </w:tr>
      <w:tr>
        <w:trPr>
          <w:cantSplit/>
        </w:trPr>
        <w:tc>
          <w:tcPr>
            <w:tcW w:type="dxa" w:w="1961"/>
            <w:vAlign w:val="center"/>
          </w:tcPr>
          <w:p>
            <w:pPr>
              <w:spacing w:after="20" w:before="20" w:line="252" w:lineRule="auto"/>
            </w:pPr>
            <w:r/>
            <w:r>
              <w:rPr>
                <w:rFonts w:ascii="Arial" w:hAnsi="Arial"/>
                <w:b/>
                <w:i w:val="0"/>
                <w:sz w:val="17"/>
              </w:rPr>
              <w:t>Pasar dan pendanaan</w:t>
            </w:r>
          </w:p>
        </w:tc>
        <w:tc>
          <w:tcPr>
            <w:tcW w:type="dxa" w:w="7450"/>
            <w:vAlign w:val="center"/>
          </w:tcPr>
          <w:p>
            <w:pPr>
              <w:spacing w:after="20" w:before="20" w:line="252" w:lineRule="auto"/>
            </w:pPr>
            <w:r/>
            <w:r>
              <w:rPr>
                <w:rFonts w:ascii="Arial" w:hAnsi="Arial"/>
                <w:b w:val="0"/>
                <w:i w:val="0"/>
                <w:sz w:val="17"/>
              </w:rPr>
              <w:t>Kontrak offtake atau PPA; sumber modal dan struktur ekuitas-utang; dukungan fiskal.</w:t>
            </w:r>
          </w:p>
        </w:tc>
      </w:tr>
      <w:tr>
        <w:trPr>
          <w:cantSplit/>
        </w:trPr>
        <w:tc>
          <w:tcPr>
            <w:tcW w:type="dxa" w:w="1961"/>
            <w:shd w:val="clear" w:color="auto" w:fill="E6ECFD"/>
            <w:vAlign w:val="center"/>
          </w:tcPr>
          <w:p>
            <w:pPr>
              <w:spacing w:after="20" w:before="20" w:line="252" w:lineRule="auto"/>
            </w:pPr>
            <w:r/>
            <w:r>
              <w:rPr>
                <w:rFonts w:ascii="Arial" w:hAnsi="Arial"/>
                <w:b/>
                <w:i w:val="0"/>
                <w:sz w:val="17"/>
              </w:rPr>
              <w:t>Lokalisasi</w:t>
            </w:r>
          </w:p>
        </w:tc>
        <w:tc>
          <w:tcPr>
            <w:tcW w:type="dxa" w:w="7450"/>
            <w:shd w:val="clear" w:color="auto" w:fill="E6ECFD"/>
            <w:vAlign w:val="center"/>
          </w:tcPr>
          <w:p>
            <w:pPr>
              <w:spacing w:after="20" w:before="20" w:line="252" w:lineRule="auto"/>
            </w:pPr>
            <w:r/>
            <w:r>
              <w:rPr>
                <w:rFonts w:ascii="Arial" w:hAnsi="Arial"/>
                <w:b w:val="0"/>
                <w:i w:val="0"/>
                <w:sz w:val="17"/>
              </w:rPr>
              <w:t>Paket yang dapat dilokalisasi, calon pemasok, target gerbang S, rencana DOCK-UP.</w:t>
            </w:r>
          </w:p>
        </w:tc>
      </w:tr>
      <w:tr>
        <w:trPr>
          <w:cantSplit/>
        </w:trPr>
        <w:tc>
          <w:tcPr>
            <w:tcW w:type="dxa" w:w="1961"/>
            <w:vAlign w:val="center"/>
          </w:tcPr>
          <w:p>
            <w:pPr>
              <w:spacing w:after="20" w:before="20" w:line="252" w:lineRule="auto"/>
            </w:pPr>
            <w:r/>
            <w:r>
              <w:rPr>
                <w:rFonts w:ascii="Arial" w:hAnsi="Arial"/>
                <w:b/>
                <w:i w:val="0"/>
                <w:sz w:val="17"/>
              </w:rPr>
              <w:t>Organisasi dan risiko</w:t>
            </w:r>
          </w:p>
        </w:tc>
        <w:tc>
          <w:tcPr>
            <w:tcW w:type="dxa" w:w="7450"/>
            <w:vAlign w:val="center"/>
          </w:tcPr>
          <w:p>
            <w:pPr>
              <w:spacing w:after="20" w:before="20" w:line="252" w:lineRule="auto"/>
            </w:pPr>
            <w:r/>
            <w:r>
              <w:rPr>
                <w:rFonts w:ascii="Arial" w:hAnsi="Arial"/>
                <w:b w:val="0"/>
                <w:i w:val="0"/>
                <w:sz w:val="17"/>
              </w:rPr>
              <w:t>Sponsor, direktur proyek, kapasitas kontrak dan komisioning; opini risiko dan hukum independen dengan perbedaan pendapat tercatat.</w:t>
            </w:r>
          </w:p>
        </w:tc>
      </w:tr>
    </w:tbl>
    <w:p>
      <w:pPr>
        <w:spacing w:after="160"/>
      </w:pPr>
      <w:r>
        <w:rPr>
          <w:rFonts w:ascii="Arial" w:hAnsi="Arial"/>
          <w:b w:val="0"/>
          <w:i/>
          <w:color w:val="051C5C"/>
          <w:sz w:val="17"/>
        </w:rPr>
        <w:t>Sumber: bukti P2 dalam [EVAL §11] dan [K §7.4]; dimensi tambahan dari CII PDRI. Analisis penyusun.</w:t>
      </w:r>
    </w:p>
    <w:p>
      <w:pPr>
        <w:pStyle w:val="Heading1"/>
      </w:pPr>
      <w:bookmarkStart w:id="6" w:name="_Toc006"/>
      <w:r>
        <w:t>5  Manajemen jadwal</w:t>
      </w:r>
      <w:bookmarkEnd w:id="6"/>
    </w:p>
    <w:p>
      <w:pPr>
        <w:jc w:val="both"/>
      </w:pPr>
      <w:r>
        <w:rPr>
          <w:rFonts w:ascii="Arial" w:hAnsi="Arial"/>
          <w:b/>
          <w:i w:val="0"/>
        </w:rPr>
        <w:t>Ringkasnya:</w:t>
      </w:r>
      <w:r>
        <w:rPr>
          <w:rFonts w:ascii="Arial" w:hAnsi="Arial"/>
          <w:b w:val="0"/>
          <w:i w:val="0"/>
        </w:rPr>
        <w:t xml:space="preserve"> dokumen sumber hanya menyebut sistem jadwal dan "satu jadwal dasar" per proyek, tanpa metode jalur kritis. Bab ini mengisinya dari teori dan menunjukkan bagaimana tonggak terverifikasi menjadi alat kendali.</w:t>
      </w:r>
    </w:p>
    <w:p>
      <w:pPr>
        <w:pStyle w:val="Heading2"/>
      </w:pPr>
      <w:r>
        <w:t>5.1  Jalur kritis</w:t>
      </w:r>
    </w:p>
    <w:p>
      <w:pPr>
        <w:jc w:val="both"/>
      </w:pPr>
      <w:r>
        <w:rPr>
          <w:rFonts w:ascii="Arial" w:hAnsi="Arial"/>
          <w:b w:val="0"/>
          <w:i w:val="0"/>
        </w:rPr>
        <w:t>Metode jalur kritis (</w:t>
      </w:r>
      <w:r>
        <w:rPr>
          <w:rFonts w:ascii="Arial" w:hAnsi="Arial"/>
          <w:b w:val="0"/>
          <w:i/>
        </w:rPr>
        <w:t>critical path method</w:t>
      </w:r>
      <w:r>
        <w:rPr>
          <w:rFonts w:ascii="Arial" w:hAnsi="Arial"/>
          <w:b w:val="0"/>
          <w:i w:val="0"/>
        </w:rPr>
        <w:t>, CPM) menghitung tanggal paling awal dan paling akhir setiap aktivitas melalui jaring ketergantungan. Jalur kritis adalah rangkaian terpanjang yang menentukan durasi proyek dan berfloat nol. Pada contoh ilustratif berikut, jalur kritis A–B–D–F–G berdurasi 30 minggu, dan aktivitas C dan E memiliki float 7 minggu.</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7</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Contoh CPM sederhana (ilustratif; minggu)</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Contoh CPM sederhana (ilustratif; minggu)"/>
      </w:tblPr>
      <w:tblGrid>
        <w:gridCol w:w="1176"/>
        <w:gridCol w:w="1176"/>
        <w:gridCol w:w="1176"/>
        <w:gridCol w:w="1176"/>
        <w:gridCol w:w="1176"/>
        <w:gridCol w:w="1176"/>
        <w:gridCol w:w="1176"/>
        <w:gridCol w:w="1176"/>
      </w:tblGrid>
      <w:tr>
        <w:trPr>
          <w:cantSplit/>
          <w:tblHeader/>
        </w:trPr>
        <w:tc>
          <w:tcPr>
            <w:tcW w:type="dxa" w:w="3441"/>
            <w:shd w:val="clear" w:color="auto" w:fill="2251FF"/>
            <w:vAlign w:val="center"/>
          </w:tcPr>
          <w:p>
            <w:pPr>
              <w:spacing w:after="20" w:before="20" w:line="252" w:lineRule="auto"/>
            </w:pPr>
            <w:r/>
            <w:r>
              <w:rPr>
                <w:rFonts w:ascii="Arial" w:hAnsi="Arial"/>
                <w:b/>
                <w:i w:val="0"/>
                <w:color w:val="FFFFFF"/>
                <w:sz w:val="17"/>
              </w:rPr>
              <w:t>Aktivitas</w:t>
            </w:r>
          </w:p>
        </w:tc>
        <w:tc>
          <w:tcPr>
            <w:tcW w:type="dxa" w:w="1316"/>
            <w:shd w:val="clear" w:color="auto" w:fill="2251FF"/>
            <w:vAlign w:val="center"/>
          </w:tcPr>
          <w:p>
            <w:pPr>
              <w:spacing w:after="20" w:before="20" w:line="252" w:lineRule="auto"/>
            </w:pPr>
            <w:r/>
            <w:r>
              <w:rPr>
                <w:rFonts w:ascii="Arial" w:hAnsi="Arial"/>
                <w:b/>
                <w:i w:val="0"/>
                <w:color w:val="FFFFFF"/>
                <w:sz w:val="17"/>
              </w:rPr>
              <w:t>Pendahulu</w:t>
            </w:r>
          </w:p>
        </w:tc>
        <w:tc>
          <w:tcPr>
            <w:tcW w:type="dxa" w:w="1012"/>
            <w:shd w:val="clear" w:color="auto" w:fill="2251FF"/>
            <w:vAlign w:val="center"/>
          </w:tcPr>
          <w:p>
            <w:pPr>
              <w:spacing w:after="20" w:before="20" w:line="252" w:lineRule="auto"/>
            </w:pPr>
            <w:r/>
            <w:r>
              <w:rPr>
                <w:rFonts w:ascii="Arial" w:hAnsi="Arial"/>
                <w:b/>
                <w:i w:val="0"/>
                <w:color w:val="FFFFFF"/>
                <w:sz w:val="17"/>
              </w:rPr>
              <w:t>Durasi</w:t>
            </w:r>
          </w:p>
        </w:tc>
        <w:tc>
          <w:tcPr>
            <w:tcW w:type="dxa" w:w="708"/>
            <w:shd w:val="clear" w:color="auto" w:fill="2251FF"/>
            <w:vAlign w:val="center"/>
          </w:tcPr>
          <w:p>
            <w:pPr>
              <w:spacing w:after="20" w:before="20" w:line="252" w:lineRule="auto"/>
            </w:pPr>
            <w:r/>
            <w:r>
              <w:rPr>
                <w:rFonts w:ascii="Arial" w:hAnsi="Arial"/>
                <w:b/>
                <w:i w:val="0"/>
                <w:color w:val="FFFFFF"/>
                <w:sz w:val="17"/>
              </w:rPr>
              <w:t>ES</w:t>
            </w:r>
          </w:p>
        </w:tc>
        <w:tc>
          <w:tcPr>
            <w:tcW w:type="dxa" w:w="708"/>
            <w:shd w:val="clear" w:color="auto" w:fill="2251FF"/>
            <w:vAlign w:val="center"/>
          </w:tcPr>
          <w:p>
            <w:pPr>
              <w:spacing w:after="20" w:before="20" w:line="252" w:lineRule="auto"/>
            </w:pPr>
            <w:r/>
            <w:r>
              <w:rPr>
                <w:rFonts w:ascii="Arial" w:hAnsi="Arial"/>
                <w:b/>
                <w:i w:val="0"/>
                <w:color w:val="FFFFFF"/>
                <w:sz w:val="17"/>
              </w:rPr>
              <w:t>EF</w:t>
            </w:r>
          </w:p>
        </w:tc>
        <w:tc>
          <w:tcPr>
            <w:tcW w:type="dxa" w:w="708"/>
            <w:shd w:val="clear" w:color="auto" w:fill="2251FF"/>
            <w:vAlign w:val="center"/>
          </w:tcPr>
          <w:p>
            <w:pPr>
              <w:spacing w:after="20" w:before="20" w:line="252" w:lineRule="auto"/>
            </w:pPr>
            <w:r/>
            <w:r>
              <w:rPr>
                <w:rFonts w:ascii="Arial" w:hAnsi="Arial"/>
                <w:b/>
                <w:i w:val="0"/>
                <w:color w:val="FFFFFF"/>
                <w:sz w:val="17"/>
              </w:rPr>
              <w:t>LS</w:t>
            </w:r>
          </w:p>
        </w:tc>
        <w:tc>
          <w:tcPr>
            <w:tcW w:type="dxa" w:w="708"/>
            <w:shd w:val="clear" w:color="auto" w:fill="2251FF"/>
            <w:vAlign w:val="center"/>
          </w:tcPr>
          <w:p>
            <w:pPr>
              <w:spacing w:after="20" w:before="20" w:line="252" w:lineRule="auto"/>
            </w:pPr>
            <w:r/>
            <w:r>
              <w:rPr>
                <w:rFonts w:ascii="Arial" w:hAnsi="Arial"/>
                <w:b/>
                <w:i w:val="0"/>
                <w:color w:val="FFFFFF"/>
                <w:sz w:val="17"/>
              </w:rPr>
              <w:t>LF</w:t>
            </w:r>
          </w:p>
        </w:tc>
        <w:tc>
          <w:tcPr>
            <w:tcW w:type="dxa" w:w="810"/>
            <w:shd w:val="clear" w:color="auto" w:fill="2251FF"/>
            <w:vAlign w:val="center"/>
          </w:tcPr>
          <w:p>
            <w:pPr>
              <w:spacing w:after="20" w:before="20" w:line="252" w:lineRule="auto"/>
            </w:pPr>
            <w:r/>
            <w:r>
              <w:rPr>
                <w:rFonts w:ascii="Arial" w:hAnsi="Arial"/>
                <w:b/>
                <w:i w:val="0"/>
                <w:color w:val="FFFFFF"/>
                <w:sz w:val="17"/>
              </w:rPr>
              <w:t>Float</w:t>
            </w:r>
          </w:p>
        </w:tc>
      </w:tr>
      <w:tr>
        <w:trPr>
          <w:cantSplit/>
        </w:trPr>
        <w:tc>
          <w:tcPr>
            <w:tcW w:type="dxa" w:w="3441"/>
            <w:vAlign w:val="center"/>
          </w:tcPr>
          <w:p>
            <w:pPr>
              <w:spacing w:after="20" w:before="20" w:line="252" w:lineRule="auto"/>
            </w:pPr>
            <w:r/>
            <w:r>
              <w:rPr>
                <w:rFonts w:ascii="Arial" w:hAnsi="Arial"/>
                <w:b/>
                <w:i w:val="0"/>
                <w:sz w:val="17"/>
              </w:rPr>
              <w:t>A Desain dasar</w:t>
            </w:r>
          </w:p>
        </w:tc>
        <w:tc>
          <w:tcPr>
            <w:tcW w:type="dxa" w:w="1316"/>
            <w:vAlign w:val="center"/>
          </w:tcPr>
          <w:p>
            <w:pPr>
              <w:spacing w:after="20" w:before="20" w:line="252" w:lineRule="auto"/>
            </w:pPr>
            <w:r/>
            <w:r>
              <w:rPr>
                <w:rFonts w:ascii="Arial" w:hAnsi="Arial"/>
                <w:b w:val="0"/>
                <w:i w:val="0"/>
                <w:sz w:val="17"/>
              </w:rPr>
              <w:t>—</w:t>
            </w:r>
          </w:p>
        </w:tc>
        <w:tc>
          <w:tcPr>
            <w:tcW w:type="dxa" w:w="1012"/>
            <w:vAlign w:val="center"/>
          </w:tcPr>
          <w:p>
            <w:pPr>
              <w:spacing w:after="20" w:before="20" w:line="252" w:lineRule="auto"/>
            </w:pPr>
            <w:r/>
            <w:r>
              <w:rPr>
                <w:rFonts w:ascii="Arial" w:hAnsi="Arial"/>
                <w:b w:val="0"/>
                <w:i w:val="0"/>
                <w:sz w:val="17"/>
              </w:rPr>
              <w:t>4</w:t>
            </w:r>
          </w:p>
        </w:tc>
        <w:tc>
          <w:tcPr>
            <w:tcW w:type="dxa" w:w="708"/>
            <w:vAlign w:val="center"/>
          </w:tcPr>
          <w:p>
            <w:pPr>
              <w:spacing w:after="20" w:before="20" w:line="252" w:lineRule="auto"/>
            </w:pPr>
            <w:r/>
            <w:r>
              <w:rPr>
                <w:rFonts w:ascii="Arial" w:hAnsi="Arial"/>
                <w:b w:val="0"/>
                <w:i w:val="0"/>
                <w:sz w:val="17"/>
              </w:rPr>
              <w:t>0</w:t>
            </w:r>
          </w:p>
        </w:tc>
        <w:tc>
          <w:tcPr>
            <w:tcW w:type="dxa" w:w="708"/>
            <w:vAlign w:val="center"/>
          </w:tcPr>
          <w:p>
            <w:pPr>
              <w:spacing w:after="20" w:before="20" w:line="252" w:lineRule="auto"/>
            </w:pPr>
            <w:r/>
            <w:r>
              <w:rPr>
                <w:rFonts w:ascii="Arial" w:hAnsi="Arial"/>
                <w:b w:val="0"/>
                <w:i w:val="0"/>
                <w:sz w:val="17"/>
              </w:rPr>
              <w:t>4</w:t>
            </w:r>
          </w:p>
        </w:tc>
        <w:tc>
          <w:tcPr>
            <w:tcW w:type="dxa" w:w="708"/>
            <w:vAlign w:val="center"/>
          </w:tcPr>
          <w:p>
            <w:pPr>
              <w:spacing w:after="20" w:before="20" w:line="252" w:lineRule="auto"/>
            </w:pPr>
            <w:r/>
            <w:r>
              <w:rPr>
                <w:rFonts w:ascii="Arial" w:hAnsi="Arial"/>
                <w:b w:val="0"/>
                <w:i w:val="0"/>
                <w:sz w:val="17"/>
              </w:rPr>
              <w:t>0</w:t>
            </w:r>
          </w:p>
        </w:tc>
        <w:tc>
          <w:tcPr>
            <w:tcW w:type="dxa" w:w="708"/>
            <w:vAlign w:val="center"/>
          </w:tcPr>
          <w:p>
            <w:pPr>
              <w:spacing w:after="20" w:before="20" w:line="252" w:lineRule="auto"/>
            </w:pPr>
            <w:r/>
            <w:r>
              <w:rPr>
                <w:rFonts w:ascii="Arial" w:hAnsi="Arial"/>
                <w:b w:val="0"/>
                <w:i w:val="0"/>
                <w:sz w:val="17"/>
              </w:rPr>
              <w:t>4</w:t>
            </w:r>
          </w:p>
        </w:tc>
        <w:tc>
          <w:tcPr>
            <w:tcW w:type="dxa" w:w="810"/>
            <w:vAlign w:val="center"/>
          </w:tcPr>
          <w:p>
            <w:pPr>
              <w:spacing w:after="20" w:before="20" w:line="252" w:lineRule="auto"/>
            </w:pPr>
            <w:r/>
            <w:r>
              <w:rPr>
                <w:rFonts w:ascii="Arial" w:hAnsi="Arial"/>
                <w:b w:val="0"/>
                <w:i w:val="0"/>
                <w:sz w:val="17"/>
              </w:rPr>
              <w:t>0</w:t>
            </w:r>
          </w:p>
        </w:tc>
      </w:tr>
      <w:tr>
        <w:trPr>
          <w:cantSplit/>
        </w:trPr>
        <w:tc>
          <w:tcPr>
            <w:tcW w:type="dxa" w:w="3441"/>
            <w:shd w:val="clear" w:color="auto" w:fill="E6ECFD"/>
            <w:vAlign w:val="center"/>
          </w:tcPr>
          <w:p>
            <w:pPr>
              <w:spacing w:after="20" w:before="20" w:line="252" w:lineRule="auto"/>
            </w:pPr>
            <w:r/>
            <w:r>
              <w:rPr>
                <w:rFonts w:ascii="Arial" w:hAnsi="Arial"/>
                <w:b/>
                <w:i w:val="0"/>
                <w:sz w:val="17"/>
              </w:rPr>
              <w:t>B Pengadaan waktu tunggu panjang</w:t>
            </w:r>
          </w:p>
        </w:tc>
        <w:tc>
          <w:tcPr>
            <w:tcW w:type="dxa" w:w="1316"/>
            <w:shd w:val="clear" w:color="auto" w:fill="E6ECFD"/>
            <w:vAlign w:val="center"/>
          </w:tcPr>
          <w:p>
            <w:pPr>
              <w:spacing w:after="20" w:before="20" w:line="252" w:lineRule="auto"/>
            </w:pPr>
            <w:r/>
            <w:r>
              <w:rPr>
                <w:rFonts w:ascii="Arial" w:hAnsi="Arial"/>
                <w:b w:val="0"/>
                <w:i w:val="0"/>
                <w:sz w:val="17"/>
              </w:rPr>
              <w:t>A</w:t>
            </w:r>
          </w:p>
        </w:tc>
        <w:tc>
          <w:tcPr>
            <w:tcW w:type="dxa" w:w="1012"/>
            <w:shd w:val="clear" w:color="auto" w:fill="E6ECFD"/>
            <w:vAlign w:val="center"/>
          </w:tcPr>
          <w:p>
            <w:pPr>
              <w:spacing w:after="20" w:before="20" w:line="252" w:lineRule="auto"/>
            </w:pPr>
            <w:r/>
            <w:r>
              <w:rPr>
                <w:rFonts w:ascii="Arial" w:hAnsi="Arial"/>
                <w:b w:val="0"/>
                <w:i w:val="0"/>
                <w:sz w:val="17"/>
              </w:rPr>
              <w:t>10</w:t>
            </w:r>
          </w:p>
        </w:tc>
        <w:tc>
          <w:tcPr>
            <w:tcW w:type="dxa" w:w="708"/>
            <w:shd w:val="clear" w:color="auto" w:fill="E6ECFD"/>
            <w:vAlign w:val="center"/>
          </w:tcPr>
          <w:p>
            <w:pPr>
              <w:spacing w:after="20" w:before="20" w:line="252" w:lineRule="auto"/>
            </w:pPr>
            <w:r/>
            <w:r>
              <w:rPr>
                <w:rFonts w:ascii="Arial" w:hAnsi="Arial"/>
                <w:b w:val="0"/>
                <w:i w:val="0"/>
                <w:sz w:val="17"/>
              </w:rPr>
              <w:t>4</w:t>
            </w:r>
          </w:p>
        </w:tc>
        <w:tc>
          <w:tcPr>
            <w:tcW w:type="dxa" w:w="708"/>
            <w:shd w:val="clear" w:color="auto" w:fill="E6ECFD"/>
            <w:vAlign w:val="center"/>
          </w:tcPr>
          <w:p>
            <w:pPr>
              <w:spacing w:after="20" w:before="20" w:line="252" w:lineRule="auto"/>
            </w:pPr>
            <w:r/>
            <w:r>
              <w:rPr>
                <w:rFonts w:ascii="Arial" w:hAnsi="Arial"/>
                <w:b w:val="0"/>
                <w:i w:val="0"/>
                <w:sz w:val="17"/>
              </w:rPr>
              <w:t>14</w:t>
            </w:r>
          </w:p>
        </w:tc>
        <w:tc>
          <w:tcPr>
            <w:tcW w:type="dxa" w:w="708"/>
            <w:shd w:val="clear" w:color="auto" w:fill="E6ECFD"/>
            <w:vAlign w:val="center"/>
          </w:tcPr>
          <w:p>
            <w:pPr>
              <w:spacing w:after="20" w:before="20" w:line="252" w:lineRule="auto"/>
            </w:pPr>
            <w:r/>
            <w:r>
              <w:rPr>
                <w:rFonts w:ascii="Arial" w:hAnsi="Arial"/>
                <w:b w:val="0"/>
                <w:i w:val="0"/>
                <w:sz w:val="17"/>
              </w:rPr>
              <w:t>4</w:t>
            </w:r>
          </w:p>
        </w:tc>
        <w:tc>
          <w:tcPr>
            <w:tcW w:type="dxa" w:w="708"/>
            <w:shd w:val="clear" w:color="auto" w:fill="E6ECFD"/>
            <w:vAlign w:val="center"/>
          </w:tcPr>
          <w:p>
            <w:pPr>
              <w:spacing w:after="20" w:before="20" w:line="252" w:lineRule="auto"/>
            </w:pPr>
            <w:r/>
            <w:r>
              <w:rPr>
                <w:rFonts w:ascii="Arial" w:hAnsi="Arial"/>
                <w:b w:val="0"/>
                <w:i w:val="0"/>
                <w:sz w:val="17"/>
              </w:rPr>
              <w:t>14</w:t>
            </w:r>
          </w:p>
        </w:tc>
        <w:tc>
          <w:tcPr>
            <w:tcW w:type="dxa" w:w="810"/>
            <w:shd w:val="clear" w:color="auto" w:fill="E6ECFD"/>
            <w:vAlign w:val="center"/>
          </w:tcPr>
          <w:p>
            <w:pPr>
              <w:spacing w:after="20" w:before="20" w:line="252" w:lineRule="auto"/>
            </w:pPr>
            <w:r/>
            <w:r>
              <w:rPr>
                <w:rFonts w:ascii="Arial" w:hAnsi="Arial"/>
                <w:b w:val="0"/>
                <w:i w:val="0"/>
                <w:sz w:val="17"/>
              </w:rPr>
              <w:t>0</w:t>
            </w:r>
          </w:p>
        </w:tc>
      </w:tr>
      <w:tr>
        <w:trPr>
          <w:cantSplit/>
        </w:trPr>
        <w:tc>
          <w:tcPr>
            <w:tcW w:type="dxa" w:w="3441"/>
            <w:vAlign w:val="center"/>
          </w:tcPr>
          <w:p>
            <w:pPr>
              <w:spacing w:after="20" w:before="20" w:line="252" w:lineRule="auto"/>
            </w:pPr>
            <w:r/>
            <w:r>
              <w:rPr>
                <w:rFonts w:ascii="Arial" w:hAnsi="Arial"/>
                <w:b/>
                <w:i w:val="0"/>
                <w:sz w:val="17"/>
              </w:rPr>
              <w:t>C Persiapan lahan</w:t>
            </w:r>
          </w:p>
        </w:tc>
        <w:tc>
          <w:tcPr>
            <w:tcW w:type="dxa" w:w="1316"/>
            <w:vAlign w:val="center"/>
          </w:tcPr>
          <w:p>
            <w:pPr>
              <w:spacing w:after="20" w:before="20" w:line="252" w:lineRule="auto"/>
            </w:pPr>
            <w:r/>
            <w:r>
              <w:rPr>
                <w:rFonts w:ascii="Arial" w:hAnsi="Arial"/>
                <w:b w:val="0"/>
                <w:i w:val="0"/>
                <w:sz w:val="17"/>
              </w:rPr>
              <w:t>A</w:t>
            </w:r>
          </w:p>
        </w:tc>
        <w:tc>
          <w:tcPr>
            <w:tcW w:type="dxa" w:w="1012"/>
            <w:vAlign w:val="center"/>
          </w:tcPr>
          <w:p>
            <w:pPr>
              <w:spacing w:after="20" w:before="20" w:line="252" w:lineRule="auto"/>
            </w:pPr>
            <w:r/>
            <w:r>
              <w:rPr>
                <w:rFonts w:ascii="Arial" w:hAnsi="Arial"/>
                <w:b w:val="0"/>
                <w:i w:val="0"/>
                <w:sz w:val="17"/>
              </w:rPr>
              <w:t>5</w:t>
            </w:r>
          </w:p>
        </w:tc>
        <w:tc>
          <w:tcPr>
            <w:tcW w:type="dxa" w:w="708"/>
            <w:vAlign w:val="center"/>
          </w:tcPr>
          <w:p>
            <w:pPr>
              <w:spacing w:after="20" w:before="20" w:line="252" w:lineRule="auto"/>
            </w:pPr>
            <w:r/>
            <w:r>
              <w:rPr>
                <w:rFonts w:ascii="Arial" w:hAnsi="Arial"/>
                <w:b w:val="0"/>
                <w:i w:val="0"/>
                <w:sz w:val="17"/>
              </w:rPr>
              <w:t>4</w:t>
            </w:r>
          </w:p>
        </w:tc>
        <w:tc>
          <w:tcPr>
            <w:tcW w:type="dxa" w:w="708"/>
            <w:vAlign w:val="center"/>
          </w:tcPr>
          <w:p>
            <w:pPr>
              <w:spacing w:after="20" w:before="20" w:line="252" w:lineRule="auto"/>
            </w:pPr>
            <w:r/>
            <w:r>
              <w:rPr>
                <w:rFonts w:ascii="Arial" w:hAnsi="Arial"/>
                <w:b w:val="0"/>
                <w:i w:val="0"/>
                <w:sz w:val="17"/>
              </w:rPr>
              <w:t>9</w:t>
            </w:r>
          </w:p>
        </w:tc>
        <w:tc>
          <w:tcPr>
            <w:tcW w:type="dxa" w:w="708"/>
            <w:vAlign w:val="center"/>
          </w:tcPr>
          <w:p>
            <w:pPr>
              <w:spacing w:after="20" w:before="20" w:line="252" w:lineRule="auto"/>
            </w:pPr>
            <w:r/>
            <w:r>
              <w:rPr>
                <w:rFonts w:ascii="Arial" w:hAnsi="Arial"/>
                <w:b w:val="0"/>
                <w:i w:val="0"/>
                <w:sz w:val="17"/>
              </w:rPr>
              <w:t>11</w:t>
            </w:r>
          </w:p>
        </w:tc>
        <w:tc>
          <w:tcPr>
            <w:tcW w:type="dxa" w:w="708"/>
            <w:vAlign w:val="center"/>
          </w:tcPr>
          <w:p>
            <w:pPr>
              <w:spacing w:after="20" w:before="20" w:line="252" w:lineRule="auto"/>
            </w:pPr>
            <w:r/>
            <w:r>
              <w:rPr>
                <w:rFonts w:ascii="Arial" w:hAnsi="Arial"/>
                <w:b w:val="0"/>
                <w:i w:val="0"/>
                <w:sz w:val="17"/>
              </w:rPr>
              <w:t>16</w:t>
            </w:r>
          </w:p>
        </w:tc>
        <w:tc>
          <w:tcPr>
            <w:tcW w:type="dxa" w:w="810"/>
            <w:vAlign w:val="center"/>
          </w:tcPr>
          <w:p>
            <w:pPr>
              <w:spacing w:after="20" w:before="20" w:line="252" w:lineRule="auto"/>
            </w:pPr>
            <w:r/>
            <w:r>
              <w:rPr>
                <w:rFonts w:ascii="Arial" w:hAnsi="Arial"/>
                <w:b w:val="0"/>
                <w:i w:val="0"/>
                <w:sz w:val="17"/>
              </w:rPr>
              <w:t>7</w:t>
            </w:r>
          </w:p>
        </w:tc>
      </w:tr>
      <w:tr>
        <w:trPr>
          <w:cantSplit/>
        </w:trPr>
        <w:tc>
          <w:tcPr>
            <w:tcW w:type="dxa" w:w="3441"/>
            <w:shd w:val="clear" w:color="auto" w:fill="E6ECFD"/>
            <w:vAlign w:val="center"/>
          </w:tcPr>
          <w:p>
            <w:pPr>
              <w:spacing w:after="20" w:before="20" w:line="252" w:lineRule="auto"/>
            </w:pPr>
            <w:r/>
            <w:r>
              <w:rPr>
                <w:rFonts w:ascii="Arial" w:hAnsi="Arial"/>
                <w:b/>
                <w:i w:val="0"/>
                <w:sz w:val="17"/>
              </w:rPr>
              <w:t>D Fabrikasi</w:t>
            </w:r>
          </w:p>
        </w:tc>
        <w:tc>
          <w:tcPr>
            <w:tcW w:type="dxa" w:w="1316"/>
            <w:shd w:val="clear" w:color="auto" w:fill="E6ECFD"/>
            <w:vAlign w:val="center"/>
          </w:tcPr>
          <w:p>
            <w:pPr>
              <w:spacing w:after="20" w:before="20" w:line="252" w:lineRule="auto"/>
            </w:pPr>
            <w:r/>
            <w:r>
              <w:rPr>
                <w:rFonts w:ascii="Arial" w:hAnsi="Arial"/>
                <w:b w:val="0"/>
                <w:i w:val="0"/>
                <w:sz w:val="17"/>
              </w:rPr>
              <w:t>B</w:t>
            </w:r>
          </w:p>
        </w:tc>
        <w:tc>
          <w:tcPr>
            <w:tcW w:type="dxa" w:w="1012"/>
            <w:shd w:val="clear" w:color="auto" w:fill="E6ECFD"/>
            <w:vAlign w:val="center"/>
          </w:tcPr>
          <w:p>
            <w:pPr>
              <w:spacing w:after="20" w:before="20" w:line="252" w:lineRule="auto"/>
            </w:pPr>
            <w:r/>
            <w:r>
              <w:rPr>
                <w:rFonts w:ascii="Arial" w:hAnsi="Arial"/>
                <w:b w:val="0"/>
                <w:i w:val="0"/>
                <w:sz w:val="17"/>
              </w:rPr>
              <w:t>8</w:t>
            </w:r>
          </w:p>
        </w:tc>
        <w:tc>
          <w:tcPr>
            <w:tcW w:type="dxa" w:w="708"/>
            <w:shd w:val="clear" w:color="auto" w:fill="E6ECFD"/>
            <w:vAlign w:val="center"/>
          </w:tcPr>
          <w:p>
            <w:pPr>
              <w:spacing w:after="20" w:before="20" w:line="252" w:lineRule="auto"/>
            </w:pPr>
            <w:r/>
            <w:r>
              <w:rPr>
                <w:rFonts w:ascii="Arial" w:hAnsi="Arial"/>
                <w:b w:val="0"/>
                <w:i w:val="0"/>
                <w:sz w:val="17"/>
              </w:rPr>
              <w:t>14</w:t>
            </w:r>
          </w:p>
        </w:tc>
        <w:tc>
          <w:tcPr>
            <w:tcW w:type="dxa" w:w="708"/>
            <w:shd w:val="clear" w:color="auto" w:fill="E6ECFD"/>
            <w:vAlign w:val="center"/>
          </w:tcPr>
          <w:p>
            <w:pPr>
              <w:spacing w:after="20" w:before="20" w:line="252" w:lineRule="auto"/>
            </w:pPr>
            <w:r/>
            <w:r>
              <w:rPr>
                <w:rFonts w:ascii="Arial" w:hAnsi="Arial"/>
                <w:b w:val="0"/>
                <w:i w:val="0"/>
                <w:sz w:val="17"/>
              </w:rPr>
              <w:t>22</w:t>
            </w:r>
          </w:p>
        </w:tc>
        <w:tc>
          <w:tcPr>
            <w:tcW w:type="dxa" w:w="708"/>
            <w:shd w:val="clear" w:color="auto" w:fill="E6ECFD"/>
            <w:vAlign w:val="center"/>
          </w:tcPr>
          <w:p>
            <w:pPr>
              <w:spacing w:after="20" w:before="20" w:line="252" w:lineRule="auto"/>
            </w:pPr>
            <w:r/>
            <w:r>
              <w:rPr>
                <w:rFonts w:ascii="Arial" w:hAnsi="Arial"/>
                <w:b w:val="0"/>
                <w:i w:val="0"/>
                <w:sz w:val="17"/>
              </w:rPr>
              <w:t>14</w:t>
            </w:r>
          </w:p>
        </w:tc>
        <w:tc>
          <w:tcPr>
            <w:tcW w:type="dxa" w:w="708"/>
            <w:shd w:val="clear" w:color="auto" w:fill="E6ECFD"/>
            <w:vAlign w:val="center"/>
          </w:tcPr>
          <w:p>
            <w:pPr>
              <w:spacing w:after="20" w:before="20" w:line="252" w:lineRule="auto"/>
            </w:pPr>
            <w:r/>
            <w:r>
              <w:rPr>
                <w:rFonts w:ascii="Arial" w:hAnsi="Arial"/>
                <w:b w:val="0"/>
                <w:i w:val="0"/>
                <w:sz w:val="17"/>
              </w:rPr>
              <w:t>22</w:t>
            </w:r>
          </w:p>
        </w:tc>
        <w:tc>
          <w:tcPr>
            <w:tcW w:type="dxa" w:w="810"/>
            <w:shd w:val="clear" w:color="auto" w:fill="E6ECFD"/>
            <w:vAlign w:val="center"/>
          </w:tcPr>
          <w:p>
            <w:pPr>
              <w:spacing w:after="20" w:before="20" w:line="252" w:lineRule="auto"/>
            </w:pPr>
            <w:r/>
            <w:r>
              <w:rPr>
                <w:rFonts w:ascii="Arial" w:hAnsi="Arial"/>
                <w:b w:val="0"/>
                <w:i w:val="0"/>
                <w:sz w:val="17"/>
              </w:rPr>
              <w:t>0</w:t>
            </w:r>
          </w:p>
        </w:tc>
      </w:tr>
      <w:tr>
        <w:trPr>
          <w:cantSplit/>
        </w:trPr>
        <w:tc>
          <w:tcPr>
            <w:tcW w:type="dxa" w:w="3441"/>
            <w:vAlign w:val="center"/>
          </w:tcPr>
          <w:p>
            <w:pPr>
              <w:spacing w:after="20" w:before="20" w:line="252" w:lineRule="auto"/>
            </w:pPr>
            <w:r/>
            <w:r>
              <w:rPr>
                <w:rFonts w:ascii="Arial" w:hAnsi="Arial"/>
                <w:b/>
                <w:i w:val="0"/>
                <w:sz w:val="17"/>
              </w:rPr>
              <w:t>E Pondasi</w:t>
            </w:r>
          </w:p>
        </w:tc>
        <w:tc>
          <w:tcPr>
            <w:tcW w:type="dxa" w:w="1316"/>
            <w:vAlign w:val="center"/>
          </w:tcPr>
          <w:p>
            <w:pPr>
              <w:spacing w:after="20" w:before="20" w:line="252" w:lineRule="auto"/>
            </w:pPr>
            <w:r/>
            <w:r>
              <w:rPr>
                <w:rFonts w:ascii="Arial" w:hAnsi="Arial"/>
                <w:b w:val="0"/>
                <w:i w:val="0"/>
                <w:sz w:val="17"/>
              </w:rPr>
              <w:t>C</w:t>
            </w:r>
          </w:p>
        </w:tc>
        <w:tc>
          <w:tcPr>
            <w:tcW w:type="dxa" w:w="1012"/>
            <w:vAlign w:val="center"/>
          </w:tcPr>
          <w:p>
            <w:pPr>
              <w:spacing w:after="20" w:before="20" w:line="252" w:lineRule="auto"/>
            </w:pPr>
            <w:r/>
            <w:r>
              <w:rPr>
                <w:rFonts w:ascii="Arial" w:hAnsi="Arial"/>
                <w:b w:val="0"/>
                <w:i w:val="0"/>
                <w:sz w:val="17"/>
              </w:rPr>
              <w:t>6</w:t>
            </w:r>
          </w:p>
        </w:tc>
        <w:tc>
          <w:tcPr>
            <w:tcW w:type="dxa" w:w="708"/>
            <w:vAlign w:val="center"/>
          </w:tcPr>
          <w:p>
            <w:pPr>
              <w:spacing w:after="20" w:before="20" w:line="252" w:lineRule="auto"/>
            </w:pPr>
            <w:r/>
            <w:r>
              <w:rPr>
                <w:rFonts w:ascii="Arial" w:hAnsi="Arial"/>
                <w:b w:val="0"/>
                <w:i w:val="0"/>
                <w:sz w:val="17"/>
              </w:rPr>
              <w:t>9</w:t>
            </w:r>
          </w:p>
        </w:tc>
        <w:tc>
          <w:tcPr>
            <w:tcW w:type="dxa" w:w="708"/>
            <w:vAlign w:val="center"/>
          </w:tcPr>
          <w:p>
            <w:pPr>
              <w:spacing w:after="20" w:before="20" w:line="252" w:lineRule="auto"/>
            </w:pPr>
            <w:r/>
            <w:r>
              <w:rPr>
                <w:rFonts w:ascii="Arial" w:hAnsi="Arial"/>
                <w:b w:val="0"/>
                <w:i w:val="0"/>
                <w:sz w:val="17"/>
              </w:rPr>
              <w:t>15</w:t>
            </w:r>
          </w:p>
        </w:tc>
        <w:tc>
          <w:tcPr>
            <w:tcW w:type="dxa" w:w="708"/>
            <w:vAlign w:val="center"/>
          </w:tcPr>
          <w:p>
            <w:pPr>
              <w:spacing w:after="20" w:before="20" w:line="252" w:lineRule="auto"/>
            </w:pPr>
            <w:r/>
            <w:r>
              <w:rPr>
                <w:rFonts w:ascii="Arial" w:hAnsi="Arial"/>
                <w:b w:val="0"/>
                <w:i w:val="0"/>
                <w:sz w:val="17"/>
              </w:rPr>
              <w:t>16</w:t>
            </w:r>
          </w:p>
        </w:tc>
        <w:tc>
          <w:tcPr>
            <w:tcW w:type="dxa" w:w="708"/>
            <w:vAlign w:val="center"/>
          </w:tcPr>
          <w:p>
            <w:pPr>
              <w:spacing w:after="20" w:before="20" w:line="252" w:lineRule="auto"/>
            </w:pPr>
            <w:r/>
            <w:r>
              <w:rPr>
                <w:rFonts w:ascii="Arial" w:hAnsi="Arial"/>
                <w:b w:val="0"/>
                <w:i w:val="0"/>
                <w:sz w:val="17"/>
              </w:rPr>
              <w:t>22</w:t>
            </w:r>
          </w:p>
        </w:tc>
        <w:tc>
          <w:tcPr>
            <w:tcW w:type="dxa" w:w="810"/>
            <w:vAlign w:val="center"/>
          </w:tcPr>
          <w:p>
            <w:pPr>
              <w:spacing w:after="20" w:before="20" w:line="252" w:lineRule="auto"/>
            </w:pPr>
            <w:r/>
            <w:r>
              <w:rPr>
                <w:rFonts w:ascii="Arial" w:hAnsi="Arial"/>
                <w:b w:val="0"/>
                <w:i w:val="0"/>
                <w:sz w:val="17"/>
              </w:rPr>
              <w:t>7</w:t>
            </w:r>
          </w:p>
        </w:tc>
      </w:tr>
      <w:tr>
        <w:trPr>
          <w:cantSplit/>
        </w:trPr>
        <w:tc>
          <w:tcPr>
            <w:tcW w:type="dxa" w:w="3441"/>
            <w:shd w:val="clear" w:color="auto" w:fill="E6ECFD"/>
            <w:vAlign w:val="center"/>
          </w:tcPr>
          <w:p>
            <w:pPr>
              <w:spacing w:after="20" w:before="20" w:line="252" w:lineRule="auto"/>
            </w:pPr>
            <w:r/>
            <w:r>
              <w:rPr>
                <w:rFonts w:ascii="Arial" w:hAnsi="Arial"/>
                <w:b/>
                <w:i w:val="0"/>
                <w:sz w:val="17"/>
              </w:rPr>
              <w:t>F Instalasi</w:t>
            </w:r>
          </w:p>
        </w:tc>
        <w:tc>
          <w:tcPr>
            <w:tcW w:type="dxa" w:w="1316"/>
            <w:shd w:val="clear" w:color="auto" w:fill="E6ECFD"/>
            <w:vAlign w:val="center"/>
          </w:tcPr>
          <w:p>
            <w:pPr>
              <w:spacing w:after="20" w:before="20" w:line="252" w:lineRule="auto"/>
            </w:pPr>
            <w:r/>
            <w:r>
              <w:rPr>
                <w:rFonts w:ascii="Arial" w:hAnsi="Arial"/>
                <w:b w:val="0"/>
                <w:i w:val="0"/>
                <w:sz w:val="17"/>
              </w:rPr>
              <w:t>D, E</w:t>
            </w:r>
          </w:p>
        </w:tc>
        <w:tc>
          <w:tcPr>
            <w:tcW w:type="dxa" w:w="1012"/>
            <w:shd w:val="clear" w:color="auto" w:fill="E6ECFD"/>
            <w:vAlign w:val="center"/>
          </w:tcPr>
          <w:p>
            <w:pPr>
              <w:spacing w:after="20" w:before="20" w:line="252" w:lineRule="auto"/>
            </w:pPr>
            <w:r/>
            <w:r>
              <w:rPr>
                <w:rFonts w:ascii="Arial" w:hAnsi="Arial"/>
                <w:b w:val="0"/>
                <w:i w:val="0"/>
                <w:sz w:val="17"/>
              </w:rPr>
              <w:t>5</w:t>
            </w:r>
          </w:p>
        </w:tc>
        <w:tc>
          <w:tcPr>
            <w:tcW w:type="dxa" w:w="708"/>
            <w:shd w:val="clear" w:color="auto" w:fill="E6ECFD"/>
            <w:vAlign w:val="center"/>
          </w:tcPr>
          <w:p>
            <w:pPr>
              <w:spacing w:after="20" w:before="20" w:line="252" w:lineRule="auto"/>
            </w:pPr>
            <w:r/>
            <w:r>
              <w:rPr>
                <w:rFonts w:ascii="Arial" w:hAnsi="Arial"/>
                <w:b w:val="0"/>
                <w:i w:val="0"/>
                <w:sz w:val="17"/>
              </w:rPr>
              <w:t>22</w:t>
            </w:r>
          </w:p>
        </w:tc>
        <w:tc>
          <w:tcPr>
            <w:tcW w:type="dxa" w:w="708"/>
            <w:shd w:val="clear" w:color="auto" w:fill="E6ECFD"/>
            <w:vAlign w:val="center"/>
          </w:tcPr>
          <w:p>
            <w:pPr>
              <w:spacing w:after="20" w:before="20" w:line="252" w:lineRule="auto"/>
            </w:pPr>
            <w:r/>
            <w:r>
              <w:rPr>
                <w:rFonts w:ascii="Arial" w:hAnsi="Arial"/>
                <w:b w:val="0"/>
                <w:i w:val="0"/>
                <w:sz w:val="17"/>
              </w:rPr>
              <w:t>27</w:t>
            </w:r>
          </w:p>
        </w:tc>
        <w:tc>
          <w:tcPr>
            <w:tcW w:type="dxa" w:w="708"/>
            <w:shd w:val="clear" w:color="auto" w:fill="E6ECFD"/>
            <w:vAlign w:val="center"/>
          </w:tcPr>
          <w:p>
            <w:pPr>
              <w:spacing w:after="20" w:before="20" w:line="252" w:lineRule="auto"/>
            </w:pPr>
            <w:r/>
            <w:r>
              <w:rPr>
                <w:rFonts w:ascii="Arial" w:hAnsi="Arial"/>
                <w:b w:val="0"/>
                <w:i w:val="0"/>
                <w:sz w:val="17"/>
              </w:rPr>
              <w:t>22</w:t>
            </w:r>
          </w:p>
        </w:tc>
        <w:tc>
          <w:tcPr>
            <w:tcW w:type="dxa" w:w="708"/>
            <w:shd w:val="clear" w:color="auto" w:fill="E6ECFD"/>
            <w:vAlign w:val="center"/>
          </w:tcPr>
          <w:p>
            <w:pPr>
              <w:spacing w:after="20" w:before="20" w:line="252" w:lineRule="auto"/>
            </w:pPr>
            <w:r/>
            <w:r>
              <w:rPr>
                <w:rFonts w:ascii="Arial" w:hAnsi="Arial"/>
                <w:b w:val="0"/>
                <w:i w:val="0"/>
                <w:sz w:val="17"/>
              </w:rPr>
              <w:t>27</w:t>
            </w:r>
          </w:p>
        </w:tc>
        <w:tc>
          <w:tcPr>
            <w:tcW w:type="dxa" w:w="810"/>
            <w:shd w:val="clear" w:color="auto" w:fill="E6ECFD"/>
            <w:vAlign w:val="center"/>
          </w:tcPr>
          <w:p>
            <w:pPr>
              <w:spacing w:after="20" w:before="20" w:line="252" w:lineRule="auto"/>
            </w:pPr>
            <w:r/>
            <w:r>
              <w:rPr>
                <w:rFonts w:ascii="Arial" w:hAnsi="Arial"/>
                <w:b w:val="0"/>
                <w:i w:val="0"/>
                <w:sz w:val="17"/>
              </w:rPr>
              <w:t>0</w:t>
            </w:r>
          </w:p>
        </w:tc>
      </w:tr>
      <w:tr>
        <w:trPr>
          <w:cantSplit/>
        </w:trPr>
        <w:tc>
          <w:tcPr>
            <w:tcW w:type="dxa" w:w="3441"/>
            <w:vAlign w:val="center"/>
          </w:tcPr>
          <w:p>
            <w:pPr>
              <w:spacing w:after="20" w:before="20" w:line="252" w:lineRule="auto"/>
            </w:pPr>
            <w:r/>
            <w:r>
              <w:rPr>
                <w:rFonts w:ascii="Arial" w:hAnsi="Arial"/>
                <w:b/>
                <w:i w:val="0"/>
                <w:sz w:val="17"/>
              </w:rPr>
              <w:t>G Komisioning</w:t>
            </w:r>
          </w:p>
        </w:tc>
        <w:tc>
          <w:tcPr>
            <w:tcW w:type="dxa" w:w="1316"/>
            <w:vAlign w:val="center"/>
          </w:tcPr>
          <w:p>
            <w:pPr>
              <w:spacing w:after="20" w:before="20" w:line="252" w:lineRule="auto"/>
            </w:pPr>
            <w:r/>
            <w:r>
              <w:rPr>
                <w:rFonts w:ascii="Arial" w:hAnsi="Arial"/>
                <w:b w:val="0"/>
                <w:i w:val="0"/>
                <w:sz w:val="17"/>
              </w:rPr>
              <w:t>F</w:t>
            </w:r>
          </w:p>
        </w:tc>
        <w:tc>
          <w:tcPr>
            <w:tcW w:type="dxa" w:w="1012"/>
            <w:vAlign w:val="center"/>
          </w:tcPr>
          <w:p>
            <w:pPr>
              <w:spacing w:after="20" w:before="20" w:line="252" w:lineRule="auto"/>
            </w:pPr>
            <w:r/>
            <w:r>
              <w:rPr>
                <w:rFonts w:ascii="Arial" w:hAnsi="Arial"/>
                <w:b w:val="0"/>
                <w:i w:val="0"/>
                <w:sz w:val="17"/>
              </w:rPr>
              <w:t>3</w:t>
            </w:r>
          </w:p>
        </w:tc>
        <w:tc>
          <w:tcPr>
            <w:tcW w:type="dxa" w:w="708"/>
            <w:vAlign w:val="center"/>
          </w:tcPr>
          <w:p>
            <w:pPr>
              <w:spacing w:after="20" w:before="20" w:line="252" w:lineRule="auto"/>
            </w:pPr>
            <w:r/>
            <w:r>
              <w:rPr>
                <w:rFonts w:ascii="Arial" w:hAnsi="Arial"/>
                <w:b w:val="0"/>
                <w:i w:val="0"/>
                <w:sz w:val="17"/>
              </w:rPr>
              <w:t>27</w:t>
            </w:r>
          </w:p>
        </w:tc>
        <w:tc>
          <w:tcPr>
            <w:tcW w:type="dxa" w:w="708"/>
            <w:vAlign w:val="center"/>
          </w:tcPr>
          <w:p>
            <w:pPr>
              <w:spacing w:after="20" w:before="20" w:line="252" w:lineRule="auto"/>
            </w:pPr>
            <w:r/>
            <w:r>
              <w:rPr>
                <w:rFonts w:ascii="Arial" w:hAnsi="Arial"/>
                <w:b w:val="0"/>
                <w:i w:val="0"/>
                <w:sz w:val="17"/>
              </w:rPr>
              <w:t>30</w:t>
            </w:r>
          </w:p>
        </w:tc>
        <w:tc>
          <w:tcPr>
            <w:tcW w:type="dxa" w:w="708"/>
            <w:vAlign w:val="center"/>
          </w:tcPr>
          <w:p>
            <w:pPr>
              <w:spacing w:after="20" w:before="20" w:line="252" w:lineRule="auto"/>
            </w:pPr>
            <w:r/>
            <w:r>
              <w:rPr>
                <w:rFonts w:ascii="Arial" w:hAnsi="Arial"/>
                <w:b w:val="0"/>
                <w:i w:val="0"/>
                <w:sz w:val="17"/>
              </w:rPr>
              <w:t>27</w:t>
            </w:r>
          </w:p>
        </w:tc>
        <w:tc>
          <w:tcPr>
            <w:tcW w:type="dxa" w:w="708"/>
            <w:vAlign w:val="center"/>
          </w:tcPr>
          <w:p>
            <w:pPr>
              <w:spacing w:after="20" w:before="20" w:line="252" w:lineRule="auto"/>
            </w:pPr>
            <w:r/>
            <w:r>
              <w:rPr>
                <w:rFonts w:ascii="Arial" w:hAnsi="Arial"/>
                <w:b w:val="0"/>
                <w:i w:val="0"/>
                <w:sz w:val="17"/>
              </w:rPr>
              <w:t>30</w:t>
            </w:r>
          </w:p>
        </w:tc>
        <w:tc>
          <w:tcPr>
            <w:tcW w:type="dxa" w:w="810"/>
            <w:vAlign w:val="center"/>
          </w:tcPr>
          <w:p>
            <w:pPr>
              <w:spacing w:after="20" w:before="20" w:line="252" w:lineRule="auto"/>
            </w:pPr>
            <w:r/>
            <w:r>
              <w:rPr>
                <w:rFonts w:ascii="Arial" w:hAnsi="Arial"/>
                <w:b w:val="0"/>
                <w:i w:val="0"/>
                <w:sz w:val="17"/>
              </w:rPr>
              <w:t>0</w:t>
            </w:r>
          </w:p>
        </w:tc>
      </w:tr>
    </w:tbl>
    <w:p>
      <w:pPr>
        <w:spacing w:after="160"/>
      </w:pPr>
      <w:r>
        <w:rPr>
          <w:rFonts w:ascii="Arial" w:hAnsi="Arial"/>
          <w:b w:val="0"/>
          <w:i/>
          <w:color w:val="051C5C"/>
          <w:sz w:val="17"/>
        </w:rPr>
        <w:t>Perhitungan penyusun. ES, EF: mulai dan selesai paling awal; LS, LF: paling akhir.</w:t>
      </w:r>
    </w:p>
    <w:p>
      <w:pPr>
        <w:keepNext/>
        <w:jc w:val="center"/>
      </w:pPr>
      <w:r>
        <w:drawing>
          <wp:inline xmlns:a="http://schemas.openxmlformats.org/drawingml/2006/main" xmlns:pic="http://schemas.openxmlformats.org/drawingml/2006/picture">
            <wp:extent cx="5580000" cy="3945000"/>
            <wp:docPr id="5" name="Picture 5" descr="Mempercepat aktivitas non-kritis tidak memperpendek proyek; keterlambatan pada jalur kritis langsung menggeser penyelesaian" title="Mempercepat aktivitas non-kritis tidak memperpendek proyek; keterlambatan pada j"/>
            <wp:cNvGraphicFramePr>
              <a:graphicFrameLocks noChangeAspect="1"/>
            </wp:cNvGraphicFramePr>
            <a:graphic>
              <a:graphicData uri="http://schemas.openxmlformats.org/drawingml/2006/picture">
                <pic:pic>
                  <pic:nvPicPr>
                    <pic:cNvPr id="0" name="f_cpm.png"/>
                    <pic:cNvPicPr/>
                  </pic:nvPicPr>
                  <pic:blipFill>
                    <a:blip r:embed="rId18"/>
                    <a:stretch>
                      <a:fillRect/>
                    </a:stretch>
                  </pic:blipFill>
                  <pic:spPr>
                    <a:xfrm>
                      <a:off x="0" y="0"/>
                      <a:ext cx="5580000" cy="3945000"/>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5</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Mempercepat aktivitas non-kritis tidak memperpendek proyek; keterlambatan pada jalur kritis langsung menggeser penyelesaian</w:t>
      </w:r>
    </w:p>
    <w:p>
      <w:pPr>
        <w:spacing w:after="160"/>
      </w:pPr>
      <w:r>
        <w:rPr>
          <w:rFonts w:ascii="Arial" w:hAnsi="Arial"/>
          <w:b w:val="0"/>
          <w:i/>
          <w:color w:val="051C5C"/>
          <w:sz w:val="17"/>
        </w:rPr>
        <w:t>Gambar penyusun dari contoh ilustratif pada tabel di atas.</w:t>
      </w:r>
    </w:p>
    <w:p>
      <w:pPr>
        <w:jc w:val="both"/>
      </w:pPr>
      <w:r>
        <w:rPr>
          <w:rFonts w:ascii="Arial" w:hAnsi="Arial"/>
          <w:b w:val="0"/>
          <w:i w:val="0"/>
        </w:rPr>
        <w:t>Keterlambatan satu minggu pada pengadaan item dengan waktu tunggu (</w:t>
      </w:r>
      <w:r>
        <w:rPr>
          <w:rFonts w:ascii="Arial" w:hAnsi="Arial"/>
          <w:b w:val="0"/>
          <w:i/>
        </w:rPr>
        <w:t>lead time</w:t>
      </w:r>
      <w:r>
        <w:rPr>
          <w:rFonts w:ascii="Arial" w:hAnsi="Arial"/>
          <w:b w:val="0"/>
          <w:i w:val="0"/>
        </w:rPr>
        <w:t>) panjang langsung menunda penyelesaian, sedangkan mempercepat persiapan lahan tidak berpengaruh. Karena itu pelacakan item waktu tunggu panjang adalah salah satu fungsi yang diminta dari agen pengadaan dan jadwal pada platform AI (Bab 12).</w:t>
      </w:r>
    </w:p>
    <w:p>
      <w:pPr>
        <w:pStyle w:val="Heading2"/>
      </w:pPr>
      <w:r>
        <w:t>5.2  Ketidakpastian durasi</w:t>
      </w:r>
    </w:p>
    <w:p>
      <w:pPr>
        <w:jc w:val="both"/>
      </w:pPr>
      <w:r>
        <w:rPr>
          <w:rFonts w:ascii="Arial" w:hAnsi="Arial"/>
          <w:b w:val="0"/>
          <w:i w:val="0"/>
        </w:rPr>
        <w:t>Estimasi durasi satu angka menyembunyikan ketidakpastian. Teknik tiga titik PERT memakai estimasi optimistis (o), paling mungkin (m), dan pesimistis (p): durasi harapan t = (o + 4m + p)/6 dan simpangan baku σ = (p − o)/6. Untuk aktivitas B dengan o = 8, m = 10, dan p = 18 minggu, durasi harapan 11 minggu dengan σ sekitar 1,7 minggu. Simulasi Monte Carlo atas jaringan lengkap menghasilkan distribusi tanggal selesai dan probabilitas mencapai target (P50, P80) serta indeks kekritisan tiap aktivitas. Pendekatan rantai kritis (Goldratt, 1997) menaruh penyangga di ujung rantai, bukan pada tiap aktivitas. Teknik pelengkap meliputi perataan sumber daya (penting bagi galangan dan fabrikator yang dipakai beberapa proyek), perencanaan mundur bersama pelaksana untuk komisioning, dan pengukuran kemajuan berbobot (tonggak berbobot atau unit terpasang) agar kemajuan tidak diestimasi secara subjektif [EPC §3].</w:t>
      </w:r>
    </w:p>
    <w:p>
      <w:pPr>
        <w:pStyle w:val="Heading2"/>
      </w:pPr>
      <w:r>
        <w:t>5.3  Jadwal dasar dan kurva-S</w:t>
      </w:r>
    </w:p>
    <w:p>
      <w:pPr>
        <w:jc w:val="both"/>
      </w:pPr>
      <w:r>
        <w:rPr>
          <w:rFonts w:ascii="Arial" w:hAnsi="Arial"/>
          <w:b w:val="0"/>
          <w:i w:val="0"/>
        </w:rPr>
        <w:t>Jadwal dasar (</w:t>
      </w:r>
      <w:r>
        <w:rPr>
          <w:rFonts w:ascii="Arial" w:hAnsi="Arial"/>
          <w:b w:val="0"/>
          <w:i/>
        </w:rPr>
        <w:t>baseline</w:t>
      </w:r>
      <w:r>
        <w:rPr>
          <w:rFonts w:ascii="Arial" w:hAnsi="Arial"/>
          <w:b w:val="0"/>
          <w:i w:val="0"/>
        </w:rPr>
        <w:t>) adalah versi jadwal yang disetujui sebagai acuan; tanpa baseline yang dibekukan, penyimpangan tidak dapat diukur. Kajian menegaskannya dua kali: gerbang P4 mensyaratkan "jadwal dasar dan pengendalian perubahan", dan metrik D08 (komisioning tepat waktu dan tepat anggaran) membandingkan capaian dengan baseline yang disahkan, dengan ketentuan bahwa penetapan ulang baseline tidak menghapus keterlambatan [EVAL §11; K Lampiran A]. Alur kerja EPC menambahkan bahwa baseline biaya dibentuk dengan menjadwalkan anggaran terhadap waktu (kurva-S) [EPC §2].</w:t>
      </w:r>
    </w:p>
    <w:p>
      <w:pPr>
        <w:pStyle w:val="Heading2"/>
      </w:pPr>
      <w:r>
        <w:t>5.4  Tonggak terverifikasi dan jadwal pencairan</w:t>
      </w:r>
    </w:p>
    <w:p>
      <w:pPr>
        <w:jc w:val="both"/>
      </w:pPr>
      <w:r>
        <w:rPr>
          <w:rFonts w:ascii="Arial" w:hAnsi="Arial"/>
          <w:b w:val="0"/>
          <w:i w:val="0"/>
        </w:rPr>
        <w:t>Pada proyek bernilai besar dengan siklus panjang, tonggak yang diverifikasi menjadi alat kendali sekaligus alat pembiayaan. Dokumen PALCapital merancang pencairan US$150 juta dalam empat tranche (US$40, 45, 40, dan 25 juta), masing-masing setelah satu tonggak fisik: pemotongan baja, peletakan lunas, peluncuran, dan uji laut. Setiap tonggak harus dibuktikan dengan foto bergeotag, koordinat GPS, dan cap waktu, serta disetujui surveyor BKI dan perwira TNI AL [PAL hlm. 7–8]. Pembayaran Kemhan berupa uang muka 15% dan lima termin (T1–T5) dirancang masuk ke rekening penampungan sebelum arus pelunasan [PAL hlm. 10]. Prinsipnya: uang mengikuti bukti fisik, bukan rencana.</w:t>
      </w:r>
    </w:p>
    <w:p>
      <w:pPr>
        <w:jc w:val="both"/>
      </w:pPr>
      <w:r>
        <w:rPr>
          <w:rFonts w:ascii="Arial" w:hAnsi="Arial"/>
          <w:b w:val="0"/>
          <w:i w:val="0"/>
        </w:rPr>
        <w:t>Siklus pembangunan 60 sampai 96 bulan [PAL hlm. 2] menimbulkan satu risiko yang tidak tercantum pada register risiko dokumen itu: ketidakselarasan jadwal antara tonggak fisik, pembayaran negara, dan tenor instrumen (720 hari pada uji coba) [PAL hlm. 14].</w:t>
      </w:r>
    </w:p>
    <w:p>
      <w:pPr>
        <w:pStyle w:val="Heading2"/>
      </w:pPr>
      <w:r>
        <w:t>5.5  Jadwal proyek EPC dan jadwal portofolio</w:t>
      </w:r>
    </w:p>
    <w:p>
      <w:pPr>
        <w:jc w:val="both"/>
      </w:pPr>
      <w:r>
        <w:rPr>
          <w:rFonts w:ascii="Arial" w:hAnsi="Arial"/>
          <w:b w:val="0"/>
          <w:i w:val="0"/>
        </w:rPr>
        <w:t>Tiga jenis aktivitas paling sering menggeser jadwal proyek EPC dan perlu mendapat tempat eksplisit pada jadwal dasar: pengadaan item bertenggang waktu panjang (peralatan utama, baja khusus, sistem tempur), perizinan dan lahan, serta komisioning yang sering dimampatkan di ujung. Pengendalinya adalah jalur kritis yang diperbarui bulanan, daftar item waktu tunggu dengan tanggal pesan terakhir, dan gerbang penerimaan komisioning (M6–M8) yang tidak dapat dilewati demi tenggat.</w:t>
      </w:r>
    </w:p>
    <w:p>
      <w:pPr>
        <w:jc w:val="both"/>
      </w:pPr>
      <w:r>
        <w:rPr>
          <w:rFonts w:ascii="Arial" w:hAnsi="Arial"/>
          <w:b w:val="0"/>
          <w:i w:val="0"/>
        </w:rPr>
        <w:t>Pada tingkat portofolio, ketergantungan antarproyek menentukan urutan. Kajian mencatat bahwa register 40 slot adalah prasyarat bagi peta komponen dan scorecard; bahwa ID proyek dan ID pemasok harus sama pada register, scorecard, menara kendali, dan register kesiapan DOCK-UP; bahwa integrator uji coba DOCK-UP sebaiknya dikaitkan dengan proyek jangkar yang sudah berada pada P2 atau lebih; dan bahwa diagnostik BUMN Karya memerlukan laporan teraudit agar metrik O01–O09 tidak tetap NR [K §16.1–16.2]. Jadwal portofolio karenanya berupa jaringan ketergantungan antarkeputusan, bukan sekadar kumpulan jadwal proyek. Penurunan investasi tajam pada 2032 menurut model dampak makro menambahkan satu ketergantungan lagi: pipeline penerus harus disiapkan sejak 2030 (Bab 10).</w:t>
      </w:r>
    </w:p>
    <w:p>
      <w:pPr>
        <w:pStyle w:val="Heading1"/>
      </w:pPr>
      <w:bookmarkStart w:id="7" w:name="_Toc007"/>
      <w:r>
        <w:t>6  Manajemen biaya dan pengendalian keuangan proyek</w:t>
      </w:r>
      <w:bookmarkEnd w:id="7"/>
    </w:p>
    <w:p>
      <w:pPr>
        <w:jc w:val="both"/>
      </w:pPr>
      <w:r>
        <w:rPr>
          <w:rFonts w:ascii="Arial" w:hAnsi="Arial"/>
          <w:b/>
          <w:i w:val="0"/>
        </w:rPr>
        <w:t>Ringkasnya:</w:t>
      </w:r>
      <w:r>
        <w:rPr>
          <w:rFonts w:ascii="Arial" w:hAnsi="Arial"/>
          <w:b w:val="0"/>
          <w:i w:val="0"/>
        </w:rPr>
        <w:t xml:space="preserve"> pengendalian biaya proyek EPC bertumpu pada satu rantai yang dapat ditelusuri dari estimasi sampai pembayaran. Dokumen sumber Danantara tidak memuat prosedur biaya terperinci, sehingga bab ini bertumpu pada alur kerja anggaran EPC [EPC] dan standar EVM.</w:t>
      </w:r>
    </w:p>
    <w:p>
      <w:pPr>
        <w:pStyle w:val="Heading2"/>
      </w:pPr>
      <w:r>
        <w:t>6.1  Rantai biaya dan titik kendalinya</w:t>
      </w:r>
    </w:p>
    <w:p>
      <w:pPr>
        <w:jc w:val="both"/>
      </w:pPr>
      <w:r>
        <w:rPr>
          <w:rFonts w:ascii="Arial" w:hAnsi="Arial"/>
          <w:b w:val="0"/>
          <w:i w:val="0"/>
        </w:rPr>
        <w:t>Setiap rupiah harus dapat ditelusuri melalui satu rantai: estimasi, harga kontrak, anggaran kendali, komitmen (PO), biaya aktual (AP), dan pembayaran; pada sisi pendapatan: nilai kontrak, rencana penagihan, klaim kemajuan atau faktur (AR), dan penagihan kas. Pemantauan membandingkan anggaran, komitmen, aktual, dan prakiraan (EAC), ditambah nilai terhasil dan arus kas [EPC].</w:t>
      </w:r>
    </w:p>
    <w:p>
      <w:pPr>
        <w:keepNext/>
        <w:jc w:val="center"/>
      </w:pPr>
      <w:r>
        <w:drawing>
          <wp:inline xmlns:a="http://schemas.openxmlformats.org/drawingml/2006/main" xmlns:pic="http://schemas.openxmlformats.org/drawingml/2006/picture">
            <wp:extent cx="5580000" cy="3610588"/>
            <wp:docPr id="6" name="Picture 6" descr="Rantai biaya dan pendapatan proyek EPC dengan titik kendali" title="Rantai biaya dan pendapatan proyek EPC dengan titik kendali"/>
            <wp:cNvGraphicFramePr>
              <a:graphicFrameLocks noChangeAspect="1"/>
            </wp:cNvGraphicFramePr>
            <a:graphic>
              <a:graphicData uri="http://schemas.openxmlformats.org/drawingml/2006/picture">
                <pic:pic>
                  <pic:nvPicPr>
                    <pic:cNvPr id="0" name="f_chain.png"/>
                    <pic:cNvPicPr/>
                  </pic:nvPicPr>
                  <pic:blipFill>
                    <a:blip r:embed="rId19"/>
                    <a:stretch>
                      <a:fillRect/>
                    </a:stretch>
                  </pic:blipFill>
                  <pic:spPr>
                    <a:xfrm>
                      <a:off x="0" y="0"/>
                      <a:ext cx="5580000" cy="3610588"/>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6</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Rantai biaya dan pendapatan proyek EPC dengan titik kendali</w:t>
      </w:r>
    </w:p>
    <w:p>
      <w:pPr>
        <w:spacing w:after="160"/>
      </w:pPr>
      <w:r>
        <w:rPr>
          <w:rFonts w:ascii="Arial" w:hAnsi="Arial"/>
          <w:b w:val="0"/>
          <w:i/>
          <w:color w:val="051C5C"/>
          <w:sz w:val="17"/>
        </w:rPr>
        <w:t>Sumber: diolah dari [EPC §1–§8].</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8</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Titik kendali pada rantai biaya dan enam cara proyek EPC kehilangan kendali</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Titik kendali pada rantai biaya dan enam cara proyek EPC kehilangan kendali"/>
      </w:tblPr>
      <w:tblGrid>
        <w:gridCol w:w="3137"/>
        <w:gridCol w:w="3137"/>
        <w:gridCol w:w="3137"/>
      </w:tblGrid>
      <w:tr>
        <w:trPr>
          <w:cantSplit/>
          <w:tblHeader/>
        </w:trPr>
        <w:tc>
          <w:tcPr>
            <w:tcW w:type="dxa" w:w="1569"/>
            <w:shd w:val="clear" w:color="auto" w:fill="2251FF"/>
            <w:vAlign w:val="center"/>
          </w:tcPr>
          <w:p>
            <w:pPr>
              <w:spacing w:after="20" w:before="20" w:line="252" w:lineRule="auto"/>
            </w:pPr>
            <w:r/>
            <w:r>
              <w:rPr>
                <w:rFonts w:ascii="Arial" w:hAnsi="Arial"/>
                <w:b/>
                <w:i w:val="0"/>
                <w:color w:val="FFFFFF"/>
                <w:sz w:val="16"/>
              </w:rPr>
              <w:t>Tahap</w:t>
            </w:r>
          </w:p>
        </w:tc>
        <w:tc>
          <w:tcPr>
            <w:tcW w:type="dxa" w:w="4509"/>
            <w:shd w:val="clear" w:color="auto" w:fill="2251FF"/>
            <w:vAlign w:val="center"/>
          </w:tcPr>
          <w:p>
            <w:pPr>
              <w:spacing w:after="20" w:before="20" w:line="252" w:lineRule="auto"/>
            </w:pPr>
            <w:r/>
            <w:r>
              <w:rPr>
                <w:rFonts w:ascii="Arial" w:hAnsi="Arial"/>
                <w:b/>
                <w:i w:val="0"/>
                <w:color w:val="FFFFFF"/>
                <w:sz w:val="16"/>
              </w:rPr>
              <w:t>Kendali utama</w:t>
            </w:r>
          </w:p>
        </w:tc>
        <w:tc>
          <w:tcPr>
            <w:tcW w:type="dxa" w:w="3333"/>
            <w:shd w:val="clear" w:color="auto" w:fill="2251FF"/>
            <w:vAlign w:val="center"/>
          </w:tcPr>
          <w:p>
            <w:pPr>
              <w:spacing w:after="20" w:before="20" w:line="252" w:lineRule="auto"/>
            </w:pPr>
            <w:r/>
            <w:r>
              <w:rPr>
                <w:rFonts w:ascii="Arial" w:hAnsi="Arial"/>
                <w:b/>
                <w:i w:val="0"/>
                <w:color w:val="FFFFFF"/>
                <w:sz w:val="16"/>
              </w:rPr>
              <w:t>Kegagalan umum</w:t>
            </w:r>
          </w:p>
        </w:tc>
      </w:tr>
      <w:tr>
        <w:trPr>
          <w:cantSplit/>
        </w:trPr>
        <w:tc>
          <w:tcPr>
            <w:tcW w:type="dxa" w:w="1569"/>
            <w:vAlign w:val="center"/>
          </w:tcPr>
          <w:p>
            <w:pPr>
              <w:spacing w:after="20" w:before="20" w:line="252" w:lineRule="auto"/>
            </w:pPr>
            <w:r/>
            <w:r>
              <w:rPr>
                <w:rFonts w:ascii="Arial" w:hAnsi="Arial"/>
                <w:b/>
                <w:i w:val="0"/>
                <w:sz w:val="16"/>
              </w:rPr>
              <w:t>Estimasi dan kuotasi</w:t>
            </w:r>
          </w:p>
        </w:tc>
        <w:tc>
          <w:tcPr>
            <w:tcW w:type="dxa" w:w="4509"/>
            <w:vAlign w:val="center"/>
          </w:tcPr>
          <w:p>
            <w:pPr>
              <w:spacing w:after="20" w:before="20" w:line="252" w:lineRule="auto"/>
            </w:pPr>
            <w:r/>
            <w:r>
              <w:rPr>
                <w:rFonts w:ascii="Arial" w:hAnsi="Arial"/>
                <w:b w:val="0"/>
                <w:i w:val="0"/>
                <w:sz w:val="16"/>
              </w:rPr>
              <w:t>Estimasi bottom-up; risiko diberi harga lewat kontingensi lalu margin; bid/no-bid sesuai matriks kewenangan</w:t>
            </w:r>
          </w:p>
        </w:tc>
        <w:tc>
          <w:tcPr>
            <w:tcW w:type="dxa" w:w="3333"/>
            <w:vAlign w:val="center"/>
          </w:tcPr>
          <w:p>
            <w:pPr>
              <w:spacing w:after="20" w:before="20" w:line="252" w:lineRule="auto"/>
            </w:pPr>
            <w:r/>
            <w:r>
              <w:rPr>
                <w:rFonts w:ascii="Arial" w:hAnsi="Arial"/>
                <w:b w:val="0"/>
                <w:i w:val="0"/>
                <w:sz w:val="16"/>
              </w:rPr>
              <w:t>Estimasi dikode berbeda dari anggaran kendali; LD dan eskalasi tidak dibaca</w:t>
            </w:r>
          </w:p>
        </w:tc>
      </w:tr>
      <w:tr>
        <w:trPr>
          <w:cantSplit/>
        </w:trPr>
        <w:tc>
          <w:tcPr>
            <w:tcW w:type="dxa" w:w="1569"/>
            <w:shd w:val="clear" w:color="auto" w:fill="E6ECFD"/>
            <w:vAlign w:val="center"/>
          </w:tcPr>
          <w:p>
            <w:pPr>
              <w:spacing w:after="20" w:before="20" w:line="252" w:lineRule="auto"/>
            </w:pPr>
            <w:r/>
            <w:r>
              <w:rPr>
                <w:rFonts w:ascii="Arial" w:hAnsi="Arial"/>
                <w:b/>
                <w:i w:val="0"/>
                <w:sz w:val="16"/>
              </w:rPr>
              <w:t>Anggaran kendali</w:t>
            </w:r>
          </w:p>
        </w:tc>
        <w:tc>
          <w:tcPr>
            <w:tcW w:type="dxa" w:w="4509"/>
            <w:shd w:val="clear" w:color="auto" w:fill="E6ECFD"/>
            <w:vAlign w:val="center"/>
          </w:tcPr>
          <w:p>
            <w:pPr>
              <w:spacing w:after="20" w:before="20" w:line="252" w:lineRule="auto"/>
            </w:pPr>
            <w:r/>
            <w:r>
              <w:rPr>
                <w:rFonts w:ascii="Arial" w:hAnsi="Arial"/>
                <w:b w:val="0"/>
                <w:i w:val="0"/>
                <w:sz w:val="16"/>
              </w:rPr>
              <w:t>Anggaran biaya per akun kendali + kontingensi proyek + cadangan manajemen + margin; ERP dengan availability control</w:t>
            </w:r>
          </w:p>
        </w:tc>
        <w:tc>
          <w:tcPr>
            <w:tcW w:type="dxa" w:w="3333"/>
            <w:shd w:val="clear" w:color="auto" w:fill="E6ECFD"/>
            <w:vAlign w:val="center"/>
          </w:tcPr>
          <w:p>
            <w:pPr>
              <w:spacing w:after="20" w:before="20" w:line="252" w:lineRule="auto"/>
            </w:pPr>
            <w:r/>
            <w:r>
              <w:rPr>
                <w:rFonts w:ascii="Arial" w:hAnsi="Arial"/>
                <w:b w:val="0"/>
                <w:i w:val="0"/>
                <w:sz w:val="16"/>
              </w:rPr>
              <w:t>Hanya aktual dilacak, bukan komitmen; pembengkakan terlihat terlambat</w:t>
            </w:r>
          </w:p>
        </w:tc>
      </w:tr>
      <w:tr>
        <w:trPr>
          <w:cantSplit/>
        </w:trPr>
        <w:tc>
          <w:tcPr>
            <w:tcW w:type="dxa" w:w="1569"/>
            <w:vAlign w:val="center"/>
          </w:tcPr>
          <w:p>
            <w:pPr>
              <w:spacing w:after="20" w:before="20" w:line="252" w:lineRule="auto"/>
            </w:pPr>
            <w:r/>
            <w:r>
              <w:rPr>
                <w:rFonts w:ascii="Arial" w:hAnsi="Arial"/>
                <w:b/>
                <w:i w:val="0"/>
                <w:sz w:val="16"/>
              </w:rPr>
              <w:t>PR dan komitmen</w:t>
            </w:r>
          </w:p>
        </w:tc>
        <w:tc>
          <w:tcPr>
            <w:tcW w:type="dxa" w:w="4509"/>
            <w:vAlign w:val="center"/>
          </w:tcPr>
          <w:p>
            <w:pPr>
              <w:spacing w:after="20" w:before="20" w:line="252" w:lineRule="auto"/>
            </w:pPr>
            <w:r/>
            <w:r>
              <w:rPr>
                <w:rFonts w:ascii="Arial" w:hAnsi="Arial"/>
                <w:b w:val="0"/>
                <w:i w:val="0"/>
                <w:sz w:val="16"/>
              </w:rPr>
              <w:t>Tiga pemeriksaan PR; PO = komitmen; tidak ada PO setelah pekerjaan dimulai</w:t>
            </w:r>
          </w:p>
        </w:tc>
        <w:tc>
          <w:tcPr>
            <w:tcW w:type="dxa" w:w="3333"/>
            <w:vAlign w:val="center"/>
          </w:tcPr>
          <w:p>
            <w:pPr>
              <w:spacing w:after="20" w:before="20" w:line="252" w:lineRule="auto"/>
            </w:pPr>
            <w:r/>
            <w:r>
              <w:rPr>
                <w:rFonts w:ascii="Arial" w:hAnsi="Arial"/>
                <w:b w:val="0"/>
                <w:i w:val="0"/>
                <w:sz w:val="16"/>
              </w:rPr>
              <w:t>PO terbit setelah pekerjaan berjalan, melewati kendali anggaran</w:t>
            </w:r>
          </w:p>
        </w:tc>
      </w:tr>
      <w:tr>
        <w:trPr>
          <w:cantSplit/>
        </w:trPr>
        <w:tc>
          <w:tcPr>
            <w:tcW w:type="dxa" w:w="1569"/>
            <w:shd w:val="clear" w:color="auto" w:fill="E6ECFD"/>
            <w:vAlign w:val="center"/>
          </w:tcPr>
          <w:p>
            <w:pPr>
              <w:spacing w:after="20" w:before="20" w:line="252" w:lineRule="auto"/>
            </w:pPr>
            <w:r/>
            <w:r>
              <w:rPr>
                <w:rFonts w:ascii="Arial" w:hAnsi="Arial"/>
                <w:b/>
                <w:i w:val="0"/>
                <w:sz w:val="16"/>
              </w:rPr>
              <w:t>Penerimaan dan AP</w:t>
            </w:r>
          </w:p>
        </w:tc>
        <w:tc>
          <w:tcPr>
            <w:tcW w:type="dxa" w:w="4509"/>
            <w:shd w:val="clear" w:color="auto" w:fill="E6ECFD"/>
            <w:vAlign w:val="center"/>
          </w:tcPr>
          <w:p>
            <w:pPr>
              <w:spacing w:after="20" w:before="20" w:line="252" w:lineRule="auto"/>
            </w:pPr>
            <w:r/>
            <w:r>
              <w:rPr>
                <w:rFonts w:ascii="Arial" w:hAnsi="Arial"/>
                <w:b w:val="0"/>
                <w:i w:val="0"/>
                <w:sz w:val="16"/>
              </w:rPr>
              <w:t>Pencocokan tiga arah PO = penerimaan = faktur; retensi; PPh dan PPN; akrual</w:t>
            </w:r>
          </w:p>
        </w:tc>
        <w:tc>
          <w:tcPr>
            <w:tcW w:type="dxa" w:w="3333"/>
            <w:shd w:val="clear" w:color="auto" w:fill="E6ECFD"/>
            <w:vAlign w:val="center"/>
          </w:tcPr>
          <w:p>
            <w:pPr>
              <w:spacing w:after="20" w:before="20" w:line="252" w:lineRule="auto"/>
            </w:pPr>
            <w:r/>
            <w:r>
              <w:rPr>
                <w:rFonts w:ascii="Arial" w:hAnsi="Arial"/>
                <w:b w:val="0"/>
                <w:i w:val="0"/>
                <w:sz w:val="16"/>
              </w:rPr>
              <w:t>Pembayaran tanpa sertifikat atau tanda terima</w:t>
            </w:r>
          </w:p>
        </w:tc>
      </w:tr>
      <w:tr>
        <w:trPr>
          <w:cantSplit/>
        </w:trPr>
        <w:tc>
          <w:tcPr>
            <w:tcW w:type="dxa" w:w="1569"/>
            <w:vAlign w:val="center"/>
          </w:tcPr>
          <w:p>
            <w:pPr>
              <w:spacing w:after="20" w:before="20" w:line="252" w:lineRule="auto"/>
            </w:pPr>
            <w:r/>
            <w:r>
              <w:rPr>
                <w:rFonts w:ascii="Arial" w:hAnsi="Arial"/>
                <w:b/>
                <w:i w:val="0"/>
                <w:sz w:val="16"/>
              </w:rPr>
              <w:t>Penagihan (AR)</w:t>
            </w:r>
          </w:p>
        </w:tc>
        <w:tc>
          <w:tcPr>
            <w:tcW w:type="dxa" w:w="4509"/>
            <w:vAlign w:val="center"/>
          </w:tcPr>
          <w:p>
            <w:pPr>
              <w:spacing w:after="20" w:before="20" w:line="252" w:lineRule="auto"/>
            </w:pPr>
            <w:r/>
            <w:r>
              <w:rPr>
                <w:rFonts w:ascii="Arial" w:hAnsi="Arial"/>
                <w:b w:val="0"/>
                <w:i w:val="0"/>
                <w:sz w:val="16"/>
              </w:rPr>
              <w:t>Uang muka dengan jaminan, penagihan per tonggak atau bulanan, retensi, VO ditagih setelah disetujui</w:t>
            </w:r>
          </w:p>
        </w:tc>
        <w:tc>
          <w:tcPr>
            <w:tcW w:type="dxa" w:w="3333"/>
            <w:vAlign w:val="center"/>
          </w:tcPr>
          <w:p>
            <w:pPr>
              <w:spacing w:after="20" w:before="20" w:line="252" w:lineRule="auto"/>
            </w:pPr>
            <w:r/>
            <w:r>
              <w:rPr>
                <w:rFonts w:ascii="Arial" w:hAnsi="Arial"/>
                <w:b w:val="0"/>
                <w:i w:val="0"/>
                <w:sz w:val="16"/>
              </w:rPr>
              <w:t>Perubahan tidak disetujui formal sehingga tidak dapat ditagih; syarat tagih dan bayar tidak selaras</w:t>
            </w:r>
          </w:p>
        </w:tc>
      </w:tr>
      <w:tr>
        <w:trPr>
          <w:cantSplit/>
        </w:trPr>
        <w:tc>
          <w:tcPr>
            <w:tcW w:type="dxa" w:w="1569"/>
            <w:shd w:val="clear" w:color="auto" w:fill="E6ECFD"/>
            <w:vAlign w:val="center"/>
          </w:tcPr>
          <w:p>
            <w:pPr>
              <w:spacing w:after="20" w:before="20" w:line="252" w:lineRule="auto"/>
            </w:pPr>
            <w:r/>
            <w:r>
              <w:rPr>
                <w:rFonts w:ascii="Arial" w:hAnsi="Arial"/>
                <w:b/>
                <w:i w:val="0"/>
                <w:sz w:val="16"/>
              </w:rPr>
              <w:t>Pemantauan</w:t>
            </w:r>
          </w:p>
        </w:tc>
        <w:tc>
          <w:tcPr>
            <w:tcW w:type="dxa" w:w="4509"/>
            <w:shd w:val="clear" w:color="auto" w:fill="E6ECFD"/>
            <w:vAlign w:val="center"/>
          </w:tcPr>
          <w:p>
            <w:pPr>
              <w:spacing w:after="20" w:before="20" w:line="252" w:lineRule="auto"/>
            </w:pPr>
            <w:r/>
            <w:r>
              <w:rPr>
                <w:rFonts w:ascii="Arial" w:hAnsi="Arial"/>
                <w:b w:val="0"/>
                <w:i w:val="0"/>
                <w:sz w:val="16"/>
              </w:rPr>
              <w:t>Laporan biaya bulanan; EVM; kontingensi dan register tren</w:t>
            </w:r>
          </w:p>
        </w:tc>
        <w:tc>
          <w:tcPr>
            <w:tcW w:type="dxa" w:w="3333"/>
            <w:shd w:val="clear" w:color="auto" w:fill="E6ECFD"/>
            <w:vAlign w:val="center"/>
          </w:tcPr>
          <w:p>
            <w:pPr>
              <w:spacing w:after="20" w:before="20" w:line="252" w:lineRule="auto"/>
            </w:pPr>
            <w:r/>
            <w:r>
              <w:rPr>
                <w:rFonts w:ascii="Arial" w:hAnsi="Arial"/>
                <w:b w:val="0"/>
                <w:i w:val="0"/>
                <w:sz w:val="16"/>
              </w:rPr>
              <w:t>Kemajuan diukur subjektif sehingga nilai terhasil menggelembung dan CPI tampak baik</w:t>
            </w:r>
          </w:p>
        </w:tc>
      </w:tr>
    </w:tbl>
    <w:p>
      <w:pPr>
        <w:spacing w:after="160"/>
      </w:pPr>
      <w:r>
        <w:rPr>
          <w:rFonts w:ascii="Arial" w:hAnsi="Arial"/>
          <w:b w:val="0"/>
          <w:i/>
          <w:color w:val="051C5C"/>
          <w:sz w:val="17"/>
        </w:rPr>
        <w:t>Sumber: [EPC §1–§8]. Angka uang muka (10–20%) dan retensi (5–10%) pada sumber dinyatakan "biasanya", bukan aturan.</w:t>
      </w:r>
    </w:p>
    <w:p>
      <w:pPr>
        <w:jc w:val="both"/>
      </w:pPr>
      <w:r>
        <w:rPr>
          <w:rFonts w:ascii="Arial" w:hAnsi="Arial"/>
          <w:b w:val="0"/>
          <w:i w:val="0"/>
        </w:rPr>
        <w:t>Keenam kegagalan umum itu sejalan dengan masalah yang dicatat dokumen platform pada BUMN Karya: piutang terlambat, risiko EPC yang diserap kontraktor, dan insentif yang mengukur penyelesaian proyek [PLAT hlm. 3] (Bab 13).</w:t>
      </w:r>
    </w:p>
    <w:p>
      <w:pPr>
        <w:pStyle w:val="Heading2"/>
      </w:pPr>
      <w:r>
        <w:t>6.2  Estimasi, anggaran, dan kontingensi</w:t>
      </w:r>
    </w:p>
    <w:p>
      <w:pPr>
        <w:jc w:val="both"/>
      </w:pPr>
      <w:r>
        <w:rPr>
          <w:rFonts w:ascii="Arial" w:hAnsi="Arial"/>
          <w:b w:val="0"/>
          <w:i w:val="0"/>
        </w:rPr>
        <w:t>Estimasi biaya adalah prakiraan pada titik waktu dengan kematangan definisi tertentu. Estimasi bottom-up mengalikan jam rekayasa dengan tarif, kuantitas material dengan harga, dan jam kerja konstruksi dengan produktivitas, lalu menambahkan biaya tidak langsung; eskalasi dan kurs diestimasi eksplisit. Karena bias optimisme, praktik yang disarankan menambahkan perkiraan kelas acuan (</w:t>
      </w:r>
      <w:r>
        <w:rPr>
          <w:rFonts w:ascii="Arial" w:hAnsi="Arial"/>
          <w:b w:val="0"/>
          <w:i/>
        </w:rPr>
        <w:t>reference class forecasting</w:t>
      </w:r>
      <w:r>
        <w:rPr>
          <w:rFonts w:ascii="Arial" w:hAnsi="Arial"/>
          <w:b w:val="0"/>
          <w:i w:val="0"/>
        </w:rPr>
        <w:t>), yaitu membandingkan estimasi dengan distribusi hasil proyek sejenis (Flyvbjerg, 2006).</w:t>
      </w:r>
    </w:p>
    <w:p>
      <w:pPr>
        <w:jc w:val="both"/>
      </w:pPr>
      <w:r>
        <w:rPr>
          <w:rFonts w:ascii="Arial" w:hAnsi="Arial"/>
          <w:b w:val="0"/>
          <w:i w:val="0"/>
        </w:rPr>
        <w:t>Struktur anggaran dalam alur kerja EPC memisahkan empat lapis: anggaran biaya per akun kendali; kontingensi proyek (dipegang manajer proyek untuk risiko yang diketahui, ditarik lewat log); cadangan manajemen (dipegang korporasi di luar anggaran proyek); dan margin. Kontingensi sebaiknya diturunkan dari register risiko, bukan persentase tetap, dan sisanya kembali ke margin [EPC §1, §2, §7]. Register kerja menegaskan bahwa alokasi 15% bukan kontingensi (Bab 4).</w:t>
      </w:r>
    </w:p>
    <w:p>
      <w:pPr>
        <w:pStyle w:val="Heading2"/>
      </w:pPr>
      <w:r>
        <w:t>6.3  Tiga pemeriksaan pada permintaan pembelian</w:t>
      </w:r>
    </w:p>
    <w:p>
      <w:pPr>
        <w:jc w:val="both"/>
      </w:pPr>
      <w:r>
        <w:rPr>
          <w:rFonts w:ascii="Arial" w:hAnsi="Arial"/>
          <w:b w:val="0"/>
          <w:i w:val="0"/>
        </w:rPr>
        <w:t>Titik kendali paling berharga adalah saat PR diajukan, sebelum uang menjadi komitmen. Alur kerja EPC mengusulkan tiga pemeriksaan serentak: anggaran (sisa dana pada akun WBS), kuantitas (saldo kebutuhan pada butir PBS), dan waktu (apakah tanggal tiba memenuhi tanggal kebutuhan setelah memperhitungkan penghargaan dan waktu tunggu).</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9</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Tiga pemeriksaan PR (contoh dalam sumber)</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Tiga pemeriksaan PR (contoh dalam sumber)"/>
      </w:tblPr>
      <w:tblGrid>
        <w:gridCol w:w="3137"/>
        <w:gridCol w:w="3137"/>
        <w:gridCol w:w="3137"/>
      </w:tblGrid>
      <w:tr>
        <w:trPr>
          <w:cantSplit/>
          <w:tblHeader/>
        </w:trPr>
        <w:tc>
          <w:tcPr>
            <w:tcW w:type="dxa" w:w="2157"/>
            <w:shd w:val="clear" w:color="auto" w:fill="2251FF"/>
            <w:vAlign w:val="center"/>
          </w:tcPr>
          <w:p>
            <w:pPr>
              <w:spacing w:after="20" w:before="20" w:line="252" w:lineRule="auto"/>
            </w:pPr>
            <w:r/>
            <w:r>
              <w:rPr>
                <w:rFonts w:ascii="Arial" w:hAnsi="Arial"/>
                <w:b/>
                <w:i w:val="0"/>
                <w:color w:val="FFFFFF"/>
                <w:sz w:val="17"/>
              </w:rPr>
              <w:t>Pemeriksaan</w:t>
            </w:r>
          </w:p>
        </w:tc>
        <w:tc>
          <w:tcPr>
            <w:tcW w:type="dxa" w:w="5098"/>
            <w:shd w:val="clear" w:color="auto" w:fill="2251FF"/>
            <w:vAlign w:val="center"/>
          </w:tcPr>
          <w:p>
            <w:pPr>
              <w:spacing w:after="20" w:before="20" w:line="252" w:lineRule="auto"/>
            </w:pPr>
            <w:r/>
            <w:r>
              <w:rPr>
                <w:rFonts w:ascii="Arial" w:hAnsi="Arial"/>
                <w:b/>
                <w:i w:val="0"/>
                <w:color w:val="FFFFFF"/>
                <w:sz w:val="17"/>
              </w:rPr>
              <w:t>Data</w:t>
            </w:r>
          </w:p>
        </w:tc>
        <w:tc>
          <w:tcPr>
            <w:tcW w:type="dxa" w:w="2157"/>
            <w:shd w:val="clear" w:color="auto" w:fill="2251FF"/>
            <w:vAlign w:val="center"/>
          </w:tcPr>
          <w:p>
            <w:pPr>
              <w:spacing w:after="20" w:before="20" w:line="252" w:lineRule="auto"/>
            </w:pPr>
            <w:r/>
            <w:r>
              <w:rPr>
                <w:rFonts w:ascii="Arial" w:hAnsi="Arial"/>
                <w:b/>
                <w:i w:val="0"/>
                <w:color w:val="FFFFFF"/>
                <w:sz w:val="17"/>
              </w:rPr>
              <w:t>Hasil</w:t>
            </w:r>
          </w:p>
        </w:tc>
      </w:tr>
      <w:tr>
        <w:trPr>
          <w:cantSplit/>
        </w:trPr>
        <w:tc>
          <w:tcPr>
            <w:tcW w:type="dxa" w:w="2157"/>
            <w:vAlign w:val="center"/>
          </w:tcPr>
          <w:p>
            <w:pPr>
              <w:spacing w:after="20" w:before="20" w:line="252" w:lineRule="auto"/>
            </w:pPr>
            <w:r/>
            <w:r>
              <w:rPr>
                <w:rFonts w:ascii="Arial" w:hAnsi="Arial"/>
                <w:b/>
                <w:i w:val="0"/>
                <w:sz w:val="17"/>
              </w:rPr>
              <w:t>Anggaran (WBS)</w:t>
            </w:r>
          </w:p>
        </w:tc>
        <w:tc>
          <w:tcPr>
            <w:tcW w:type="dxa" w:w="5098"/>
            <w:vAlign w:val="center"/>
          </w:tcPr>
          <w:p>
            <w:pPr>
              <w:spacing w:after="20" w:before="20" w:line="252" w:lineRule="auto"/>
            </w:pPr>
            <w:r/>
            <w:r>
              <w:rPr>
                <w:rFonts w:ascii="Arial" w:hAnsi="Arial"/>
                <w:b w:val="0"/>
                <w:i w:val="0"/>
                <w:sz w:val="17"/>
              </w:rPr>
              <w:t>Anggaran 18,40; terkomitmen 17,20; sisa 1,20; baris PR 0,45 (Rp miliar)</w:t>
            </w:r>
          </w:p>
        </w:tc>
        <w:tc>
          <w:tcPr>
            <w:tcW w:type="dxa" w:w="2157"/>
            <w:vAlign w:val="center"/>
          </w:tcPr>
          <w:p>
            <w:pPr>
              <w:spacing w:after="20" w:before="20" w:line="252" w:lineRule="auto"/>
            </w:pPr>
            <w:r/>
            <w:r>
              <w:rPr>
                <w:rFonts w:ascii="Arial" w:hAnsi="Arial"/>
                <w:b w:val="0"/>
                <w:i w:val="0"/>
                <w:sz w:val="17"/>
              </w:rPr>
              <w:t>Lolos; sisa 0,75</w:t>
            </w:r>
          </w:p>
        </w:tc>
      </w:tr>
      <w:tr>
        <w:trPr>
          <w:cantSplit/>
        </w:trPr>
        <w:tc>
          <w:tcPr>
            <w:tcW w:type="dxa" w:w="2157"/>
            <w:shd w:val="clear" w:color="auto" w:fill="E6ECFD"/>
            <w:vAlign w:val="center"/>
          </w:tcPr>
          <w:p>
            <w:pPr>
              <w:spacing w:after="20" w:before="20" w:line="252" w:lineRule="auto"/>
            </w:pPr>
            <w:r/>
            <w:r>
              <w:rPr>
                <w:rFonts w:ascii="Arial" w:hAnsi="Arial"/>
                <w:b/>
                <w:i w:val="0"/>
                <w:sz w:val="17"/>
              </w:rPr>
              <w:t>Kuantitas (PBS, MTO rev. C)</w:t>
            </w:r>
          </w:p>
        </w:tc>
        <w:tc>
          <w:tcPr>
            <w:tcW w:type="dxa" w:w="5098"/>
            <w:shd w:val="clear" w:color="auto" w:fill="E6ECFD"/>
            <w:vAlign w:val="center"/>
          </w:tcPr>
          <w:p>
            <w:pPr>
              <w:spacing w:after="20" w:before="20" w:line="252" w:lineRule="auto"/>
            </w:pPr>
            <w:r/>
            <w:r>
              <w:rPr>
                <w:rFonts w:ascii="Arial" w:hAnsi="Arial"/>
                <w:b w:val="0"/>
                <w:i w:val="0"/>
                <w:sz w:val="17"/>
              </w:rPr>
              <w:t>MTO 1.240 m; sudah di PR/PO 980 m; saldo 260 m; baris PR 300 m</w:t>
            </w:r>
          </w:p>
        </w:tc>
        <w:tc>
          <w:tcPr>
            <w:tcW w:type="dxa" w:w="2157"/>
            <w:shd w:val="clear" w:color="auto" w:fill="E6ECFD"/>
            <w:vAlign w:val="center"/>
          </w:tcPr>
          <w:p>
            <w:pPr>
              <w:spacing w:after="20" w:before="20" w:line="252" w:lineRule="auto"/>
            </w:pPr>
            <w:r/>
            <w:r>
              <w:rPr>
                <w:rFonts w:ascii="Arial" w:hAnsi="Arial"/>
                <w:b w:val="0"/>
                <w:i w:val="0"/>
                <w:sz w:val="17"/>
              </w:rPr>
              <w:t>Tahan: lebih 40 m; revisi MTO atau justifikasi</w:t>
            </w:r>
          </w:p>
        </w:tc>
      </w:tr>
      <w:tr>
        <w:trPr>
          <w:cantSplit/>
        </w:trPr>
        <w:tc>
          <w:tcPr>
            <w:tcW w:type="dxa" w:w="2157"/>
            <w:vAlign w:val="center"/>
          </w:tcPr>
          <w:p>
            <w:pPr>
              <w:spacing w:after="20" w:before="20" w:line="252" w:lineRule="auto"/>
            </w:pPr>
            <w:r/>
            <w:r>
              <w:rPr>
                <w:rFonts w:ascii="Arial" w:hAnsi="Arial"/>
                <w:b/>
                <w:i w:val="0"/>
                <w:sz w:val="17"/>
              </w:rPr>
              <w:t>Waktu (jadwal WBS)</w:t>
            </w:r>
          </w:p>
        </w:tc>
        <w:tc>
          <w:tcPr>
            <w:tcW w:type="dxa" w:w="5098"/>
            <w:vAlign w:val="center"/>
          </w:tcPr>
          <w:p>
            <w:pPr>
              <w:spacing w:after="20" w:before="20" w:line="252" w:lineRule="auto"/>
            </w:pPr>
            <w:r/>
            <w:r>
              <w:rPr>
                <w:rFonts w:ascii="Arial" w:hAnsi="Arial"/>
                <w:b w:val="0"/>
                <w:i w:val="0"/>
                <w:sz w:val="17"/>
              </w:rPr>
              <w:t>PR 7 Oktober 2026 + 6 minggu penghargaan + 14 minggu waktu tunggu = 24 Februari 2027; dibutuhkan 15 Maret 2027</w:t>
            </w:r>
          </w:p>
        </w:tc>
        <w:tc>
          <w:tcPr>
            <w:tcW w:type="dxa" w:w="2157"/>
            <w:vAlign w:val="center"/>
          </w:tcPr>
          <w:p>
            <w:pPr>
              <w:spacing w:after="20" w:before="20" w:line="252" w:lineRule="auto"/>
            </w:pPr>
            <w:r/>
            <w:r>
              <w:rPr>
                <w:rFonts w:ascii="Arial" w:hAnsi="Arial"/>
                <w:b w:val="0"/>
                <w:i w:val="0"/>
                <w:sz w:val="17"/>
              </w:rPr>
              <w:t>Lolos; float sekitar 3 minggu</w:t>
            </w:r>
          </w:p>
        </w:tc>
      </w:tr>
    </w:tbl>
    <w:p>
      <w:pPr>
        <w:spacing w:after="160"/>
      </w:pPr>
      <w:r>
        <w:rPr>
          <w:rFonts w:ascii="Arial" w:hAnsi="Arial"/>
          <w:b w:val="0"/>
          <w:i/>
          <w:color w:val="051C5C"/>
          <w:sz w:val="17"/>
        </w:rPr>
        <w:t>Sumber: [EPC §4.1], contoh PR-26-0412/10 (pipa 6 inci, 300 m); angka berlabel contoh dalam sumber.</w:t>
      </w:r>
    </w:p>
    <w:p>
      <w:pPr>
        <w:jc w:val="both"/>
      </w:pPr>
      <w:r>
        <w:rPr>
          <w:rFonts w:ascii="Arial" w:hAnsi="Arial"/>
          <w:b w:val="0"/>
          <w:i w:val="0"/>
        </w:rPr>
        <w:t>PR yang gagal diarahkan ke transfer anggaran, penarikan kontingensi, revisi MTO, atau permintaan perubahan, bukan diteruskan begitu saja. PO mengurangi anggaran tersedia seketika; sumber menyebut kisaran 60–70% biaya EPC terkunci pada saat PO dan subkontrak, sebagai ancar-ancar yang tidak bersumber [EPC §4.2].</w:t>
      </w:r>
    </w:p>
    <w:p>
      <w:pPr>
        <w:pStyle w:val="Heading2"/>
      </w:pPr>
      <w:r>
        <w:t>6.4  Pembayaran, penagihan, dan arus kas</w:t>
      </w:r>
    </w:p>
    <w:p>
      <w:pPr>
        <w:jc w:val="both"/>
      </w:pPr>
      <w:r>
        <w:rPr>
          <w:rFonts w:ascii="Arial" w:hAnsi="Arial"/>
          <w:b w:val="0"/>
          <w:i w:val="0"/>
        </w:rPr>
        <w:t>Pencocokan tiga arah mengharuskan PO, penerimaan atau sertifikat jasa, dan faktur sepakat sebelum pembayaran, dengan memperhitungkan retensi, pemulihan uang muka, PPh, PPN, dan akrual. Kendali dasarnya: tidak ada PO tanpa PR; tidak ada pembayaran tanpa penerimaan; tidak ada PO setelah kejadian; peminta tidak menjadi pemberi persetujuan atau pembayar [EPC §5]. Pada sisi pendapatan, uang muka dipulihkan proporsional, penagihan disertifikasi pemberi kerja, dan perubahan (VO) ditagih setelah disetujui. Pekerjaan belum ditagih menjadi aset kontrak dan penagihan melebihi pekerjaan menjadi liabilitas kontrak (PSAK 72 / IFRS 15) [EPC §6]. Siklus kas sehat menurut dokumen platform: terima uang muka, laksanakan pekerjaan, sertifikasi kemajuan, tagih piutang, bayar subkontraktor dan pemasok, lalu raih margin wajar [PLAT hlm. 3].</w:t>
      </w:r>
    </w:p>
    <w:p>
      <w:pPr>
        <w:pStyle w:val="Heading2"/>
      </w:pPr>
      <w:r>
        <w:t>6.5  Nilai terhasil (EVM)</w:t>
      </w:r>
    </w:p>
    <w:p>
      <w:pPr>
        <w:jc w:val="both"/>
      </w:pPr>
      <w:r>
        <w:rPr>
          <w:rFonts w:ascii="Arial" w:hAnsi="Arial"/>
          <w:b w:val="0"/>
          <w:i w:val="0"/>
        </w:rPr>
        <w:t>EVM mengintegrasikan lingkup, biaya, dan jadwal dengan tiga ukuran: PV (nilai terencana), EV (nilai terhasil, yaitu anggaran dikalikan persen kemajuan fisik), dan AC (biaya aktual). Indeks kinerja biaya CPI = EV/AC dan indeks jadwal SPI = EV/PV; prakiraan biaya akhir EAC = BAC/CPI, atau AC + (BAC − EV)/CPI sebagai cek terhadap prakiraan bottom-up [EPC §7; PMI, 2019]. Rumus lain ada pada Lampiran C.</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10</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Contoh hitung EVM (ilustratif)</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Contoh hitung EVM (ilustratif)"/>
      </w:tblPr>
      <w:tblGrid>
        <w:gridCol w:w="3137"/>
        <w:gridCol w:w="3137"/>
        <w:gridCol w:w="3137"/>
      </w:tblGrid>
      <w:tr>
        <w:trPr>
          <w:cantSplit/>
          <w:tblHeader/>
        </w:trPr>
        <w:tc>
          <w:tcPr>
            <w:tcW w:type="dxa" w:w="3721"/>
            <w:shd w:val="clear" w:color="auto" w:fill="2251FF"/>
            <w:vAlign w:val="center"/>
          </w:tcPr>
          <w:p>
            <w:pPr>
              <w:spacing w:after="20" w:before="20" w:line="252" w:lineRule="auto"/>
            </w:pPr>
            <w:r/>
            <w:r>
              <w:rPr>
                <w:rFonts w:ascii="Arial" w:hAnsi="Arial"/>
                <w:b/>
                <w:i w:val="0"/>
                <w:color w:val="FFFFFF"/>
                <w:sz w:val="17"/>
              </w:rPr>
              <w:t>Besaran</w:t>
            </w:r>
          </w:p>
        </w:tc>
        <w:tc>
          <w:tcPr>
            <w:tcW w:type="dxa" w:w="2189"/>
            <w:shd w:val="clear" w:color="auto" w:fill="2251FF"/>
            <w:vAlign w:val="center"/>
          </w:tcPr>
          <w:p>
            <w:pPr>
              <w:spacing w:after="20" w:before="20" w:line="252" w:lineRule="auto"/>
            </w:pPr>
            <w:r/>
            <w:r>
              <w:rPr>
                <w:rFonts w:ascii="Arial" w:hAnsi="Arial"/>
                <w:b/>
                <w:i w:val="0"/>
                <w:color w:val="FFFFFF"/>
                <w:sz w:val="17"/>
              </w:rPr>
              <w:t>Rp miliar</w:t>
            </w:r>
          </w:p>
        </w:tc>
        <w:tc>
          <w:tcPr>
            <w:tcW w:type="dxa" w:w="3502"/>
            <w:shd w:val="clear" w:color="auto" w:fill="2251FF"/>
            <w:vAlign w:val="center"/>
          </w:tcPr>
          <w:p>
            <w:pPr>
              <w:spacing w:after="20" w:before="20" w:line="252" w:lineRule="auto"/>
            </w:pPr>
            <w:r/>
            <w:r>
              <w:rPr>
                <w:rFonts w:ascii="Arial" w:hAnsi="Arial"/>
                <w:b/>
                <w:i w:val="0"/>
                <w:color w:val="FFFFFF"/>
                <w:sz w:val="17"/>
              </w:rPr>
              <w:t>Perhitungan</w:t>
            </w:r>
          </w:p>
        </w:tc>
      </w:tr>
      <w:tr>
        <w:trPr>
          <w:cantSplit/>
        </w:trPr>
        <w:tc>
          <w:tcPr>
            <w:tcW w:type="dxa" w:w="3721"/>
            <w:vAlign w:val="center"/>
          </w:tcPr>
          <w:p>
            <w:pPr>
              <w:spacing w:after="20" w:before="20" w:line="252" w:lineRule="auto"/>
            </w:pPr>
            <w:r/>
            <w:r>
              <w:rPr>
                <w:rFonts w:ascii="Arial" w:hAnsi="Arial"/>
                <w:b/>
                <w:i w:val="0"/>
                <w:sz w:val="17"/>
              </w:rPr>
              <w:t>BAC; PV pada tanggal status; AC</w:t>
            </w:r>
          </w:p>
        </w:tc>
        <w:tc>
          <w:tcPr>
            <w:tcW w:type="dxa" w:w="2189"/>
            <w:vAlign w:val="center"/>
          </w:tcPr>
          <w:p>
            <w:pPr>
              <w:spacing w:after="20" w:before="20" w:line="252" w:lineRule="auto"/>
            </w:pPr>
            <w:r/>
            <w:r>
              <w:rPr>
                <w:rFonts w:ascii="Arial" w:hAnsi="Arial"/>
                <w:b w:val="0"/>
                <w:i w:val="0"/>
                <w:sz w:val="17"/>
              </w:rPr>
              <w:t>100; 40; 42</w:t>
            </w:r>
          </w:p>
        </w:tc>
        <w:tc>
          <w:tcPr>
            <w:tcW w:type="dxa" w:w="3502"/>
            <w:vAlign w:val="center"/>
          </w:tcPr>
          <w:p>
            <w:pPr>
              <w:spacing w:after="20" w:before="20" w:line="252" w:lineRule="auto"/>
            </w:pPr>
            <w:r/>
            <w:r>
              <w:rPr>
                <w:rFonts w:ascii="Arial" w:hAnsi="Arial"/>
                <w:b w:val="0"/>
                <w:i w:val="0"/>
                <w:sz w:val="17"/>
              </w:rPr>
              <w:t>—</w:t>
            </w:r>
          </w:p>
        </w:tc>
      </w:tr>
      <w:tr>
        <w:trPr>
          <w:cantSplit/>
        </w:trPr>
        <w:tc>
          <w:tcPr>
            <w:tcW w:type="dxa" w:w="3721"/>
            <w:shd w:val="clear" w:color="auto" w:fill="E6ECFD"/>
            <w:vAlign w:val="center"/>
          </w:tcPr>
          <w:p>
            <w:pPr>
              <w:spacing w:after="20" w:before="20" w:line="252" w:lineRule="auto"/>
            </w:pPr>
            <w:r/>
            <w:r>
              <w:rPr>
                <w:rFonts w:ascii="Arial" w:hAnsi="Arial"/>
                <w:b/>
                <w:i w:val="0"/>
                <w:sz w:val="17"/>
              </w:rPr>
              <w:t>EV (kemajuan fisik 35%)</w:t>
            </w:r>
          </w:p>
        </w:tc>
        <w:tc>
          <w:tcPr>
            <w:tcW w:type="dxa" w:w="2189"/>
            <w:shd w:val="clear" w:color="auto" w:fill="E6ECFD"/>
            <w:vAlign w:val="center"/>
          </w:tcPr>
          <w:p>
            <w:pPr>
              <w:spacing w:after="20" w:before="20" w:line="252" w:lineRule="auto"/>
            </w:pPr>
            <w:r/>
            <w:r>
              <w:rPr>
                <w:rFonts w:ascii="Arial" w:hAnsi="Arial"/>
                <w:b w:val="0"/>
                <w:i w:val="0"/>
                <w:sz w:val="17"/>
              </w:rPr>
              <w:t>35</w:t>
            </w:r>
          </w:p>
        </w:tc>
        <w:tc>
          <w:tcPr>
            <w:tcW w:type="dxa" w:w="3502"/>
            <w:shd w:val="clear" w:color="auto" w:fill="E6ECFD"/>
            <w:vAlign w:val="center"/>
          </w:tcPr>
          <w:p>
            <w:pPr>
              <w:spacing w:after="20" w:before="20" w:line="252" w:lineRule="auto"/>
            </w:pPr>
            <w:r/>
            <w:r>
              <w:rPr>
                <w:rFonts w:ascii="Arial" w:hAnsi="Arial"/>
                <w:b w:val="0"/>
                <w:i w:val="0"/>
                <w:sz w:val="17"/>
              </w:rPr>
              <w:t>100 × 35%</w:t>
            </w:r>
          </w:p>
        </w:tc>
      </w:tr>
      <w:tr>
        <w:trPr>
          <w:cantSplit/>
        </w:trPr>
        <w:tc>
          <w:tcPr>
            <w:tcW w:type="dxa" w:w="3721"/>
            <w:vAlign w:val="center"/>
          </w:tcPr>
          <w:p>
            <w:pPr>
              <w:spacing w:after="20" w:before="20" w:line="252" w:lineRule="auto"/>
            </w:pPr>
            <w:r/>
            <w:r>
              <w:rPr>
                <w:rFonts w:ascii="Arial" w:hAnsi="Arial"/>
                <w:b/>
                <w:i w:val="0"/>
                <w:sz w:val="17"/>
              </w:rPr>
              <w:t>CV; SV</w:t>
            </w:r>
          </w:p>
        </w:tc>
        <w:tc>
          <w:tcPr>
            <w:tcW w:type="dxa" w:w="2189"/>
            <w:vAlign w:val="center"/>
          </w:tcPr>
          <w:p>
            <w:pPr>
              <w:spacing w:after="20" w:before="20" w:line="252" w:lineRule="auto"/>
            </w:pPr>
            <w:r/>
            <w:r>
              <w:rPr>
                <w:rFonts w:ascii="Arial" w:hAnsi="Arial"/>
                <w:b w:val="0"/>
                <w:i w:val="0"/>
                <w:sz w:val="17"/>
              </w:rPr>
              <w:t>−7; −5</w:t>
            </w:r>
          </w:p>
        </w:tc>
        <w:tc>
          <w:tcPr>
            <w:tcW w:type="dxa" w:w="3502"/>
            <w:vAlign w:val="center"/>
          </w:tcPr>
          <w:p>
            <w:pPr>
              <w:spacing w:after="20" w:before="20" w:line="252" w:lineRule="auto"/>
            </w:pPr>
            <w:r/>
            <w:r>
              <w:rPr>
                <w:rFonts w:ascii="Arial" w:hAnsi="Arial"/>
                <w:b w:val="0"/>
                <w:i w:val="0"/>
                <w:sz w:val="17"/>
              </w:rPr>
              <w:t>35 − 42; 35 − 40</w:t>
            </w:r>
          </w:p>
        </w:tc>
      </w:tr>
      <w:tr>
        <w:trPr>
          <w:cantSplit/>
        </w:trPr>
        <w:tc>
          <w:tcPr>
            <w:tcW w:type="dxa" w:w="3721"/>
            <w:shd w:val="clear" w:color="auto" w:fill="E6ECFD"/>
            <w:vAlign w:val="center"/>
          </w:tcPr>
          <w:p>
            <w:pPr>
              <w:spacing w:after="20" w:before="20" w:line="252" w:lineRule="auto"/>
            </w:pPr>
            <w:r/>
            <w:r>
              <w:rPr>
                <w:rFonts w:ascii="Arial" w:hAnsi="Arial"/>
                <w:b/>
                <w:i w:val="0"/>
                <w:sz w:val="17"/>
              </w:rPr>
              <w:t>CPI; SPI</w:t>
            </w:r>
          </w:p>
        </w:tc>
        <w:tc>
          <w:tcPr>
            <w:tcW w:type="dxa" w:w="2189"/>
            <w:shd w:val="clear" w:color="auto" w:fill="E6ECFD"/>
            <w:vAlign w:val="center"/>
          </w:tcPr>
          <w:p>
            <w:pPr>
              <w:spacing w:after="20" w:before="20" w:line="252" w:lineRule="auto"/>
            </w:pPr>
            <w:r/>
            <w:r>
              <w:rPr>
                <w:rFonts w:ascii="Arial" w:hAnsi="Arial"/>
                <w:b w:val="0"/>
                <w:i w:val="0"/>
                <w:sz w:val="17"/>
              </w:rPr>
              <w:t>0,83; 0,88</w:t>
            </w:r>
          </w:p>
        </w:tc>
        <w:tc>
          <w:tcPr>
            <w:tcW w:type="dxa" w:w="3502"/>
            <w:shd w:val="clear" w:color="auto" w:fill="E6ECFD"/>
            <w:vAlign w:val="center"/>
          </w:tcPr>
          <w:p>
            <w:pPr>
              <w:spacing w:after="20" w:before="20" w:line="252" w:lineRule="auto"/>
            </w:pPr>
            <w:r/>
            <w:r>
              <w:rPr>
                <w:rFonts w:ascii="Arial" w:hAnsi="Arial"/>
                <w:b w:val="0"/>
                <w:i w:val="0"/>
                <w:sz w:val="17"/>
              </w:rPr>
              <w:t>35/42; 35/40</w:t>
            </w:r>
          </w:p>
        </w:tc>
      </w:tr>
      <w:tr>
        <w:trPr>
          <w:cantSplit/>
        </w:trPr>
        <w:tc>
          <w:tcPr>
            <w:tcW w:type="dxa" w:w="3721"/>
            <w:vAlign w:val="center"/>
          </w:tcPr>
          <w:p>
            <w:pPr>
              <w:spacing w:after="20" w:before="20" w:line="252" w:lineRule="auto"/>
            </w:pPr>
            <w:r/>
            <w:r>
              <w:rPr>
                <w:rFonts w:ascii="Arial" w:hAnsi="Arial"/>
                <w:b/>
                <w:i w:val="0"/>
                <w:sz w:val="17"/>
              </w:rPr>
              <w:t>EAC; ETC; VAC</w:t>
            </w:r>
          </w:p>
        </w:tc>
        <w:tc>
          <w:tcPr>
            <w:tcW w:type="dxa" w:w="2189"/>
            <w:vAlign w:val="center"/>
          </w:tcPr>
          <w:p>
            <w:pPr>
              <w:spacing w:after="20" w:before="20" w:line="252" w:lineRule="auto"/>
            </w:pPr>
            <w:r/>
            <w:r>
              <w:rPr>
                <w:rFonts w:ascii="Arial" w:hAnsi="Arial"/>
                <w:b w:val="0"/>
                <w:i w:val="0"/>
                <w:sz w:val="17"/>
              </w:rPr>
              <w:t>120; 78; −20</w:t>
            </w:r>
          </w:p>
        </w:tc>
        <w:tc>
          <w:tcPr>
            <w:tcW w:type="dxa" w:w="3502"/>
            <w:vAlign w:val="center"/>
          </w:tcPr>
          <w:p>
            <w:pPr>
              <w:spacing w:after="20" w:before="20" w:line="252" w:lineRule="auto"/>
            </w:pPr>
            <w:r/>
            <w:r>
              <w:rPr>
                <w:rFonts w:ascii="Arial" w:hAnsi="Arial"/>
                <w:b w:val="0"/>
                <w:i w:val="0"/>
                <w:sz w:val="17"/>
              </w:rPr>
              <w:t>100/0,833; 120 − 42; 100 − 120</w:t>
            </w:r>
          </w:p>
        </w:tc>
      </w:tr>
      <w:tr>
        <w:trPr>
          <w:cantSplit/>
        </w:trPr>
        <w:tc>
          <w:tcPr>
            <w:tcW w:type="dxa" w:w="3721"/>
            <w:shd w:val="clear" w:color="auto" w:fill="E6ECFD"/>
            <w:vAlign w:val="center"/>
          </w:tcPr>
          <w:p>
            <w:pPr>
              <w:spacing w:after="20" w:before="20" w:line="252" w:lineRule="auto"/>
            </w:pPr>
            <w:r/>
            <w:r>
              <w:rPr>
                <w:rFonts w:ascii="Arial" w:hAnsi="Arial"/>
                <w:b/>
                <w:i w:val="0"/>
                <w:sz w:val="17"/>
              </w:rPr>
              <w:t>TCPI</w:t>
            </w:r>
          </w:p>
        </w:tc>
        <w:tc>
          <w:tcPr>
            <w:tcW w:type="dxa" w:w="2189"/>
            <w:shd w:val="clear" w:color="auto" w:fill="E6ECFD"/>
            <w:vAlign w:val="center"/>
          </w:tcPr>
          <w:p>
            <w:pPr>
              <w:spacing w:after="20" w:before="20" w:line="252" w:lineRule="auto"/>
            </w:pPr>
            <w:r/>
            <w:r>
              <w:rPr>
                <w:rFonts w:ascii="Arial" w:hAnsi="Arial"/>
                <w:b w:val="0"/>
                <w:i w:val="0"/>
                <w:sz w:val="17"/>
              </w:rPr>
              <w:t>1,12</w:t>
            </w:r>
          </w:p>
        </w:tc>
        <w:tc>
          <w:tcPr>
            <w:tcW w:type="dxa" w:w="3502"/>
            <w:shd w:val="clear" w:color="auto" w:fill="E6ECFD"/>
            <w:vAlign w:val="center"/>
          </w:tcPr>
          <w:p>
            <w:pPr>
              <w:spacing w:after="20" w:before="20" w:line="252" w:lineRule="auto"/>
            </w:pPr>
            <w:r/>
            <w:r>
              <w:rPr>
                <w:rFonts w:ascii="Arial" w:hAnsi="Arial"/>
                <w:b w:val="0"/>
                <w:i w:val="0"/>
                <w:sz w:val="17"/>
              </w:rPr>
              <w:t>(100 − 35)/(100 − 42)</w:t>
            </w:r>
          </w:p>
        </w:tc>
      </w:tr>
    </w:tbl>
    <w:p>
      <w:pPr>
        <w:spacing w:after="160"/>
      </w:pPr>
      <w:r>
        <w:rPr>
          <w:rFonts w:ascii="Arial" w:hAnsi="Arial"/>
          <w:b w:val="0"/>
          <w:i/>
          <w:color w:val="051C5C"/>
          <w:sz w:val="17"/>
        </w:rPr>
        <w:t>Perhitungan penyusun; angka ilustratif.</w:t>
      </w:r>
    </w:p>
    <w:p>
      <w:pPr>
        <w:keepNext/>
        <w:jc w:val="center"/>
      </w:pPr>
      <w:r>
        <w:drawing>
          <wp:inline xmlns:a="http://schemas.openxmlformats.org/drawingml/2006/main" xmlns:pic="http://schemas.openxmlformats.org/drawingml/2006/picture">
            <wp:extent cx="5580000" cy="3255398"/>
            <wp:docPr id="7" name="Picture 7" descr="Proyek yang tampak sepertiga jalan sebenarnya terlambat dan boros; EAC sekitar 120 terhadap BAC 100" title="Proyek yang tampak sepertiga jalan sebenarnya terlambat dan boros; EAC sekitar 1"/>
            <wp:cNvGraphicFramePr>
              <a:graphicFrameLocks noChangeAspect="1"/>
            </wp:cNvGraphicFramePr>
            <a:graphic>
              <a:graphicData uri="http://schemas.openxmlformats.org/drawingml/2006/picture">
                <pic:pic>
                  <pic:nvPicPr>
                    <pic:cNvPr id="0" name="f_scurve.png"/>
                    <pic:cNvPicPr/>
                  </pic:nvPicPr>
                  <pic:blipFill>
                    <a:blip r:embed="rId20"/>
                    <a:stretch>
                      <a:fillRect/>
                    </a:stretch>
                  </pic:blipFill>
                  <pic:spPr>
                    <a:xfrm>
                      <a:off x="0" y="0"/>
                      <a:ext cx="5580000" cy="3255398"/>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7</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Proyek yang tampak sepertiga jalan sebenarnya terlambat dan boros; EAC sekitar 120 terhadap BAC 100</w:t>
      </w:r>
    </w:p>
    <w:p>
      <w:pPr>
        <w:spacing w:after="160"/>
      </w:pPr>
      <w:r>
        <w:rPr>
          <w:rFonts w:ascii="Arial" w:hAnsi="Arial"/>
          <w:b w:val="0"/>
          <w:i/>
          <w:color w:val="051C5C"/>
          <w:sz w:val="17"/>
        </w:rPr>
        <w:t>Gambar penyusun dari contoh ilustratif pada tabel di atas.</w:t>
      </w:r>
    </w:p>
    <w:p>
      <w:pPr>
        <w:jc w:val="both"/>
      </w:pPr>
      <w:r>
        <w:rPr>
          <w:rFonts w:ascii="Arial" w:hAnsi="Arial"/>
          <w:b w:val="0"/>
          <w:i w:val="0"/>
        </w:rPr>
        <w:t>Untuk menyelesaikan pada BAC, kinerja biaya sisa harus 1,12, lebih baik dari rata-rata sampai kini, yang jarang terjadi. EVM hanya sebaik pengukuran kemajuannya; alur kerja EPC memperingatkan bahwa pengukuran subjektif menggelembungkan EV dan menyembunyikan masalah CPI, sehingga disarankan tonggak berbobot atau unit terpasang [EPC §3, §7].</w:t>
      </w:r>
    </w:p>
    <w:p>
      <w:pPr>
        <w:pStyle w:val="Heading2"/>
      </w:pPr>
      <w:r>
        <w:t>6.6  Pengendalian perubahan dan klaim</w:t>
      </w:r>
    </w:p>
    <w:p>
      <w:pPr>
        <w:jc w:val="both"/>
      </w:pPr>
      <w:r>
        <w:rPr>
          <w:rFonts w:ascii="Arial" w:hAnsi="Arial"/>
          <w:b w:val="0"/>
          <w:i w:val="0"/>
        </w:rPr>
        <w:t>Perubahan dibedakan menurut penyebabnya. Perubahan yang digerakkan pemberi kerja (</w:t>
      </w:r>
      <w:r>
        <w:rPr>
          <w:rFonts w:ascii="Arial" w:hAnsi="Arial"/>
          <w:b w:val="0"/>
          <w:i/>
        </w:rPr>
        <w:t>variation order</w:t>
      </w:r>
      <w:r>
        <w:rPr>
          <w:rFonts w:ascii="Arial" w:hAnsi="Arial"/>
          <w:b w:val="0"/>
          <w:i w:val="0"/>
        </w:rPr>
        <w:t>, VO) menaikkan pendapatan dan anggaran setelah disetujui formal. Tren internal (pertumbuhan desain, penurunan produktivitas, kenaikan harga) tidak menambah pendapatan; ia masuk register tren, lalu ditutup dengan penarikan kontingensi atau transfer anggaran. Klaim untuk biaya tambahan atau perpanjangan waktu yang disengketakan dicatat terpisah dan tidak dimasukkan ke anggaran sampai pasti [EPC §6–§7]. Kajian menempatkan perubahan kontrak atau biaya material pada RASCI sebagai S16, dengan organ perusahaan yang sah sebagai pemilik tunggal [EVAL §15].</w:t>
      </w:r>
    </w:p>
    <w:p>
      <w:pPr>
        <w:pStyle w:val="Heading1"/>
      </w:pPr>
      <w:bookmarkStart w:id="8" w:name="_Toc008"/>
      <w:r>
        <w:t>7  Manajemen risiko</w:t>
      </w:r>
      <w:bookmarkEnd w:id="8"/>
    </w:p>
    <w:p>
      <w:pPr>
        <w:jc w:val="both"/>
      </w:pPr>
      <w:r>
        <w:rPr>
          <w:rFonts w:ascii="Arial" w:hAnsi="Arial"/>
          <w:b/>
          <w:i w:val="0"/>
        </w:rPr>
        <w:t>Ringkasnya:</w:t>
      </w:r>
      <w:r>
        <w:rPr>
          <w:rFonts w:ascii="Arial" w:hAnsi="Arial"/>
          <w:b w:val="0"/>
          <w:i w:val="0"/>
        </w:rPr>
        <w:t xml:space="preserve"> register risiko portofolio Kajian memuat 24 risiko, 16 di antaranya berdampak tinggi, dan tiga paling mendesak berkaitan dengan data, valuasi, dan penularan dari BUMN Karya. Bab ini menjelaskan proses risiko, analisis kuantitatif, dan cara membaca register itu.</w:t>
      </w:r>
    </w:p>
    <w:p>
      <w:pPr>
        <w:pStyle w:val="Heading2"/>
      </w:pPr>
      <w:r>
        <w:t>7.1  Konsep dan proses</w:t>
      </w:r>
    </w:p>
    <w:p>
      <w:pPr>
        <w:jc w:val="both"/>
      </w:pPr>
      <w:r>
        <w:rPr>
          <w:rFonts w:ascii="Arial" w:hAnsi="Arial"/>
          <w:b w:val="0"/>
          <w:i w:val="0"/>
        </w:rPr>
        <w:t>ISO 31000:2018 mendefinisikan risiko sebagai efek ketidakpastian terhadap tujuan; risiko dapat berupa ancaman maupun peluang. Prosesnya: merencanakan pendekatan, mengidentifikasi risiko, menganalisis secara kualitatif (probabilitas dan dampak pada biaya, jadwal, mutu, reputasi, keselamatan), menganalisis secara kuantitatif bila perlu, merencanakan respons (hindari, transfer, mitigasi, terima, manfaatkan, eskalasi), dan memantau (PMI, 2021). Pada proyek besar, tiga hal sering terlewat: korelasi antarrisiko, bias optimisme pada estimasi, dan kaitan risiko proyek dengan neraca induk.</w:t>
      </w:r>
    </w:p>
    <w:p>
      <w:pPr>
        <w:jc w:val="both"/>
      </w:pPr>
      <w:r>
        <w:rPr>
          <w:rFonts w:ascii="Arial" w:hAnsi="Arial"/>
          <w:b w:val="0"/>
          <w:i w:val="0"/>
        </w:rPr>
        <w:t>Register yang berguna adalah alat keputusan, bukan daftar kekhawatiran. Setiap entri memuat penyebab, peristiwa, dan akibat; probabilitas dan dampak; pemilik tunggal; respons dan tenggat; indikator pemicu; risiko residual; dan kaitan dengan kontingensi (Lampiran B). Register risiko PALCapital memuat enam butir teknis, hukum, dan finansial (kebocoran data rahasia, eksploitasi kontrak pintar, kegagalan pasokan, ketidakpercayaan investor, penundaan regulasi, konsentrasi investor). Risiko khas proyek konstruksi, seperti keterlambatan pada siklus 60–96 bulan, pembengkakan biaya, keterlambatan pembayaran Kemhan, risiko kurs, dan ketergantungan impor 75%, tidak ada di dalamnya, dan dokumen itu menyatakan semua vektor risiko tertutup, penilaian sendiri dan bukan uji independen [PAL hlm. 2, 14].</w:t>
      </w:r>
    </w:p>
    <w:p>
      <w:pPr>
        <w:pStyle w:val="Heading2"/>
      </w:pPr>
      <w:r>
        <w:t>7.2  Analisis kuantitatif</w:t>
      </w:r>
    </w:p>
    <w:p>
      <w:pPr>
        <w:jc w:val="both"/>
      </w:pPr>
      <w:r>
        <w:rPr>
          <w:rFonts w:ascii="Arial" w:hAnsi="Arial"/>
          <w:b w:val="0"/>
          <w:i w:val="0"/>
        </w:rPr>
        <w:t>Nilai moneter harapan (</w:t>
      </w:r>
      <w:r>
        <w:rPr>
          <w:rFonts w:ascii="Arial" w:hAnsi="Arial"/>
          <w:b w:val="0"/>
          <w:i/>
        </w:rPr>
        <w:t>expected monetary value</w:t>
      </w:r>
      <w:r>
        <w:rPr>
          <w:rFonts w:ascii="Arial" w:hAnsi="Arial"/>
          <w:b w:val="0"/>
          <w:i w:val="0"/>
        </w:rPr>
        <w:t>, EMV) adalah probabilitas dikalikan dampak. Contoh ilustratif berikut menunjukkan bahwa penjumlahan EMV memberi dasar awal kontingensi.</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Contoh EMV dan dasar awal kontingensi (ilustratif)</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Contoh EMV dan dasar awal kontingensi (ilustratif)"/>
      </w:tblPr>
      <w:tblGrid>
        <w:gridCol w:w="2353"/>
        <w:gridCol w:w="2353"/>
        <w:gridCol w:w="2353"/>
        <w:gridCol w:w="2353"/>
      </w:tblGrid>
      <w:tr>
        <w:trPr>
          <w:cantSplit/>
          <w:tblHeader/>
        </w:trPr>
        <w:tc>
          <w:tcPr>
            <w:tcW w:type="dxa" w:w="4706"/>
            <w:shd w:val="clear" w:color="auto" w:fill="2251FF"/>
            <w:vAlign w:val="center"/>
          </w:tcPr>
          <w:p>
            <w:pPr>
              <w:spacing w:after="20" w:before="20" w:line="252" w:lineRule="auto"/>
            </w:pPr>
            <w:r/>
            <w:r>
              <w:rPr>
                <w:rFonts w:ascii="Arial" w:hAnsi="Arial"/>
                <w:b/>
                <w:i w:val="0"/>
                <w:color w:val="FFFFFF"/>
                <w:sz w:val="17"/>
              </w:rPr>
              <w:t>Risiko</w:t>
            </w:r>
          </w:p>
        </w:tc>
        <w:tc>
          <w:tcPr>
            <w:tcW w:type="dxa" w:w="1372"/>
            <w:shd w:val="clear" w:color="auto" w:fill="2251FF"/>
            <w:vAlign w:val="center"/>
          </w:tcPr>
          <w:p>
            <w:pPr>
              <w:spacing w:after="20" w:before="20" w:line="252" w:lineRule="auto"/>
            </w:pPr>
            <w:r/>
            <w:r>
              <w:rPr>
                <w:rFonts w:ascii="Arial" w:hAnsi="Arial"/>
                <w:b/>
                <w:i w:val="0"/>
                <w:color w:val="FFFFFF"/>
                <w:sz w:val="17"/>
              </w:rPr>
              <w:t>Probabilitas</w:t>
            </w:r>
          </w:p>
        </w:tc>
        <w:tc>
          <w:tcPr>
            <w:tcW w:type="dxa" w:w="1765"/>
            <w:shd w:val="clear" w:color="auto" w:fill="2251FF"/>
            <w:vAlign w:val="center"/>
          </w:tcPr>
          <w:p>
            <w:pPr>
              <w:spacing w:after="20" w:before="20" w:line="252" w:lineRule="auto"/>
            </w:pPr>
            <w:r/>
            <w:r>
              <w:rPr>
                <w:rFonts w:ascii="Arial" w:hAnsi="Arial"/>
                <w:b/>
                <w:i w:val="0"/>
                <w:color w:val="FFFFFF"/>
                <w:sz w:val="17"/>
              </w:rPr>
              <w:t>Dampak (Rp miliar)</w:t>
            </w:r>
          </w:p>
        </w:tc>
        <w:tc>
          <w:tcPr>
            <w:tcW w:type="dxa" w:w="1569"/>
            <w:shd w:val="clear" w:color="auto" w:fill="2251FF"/>
            <w:vAlign w:val="center"/>
          </w:tcPr>
          <w:p>
            <w:pPr>
              <w:spacing w:after="20" w:before="20" w:line="252" w:lineRule="auto"/>
            </w:pPr>
            <w:r/>
            <w:r>
              <w:rPr>
                <w:rFonts w:ascii="Arial" w:hAnsi="Arial"/>
                <w:b/>
                <w:i w:val="0"/>
                <w:color w:val="FFFFFF"/>
                <w:sz w:val="17"/>
              </w:rPr>
              <w:t>EMV (Rp miliar)</w:t>
            </w:r>
          </w:p>
        </w:tc>
      </w:tr>
      <w:tr>
        <w:trPr>
          <w:cantSplit/>
        </w:trPr>
        <w:tc>
          <w:tcPr>
            <w:tcW w:type="dxa" w:w="4706"/>
            <w:vAlign w:val="center"/>
          </w:tcPr>
          <w:p>
            <w:pPr>
              <w:spacing w:after="20" w:before="20" w:line="252" w:lineRule="auto"/>
            </w:pPr>
            <w:r/>
            <w:r>
              <w:rPr>
                <w:rFonts w:ascii="Arial" w:hAnsi="Arial"/>
                <w:b/>
                <w:i w:val="0"/>
                <w:sz w:val="17"/>
              </w:rPr>
              <w:t>Keterlambatan item waktu tunggu panjang</w:t>
            </w:r>
          </w:p>
        </w:tc>
        <w:tc>
          <w:tcPr>
            <w:tcW w:type="dxa" w:w="1372"/>
            <w:vAlign w:val="center"/>
          </w:tcPr>
          <w:p>
            <w:pPr>
              <w:spacing w:after="20" w:before="20" w:line="252" w:lineRule="auto"/>
            </w:pPr>
            <w:r/>
            <w:r>
              <w:rPr>
                <w:rFonts w:ascii="Arial" w:hAnsi="Arial"/>
                <w:b w:val="0"/>
                <w:i w:val="0"/>
                <w:sz w:val="17"/>
              </w:rPr>
              <w:t>30%</w:t>
            </w:r>
          </w:p>
        </w:tc>
        <w:tc>
          <w:tcPr>
            <w:tcW w:type="dxa" w:w="1765"/>
            <w:vAlign w:val="center"/>
          </w:tcPr>
          <w:p>
            <w:pPr>
              <w:spacing w:after="20" w:before="20" w:line="252" w:lineRule="auto"/>
            </w:pPr>
            <w:r/>
            <w:r>
              <w:rPr>
                <w:rFonts w:ascii="Arial" w:hAnsi="Arial"/>
                <w:b w:val="0"/>
                <w:i w:val="0"/>
                <w:sz w:val="17"/>
              </w:rPr>
              <w:t>12,0</w:t>
            </w:r>
          </w:p>
        </w:tc>
        <w:tc>
          <w:tcPr>
            <w:tcW w:type="dxa" w:w="1569"/>
            <w:vAlign w:val="center"/>
          </w:tcPr>
          <w:p>
            <w:pPr>
              <w:spacing w:after="20" w:before="20" w:line="252" w:lineRule="auto"/>
            </w:pPr>
            <w:r/>
            <w:r>
              <w:rPr>
                <w:rFonts w:ascii="Arial" w:hAnsi="Arial"/>
                <w:b w:val="0"/>
                <w:i w:val="0"/>
                <w:sz w:val="17"/>
              </w:rPr>
              <w:t>3,6</w:t>
            </w:r>
          </w:p>
        </w:tc>
      </w:tr>
      <w:tr>
        <w:trPr>
          <w:cantSplit/>
        </w:trPr>
        <w:tc>
          <w:tcPr>
            <w:tcW w:type="dxa" w:w="4706"/>
            <w:shd w:val="clear" w:color="auto" w:fill="E6ECFD"/>
            <w:vAlign w:val="center"/>
          </w:tcPr>
          <w:p>
            <w:pPr>
              <w:spacing w:after="20" w:before="20" w:line="252" w:lineRule="auto"/>
            </w:pPr>
            <w:r/>
            <w:r>
              <w:rPr>
                <w:rFonts w:ascii="Arial" w:hAnsi="Arial"/>
                <w:b/>
                <w:i w:val="0"/>
                <w:sz w:val="17"/>
              </w:rPr>
              <w:t>Kenaikan harga baja 15%</w:t>
            </w:r>
          </w:p>
        </w:tc>
        <w:tc>
          <w:tcPr>
            <w:tcW w:type="dxa" w:w="1372"/>
            <w:shd w:val="clear" w:color="auto" w:fill="E6ECFD"/>
            <w:vAlign w:val="center"/>
          </w:tcPr>
          <w:p>
            <w:pPr>
              <w:spacing w:after="20" w:before="20" w:line="252" w:lineRule="auto"/>
            </w:pPr>
            <w:r/>
            <w:r>
              <w:rPr>
                <w:rFonts w:ascii="Arial" w:hAnsi="Arial"/>
                <w:b w:val="0"/>
                <w:i w:val="0"/>
                <w:sz w:val="17"/>
              </w:rPr>
              <w:t>40%</w:t>
            </w:r>
          </w:p>
        </w:tc>
        <w:tc>
          <w:tcPr>
            <w:tcW w:type="dxa" w:w="1765"/>
            <w:shd w:val="clear" w:color="auto" w:fill="E6ECFD"/>
            <w:vAlign w:val="center"/>
          </w:tcPr>
          <w:p>
            <w:pPr>
              <w:spacing w:after="20" w:before="20" w:line="252" w:lineRule="auto"/>
            </w:pPr>
            <w:r/>
            <w:r>
              <w:rPr>
                <w:rFonts w:ascii="Arial" w:hAnsi="Arial"/>
                <w:b w:val="0"/>
                <w:i w:val="0"/>
                <w:sz w:val="17"/>
              </w:rPr>
              <w:t>6,0</w:t>
            </w:r>
          </w:p>
        </w:tc>
        <w:tc>
          <w:tcPr>
            <w:tcW w:type="dxa" w:w="1569"/>
            <w:shd w:val="clear" w:color="auto" w:fill="E6ECFD"/>
            <w:vAlign w:val="center"/>
          </w:tcPr>
          <w:p>
            <w:pPr>
              <w:spacing w:after="20" w:before="20" w:line="252" w:lineRule="auto"/>
            </w:pPr>
            <w:r/>
            <w:r>
              <w:rPr>
                <w:rFonts w:ascii="Arial" w:hAnsi="Arial"/>
                <w:b w:val="0"/>
                <w:i w:val="0"/>
                <w:sz w:val="17"/>
              </w:rPr>
              <w:t>2,4</w:t>
            </w:r>
          </w:p>
        </w:tc>
      </w:tr>
      <w:tr>
        <w:trPr>
          <w:cantSplit/>
        </w:trPr>
        <w:tc>
          <w:tcPr>
            <w:tcW w:type="dxa" w:w="4706"/>
            <w:vAlign w:val="center"/>
          </w:tcPr>
          <w:p>
            <w:pPr>
              <w:spacing w:after="20" w:before="20" w:line="252" w:lineRule="auto"/>
            </w:pPr>
            <w:r/>
            <w:r>
              <w:rPr>
                <w:rFonts w:ascii="Arial" w:hAnsi="Arial"/>
                <w:b/>
                <w:i w:val="0"/>
                <w:sz w:val="17"/>
              </w:rPr>
              <w:t>Kegagalan mutu artikel pertama pemasok lokal</w:t>
            </w:r>
          </w:p>
        </w:tc>
        <w:tc>
          <w:tcPr>
            <w:tcW w:type="dxa" w:w="1372"/>
            <w:vAlign w:val="center"/>
          </w:tcPr>
          <w:p>
            <w:pPr>
              <w:spacing w:after="20" w:before="20" w:line="252" w:lineRule="auto"/>
            </w:pPr>
            <w:r/>
            <w:r>
              <w:rPr>
                <w:rFonts w:ascii="Arial" w:hAnsi="Arial"/>
                <w:b w:val="0"/>
                <w:i w:val="0"/>
                <w:sz w:val="17"/>
              </w:rPr>
              <w:t>25%</w:t>
            </w:r>
          </w:p>
        </w:tc>
        <w:tc>
          <w:tcPr>
            <w:tcW w:type="dxa" w:w="1765"/>
            <w:vAlign w:val="center"/>
          </w:tcPr>
          <w:p>
            <w:pPr>
              <w:spacing w:after="20" w:before="20" w:line="252" w:lineRule="auto"/>
            </w:pPr>
            <w:r/>
            <w:r>
              <w:rPr>
                <w:rFonts w:ascii="Arial" w:hAnsi="Arial"/>
                <w:b w:val="0"/>
                <w:i w:val="0"/>
                <w:sz w:val="17"/>
              </w:rPr>
              <w:t>8,0</w:t>
            </w:r>
          </w:p>
        </w:tc>
        <w:tc>
          <w:tcPr>
            <w:tcW w:type="dxa" w:w="1569"/>
            <w:vAlign w:val="center"/>
          </w:tcPr>
          <w:p>
            <w:pPr>
              <w:spacing w:after="20" w:before="20" w:line="252" w:lineRule="auto"/>
            </w:pPr>
            <w:r/>
            <w:r>
              <w:rPr>
                <w:rFonts w:ascii="Arial" w:hAnsi="Arial"/>
                <w:b w:val="0"/>
                <w:i w:val="0"/>
                <w:sz w:val="17"/>
              </w:rPr>
              <w:t>2,0</w:t>
            </w:r>
          </w:p>
        </w:tc>
      </w:tr>
      <w:tr>
        <w:trPr>
          <w:cantSplit/>
        </w:trPr>
        <w:tc>
          <w:tcPr>
            <w:tcW w:type="dxa" w:w="4706"/>
            <w:shd w:val="clear" w:color="auto" w:fill="E6ECFD"/>
            <w:vAlign w:val="center"/>
          </w:tcPr>
          <w:p>
            <w:pPr>
              <w:spacing w:after="20" w:before="20" w:line="252" w:lineRule="auto"/>
            </w:pPr>
            <w:r/>
            <w:r>
              <w:rPr>
                <w:rFonts w:ascii="Arial" w:hAnsi="Arial"/>
                <w:b/>
                <w:i w:val="0"/>
                <w:sz w:val="17"/>
              </w:rPr>
              <w:t>Keterlambatan pembebasan lahan</w:t>
            </w:r>
          </w:p>
        </w:tc>
        <w:tc>
          <w:tcPr>
            <w:tcW w:type="dxa" w:w="1372"/>
            <w:shd w:val="clear" w:color="auto" w:fill="E6ECFD"/>
            <w:vAlign w:val="center"/>
          </w:tcPr>
          <w:p>
            <w:pPr>
              <w:spacing w:after="20" w:before="20" w:line="252" w:lineRule="auto"/>
            </w:pPr>
            <w:r/>
            <w:r>
              <w:rPr>
                <w:rFonts w:ascii="Arial" w:hAnsi="Arial"/>
                <w:b w:val="0"/>
                <w:i w:val="0"/>
                <w:sz w:val="17"/>
              </w:rPr>
              <w:t>20%</w:t>
            </w:r>
          </w:p>
        </w:tc>
        <w:tc>
          <w:tcPr>
            <w:tcW w:type="dxa" w:w="1765"/>
            <w:shd w:val="clear" w:color="auto" w:fill="E6ECFD"/>
            <w:vAlign w:val="center"/>
          </w:tcPr>
          <w:p>
            <w:pPr>
              <w:spacing w:after="20" w:before="20" w:line="252" w:lineRule="auto"/>
            </w:pPr>
            <w:r/>
            <w:r>
              <w:rPr>
                <w:rFonts w:ascii="Arial" w:hAnsi="Arial"/>
                <w:b w:val="0"/>
                <w:i w:val="0"/>
                <w:sz w:val="17"/>
              </w:rPr>
              <w:t>10,0</w:t>
            </w:r>
          </w:p>
        </w:tc>
        <w:tc>
          <w:tcPr>
            <w:tcW w:type="dxa" w:w="1569"/>
            <w:shd w:val="clear" w:color="auto" w:fill="E6ECFD"/>
            <w:vAlign w:val="center"/>
          </w:tcPr>
          <w:p>
            <w:pPr>
              <w:spacing w:after="20" w:before="20" w:line="252" w:lineRule="auto"/>
            </w:pPr>
            <w:r/>
            <w:r>
              <w:rPr>
                <w:rFonts w:ascii="Arial" w:hAnsi="Arial"/>
                <w:b w:val="0"/>
                <w:i w:val="0"/>
                <w:sz w:val="17"/>
              </w:rPr>
              <w:t>2,0</w:t>
            </w:r>
          </w:p>
        </w:tc>
      </w:tr>
      <w:tr>
        <w:trPr>
          <w:cantSplit/>
        </w:trPr>
        <w:tc>
          <w:tcPr>
            <w:tcW w:type="dxa" w:w="4706"/>
            <w:vAlign w:val="center"/>
          </w:tcPr>
          <w:p>
            <w:pPr>
              <w:spacing w:after="20" w:before="20" w:line="252" w:lineRule="auto"/>
            </w:pPr>
            <w:r/>
            <w:r>
              <w:rPr>
                <w:rFonts w:ascii="Arial" w:hAnsi="Arial"/>
                <w:b/>
                <w:i w:val="0"/>
                <w:sz w:val="17"/>
              </w:rPr>
              <w:t>Depresiasi rupiah 15% pada komponen impor</w:t>
            </w:r>
          </w:p>
        </w:tc>
        <w:tc>
          <w:tcPr>
            <w:tcW w:type="dxa" w:w="1372"/>
            <w:vAlign w:val="center"/>
          </w:tcPr>
          <w:p>
            <w:pPr>
              <w:spacing w:after="20" w:before="20" w:line="252" w:lineRule="auto"/>
            </w:pPr>
            <w:r/>
            <w:r>
              <w:rPr>
                <w:rFonts w:ascii="Arial" w:hAnsi="Arial"/>
                <w:b w:val="0"/>
                <w:i w:val="0"/>
                <w:sz w:val="17"/>
              </w:rPr>
              <w:t>15%</w:t>
            </w:r>
          </w:p>
        </w:tc>
        <w:tc>
          <w:tcPr>
            <w:tcW w:type="dxa" w:w="1765"/>
            <w:vAlign w:val="center"/>
          </w:tcPr>
          <w:p>
            <w:pPr>
              <w:spacing w:after="20" w:before="20" w:line="252" w:lineRule="auto"/>
            </w:pPr>
            <w:r/>
            <w:r>
              <w:rPr>
                <w:rFonts w:ascii="Arial" w:hAnsi="Arial"/>
                <w:b w:val="0"/>
                <w:i w:val="0"/>
                <w:sz w:val="17"/>
              </w:rPr>
              <w:t>14,0</w:t>
            </w:r>
          </w:p>
        </w:tc>
        <w:tc>
          <w:tcPr>
            <w:tcW w:type="dxa" w:w="1569"/>
            <w:vAlign w:val="center"/>
          </w:tcPr>
          <w:p>
            <w:pPr>
              <w:spacing w:after="20" w:before="20" w:line="252" w:lineRule="auto"/>
            </w:pPr>
            <w:r/>
            <w:r>
              <w:rPr>
                <w:rFonts w:ascii="Arial" w:hAnsi="Arial"/>
                <w:b w:val="0"/>
                <w:i w:val="0"/>
                <w:sz w:val="17"/>
              </w:rPr>
              <w:t>2,1</w:t>
            </w:r>
          </w:p>
        </w:tc>
      </w:tr>
      <w:tr>
        <w:trPr>
          <w:cantSplit/>
        </w:trPr>
        <w:tc>
          <w:tcPr>
            <w:tcW w:type="dxa" w:w="4706"/>
            <w:shd w:val="clear" w:color="auto" w:fill="E6ECFD"/>
            <w:vAlign w:val="center"/>
          </w:tcPr>
          <w:p>
            <w:pPr>
              <w:spacing w:after="20" w:before="20" w:line="252" w:lineRule="auto"/>
            </w:pPr>
            <w:r/>
            <w:r>
              <w:rPr>
                <w:rFonts w:ascii="Arial" w:hAnsi="Arial"/>
                <w:b/>
                <w:i w:val="0"/>
                <w:sz w:val="17"/>
              </w:rPr>
              <w:t>Jumlah</w:t>
            </w:r>
          </w:p>
        </w:tc>
        <w:tc>
          <w:tcPr>
            <w:tcW w:type="dxa" w:w="1372"/>
            <w:shd w:val="clear" w:color="auto" w:fill="E6ECFD"/>
            <w:vAlign w:val="center"/>
          </w:tcPr>
          <w:p>
            <w:pPr>
              <w:spacing w:after="20" w:before="20" w:line="252" w:lineRule="auto"/>
            </w:pPr>
            <w:r/>
          </w:p>
        </w:tc>
        <w:tc>
          <w:tcPr>
            <w:tcW w:type="dxa" w:w="1765"/>
            <w:shd w:val="clear" w:color="auto" w:fill="E6ECFD"/>
            <w:vAlign w:val="center"/>
          </w:tcPr>
          <w:p>
            <w:pPr>
              <w:spacing w:after="20" w:before="20" w:line="252" w:lineRule="auto"/>
            </w:pPr>
            <w:r/>
          </w:p>
        </w:tc>
        <w:tc>
          <w:tcPr>
            <w:tcW w:type="dxa" w:w="1569"/>
            <w:shd w:val="clear" w:color="auto" w:fill="E6ECFD"/>
            <w:vAlign w:val="center"/>
          </w:tcPr>
          <w:p>
            <w:pPr>
              <w:spacing w:after="20" w:before="20" w:line="252" w:lineRule="auto"/>
            </w:pPr>
            <w:r/>
            <w:r>
              <w:rPr>
                <w:rFonts w:ascii="Arial" w:hAnsi="Arial"/>
                <w:b/>
                <w:i w:val="0"/>
                <w:sz w:val="17"/>
              </w:rPr>
              <w:t>12,1</w:t>
            </w:r>
          </w:p>
        </w:tc>
      </w:tr>
    </w:tbl>
    <w:p>
      <w:pPr>
        <w:spacing w:after="160"/>
      </w:pPr>
      <w:r>
        <w:rPr>
          <w:rFonts w:ascii="Arial" w:hAnsi="Arial"/>
          <w:b w:val="0"/>
          <w:i/>
          <w:color w:val="051C5C"/>
          <w:sz w:val="17"/>
        </w:rPr>
        <w:t>Perhitungan penyusun. Jumlah EMV bukan prakiraan kontingensi akhir: simulasi memperhitungkan korelasi, dan kontingensi lazim ditetapkan pada tingkat kepercayaan P50 atau P80.</w:t>
      </w:r>
    </w:p>
    <w:p>
      <w:pPr>
        <w:jc w:val="both"/>
      </w:pPr>
      <w:r>
        <w:rPr>
          <w:rFonts w:ascii="Arial" w:hAnsi="Arial"/>
          <w:b w:val="0"/>
          <w:i w:val="0"/>
        </w:rPr>
        <w:t>Simulasi Monte Carlo menarik nilai acak dari distribusi biaya dan durasi ribuan kali dan menghasilkan distribusi total; selisih antara estimasi dasar dan nilai pada kepercayaan tertentu adalah kontingensi. Karena banyak risiko berkorelasi (misalnya harga baja naik bersamaan dengan pengiriman terlambat), simulasi tanpa korelasi menghasilkan kontingensi terlalu rendah. Hubbard (2009) mengingatkan bahwa metode penilaian risiko perlu divalidasi terhadap hasil.</w:t>
      </w:r>
    </w:p>
    <w:p>
      <w:pPr>
        <w:pStyle w:val="Heading2"/>
      </w:pPr>
      <w:r>
        <w:t>7.3  Register portofolio Danantara</w:t>
      </w:r>
    </w:p>
    <w:p>
      <w:pPr>
        <w:jc w:val="both"/>
      </w:pPr>
      <w:r>
        <w:rPr>
          <w:rFonts w:ascii="Arial" w:hAnsi="Arial"/>
          <w:b w:val="0"/>
          <w:i w:val="0"/>
        </w:rPr>
        <w:t>Kajian memuat register 24 risiko dengan penilaian kualitatif kemungkinan dan dampak dalam 24 bulan. Peta di bawah menunjukkan tiga risiko dengan kemungkinan dan dampak tinggi, dua belas dengan kemungkinan sedang dan dampak tinggi, enam dengan kemungkinan dan dampak sedang, dua dengan kemungkinan tinggi dan dampak sedang, dan satu dengan kemungkinan rendah dan dampak tinggi (teknologi dan siber) [K §15].</w:t>
      </w:r>
    </w:p>
    <w:p>
      <w:pPr>
        <w:keepNext/>
        <w:jc w:val="center"/>
      </w:pPr>
      <w:r>
        <w:drawing>
          <wp:inline xmlns:a="http://schemas.openxmlformats.org/drawingml/2006/main" xmlns:pic="http://schemas.openxmlformats.org/drawingml/2006/picture">
            <wp:extent cx="5580000" cy="3323452"/>
            <wp:docPr id="8" name="Picture 8" descr="Tiga dari 24 risiko berkemungkinan dan berdampak tinggi; nomor mengacu pada register risiko Kajian" title="Tiga dari 24 risiko berkemungkinan dan berdampak tinggi; nomor mengacu pada regi"/>
            <wp:cNvGraphicFramePr>
              <a:graphicFrameLocks noChangeAspect="1"/>
            </wp:cNvGraphicFramePr>
            <a:graphic>
              <a:graphicData uri="http://schemas.openxmlformats.org/drawingml/2006/picture">
                <pic:pic>
                  <pic:nvPicPr>
                    <pic:cNvPr id="0" name="f_heat.png"/>
                    <pic:cNvPicPr/>
                  </pic:nvPicPr>
                  <pic:blipFill>
                    <a:blip r:embed="rId21"/>
                    <a:stretch>
                      <a:fillRect/>
                    </a:stretch>
                  </pic:blipFill>
                  <pic:spPr>
                    <a:xfrm>
                      <a:off x="0" y="0"/>
                      <a:ext cx="5580000" cy="3323452"/>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8</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Tiga dari 24 risiko berkemungkinan dan berdampak tinggi; nomor mengacu pada register risiko Kajian</w:t>
      </w:r>
    </w:p>
    <w:p>
      <w:pPr>
        <w:spacing w:after="160"/>
      </w:pPr>
      <w:r>
        <w:rPr>
          <w:rFonts w:ascii="Arial" w:hAnsi="Arial"/>
          <w:b w:val="0"/>
          <w:i/>
          <w:color w:val="051C5C"/>
          <w:sz w:val="17"/>
        </w:rPr>
        <w:t>Sumber: [K §15], digambar ulang. Nomor risiko mengikuti tabel register Kajian; risiko yang dibahas pada tabel berikut dijelaskan dengan namanya.</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Risiko portofolio berdampak tinggi yang paling relevan dan pengendalian utamanya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Risiko portofolio berdampak tinggi yang paling relevan dan pengendalian utamanya"/>
      </w:tblPr>
      <w:tblGrid>
        <w:gridCol w:w="2353"/>
        <w:gridCol w:w="2353"/>
        <w:gridCol w:w="2353"/>
        <w:gridCol w:w="2353"/>
      </w:tblGrid>
      <w:tr>
        <w:trPr>
          <w:cantSplit/>
          <w:tblHeader/>
        </w:trPr>
        <w:tc>
          <w:tcPr>
            <w:tcW w:type="dxa" w:w="588"/>
            <w:shd w:val="clear" w:color="auto" w:fill="2251FF"/>
            <w:vAlign w:val="center"/>
          </w:tcPr>
          <w:p>
            <w:pPr>
              <w:spacing w:after="20" w:before="20" w:line="252" w:lineRule="auto"/>
            </w:pPr>
            <w:r/>
            <w:r>
              <w:rPr>
                <w:rFonts w:ascii="Arial" w:hAnsi="Arial"/>
                <w:b/>
                <w:i w:val="0"/>
                <w:color w:val="FFFFFF"/>
                <w:sz w:val="17"/>
              </w:rPr>
              <w:t>No.</w:t>
            </w:r>
          </w:p>
        </w:tc>
        <w:tc>
          <w:tcPr>
            <w:tcW w:type="dxa" w:w="3333"/>
            <w:shd w:val="clear" w:color="auto" w:fill="2251FF"/>
            <w:vAlign w:val="center"/>
          </w:tcPr>
          <w:p>
            <w:pPr>
              <w:spacing w:after="20" w:before="20" w:line="252" w:lineRule="auto"/>
            </w:pPr>
            <w:r/>
            <w:r>
              <w:rPr>
                <w:rFonts w:ascii="Arial" w:hAnsi="Arial"/>
                <w:b/>
                <w:i w:val="0"/>
                <w:color w:val="FFFFFF"/>
                <w:sz w:val="17"/>
              </w:rPr>
              <w:t>Risiko</w:t>
            </w:r>
          </w:p>
        </w:tc>
        <w:tc>
          <w:tcPr>
            <w:tcW w:type="dxa" w:w="4117"/>
            <w:shd w:val="clear" w:color="auto" w:fill="2251FF"/>
            <w:vAlign w:val="center"/>
          </w:tcPr>
          <w:p>
            <w:pPr>
              <w:spacing w:after="20" w:before="20" w:line="252" w:lineRule="auto"/>
            </w:pPr>
            <w:r/>
            <w:r>
              <w:rPr>
                <w:rFonts w:ascii="Arial" w:hAnsi="Arial"/>
                <w:b/>
                <w:i w:val="0"/>
                <w:color w:val="FFFFFF"/>
                <w:sz w:val="17"/>
              </w:rPr>
              <w:t>Pengendalian utama</w:t>
            </w:r>
          </w:p>
        </w:tc>
        <w:tc>
          <w:tcPr>
            <w:tcW w:type="dxa" w:w="1372"/>
            <w:shd w:val="clear" w:color="auto" w:fill="2251FF"/>
            <w:vAlign w:val="center"/>
          </w:tcPr>
          <w:p>
            <w:pPr>
              <w:spacing w:after="20" w:before="20" w:line="252" w:lineRule="auto"/>
            </w:pPr>
            <w:r/>
            <w:r>
              <w:rPr>
                <w:rFonts w:ascii="Arial" w:hAnsi="Arial"/>
                <w:b/>
                <w:i w:val="0"/>
                <w:color w:val="FFFFFF"/>
                <w:sz w:val="17"/>
              </w:rPr>
              <w:t>Kemungkinan / dampak</w:t>
            </w:r>
          </w:p>
        </w:tc>
      </w:tr>
      <w:tr>
        <w:trPr>
          <w:cantSplit/>
        </w:trPr>
        <w:tc>
          <w:tcPr>
            <w:tcW w:type="dxa" w:w="588"/>
            <w:vAlign w:val="center"/>
          </w:tcPr>
          <w:p>
            <w:pPr>
              <w:spacing w:after="20" w:before="20" w:line="252" w:lineRule="auto"/>
            </w:pPr>
            <w:r/>
            <w:r>
              <w:rPr>
                <w:rFonts w:ascii="Arial" w:hAnsi="Arial"/>
                <w:b/>
                <w:i w:val="0"/>
                <w:sz w:val="17"/>
              </w:rPr>
              <w:t>6</w:t>
            </w:r>
          </w:p>
        </w:tc>
        <w:tc>
          <w:tcPr>
            <w:tcW w:type="dxa" w:w="3333"/>
            <w:vAlign w:val="center"/>
          </w:tcPr>
          <w:p>
            <w:pPr>
              <w:spacing w:after="20" w:before="20" w:line="252" w:lineRule="auto"/>
            </w:pPr>
            <w:r/>
            <w:r>
              <w:rPr>
                <w:rFonts w:ascii="Arial" w:hAnsi="Arial"/>
                <w:b w:val="0"/>
                <w:i w:val="0"/>
                <w:sz w:val="17"/>
              </w:rPr>
              <w:t>Valuasi dilebih-lebihkan</w:t>
            </w:r>
          </w:p>
        </w:tc>
        <w:tc>
          <w:tcPr>
            <w:tcW w:type="dxa" w:w="4117"/>
            <w:vAlign w:val="center"/>
          </w:tcPr>
          <w:p>
            <w:pPr>
              <w:spacing w:after="20" w:before="20" w:line="252" w:lineRule="auto"/>
            </w:pPr>
            <w:r/>
            <w:r>
              <w:rPr>
                <w:rFonts w:ascii="Arial" w:hAnsi="Arial"/>
                <w:b w:val="0"/>
                <w:i w:val="0"/>
                <w:sz w:val="17"/>
              </w:rPr>
              <w:t>Hanya cadangan terbukti dan terkira; penilai independen</w:t>
            </w:r>
          </w:p>
        </w:tc>
        <w:tc>
          <w:tcPr>
            <w:tcW w:type="dxa" w:w="1372"/>
            <w:vAlign w:val="center"/>
          </w:tcPr>
          <w:p>
            <w:pPr>
              <w:spacing w:after="20" w:before="20" w:line="252" w:lineRule="auto"/>
            </w:pPr>
            <w:r/>
            <w:r>
              <w:rPr>
                <w:rFonts w:ascii="Arial" w:hAnsi="Arial"/>
                <w:b w:val="0"/>
                <w:i w:val="0"/>
                <w:sz w:val="17"/>
              </w:rPr>
              <w:t>Tinggi / tinggi</w:t>
            </w:r>
          </w:p>
        </w:tc>
      </w:tr>
      <w:tr>
        <w:trPr>
          <w:cantSplit/>
        </w:trPr>
        <w:tc>
          <w:tcPr>
            <w:tcW w:type="dxa" w:w="588"/>
            <w:shd w:val="clear" w:color="auto" w:fill="E6ECFD"/>
            <w:vAlign w:val="center"/>
          </w:tcPr>
          <w:p>
            <w:pPr>
              <w:spacing w:after="20" w:before="20" w:line="252" w:lineRule="auto"/>
            </w:pPr>
            <w:r/>
            <w:r>
              <w:rPr>
                <w:rFonts w:ascii="Arial" w:hAnsi="Arial"/>
                <w:b/>
                <w:i w:val="0"/>
                <w:sz w:val="17"/>
              </w:rPr>
              <w:t>9</w:t>
            </w:r>
          </w:p>
        </w:tc>
        <w:tc>
          <w:tcPr>
            <w:tcW w:type="dxa" w:w="3333"/>
            <w:shd w:val="clear" w:color="auto" w:fill="E6ECFD"/>
            <w:vAlign w:val="center"/>
          </w:tcPr>
          <w:p>
            <w:pPr>
              <w:spacing w:after="20" w:before="20" w:line="252" w:lineRule="auto"/>
            </w:pPr>
            <w:r/>
            <w:r>
              <w:rPr>
                <w:rFonts w:ascii="Arial" w:hAnsi="Arial"/>
                <w:b w:val="0"/>
                <w:i w:val="0"/>
                <w:sz w:val="17"/>
              </w:rPr>
              <w:t>Penularan risiko BUMN Karya ke bank BUMN</w:t>
            </w:r>
          </w:p>
        </w:tc>
        <w:tc>
          <w:tcPr>
            <w:tcW w:type="dxa" w:w="4117"/>
            <w:shd w:val="clear" w:color="auto" w:fill="E6ECFD"/>
            <w:vAlign w:val="center"/>
          </w:tcPr>
          <w:p>
            <w:pPr>
              <w:spacing w:after="20" w:before="20" w:line="252" w:lineRule="auto"/>
            </w:pPr>
            <w:r/>
            <w:r>
              <w:rPr>
                <w:rFonts w:ascii="Arial" w:hAnsi="Arial"/>
                <w:b w:val="0"/>
                <w:i w:val="0"/>
                <w:sz w:val="17"/>
              </w:rPr>
              <w:t>Uji stres grup; pisahkan aset warisan; batas konsentrasi</w:t>
            </w:r>
          </w:p>
        </w:tc>
        <w:tc>
          <w:tcPr>
            <w:tcW w:type="dxa" w:w="1372"/>
            <w:shd w:val="clear" w:color="auto" w:fill="E6ECFD"/>
            <w:vAlign w:val="center"/>
          </w:tcPr>
          <w:p>
            <w:pPr>
              <w:spacing w:after="20" w:before="20" w:line="252" w:lineRule="auto"/>
            </w:pPr>
            <w:r/>
            <w:r>
              <w:rPr>
                <w:rFonts w:ascii="Arial" w:hAnsi="Arial"/>
                <w:b w:val="0"/>
                <w:i w:val="0"/>
                <w:sz w:val="17"/>
              </w:rPr>
              <w:t>Tinggi / tinggi</w:t>
            </w:r>
          </w:p>
        </w:tc>
      </w:tr>
      <w:tr>
        <w:trPr>
          <w:cantSplit/>
        </w:trPr>
        <w:tc>
          <w:tcPr>
            <w:tcW w:type="dxa" w:w="588"/>
            <w:vAlign w:val="center"/>
          </w:tcPr>
          <w:p>
            <w:pPr>
              <w:spacing w:after="20" w:before="20" w:line="252" w:lineRule="auto"/>
            </w:pPr>
            <w:r/>
            <w:r>
              <w:rPr>
                <w:rFonts w:ascii="Arial" w:hAnsi="Arial"/>
                <w:b/>
                <w:i w:val="0"/>
                <w:sz w:val="17"/>
              </w:rPr>
              <w:t>23</w:t>
            </w:r>
          </w:p>
        </w:tc>
        <w:tc>
          <w:tcPr>
            <w:tcW w:type="dxa" w:w="3333"/>
            <w:vAlign w:val="center"/>
          </w:tcPr>
          <w:p>
            <w:pPr>
              <w:spacing w:after="20" w:before="20" w:line="252" w:lineRule="auto"/>
            </w:pPr>
            <w:r/>
            <w:r>
              <w:rPr>
                <w:rFonts w:ascii="Arial" w:hAnsi="Arial"/>
                <w:b w:val="0"/>
                <w:i w:val="0"/>
                <w:sz w:val="17"/>
              </w:rPr>
              <w:t>Register dan data 40 slot belum teruji</w:t>
            </w:r>
          </w:p>
        </w:tc>
        <w:tc>
          <w:tcPr>
            <w:tcW w:type="dxa" w:w="4117"/>
            <w:vAlign w:val="center"/>
          </w:tcPr>
          <w:p>
            <w:pPr>
              <w:spacing w:after="20" w:before="20" w:line="252" w:lineRule="auto"/>
            </w:pPr>
            <w:r/>
            <w:r>
              <w:rPr>
                <w:rFonts w:ascii="Arial" w:hAnsi="Arial"/>
                <w:b w:val="0"/>
                <w:i w:val="0"/>
                <w:sz w:val="17"/>
              </w:rPr>
              <w:t>Rencana bukti 90 hari; identitas 100% pada Hari 45</w:t>
            </w:r>
          </w:p>
        </w:tc>
        <w:tc>
          <w:tcPr>
            <w:tcW w:type="dxa" w:w="1372"/>
            <w:vAlign w:val="center"/>
          </w:tcPr>
          <w:p>
            <w:pPr>
              <w:spacing w:after="20" w:before="20" w:line="252" w:lineRule="auto"/>
            </w:pPr>
            <w:r/>
            <w:r>
              <w:rPr>
                <w:rFonts w:ascii="Arial" w:hAnsi="Arial"/>
                <w:b w:val="0"/>
                <w:i w:val="0"/>
                <w:sz w:val="17"/>
              </w:rPr>
              <w:t>Tinggi / tinggi</w:t>
            </w:r>
          </w:p>
        </w:tc>
      </w:tr>
      <w:tr>
        <w:trPr>
          <w:cantSplit/>
        </w:trPr>
        <w:tc>
          <w:tcPr>
            <w:tcW w:type="dxa" w:w="588"/>
            <w:shd w:val="clear" w:color="auto" w:fill="E6ECFD"/>
            <w:vAlign w:val="center"/>
          </w:tcPr>
          <w:p>
            <w:pPr>
              <w:spacing w:after="20" w:before="20" w:line="252" w:lineRule="auto"/>
            </w:pPr>
            <w:r/>
            <w:r>
              <w:rPr>
                <w:rFonts w:ascii="Arial" w:hAnsi="Arial"/>
                <w:b/>
                <w:i w:val="0"/>
                <w:sz w:val="17"/>
              </w:rPr>
              <w:t>1</w:t>
            </w:r>
          </w:p>
        </w:tc>
        <w:tc>
          <w:tcPr>
            <w:tcW w:type="dxa" w:w="3333"/>
            <w:shd w:val="clear" w:color="auto" w:fill="E6ECFD"/>
            <w:vAlign w:val="center"/>
          </w:tcPr>
          <w:p>
            <w:pPr>
              <w:spacing w:after="20" w:before="20" w:line="252" w:lineRule="auto"/>
            </w:pPr>
            <w:r/>
            <w:r>
              <w:rPr>
                <w:rFonts w:ascii="Arial" w:hAnsi="Arial"/>
                <w:b w:val="0"/>
                <w:i w:val="0"/>
                <w:sz w:val="17"/>
              </w:rPr>
              <w:t>Kuota alih-alih gerbang</w:t>
            </w:r>
          </w:p>
        </w:tc>
        <w:tc>
          <w:tcPr>
            <w:tcW w:type="dxa" w:w="4117"/>
            <w:shd w:val="clear" w:color="auto" w:fill="E6ECFD"/>
            <w:vAlign w:val="center"/>
          </w:tcPr>
          <w:p>
            <w:pPr>
              <w:spacing w:after="20" w:before="20" w:line="252" w:lineRule="auto"/>
            </w:pPr>
            <w:r/>
            <w:r>
              <w:rPr>
                <w:rFonts w:ascii="Arial" w:hAnsi="Arial"/>
                <w:b w:val="0"/>
                <w:i w:val="0"/>
                <w:sz w:val="17"/>
              </w:rPr>
              <w:t>Ketentuan gerbang dalam kontrak; asesor independen</w:t>
            </w:r>
          </w:p>
        </w:tc>
        <w:tc>
          <w:tcPr>
            <w:tcW w:type="dxa" w:w="1372"/>
            <w:shd w:val="clear" w:color="auto" w:fill="E6ECFD"/>
            <w:vAlign w:val="center"/>
          </w:tcPr>
          <w:p>
            <w:pPr>
              <w:spacing w:after="20" w:before="20" w:line="252" w:lineRule="auto"/>
            </w:pPr>
            <w:r/>
            <w:r>
              <w:rPr>
                <w:rFonts w:ascii="Arial" w:hAnsi="Arial"/>
                <w:b w:val="0"/>
                <w:i w:val="0"/>
                <w:sz w:val="17"/>
              </w:rPr>
              <w:t>Sedang / tinggi</w:t>
            </w:r>
          </w:p>
        </w:tc>
      </w:tr>
      <w:tr>
        <w:trPr>
          <w:cantSplit/>
        </w:trPr>
        <w:tc>
          <w:tcPr>
            <w:tcW w:type="dxa" w:w="588"/>
            <w:vAlign w:val="center"/>
          </w:tcPr>
          <w:p>
            <w:pPr>
              <w:spacing w:after="20" w:before="20" w:line="252" w:lineRule="auto"/>
            </w:pPr>
            <w:r/>
            <w:r>
              <w:rPr>
                <w:rFonts w:ascii="Arial" w:hAnsi="Arial"/>
                <w:b/>
                <w:i w:val="0"/>
                <w:sz w:val="17"/>
              </w:rPr>
              <w:t>3</w:t>
            </w:r>
          </w:p>
        </w:tc>
        <w:tc>
          <w:tcPr>
            <w:tcW w:type="dxa" w:w="3333"/>
            <w:vAlign w:val="center"/>
          </w:tcPr>
          <w:p>
            <w:pPr>
              <w:spacing w:after="20" w:before="20" w:line="252" w:lineRule="auto"/>
            </w:pPr>
            <w:r/>
            <w:r>
              <w:rPr>
                <w:rFonts w:ascii="Arial" w:hAnsi="Arial"/>
                <w:b w:val="0"/>
                <w:i w:val="0"/>
                <w:sz w:val="17"/>
              </w:rPr>
              <w:t>Dominasi pengusul</w:t>
            </w:r>
          </w:p>
        </w:tc>
        <w:tc>
          <w:tcPr>
            <w:tcW w:type="dxa" w:w="4117"/>
            <w:vAlign w:val="center"/>
          </w:tcPr>
          <w:p>
            <w:pPr>
              <w:spacing w:after="20" w:before="20" w:line="252" w:lineRule="auto"/>
            </w:pPr>
            <w:r/>
            <w:r>
              <w:rPr>
                <w:rFonts w:ascii="Arial" w:hAnsi="Arial"/>
                <w:b w:val="0"/>
                <w:i w:val="0"/>
                <w:sz w:val="17"/>
              </w:rPr>
              <w:t>Lini risiko dan hukum independen; perbedaan pendapat dicatat</w:t>
            </w:r>
          </w:p>
        </w:tc>
        <w:tc>
          <w:tcPr>
            <w:tcW w:type="dxa" w:w="1372"/>
            <w:vAlign w:val="center"/>
          </w:tcPr>
          <w:p>
            <w:pPr>
              <w:spacing w:after="20" w:before="20" w:line="252" w:lineRule="auto"/>
            </w:pPr>
            <w:r/>
            <w:r>
              <w:rPr>
                <w:rFonts w:ascii="Arial" w:hAnsi="Arial"/>
                <w:b w:val="0"/>
                <w:i w:val="0"/>
                <w:sz w:val="17"/>
              </w:rPr>
              <w:t>Sedang / tinggi</w:t>
            </w:r>
          </w:p>
        </w:tc>
      </w:tr>
      <w:tr>
        <w:trPr>
          <w:cantSplit/>
        </w:trPr>
        <w:tc>
          <w:tcPr>
            <w:tcW w:type="dxa" w:w="588"/>
            <w:shd w:val="clear" w:color="auto" w:fill="E6ECFD"/>
            <w:vAlign w:val="center"/>
          </w:tcPr>
          <w:p>
            <w:pPr>
              <w:spacing w:after="20" w:before="20" w:line="252" w:lineRule="auto"/>
            </w:pPr>
            <w:r/>
            <w:r>
              <w:rPr>
                <w:rFonts w:ascii="Arial" w:hAnsi="Arial"/>
                <w:b/>
                <w:i w:val="0"/>
                <w:sz w:val="17"/>
              </w:rPr>
              <w:t>4</w:t>
            </w:r>
          </w:p>
        </w:tc>
        <w:tc>
          <w:tcPr>
            <w:tcW w:type="dxa" w:w="3333"/>
            <w:shd w:val="clear" w:color="auto" w:fill="E6ECFD"/>
            <w:vAlign w:val="center"/>
          </w:tcPr>
          <w:p>
            <w:pPr>
              <w:spacing w:after="20" w:before="20" w:line="252" w:lineRule="auto"/>
            </w:pPr>
            <w:r/>
            <w:r>
              <w:rPr>
                <w:rFonts w:ascii="Arial" w:hAnsi="Arial"/>
                <w:b w:val="0"/>
                <w:i w:val="0"/>
                <w:sz w:val="17"/>
              </w:rPr>
              <w:t>Kewajiban fiskal tersembunyi</w:t>
            </w:r>
          </w:p>
        </w:tc>
        <w:tc>
          <w:tcPr>
            <w:tcW w:type="dxa" w:w="4117"/>
            <w:shd w:val="clear" w:color="auto" w:fill="E6ECFD"/>
            <w:vAlign w:val="center"/>
          </w:tcPr>
          <w:p>
            <w:pPr>
              <w:spacing w:after="20" w:before="20" w:line="252" w:lineRule="auto"/>
            </w:pPr>
            <w:r/>
            <w:r>
              <w:rPr>
                <w:rFonts w:ascii="Arial" w:hAnsi="Arial"/>
                <w:b w:val="0"/>
                <w:i w:val="0"/>
                <w:sz w:val="17"/>
              </w:rPr>
              <w:t>Klasifikasi berbasis substansi; register pendapatan dijaminkan</w:t>
            </w:r>
          </w:p>
        </w:tc>
        <w:tc>
          <w:tcPr>
            <w:tcW w:type="dxa" w:w="1372"/>
            <w:shd w:val="clear" w:color="auto" w:fill="E6ECFD"/>
            <w:vAlign w:val="center"/>
          </w:tcPr>
          <w:p>
            <w:pPr>
              <w:spacing w:after="20" w:before="20" w:line="252" w:lineRule="auto"/>
            </w:pPr>
            <w:r/>
            <w:r>
              <w:rPr>
                <w:rFonts w:ascii="Arial" w:hAnsi="Arial"/>
                <w:b w:val="0"/>
                <w:i w:val="0"/>
                <w:sz w:val="17"/>
              </w:rPr>
              <w:t>Sedang / tinggi</w:t>
            </w:r>
          </w:p>
        </w:tc>
      </w:tr>
      <w:tr>
        <w:trPr>
          <w:cantSplit/>
        </w:trPr>
        <w:tc>
          <w:tcPr>
            <w:tcW w:type="dxa" w:w="588"/>
            <w:vAlign w:val="center"/>
          </w:tcPr>
          <w:p>
            <w:pPr>
              <w:spacing w:after="20" w:before="20" w:line="252" w:lineRule="auto"/>
            </w:pPr>
            <w:r/>
            <w:r>
              <w:rPr>
                <w:rFonts w:ascii="Arial" w:hAnsi="Arial"/>
                <w:b/>
                <w:i w:val="0"/>
                <w:sz w:val="17"/>
              </w:rPr>
              <w:t>18</w:t>
            </w:r>
          </w:p>
        </w:tc>
        <w:tc>
          <w:tcPr>
            <w:tcW w:type="dxa" w:w="3333"/>
            <w:vAlign w:val="center"/>
          </w:tcPr>
          <w:p>
            <w:pPr>
              <w:spacing w:after="20" w:before="20" w:line="252" w:lineRule="auto"/>
            </w:pPr>
            <w:r/>
            <w:r>
              <w:rPr>
                <w:rFonts w:ascii="Arial" w:hAnsi="Arial"/>
                <w:b w:val="0"/>
                <w:i w:val="0"/>
                <w:sz w:val="17"/>
              </w:rPr>
              <w:t>Integritas dalam DOCK-UP</w:t>
            </w:r>
          </w:p>
        </w:tc>
        <w:tc>
          <w:tcPr>
            <w:tcW w:type="dxa" w:w="4117"/>
            <w:vAlign w:val="center"/>
          </w:tcPr>
          <w:p>
            <w:pPr>
              <w:spacing w:after="20" w:before="20" w:line="252" w:lineRule="auto"/>
            </w:pPr>
            <w:r/>
            <w:r>
              <w:rPr>
                <w:rFonts w:ascii="Arial" w:hAnsi="Arial"/>
                <w:b w:val="0"/>
                <w:i w:val="0"/>
                <w:sz w:val="17"/>
              </w:rPr>
              <w:t>Asesor independen, rotasi, jejak audit</w:t>
            </w:r>
          </w:p>
        </w:tc>
        <w:tc>
          <w:tcPr>
            <w:tcW w:type="dxa" w:w="1372"/>
            <w:vAlign w:val="center"/>
          </w:tcPr>
          <w:p>
            <w:pPr>
              <w:spacing w:after="20" w:before="20" w:line="252" w:lineRule="auto"/>
            </w:pPr>
            <w:r/>
            <w:r>
              <w:rPr>
                <w:rFonts w:ascii="Arial" w:hAnsi="Arial"/>
                <w:b w:val="0"/>
                <w:i w:val="0"/>
                <w:sz w:val="17"/>
              </w:rPr>
              <w:t>Sedang / tinggi</w:t>
            </w:r>
          </w:p>
        </w:tc>
      </w:tr>
      <w:tr>
        <w:trPr>
          <w:cantSplit/>
        </w:trPr>
        <w:tc>
          <w:tcPr>
            <w:tcW w:type="dxa" w:w="588"/>
            <w:shd w:val="clear" w:color="auto" w:fill="E6ECFD"/>
            <w:vAlign w:val="center"/>
          </w:tcPr>
          <w:p>
            <w:pPr>
              <w:spacing w:after="20" w:before="20" w:line="252" w:lineRule="auto"/>
            </w:pPr>
            <w:r/>
            <w:r>
              <w:rPr>
                <w:rFonts w:ascii="Arial" w:hAnsi="Arial"/>
                <w:b/>
                <w:i w:val="0"/>
                <w:sz w:val="17"/>
              </w:rPr>
              <w:t>20</w:t>
            </w:r>
          </w:p>
        </w:tc>
        <w:tc>
          <w:tcPr>
            <w:tcW w:type="dxa" w:w="3333"/>
            <w:shd w:val="clear" w:color="auto" w:fill="E6ECFD"/>
            <w:vAlign w:val="center"/>
          </w:tcPr>
          <w:p>
            <w:pPr>
              <w:spacing w:after="20" w:before="20" w:line="252" w:lineRule="auto"/>
            </w:pPr>
            <w:r/>
            <w:r>
              <w:rPr>
                <w:rFonts w:ascii="Arial" w:hAnsi="Arial"/>
                <w:b w:val="0"/>
                <w:i w:val="0"/>
                <w:sz w:val="17"/>
              </w:rPr>
              <w:t>Penurunan investasi 2032 tanpa pipeline penerus</w:t>
            </w:r>
          </w:p>
        </w:tc>
        <w:tc>
          <w:tcPr>
            <w:tcW w:type="dxa" w:w="4117"/>
            <w:shd w:val="clear" w:color="auto" w:fill="E6ECFD"/>
            <w:vAlign w:val="center"/>
          </w:tcPr>
          <w:p>
            <w:pPr>
              <w:spacing w:after="20" w:before="20" w:line="252" w:lineRule="auto"/>
            </w:pPr>
            <w:r/>
            <w:r>
              <w:rPr>
                <w:rFonts w:ascii="Arial" w:hAnsi="Arial"/>
                <w:b w:val="0"/>
                <w:i w:val="0"/>
                <w:sz w:val="17"/>
              </w:rPr>
              <w:t>Siapkan pipeline penerus sejak 2030</w:t>
            </w:r>
          </w:p>
        </w:tc>
        <w:tc>
          <w:tcPr>
            <w:tcW w:type="dxa" w:w="1372"/>
            <w:shd w:val="clear" w:color="auto" w:fill="E6ECFD"/>
            <w:vAlign w:val="center"/>
          </w:tcPr>
          <w:p>
            <w:pPr>
              <w:spacing w:after="20" w:before="20" w:line="252" w:lineRule="auto"/>
            </w:pPr>
            <w:r/>
            <w:r>
              <w:rPr>
                <w:rFonts w:ascii="Arial" w:hAnsi="Arial"/>
                <w:b w:val="0"/>
                <w:i w:val="0"/>
                <w:sz w:val="17"/>
              </w:rPr>
              <w:t>Sedang / tinggi</w:t>
            </w:r>
          </w:p>
        </w:tc>
      </w:tr>
      <w:tr>
        <w:trPr>
          <w:cantSplit/>
        </w:trPr>
        <w:tc>
          <w:tcPr>
            <w:tcW w:type="dxa" w:w="588"/>
            <w:vAlign w:val="center"/>
          </w:tcPr>
          <w:p>
            <w:pPr>
              <w:spacing w:after="20" w:before="20" w:line="252" w:lineRule="auto"/>
            </w:pPr>
            <w:r/>
            <w:r>
              <w:rPr>
                <w:rFonts w:ascii="Arial" w:hAnsi="Arial"/>
                <w:b/>
                <w:i w:val="0"/>
                <w:sz w:val="17"/>
              </w:rPr>
              <w:t>22</w:t>
            </w:r>
          </w:p>
        </w:tc>
        <w:tc>
          <w:tcPr>
            <w:tcW w:type="dxa" w:w="3333"/>
            <w:vAlign w:val="center"/>
          </w:tcPr>
          <w:p>
            <w:pPr>
              <w:spacing w:after="20" w:before="20" w:line="252" w:lineRule="auto"/>
            </w:pPr>
            <w:r/>
            <w:r>
              <w:rPr>
                <w:rFonts w:ascii="Arial" w:hAnsi="Arial"/>
                <w:b w:val="0"/>
                <w:i w:val="0"/>
                <w:sz w:val="17"/>
              </w:rPr>
              <w:t>Inflasi dari penyaluran NRF atau puncak konstruksi</w:t>
            </w:r>
          </w:p>
        </w:tc>
        <w:tc>
          <w:tcPr>
            <w:tcW w:type="dxa" w:w="4117"/>
            <w:vAlign w:val="center"/>
          </w:tcPr>
          <w:p>
            <w:pPr>
              <w:spacing w:after="20" w:before="20" w:line="252" w:lineRule="auto"/>
            </w:pPr>
            <w:r/>
            <w:r>
              <w:rPr>
                <w:rFonts w:ascii="Arial" w:hAnsi="Arial"/>
                <w:b w:val="0"/>
                <w:i w:val="0"/>
                <w:sz w:val="17"/>
              </w:rPr>
              <w:t>Pemantau inflasi; pengaman dalam piagam NRF</w:t>
            </w:r>
          </w:p>
        </w:tc>
        <w:tc>
          <w:tcPr>
            <w:tcW w:type="dxa" w:w="1372"/>
            <w:vAlign w:val="center"/>
          </w:tcPr>
          <w:p>
            <w:pPr>
              <w:spacing w:after="20" w:before="20" w:line="252" w:lineRule="auto"/>
            </w:pPr>
            <w:r/>
            <w:r>
              <w:rPr>
                <w:rFonts w:ascii="Arial" w:hAnsi="Arial"/>
                <w:b w:val="0"/>
                <w:i w:val="0"/>
                <w:sz w:val="17"/>
              </w:rPr>
              <w:t>Sedang / tinggi</w:t>
            </w:r>
          </w:p>
        </w:tc>
      </w:tr>
      <w:tr>
        <w:trPr>
          <w:cantSplit/>
        </w:trPr>
        <w:tc>
          <w:tcPr>
            <w:tcW w:type="dxa" w:w="588"/>
            <w:shd w:val="clear" w:color="auto" w:fill="E6ECFD"/>
            <w:vAlign w:val="center"/>
          </w:tcPr>
          <w:p>
            <w:pPr>
              <w:spacing w:after="20" w:before="20" w:line="252" w:lineRule="auto"/>
            </w:pPr>
            <w:r/>
            <w:r>
              <w:rPr>
                <w:rFonts w:ascii="Arial" w:hAnsi="Arial"/>
                <w:b/>
                <w:i w:val="0"/>
                <w:sz w:val="17"/>
              </w:rPr>
              <w:t>24</w:t>
            </w:r>
          </w:p>
        </w:tc>
        <w:tc>
          <w:tcPr>
            <w:tcW w:type="dxa" w:w="3333"/>
            <w:shd w:val="clear" w:color="auto" w:fill="E6ECFD"/>
            <w:vAlign w:val="center"/>
          </w:tcPr>
          <w:p>
            <w:pPr>
              <w:spacing w:after="20" w:before="20" w:line="252" w:lineRule="auto"/>
            </w:pPr>
            <w:r/>
            <w:r>
              <w:rPr>
                <w:rFonts w:ascii="Arial" w:hAnsi="Arial"/>
                <w:b w:val="0"/>
                <w:i w:val="0"/>
                <w:sz w:val="17"/>
              </w:rPr>
              <w:t>Pembiayaan paksa greenfield melalui bank BUMN</w:t>
            </w:r>
          </w:p>
        </w:tc>
        <w:tc>
          <w:tcPr>
            <w:tcW w:type="dxa" w:w="4117"/>
            <w:shd w:val="clear" w:color="auto" w:fill="E6ECFD"/>
            <w:vAlign w:val="center"/>
          </w:tcPr>
          <w:p>
            <w:pPr>
              <w:spacing w:after="20" w:before="20" w:line="252" w:lineRule="auto"/>
            </w:pPr>
            <w:r/>
            <w:r>
              <w:rPr>
                <w:rFonts w:ascii="Arial" w:hAnsi="Arial"/>
                <w:b w:val="0"/>
                <w:i w:val="0"/>
                <w:sz w:val="17"/>
              </w:rPr>
              <w:t>Portofolio ganda; SPV ring-fenced</w:t>
            </w:r>
          </w:p>
        </w:tc>
        <w:tc>
          <w:tcPr>
            <w:tcW w:type="dxa" w:w="1372"/>
            <w:shd w:val="clear" w:color="auto" w:fill="E6ECFD"/>
            <w:vAlign w:val="center"/>
          </w:tcPr>
          <w:p>
            <w:pPr>
              <w:spacing w:after="20" w:before="20" w:line="252" w:lineRule="auto"/>
            </w:pPr>
            <w:r/>
            <w:r>
              <w:rPr>
                <w:rFonts w:ascii="Arial" w:hAnsi="Arial"/>
                <w:b w:val="0"/>
                <w:i w:val="0"/>
                <w:sz w:val="17"/>
              </w:rPr>
              <w:t>Sedang / tinggi</w:t>
            </w:r>
          </w:p>
        </w:tc>
      </w:tr>
    </w:tbl>
    <w:p>
      <w:pPr>
        <w:spacing w:after="160"/>
      </w:pPr>
      <w:r>
        <w:rPr>
          <w:rFonts w:ascii="Arial" w:hAnsi="Arial"/>
          <w:b w:val="0"/>
          <w:i/>
          <w:color w:val="051C5C"/>
          <w:sz w:val="17"/>
        </w:rPr>
        <w:t>Sumber: [K §15]; dipilih 10 dari 24 risiko.</w:t>
      </w:r>
    </w:p>
    <w:p>
      <w:pPr>
        <w:jc w:val="both"/>
      </w:pPr>
      <w:r>
        <w:rPr>
          <w:rFonts w:ascii="Arial" w:hAnsi="Arial"/>
          <w:b w:val="0"/>
          <w:i w:val="0"/>
        </w:rPr>
        <w:t>Kajian menyebut risiko tunggal terbesar: memperlakukan transformasi sebagai target kuantitas (jumlah proyek, nilai investasi, jumlah UKM), bukan jalur bergerbang yang menuntut bukti kesiapan dan hasil [DECK85 S45; EVAL §17]. Peringatan serupa muncul pada DOCK-UP (subbab 8.3).</w:t>
      </w:r>
    </w:p>
    <w:p>
      <w:pPr>
        <w:pStyle w:val="Heading2"/>
      </w:pPr>
      <w:r>
        <w:t>7.4  Uji stres</w:t>
      </w:r>
    </w:p>
    <w:p>
      <w:pPr>
        <w:jc w:val="both"/>
      </w:pPr>
      <w:r>
        <w:rPr>
          <w:rFonts w:ascii="Arial" w:hAnsi="Arial"/>
          <w:b w:val="0"/>
          <w:i w:val="0"/>
        </w:rPr>
        <w:t>Uji stres menerapkan guncangan serempak untuk menilai ketahanan. Kajian merinci kurs dan pembiayaan kembali (rupiah −15%; spread +200 bps), siklus industri (harga produk −20%; bahan baku dan listrik +15%), konstruksi (belanja modal +20%; keterlambatan 12 bulan; kegagalan kontraktor), fiskal (kompensasi terlambat 180 hari), kredit bank, teknologi dan pasar, serta lingkungan dan sosial, ditambah guncangan khusus NRF dan surat tagihan proyek. Angka itu asumsi awal ilustratif untuk dikalibrasi, bukan proyeksi [K §10.6]. Guncangan konstruksi perlu dibaca bersama guncangan pembiayaan, karena keterlambatan memperbesar bunga selama konstruksi.</w:t>
      </w:r>
    </w:p>
    <w:p>
      <w:pPr>
        <w:pStyle w:val="Heading2"/>
      </w:pPr>
      <w:r>
        <w:t>7.5  Bias dan tata kelola risiko</w:t>
      </w:r>
    </w:p>
    <w:p>
      <w:pPr>
        <w:jc w:val="both"/>
      </w:pPr>
      <w:r>
        <w:rPr>
          <w:rFonts w:ascii="Arial" w:hAnsi="Arial"/>
          <w:b w:val="0"/>
          <w:i w:val="0"/>
        </w:rPr>
        <w:t>Proyek infrastruktur besar cenderung melampaui biaya yang dianggarkan, dan Flyvbjerg dkk. (2003) menyebut dua penyebab: bias optimisme dan misrepresentasi strategis oleh pihak yang berkepentingan agar proyek disetujui. Penangkalnya adalah peninjauan independen atas estimasi, penggunaan kelas acuan, dan pemisahan pengusul dari penilai, selaras dengan prinsip Kajian [EVAL §10]. Model tiga lini (manajemen operasional, fungsi risiko dan kepatuhan, audit internal) memberi strukturnya, dengan jalur pelaporan independen.</w:t>
      </w:r>
    </w:p>
    <w:p>
      <w:pPr>
        <w:pStyle w:val="Heading1"/>
      </w:pPr>
      <w:bookmarkStart w:id="9" w:name="_Toc009"/>
      <w:r>
        <w:t>8  Pengadaan, kontrak, mutu, dan komisioning</w:t>
      </w:r>
      <w:bookmarkEnd w:id="9"/>
    </w:p>
    <w:p>
      <w:pPr>
        <w:jc w:val="both"/>
      </w:pPr>
      <w:r>
        <w:rPr>
          <w:rFonts w:ascii="Arial" w:hAnsi="Arial"/>
          <w:b/>
          <w:i w:val="0"/>
        </w:rPr>
        <w:t>Ringkasnya:</w:t>
      </w:r>
      <w:r>
        <w:rPr>
          <w:rFonts w:ascii="Arial" w:hAnsi="Arial"/>
          <w:b w:val="0"/>
          <w:i w:val="0"/>
        </w:rPr>
        <w:t xml:space="preserve"> pengadaan adalah titik kendali terpenting setelah keputusan investasi, dan DOCK-UP memberinya tujuan tambahan, yaitu membangun pemasok domestik lewat gerbang kesiapan. Mutu, keselamatan, dan komisioning dibahas di sini karena kegagalannya sering berawal dari keputusan pengadaan.</w:t>
      </w:r>
    </w:p>
    <w:p>
      <w:pPr>
        <w:pStyle w:val="Heading2"/>
      </w:pPr>
      <w:r>
        <w:t>8.1  Pengadaan sebagai proses kendali</w:t>
      </w:r>
    </w:p>
    <w:p>
      <w:pPr>
        <w:jc w:val="both"/>
      </w:pPr>
      <w:r>
        <w:rPr>
          <w:rFonts w:ascii="Arial" w:hAnsi="Arial"/>
          <w:b w:val="0"/>
          <w:i w:val="0"/>
        </w:rPr>
        <w:t>Alur dalam alur kerja EPC: spesifikasi dan MTO menjadi permintaan material, lalu PR di ERP, pemeriksaan anggaran, kuantitas, dan waktu, permintaan penawaran kepada daftar pendek, evaluasi teknis dan komersial, persetujuan penghargaan menurut matriks kewenangan, dan PO atau subkontrak sebagai komitmen. Setelah itu berlangsung percepatan pengiriman (</w:t>
      </w:r>
      <w:r>
        <w:rPr>
          <w:rFonts w:ascii="Arial" w:hAnsi="Arial"/>
          <w:b w:val="0"/>
          <w:i/>
        </w:rPr>
        <w:t>expediting</w:t>
      </w:r>
      <w:r>
        <w:rPr>
          <w:rFonts w:ascii="Arial" w:hAnsi="Arial"/>
          <w:b w:val="0"/>
          <w:i w:val="0"/>
        </w:rPr>
        <w:t>), rencana inspeksi dan uji (ITP), uji penerimaan pabrik (FAT), dan penerimaan barang. Uang muka kepada vendor hanya dengan jaminan bank dan dipulihkan dari faktur berikutnya [EPC §4.2].</w:t>
      </w:r>
    </w:p>
    <w:p>
      <w:pPr>
        <w:pStyle w:val="Heading2"/>
      </w:pPr>
      <w:r>
        <w:t>8.2  Strategi kontrak dan alokasi risiko</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13</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Bentuk kontrak dan alokasi risiko tipikal</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Bentuk kontrak dan alokasi risiko tipikal"/>
      </w:tblPr>
      <w:tblGrid>
        <w:gridCol w:w="2353"/>
        <w:gridCol w:w="2353"/>
        <w:gridCol w:w="2353"/>
        <w:gridCol w:w="2353"/>
      </w:tblGrid>
      <w:tr>
        <w:trPr>
          <w:cantSplit/>
          <w:tblHeader/>
        </w:trPr>
        <w:tc>
          <w:tcPr>
            <w:tcW w:type="dxa" w:w="1961"/>
            <w:shd w:val="clear" w:color="auto" w:fill="2251FF"/>
            <w:vAlign w:val="center"/>
          </w:tcPr>
          <w:p>
            <w:pPr>
              <w:spacing w:after="20" w:before="20" w:line="252" w:lineRule="auto"/>
            </w:pPr>
            <w:r/>
            <w:r>
              <w:rPr>
                <w:rFonts w:ascii="Arial" w:hAnsi="Arial"/>
                <w:b/>
                <w:i w:val="0"/>
                <w:color w:val="FFFFFF"/>
                <w:sz w:val="16"/>
              </w:rPr>
              <w:t>Bentuk</w:t>
            </w:r>
          </w:p>
        </w:tc>
        <w:tc>
          <w:tcPr>
            <w:tcW w:type="dxa" w:w="3137"/>
            <w:shd w:val="clear" w:color="auto" w:fill="2251FF"/>
            <w:vAlign w:val="center"/>
          </w:tcPr>
          <w:p>
            <w:pPr>
              <w:spacing w:after="20" w:before="20" w:line="252" w:lineRule="auto"/>
            </w:pPr>
            <w:r/>
            <w:r>
              <w:rPr>
                <w:rFonts w:ascii="Arial" w:hAnsi="Arial"/>
                <w:b/>
                <w:i w:val="0"/>
                <w:color w:val="FFFFFF"/>
                <w:sz w:val="16"/>
              </w:rPr>
              <w:t>Ciri</w:t>
            </w:r>
          </w:p>
        </w:tc>
        <w:tc>
          <w:tcPr>
            <w:tcW w:type="dxa" w:w="2157"/>
            <w:shd w:val="clear" w:color="auto" w:fill="2251FF"/>
            <w:vAlign w:val="center"/>
          </w:tcPr>
          <w:p>
            <w:pPr>
              <w:spacing w:after="20" w:before="20" w:line="252" w:lineRule="auto"/>
            </w:pPr>
            <w:r/>
            <w:r>
              <w:rPr>
                <w:rFonts w:ascii="Arial" w:hAnsi="Arial"/>
                <w:b/>
                <w:i w:val="0"/>
                <w:color w:val="FFFFFF"/>
                <w:sz w:val="16"/>
              </w:rPr>
              <w:t>Risiko utama pada pemilik</w:t>
            </w:r>
          </w:p>
        </w:tc>
        <w:tc>
          <w:tcPr>
            <w:tcW w:type="dxa" w:w="2157"/>
            <w:shd w:val="clear" w:color="auto" w:fill="2251FF"/>
            <w:vAlign w:val="center"/>
          </w:tcPr>
          <w:p>
            <w:pPr>
              <w:spacing w:after="20" w:before="20" w:line="252" w:lineRule="auto"/>
            </w:pPr>
            <w:r/>
            <w:r>
              <w:rPr>
                <w:rFonts w:ascii="Arial" w:hAnsi="Arial"/>
                <w:b/>
                <w:i w:val="0"/>
                <w:color w:val="FFFFFF"/>
                <w:sz w:val="16"/>
              </w:rPr>
              <w:t>Risiko utama pada kontraktor</w:t>
            </w:r>
          </w:p>
        </w:tc>
      </w:tr>
      <w:tr>
        <w:trPr>
          <w:cantSplit/>
        </w:trPr>
        <w:tc>
          <w:tcPr>
            <w:tcW w:type="dxa" w:w="1961"/>
            <w:vAlign w:val="center"/>
          </w:tcPr>
          <w:p>
            <w:pPr>
              <w:spacing w:after="20" w:before="20" w:line="252" w:lineRule="auto"/>
            </w:pPr>
            <w:r/>
            <w:r>
              <w:rPr>
                <w:rFonts w:ascii="Arial" w:hAnsi="Arial"/>
                <w:b/>
                <w:i w:val="0"/>
                <w:sz w:val="16"/>
              </w:rPr>
              <w:t>Harga satuan</w:t>
            </w:r>
          </w:p>
        </w:tc>
        <w:tc>
          <w:tcPr>
            <w:tcW w:type="dxa" w:w="3137"/>
            <w:vAlign w:val="center"/>
          </w:tcPr>
          <w:p>
            <w:pPr>
              <w:spacing w:after="20" w:before="20" w:line="252" w:lineRule="auto"/>
            </w:pPr>
            <w:r/>
            <w:r>
              <w:rPr>
                <w:rFonts w:ascii="Arial" w:hAnsi="Arial"/>
                <w:b w:val="0"/>
                <w:i w:val="0"/>
                <w:sz w:val="16"/>
              </w:rPr>
              <w:t>Dibayar menurut kuantitas terukur</w:t>
            </w:r>
          </w:p>
        </w:tc>
        <w:tc>
          <w:tcPr>
            <w:tcW w:type="dxa" w:w="2157"/>
            <w:vAlign w:val="center"/>
          </w:tcPr>
          <w:p>
            <w:pPr>
              <w:spacing w:after="20" w:before="20" w:line="252" w:lineRule="auto"/>
            </w:pPr>
            <w:r/>
            <w:r>
              <w:rPr>
                <w:rFonts w:ascii="Arial" w:hAnsi="Arial"/>
                <w:b w:val="0"/>
                <w:i w:val="0"/>
                <w:sz w:val="16"/>
              </w:rPr>
              <w:t>Kuantitas dan eskalasi</w:t>
            </w:r>
          </w:p>
        </w:tc>
        <w:tc>
          <w:tcPr>
            <w:tcW w:type="dxa" w:w="2157"/>
            <w:vAlign w:val="center"/>
          </w:tcPr>
          <w:p>
            <w:pPr>
              <w:spacing w:after="20" w:before="20" w:line="252" w:lineRule="auto"/>
            </w:pPr>
            <w:r/>
            <w:r>
              <w:rPr>
                <w:rFonts w:ascii="Arial" w:hAnsi="Arial"/>
                <w:b w:val="0"/>
                <w:i w:val="0"/>
                <w:sz w:val="16"/>
              </w:rPr>
              <w:t>Produktivitas dan harga satuan</w:t>
            </w:r>
          </w:p>
        </w:tc>
      </w:tr>
      <w:tr>
        <w:trPr>
          <w:cantSplit/>
        </w:trPr>
        <w:tc>
          <w:tcPr>
            <w:tcW w:type="dxa" w:w="1961"/>
            <w:shd w:val="clear" w:color="auto" w:fill="E6ECFD"/>
            <w:vAlign w:val="center"/>
          </w:tcPr>
          <w:p>
            <w:pPr>
              <w:spacing w:after="20" w:before="20" w:line="252" w:lineRule="auto"/>
            </w:pPr>
            <w:r/>
            <w:r>
              <w:rPr>
                <w:rFonts w:ascii="Arial" w:hAnsi="Arial"/>
                <w:b/>
                <w:i w:val="0"/>
                <w:sz w:val="16"/>
              </w:rPr>
              <w:t>Harga tetap (lump sum)</w:t>
            </w:r>
          </w:p>
        </w:tc>
        <w:tc>
          <w:tcPr>
            <w:tcW w:type="dxa" w:w="3137"/>
            <w:shd w:val="clear" w:color="auto" w:fill="E6ECFD"/>
            <w:vAlign w:val="center"/>
          </w:tcPr>
          <w:p>
            <w:pPr>
              <w:spacing w:after="20" w:before="20" w:line="252" w:lineRule="auto"/>
            </w:pPr>
            <w:r/>
            <w:r>
              <w:rPr>
                <w:rFonts w:ascii="Arial" w:hAnsi="Arial"/>
                <w:b w:val="0"/>
                <w:i w:val="0"/>
                <w:sz w:val="16"/>
              </w:rPr>
              <w:t>Harga tetap untuk lingkup tertentu</w:t>
            </w:r>
          </w:p>
        </w:tc>
        <w:tc>
          <w:tcPr>
            <w:tcW w:type="dxa" w:w="2157"/>
            <w:shd w:val="clear" w:color="auto" w:fill="E6ECFD"/>
            <w:vAlign w:val="center"/>
          </w:tcPr>
          <w:p>
            <w:pPr>
              <w:spacing w:after="20" w:before="20" w:line="252" w:lineRule="auto"/>
            </w:pPr>
            <w:r/>
            <w:r>
              <w:rPr>
                <w:rFonts w:ascii="Arial" w:hAnsi="Arial"/>
                <w:b w:val="0"/>
                <w:i w:val="0"/>
                <w:sz w:val="16"/>
              </w:rPr>
              <w:t>Lingkup dan perubahan</w:t>
            </w:r>
          </w:p>
        </w:tc>
        <w:tc>
          <w:tcPr>
            <w:tcW w:type="dxa" w:w="2157"/>
            <w:shd w:val="clear" w:color="auto" w:fill="E6ECFD"/>
            <w:vAlign w:val="center"/>
          </w:tcPr>
          <w:p>
            <w:pPr>
              <w:spacing w:after="20" w:before="20" w:line="252" w:lineRule="auto"/>
            </w:pPr>
            <w:r/>
            <w:r>
              <w:rPr>
                <w:rFonts w:ascii="Arial" w:hAnsi="Arial"/>
                <w:b w:val="0"/>
                <w:i w:val="0"/>
                <w:sz w:val="16"/>
              </w:rPr>
              <w:t>Estimasi dan pelaksanaan</w:t>
            </w:r>
          </w:p>
        </w:tc>
      </w:tr>
      <w:tr>
        <w:trPr>
          <w:cantSplit/>
        </w:trPr>
        <w:tc>
          <w:tcPr>
            <w:tcW w:type="dxa" w:w="1961"/>
            <w:vAlign w:val="center"/>
          </w:tcPr>
          <w:p>
            <w:pPr>
              <w:spacing w:after="20" w:before="20" w:line="252" w:lineRule="auto"/>
            </w:pPr>
            <w:r/>
            <w:r>
              <w:rPr>
                <w:rFonts w:ascii="Arial" w:hAnsi="Arial"/>
                <w:b/>
                <w:i w:val="0"/>
                <w:sz w:val="16"/>
              </w:rPr>
              <w:t>Biaya ditambah imbalan</w:t>
            </w:r>
          </w:p>
        </w:tc>
        <w:tc>
          <w:tcPr>
            <w:tcW w:type="dxa" w:w="3137"/>
            <w:vAlign w:val="center"/>
          </w:tcPr>
          <w:p>
            <w:pPr>
              <w:spacing w:after="20" w:before="20" w:line="252" w:lineRule="auto"/>
            </w:pPr>
            <w:r/>
            <w:r>
              <w:rPr>
                <w:rFonts w:ascii="Arial" w:hAnsi="Arial"/>
                <w:b w:val="0"/>
                <w:i w:val="0"/>
                <w:sz w:val="16"/>
              </w:rPr>
              <w:t>Biaya aktual ditambah imbalan</w:t>
            </w:r>
          </w:p>
        </w:tc>
        <w:tc>
          <w:tcPr>
            <w:tcW w:type="dxa" w:w="2157"/>
            <w:vAlign w:val="center"/>
          </w:tcPr>
          <w:p>
            <w:pPr>
              <w:spacing w:after="20" w:before="20" w:line="252" w:lineRule="auto"/>
            </w:pPr>
            <w:r/>
            <w:r>
              <w:rPr>
                <w:rFonts w:ascii="Arial" w:hAnsi="Arial"/>
                <w:b w:val="0"/>
                <w:i w:val="0"/>
                <w:sz w:val="16"/>
              </w:rPr>
              <w:t>Biaya tak terkendali</w:t>
            </w:r>
          </w:p>
        </w:tc>
        <w:tc>
          <w:tcPr>
            <w:tcW w:type="dxa" w:w="2157"/>
            <w:vAlign w:val="center"/>
          </w:tcPr>
          <w:p>
            <w:pPr>
              <w:spacing w:after="20" w:before="20" w:line="252" w:lineRule="auto"/>
            </w:pPr>
            <w:r/>
            <w:r>
              <w:rPr>
                <w:rFonts w:ascii="Arial" w:hAnsi="Arial"/>
                <w:b w:val="0"/>
                <w:i w:val="0"/>
                <w:sz w:val="16"/>
              </w:rPr>
              <w:t>Minimal</w:t>
            </w:r>
          </w:p>
        </w:tc>
      </w:tr>
      <w:tr>
        <w:trPr>
          <w:cantSplit/>
        </w:trPr>
        <w:tc>
          <w:tcPr>
            <w:tcW w:type="dxa" w:w="1961"/>
            <w:shd w:val="clear" w:color="auto" w:fill="E6ECFD"/>
            <w:vAlign w:val="center"/>
          </w:tcPr>
          <w:p>
            <w:pPr>
              <w:spacing w:after="20" w:before="20" w:line="252" w:lineRule="auto"/>
            </w:pPr>
            <w:r/>
            <w:r>
              <w:rPr>
                <w:rFonts w:ascii="Arial" w:hAnsi="Arial"/>
                <w:b/>
                <w:i w:val="0"/>
                <w:sz w:val="16"/>
              </w:rPr>
              <w:t>EPC / turnkey (FIDIC Silver Book)</w:t>
            </w:r>
          </w:p>
        </w:tc>
        <w:tc>
          <w:tcPr>
            <w:tcW w:type="dxa" w:w="3137"/>
            <w:shd w:val="clear" w:color="auto" w:fill="E6ECFD"/>
            <w:vAlign w:val="center"/>
          </w:tcPr>
          <w:p>
            <w:pPr>
              <w:spacing w:after="20" w:before="20" w:line="252" w:lineRule="auto"/>
            </w:pPr>
            <w:r/>
            <w:r>
              <w:rPr>
                <w:rFonts w:ascii="Arial" w:hAnsi="Arial"/>
                <w:b w:val="0"/>
                <w:i w:val="0"/>
                <w:sz w:val="16"/>
              </w:rPr>
              <w:t>Kontraktor menanggung desain, pengadaan, konstruksi, komisioning dengan harga tetap</w:t>
            </w:r>
          </w:p>
        </w:tc>
        <w:tc>
          <w:tcPr>
            <w:tcW w:type="dxa" w:w="2157"/>
            <w:shd w:val="clear" w:color="auto" w:fill="E6ECFD"/>
            <w:vAlign w:val="center"/>
          </w:tcPr>
          <w:p>
            <w:pPr>
              <w:spacing w:after="20" w:before="20" w:line="252" w:lineRule="auto"/>
            </w:pPr>
            <w:r/>
            <w:r>
              <w:rPr>
                <w:rFonts w:ascii="Arial" w:hAnsi="Arial"/>
                <w:b w:val="0"/>
                <w:i w:val="0"/>
                <w:sz w:val="16"/>
              </w:rPr>
              <w:t>Kontrol desain berkurang</w:t>
            </w:r>
          </w:p>
        </w:tc>
        <w:tc>
          <w:tcPr>
            <w:tcW w:type="dxa" w:w="2157"/>
            <w:shd w:val="clear" w:color="auto" w:fill="E6ECFD"/>
            <w:vAlign w:val="center"/>
          </w:tcPr>
          <w:p>
            <w:pPr>
              <w:spacing w:after="20" w:before="20" w:line="252" w:lineRule="auto"/>
            </w:pPr>
            <w:r/>
            <w:r>
              <w:rPr>
                <w:rFonts w:ascii="Arial" w:hAnsi="Arial"/>
                <w:b w:val="0"/>
                <w:i w:val="0"/>
                <w:sz w:val="16"/>
              </w:rPr>
              <w:t>Desain, pengadaan, konstruksi, komisioning</w:t>
            </w:r>
          </w:p>
        </w:tc>
      </w:tr>
      <w:tr>
        <w:trPr>
          <w:cantSplit/>
        </w:trPr>
        <w:tc>
          <w:tcPr>
            <w:tcW w:type="dxa" w:w="1961"/>
            <w:vAlign w:val="center"/>
          </w:tcPr>
          <w:p>
            <w:pPr>
              <w:spacing w:after="20" w:before="20" w:line="252" w:lineRule="auto"/>
            </w:pPr>
            <w:r/>
            <w:r>
              <w:rPr>
                <w:rFonts w:ascii="Arial" w:hAnsi="Arial"/>
                <w:b/>
                <w:i w:val="0"/>
                <w:sz w:val="16"/>
              </w:rPr>
              <w:t>Aliansi / biaya sasaran</w:t>
            </w:r>
          </w:p>
        </w:tc>
        <w:tc>
          <w:tcPr>
            <w:tcW w:type="dxa" w:w="3137"/>
            <w:vAlign w:val="center"/>
          </w:tcPr>
          <w:p>
            <w:pPr>
              <w:spacing w:after="20" w:before="20" w:line="252" w:lineRule="auto"/>
            </w:pPr>
            <w:r/>
            <w:r>
              <w:rPr>
                <w:rFonts w:ascii="Arial" w:hAnsi="Arial"/>
                <w:b w:val="0"/>
                <w:i w:val="0"/>
                <w:sz w:val="16"/>
              </w:rPr>
              <w:t>Risiko dan keuntungan dibagi</w:t>
            </w:r>
          </w:p>
        </w:tc>
        <w:tc>
          <w:tcPr>
            <w:tcW w:type="dxa" w:w="2157"/>
            <w:vAlign w:val="center"/>
          </w:tcPr>
          <w:p>
            <w:pPr>
              <w:spacing w:after="20" w:before="20" w:line="252" w:lineRule="auto"/>
            </w:pPr>
            <w:r/>
            <w:r>
              <w:rPr>
                <w:rFonts w:ascii="Arial" w:hAnsi="Arial"/>
                <w:b w:val="0"/>
                <w:i w:val="0"/>
                <w:sz w:val="16"/>
              </w:rPr>
              <w:t>Bersama</w:t>
            </w:r>
          </w:p>
        </w:tc>
        <w:tc>
          <w:tcPr>
            <w:tcW w:type="dxa" w:w="2157"/>
            <w:vAlign w:val="center"/>
          </w:tcPr>
          <w:p>
            <w:pPr>
              <w:spacing w:after="20" w:before="20" w:line="252" w:lineRule="auto"/>
            </w:pPr>
            <w:r/>
            <w:r>
              <w:rPr>
                <w:rFonts w:ascii="Arial" w:hAnsi="Arial"/>
                <w:b w:val="0"/>
                <w:i w:val="0"/>
                <w:sz w:val="16"/>
              </w:rPr>
              <w:t>Bersama</w:t>
            </w:r>
          </w:p>
        </w:tc>
      </w:tr>
    </w:tbl>
    <w:p>
      <w:pPr>
        <w:spacing w:after="160"/>
      </w:pPr>
      <w:r>
        <w:rPr>
          <w:rFonts w:ascii="Arial" w:hAnsi="Arial"/>
          <w:b w:val="0"/>
          <w:i/>
          <w:color w:val="051C5C"/>
          <w:sz w:val="17"/>
        </w:rPr>
        <w:t>Sumber: FIDIC (2017) dan praktik umum; analisis penyusun. Risiko turnkey/EPC yang diserap kontraktor dicatat sebagai salah satu penyebab tekanan BUMN Karya [PLAT hlm. 3].</w:t>
      </w:r>
    </w:p>
    <w:p>
      <w:pPr>
        <w:jc w:val="both"/>
      </w:pPr>
      <w:r>
        <w:rPr>
          <w:rFonts w:ascii="Arial" w:hAnsi="Arial"/>
          <w:b w:val="0"/>
          <w:i w:val="0"/>
        </w:rPr>
        <w:t>Bentuk kontrak harus mengikuti kematangan definisi: harga tetap atau turnkey menuntut lingkup matang (estimasi kelas tinggi). Bila definisi lemah, kontraktor memberi harga pada risiko yang belum dipahami atau mengejar perubahan untuk menutup margin; inilah salah satu jalur menuju kerugian pada paket turnkey bermargin tipis.</w:t>
      </w:r>
    </w:p>
    <w:p>
      <w:pPr>
        <w:jc w:val="both"/>
      </w:pPr>
      <w:r>
        <w:rPr>
          <w:rFonts w:ascii="Arial" w:hAnsi="Arial"/>
          <w:b w:val="0"/>
          <w:i w:val="0"/>
        </w:rPr>
        <w:t>Instrumen yang melindungi proyek: jaminan uang muka, pelaksanaan, dan pemeliharaan serta retensi; denda keterlambatan (</w:t>
      </w:r>
      <w:r>
        <w:rPr>
          <w:rFonts w:ascii="Arial" w:hAnsi="Arial"/>
          <w:b w:val="0"/>
          <w:i/>
        </w:rPr>
        <w:t>liquidated damages</w:t>
      </w:r>
      <w:r>
        <w:rPr>
          <w:rFonts w:ascii="Arial" w:hAnsi="Arial"/>
          <w:b w:val="0"/>
          <w:i w:val="0"/>
        </w:rPr>
        <w:t>) yang dibaca saat penawaran; prosedur permintaan perubahan dengan penilaian dampak sebelum pelaksanaan; ketentuan klaim dengan tenggat pemberitahuan; hak audit dan keterbukaan data termasuk pada subkontraktor penting; serta pembayaran tepat waktu kepada pemasok, bahkan saat kontraktor dalam pemulihan [K §9.8]. Evaluasi tata kelola menambahkan uji integritas pada pemilik manfaat, transaksi pihak berelasi, persaingan, alasan penunjukan langsung, dan kontrol perubahan kontrak [EVAL §3].</w:t>
      </w:r>
    </w:p>
    <w:p>
      <w:pPr>
        <w:pStyle w:val="Heading2"/>
      </w:pPr>
      <w:r>
        <w:t>8.3  Lokalisasi sebagai strategi pengadaan: DOCK-UP</w:t>
      </w:r>
    </w:p>
    <w:p>
      <w:pPr>
        <w:jc w:val="both"/>
      </w:pPr>
      <w:r>
        <w:rPr>
          <w:rFonts w:ascii="Arial" w:hAnsi="Arial"/>
          <w:b w:val="0"/>
          <w:i w:val="0"/>
        </w:rPr>
        <w:t>UU 16/2012 Pasal 43 mensyaratkan imbal dagang, kandungan lokal, dan ofset minimal 85% untuk alat pertahanan impor, dengan kandungan lokal dan ofset minimal 35% di antaranya, naik 10 poin setiap lima tahun [DOCK hlm. 2]. DOCK-UP (</w:t>
      </w:r>
      <w:r>
        <w:rPr>
          <w:rFonts w:ascii="Arial" w:hAnsi="Arial"/>
          <w:b w:val="0"/>
          <w:i/>
        </w:rPr>
        <w:t>Develop, Off-taker, Certification, Upgrading</w:t>
      </w:r>
      <w:r>
        <w:rPr>
          <w:rFonts w:ascii="Arial" w:hAnsi="Arial"/>
          <w:b w:val="0"/>
          <w:i w:val="0"/>
        </w:rPr>
        <w:t xml:space="preserve">) menerjemahkannya menjadi mekanisme bergerbang: kontrak payung 3–5 tahun dengan volume dilepas bertahap pada G1, G2, dan G3; sertifikasi C1 (mutu, setara MRL 7), C2 (klas, MRL 8), dan C3 (mutu industri pertahanan plus keamanan); dan peningkatan dari </w:t>
      </w:r>
      <w:r>
        <w:rPr>
          <w:rFonts w:ascii="Arial" w:hAnsi="Arial"/>
          <w:b w:val="0"/>
          <w:i/>
        </w:rPr>
        <w:t>build-to-print</w:t>
      </w:r>
      <w:r>
        <w:rPr>
          <w:rFonts w:ascii="Arial" w:hAnsi="Arial"/>
          <w:b w:val="0"/>
          <w:i w:val="0"/>
        </w:rPr>
        <w:t xml:space="preserve"> ke </w:t>
      </w:r>
      <w:r>
        <w:rPr>
          <w:rFonts w:ascii="Arial" w:hAnsi="Arial"/>
          <w:b w:val="0"/>
          <w:i/>
        </w:rPr>
        <w:t>build-to-spec</w:t>
      </w:r>
      <w:r>
        <w:rPr>
          <w:rFonts w:ascii="Arial" w:hAnsi="Arial"/>
          <w:b w:val="0"/>
          <w:i w:val="0"/>
        </w:rPr>
        <w:t xml:space="preserve"> dan </w:t>
      </w:r>
      <w:r>
        <w:rPr>
          <w:rFonts w:ascii="Arial" w:hAnsi="Arial"/>
          <w:b w:val="0"/>
          <w:i/>
        </w:rPr>
        <w:t>design-and-build</w:t>
      </w:r>
      <w:r>
        <w:rPr>
          <w:rFonts w:ascii="Arial" w:hAnsi="Arial"/>
          <w:b w:val="0"/>
          <w:i w:val="0"/>
        </w:rPr>
        <w:t xml:space="preserve"> [DOCK hlm. 5–6].</w:t>
      </w:r>
    </w:p>
    <w:p>
      <w:pPr>
        <w:keepNext/>
        <w:jc w:val="center"/>
      </w:pPr>
      <w:r>
        <w:drawing>
          <wp:inline xmlns:a="http://schemas.openxmlformats.org/drawingml/2006/main" xmlns:pic="http://schemas.openxmlformats.org/drawingml/2006/picture">
            <wp:extent cx="5580000" cy="3460952"/>
            <wp:docPr id="9" name="Picture 9" descr="Di DOCK-UP, kesiapan terverifikasi membuka pesanan dan pembiayaan pemasok pada tiap gerbang" title="Di DOCK-UP, kesiapan terverifikasi membuka pesanan dan pembiayaan pemasok pada t"/>
            <wp:cNvGraphicFramePr>
              <a:graphicFrameLocks noChangeAspect="1"/>
            </wp:cNvGraphicFramePr>
            <a:graphic>
              <a:graphicData uri="http://schemas.openxmlformats.org/drawingml/2006/picture">
                <pic:pic>
                  <pic:nvPicPr>
                    <pic:cNvPr id="0" name="f_dock.png"/>
                    <pic:cNvPicPr/>
                  </pic:nvPicPr>
                  <pic:blipFill>
                    <a:blip r:embed="rId22"/>
                    <a:stretch>
                      <a:fillRect/>
                    </a:stretch>
                  </pic:blipFill>
                  <pic:spPr>
                    <a:xfrm>
                      <a:off x="0" y="0"/>
                      <a:ext cx="5580000" cy="3460952"/>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9</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Di DOCK-UP, kesiapan terverifikasi membuka pesanan dan pembiayaan pemasok pada tiap gerbang</w:t>
      </w:r>
    </w:p>
    <w:p>
      <w:pPr>
        <w:spacing w:after="160"/>
      </w:pPr>
      <w:r>
        <w:rPr>
          <w:rFonts w:ascii="Arial" w:hAnsi="Arial"/>
          <w:b w:val="0"/>
          <w:i/>
          <w:color w:val="051C5C"/>
          <w:sz w:val="17"/>
        </w:rPr>
        <w:t>Sumber: [DOCK hlm. 6]; diolah. Gerbang G1–G4 pada sumber setara S1–S4 pada makalah ini.</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14</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Gerbang pemasok sebagai kontrol pengadaan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Gerbang pemasok sebagai kontrol pengadaan"/>
      </w:tblPr>
      <w:tblGrid>
        <w:gridCol w:w="2353"/>
        <w:gridCol w:w="2353"/>
        <w:gridCol w:w="2353"/>
        <w:gridCol w:w="2353"/>
      </w:tblGrid>
      <w:tr>
        <w:trPr>
          <w:cantSplit/>
          <w:tblHeader/>
        </w:trPr>
        <w:tc>
          <w:tcPr>
            <w:tcW w:type="dxa" w:w="1078"/>
            <w:shd w:val="clear" w:color="auto" w:fill="2251FF"/>
            <w:vAlign w:val="center"/>
          </w:tcPr>
          <w:p>
            <w:pPr>
              <w:spacing w:after="20" w:before="20" w:line="252" w:lineRule="auto"/>
            </w:pPr>
            <w:r/>
            <w:r>
              <w:rPr>
                <w:rFonts w:ascii="Arial" w:hAnsi="Arial"/>
                <w:b/>
                <w:i w:val="0"/>
                <w:color w:val="FFFFFF"/>
                <w:sz w:val="16"/>
              </w:rPr>
              <w:t>Gerbang</w:t>
            </w:r>
          </w:p>
        </w:tc>
        <w:tc>
          <w:tcPr>
            <w:tcW w:type="dxa" w:w="3333"/>
            <w:shd w:val="clear" w:color="auto" w:fill="2251FF"/>
            <w:vAlign w:val="center"/>
          </w:tcPr>
          <w:p>
            <w:pPr>
              <w:spacing w:after="20" w:before="20" w:line="252" w:lineRule="auto"/>
            </w:pPr>
            <w:r/>
            <w:r>
              <w:rPr>
                <w:rFonts w:ascii="Arial" w:hAnsi="Arial"/>
                <w:b/>
                <w:i w:val="0"/>
                <w:color w:val="FFFFFF"/>
                <w:sz w:val="16"/>
              </w:rPr>
              <w:t>Kesiapan dan bukti</w:t>
            </w:r>
          </w:p>
        </w:tc>
        <w:tc>
          <w:tcPr>
            <w:tcW w:type="dxa" w:w="2353"/>
            <w:shd w:val="clear" w:color="auto" w:fill="2251FF"/>
            <w:vAlign w:val="center"/>
          </w:tcPr>
          <w:p>
            <w:pPr>
              <w:spacing w:after="20" w:before="20" w:line="252" w:lineRule="auto"/>
            </w:pPr>
            <w:r/>
            <w:r>
              <w:rPr>
                <w:rFonts w:ascii="Arial" w:hAnsi="Arial"/>
                <w:b/>
                <w:i w:val="0"/>
                <w:color w:val="FFFFFF"/>
                <w:sz w:val="16"/>
              </w:rPr>
              <w:t>Pesanan yang dibuka</w:t>
            </w:r>
          </w:p>
        </w:tc>
        <w:tc>
          <w:tcPr>
            <w:tcW w:type="dxa" w:w="2647"/>
            <w:shd w:val="clear" w:color="auto" w:fill="2251FF"/>
            <w:vAlign w:val="center"/>
          </w:tcPr>
          <w:p>
            <w:pPr>
              <w:spacing w:after="20" w:before="20" w:line="252" w:lineRule="auto"/>
            </w:pPr>
            <w:r/>
            <w:r>
              <w:rPr>
                <w:rFonts w:ascii="Arial" w:hAnsi="Arial"/>
                <w:b/>
                <w:i w:val="0"/>
                <w:color w:val="FFFFFF"/>
                <w:sz w:val="16"/>
              </w:rPr>
              <w:t>Dukungan pembiayaan</w:t>
            </w:r>
          </w:p>
        </w:tc>
      </w:tr>
      <w:tr>
        <w:trPr>
          <w:cantSplit/>
        </w:trPr>
        <w:tc>
          <w:tcPr>
            <w:tcW w:type="dxa" w:w="1078"/>
            <w:vAlign w:val="center"/>
          </w:tcPr>
          <w:p>
            <w:pPr>
              <w:spacing w:after="20" w:before="20" w:line="252" w:lineRule="auto"/>
            </w:pPr>
            <w:r/>
            <w:r>
              <w:rPr>
                <w:rFonts w:ascii="Arial" w:hAnsi="Arial"/>
                <w:b/>
                <w:i w:val="0"/>
                <w:sz w:val="16"/>
              </w:rPr>
              <w:t>Masuk</w:t>
            </w:r>
          </w:p>
        </w:tc>
        <w:tc>
          <w:tcPr>
            <w:tcW w:type="dxa" w:w="3333"/>
            <w:vAlign w:val="center"/>
          </w:tcPr>
          <w:p>
            <w:pPr>
              <w:spacing w:after="20" w:before="20" w:line="252" w:lineRule="auto"/>
            </w:pPr>
            <w:r/>
            <w:r>
              <w:rPr>
                <w:rFonts w:ascii="Arial" w:hAnsi="Arial"/>
                <w:b w:val="0"/>
                <w:i w:val="0"/>
                <w:sz w:val="16"/>
              </w:rPr>
              <w:t>Baseline TRL/MRL; asesmen mandiri diverifikasi asesor independen</w:t>
            </w:r>
          </w:p>
        </w:tc>
        <w:tc>
          <w:tcPr>
            <w:tcW w:type="dxa" w:w="2353"/>
            <w:vAlign w:val="center"/>
          </w:tcPr>
          <w:p>
            <w:pPr>
              <w:spacing w:after="20" w:before="20" w:line="252" w:lineRule="auto"/>
            </w:pPr>
            <w:r/>
            <w:r>
              <w:rPr>
                <w:rFonts w:ascii="Arial" w:hAnsi="Arial"/>
                <w:b w:val="0"/>
                <w:i w:val="0"/>
                <w:sz w:val="16"/>
              </w:rPr>
              <w:t>Rencana pengembangan</w:t>
            </w:r>
          </w:p>
        </w:tc>
        <w:tc>
          <w:tcPr>
            <w:tcW w:type="dxa" w:w="2647"/>
            <w:vAlign w:val="center"/>
          </w:tcPr>
          <w:p>
            <w:pPr>
              <w:spacing w:after="20" w:before="20" w:line="252" w:lineRule="auto"/>
            </w:pPr>
            <w:r/>
            <w:r>
              <w:rPr>
                <w:rFonts w:ascii="Arial" w:hAnsi="Arial"/>
                <w:b w:val="0"/>
                <w:i w:val="0"/>
                <w:sz w:val="16"/>
              </w:rPr>
              <w:t>Insinyur pendamping, pelatihan</w:t>
            </w:r>
          </w:p>
        </w:tc>
      </w:tr>
      <w:tr>
        <w:trPr>
          <w:cantSplit/>
        </w:trPr>
        <w:tc>
          <w:tcPr>
            <w:tcW w:type="dxa" w:w="1078"/>
            <w:shd w:val="clear" w:color="auto" w:fill="E6ECFD"/>
            <w:vAlign w:val="center"/>
          </w:tcPr>
          <w:p>
            <w:pPr>
              <w:spacing w:after="20" w:before="20" w:line="252" w:lineRule="auto"/>
            </w:pPr>
            <w:r/>
            <w:r>
              <w:rPr>
                <w:rFonts w:ascii="Arial" w:hAnsi="Arial"/>
                <w:b/>
                <w:i w:val="0"/>
                <w:sz w:val="16"/>
              </w:rPr>
              <w:t>S1 (G1)</w:t>
            </w:r>
          </w:p>
        </w:tc>
        <w:tc>
          <w:tcPr>
            <w:tcW w:type="dxa" w:w="3333"/>
            <w:shd w:val="clear" w:color="auto" w:fill="E6ECFD"/>
            <w:vAlign w:val="center"/>
          </w:tcPr>
          <w:p>
            <w:pPr>
              <w:spacing w:after="20" w:before="20" w:line="252" w:lineRule="auto"/>
            </w:pPr>
            <w:r/>
            <w:r>
              <w:rPr>
                <w:rFonts w:ascii="Arial" w:hAnsi="Arial"/>
                <w:b w:val="0"/>
                <w:i w:val="0"/>
                <w:sz w:val="16"/>
              </w:rPr>
              <w:t>MRL 6; lolos inspeksi artikel pertama</w:t>
            </w:r>
          </w:p>
        </w:tc>
        <w:tc>
          <w:tcPr>
            <w:tcW w:type="dxa" w:w="2353"/>
            <w:shd w:val="clear" w:color="auto" w:fill="E6ECFD"/>
            <w:vAlign w:val="center"/>
          </w:tcPr>
          <w:p>
            <w:pPr>
              <w:spacing w:after="20" w:before="20" w:line="252" w:lineRule="auto"/>
            </w:pPr>
            <w:r/>
            <w:r>
              <w:rPr>
                <w:rFonts w:ascii="Arial" w:hAnsi="Arial"/>
                <w:b w:val="0"/>
                <w:i w:val="0"/>
                <w:sz w:val="16"/>
              </w:rPr>
              <w:t>Tahap 1: pesanan rintisan</w:t>
            </w:r>
          </w:p>
        </w:tc>
        <w:tc>
          <w:tcPr>
            <w:tcW w:type="dxa" w:w="2647"/>
            <w:shd w:val="clear" w:color="auto" w:fill="E6ECFD"/>
            <w:vAlign w:val="center"/>
          </w:tcPr>
          <w:p>
            <w:pPr>
              <w:spacing w:after="20" w:before="20" w:line="252" w:lineRule="auto"/>
            </w:pPr>
            <w:r/>
            <w:r>
              <w:rPr>
                <w:rFonts w:ascii="Arial" w:hAnsi="Arial"/>
                <w:b w:val="0"/>
                <w:i w:val="0"/>
                <w:sz w:val="16"/>
              </w:rPr>
              <w:t>Hibah pendamping, fasilitas bersama</w:t>
            </w:r>
          </w:p>
        </w:tc>
      </w:tr>
      <w:tr>
        <w:trPr>
          <w:cantSplit/>
        </w:trPr>
        <w:tc>
          <w:tcPr>
            <w:tcW w:type="dxa" w:w="1078"/>
            <w:vAlign w:val="center"/>
          </w:tcPr>
          <w:p>
            <w:pPr>
              <w:spacing w:after="20" w:before="20" w:line="252" w:lineRule="auto"/>
            </w:pPr>
            <w:r/>
            <w:r>
              <w:rPr>
                <w:rFonts w:ascii="Arial" w:hAnsi="Arial"/>
                <w:b/>
                <w:i w:val="0"/>
                <w:sz w:val="16"/>
              </w:rPr>
              <w:t>S2 (G2)</w:t>
            </w:r>
          </w:p>
        </w:tc>
        <w:tc>
          <w:tcPr>
            <w:tcW w:type="dxa" w:w="3333"/>
            <w:vAlign w:val="center"/>
          </w:tcPr>
          <w:p>
            <w:pPr>
              <w:spacing w:after="20" w:before="20" w:line="252" w:lineRule="auto"/>
            </w:pPr>
            <w:r/>
            <w:r>
              <w:rPr>
                <w:rFonts w:ascii="Arial" w:hAnsi="Arial"/>
                <w:b w:val="0"/>
                <w:i w:val="0"/>
                <w:sz w:val="16"/>
              </w:rPr>
              <w:t>MRL 7 + C1; batch kecil berulang; ISO 9001</w:t>
            </w:r>
          </w:p>
        </w:tc>
        <w:tc>
          <w:tcPr>
            <w:tcW w:type="dxa" w:w="2353"/>
            <w:vAlign w:val="center"/>
          </w:tcPr>
          <w:p>
            <w:pPr>
              <w:spacing w:after="20" w:before="20" w:line="252" w:lineRule="auto"/>
            </w:pPr>
            <w:r/>
            <w:r>
              <w:rPr>
                <w:rFonts w:ascii="Arial" w:hAnsi="Arial"/>
                <w:b w:val="0"/>
                <w:i w:val="0"/>
                <w:sz w:val="16"/>
              </w:rPr>
              <w:t>Tahap 2: laju rendah</w:t>
            </w:r>
          </w:p>
        </w:tc>
        <w:tc>
          <w:tcPr>
            <w:tcW w:type="dxa" w:w="2647"/>
            <w:vAlign w:val="center"/>
          </w:tcPr>
          <w:p>
            <w:pPr>
              <w:spacing w:after="20" w:before="20" w:line="252" w:lineRule="auto"/>
            </w:pPr>
            <w:r/>
            <w:r>
              <w:rPr>
                <w:rFonts w:ascii="Arial" w:hAnsi="Arial"/>
                <w:b w:val="0"/>
                <w:i w:val="0"/>
                <w:sz w:val="16"/>
              </w:rPr>
              <w:t>Pembiayaan rantai pasok, KUR</w:t>
            </w:r>
          </w:p>
        </w:tc>
      </w:tr>
      <w:tr>
        <w:trPr>
          <w:cantSplit/>
        </w:trPr>
        <w:tc>
          <w:tcPr>
            <w:tcW w:type="dxa" w:w="1078"/>
            <w:shd w:val="clear" w:color="auto" w:fill="E6ECFD"/>
            <w:vAlign w:val="center"/>
          </w:tcPr>
          <w:p>
            <w:pPr>
              <w:spacing w:after="20" w:before="20" w:line="252" w:lineRule="auto"/>
            </w:pPr>
            <w:r/>
            <w:r>
              <w:rPr>
                <w:rFonts w:ascii="Arial" w:hAnsi="Arial"/>
                <w:b/>
                <w:i w:val="0"/>
                <w:sz w:val="16"/>
              </w:rPr>
              <w:t>S3 (G3)</w:t>
            </w:r>
          </w:p>
        </w:tc>
        <w:tc>
          <w:tcPr>
            <w:tcW w:type="dxa" w:w="3333"/>
            <w:shd w:val="clear" w:color="auto" w:fill="E6ECFD"/>
            <w:vAlign w:val="center"/>
          </w:tcPr>
          <w:p>
            <w:pPr>
              <w:spacing w:after="20" w:before="20" w:line="252" w:lineRule="auto"/>
            </w:pPr>
            <w:r/>
            <w:r>
              <w:rPr>
                <w:rFonts w:ascii="Arial" w:hAnsi="Arial"/>
                <w:b w:val="0"/>
                <w:i w:val="0"/>
                <w:sz w:val="16"/>
              </w:rPr>
              <w:t>MRL 8 + C2; persetujuan pengguna; ISO 3834/9606; ketertelusuran</w:t>
            </w:r>
          </w:p>
        </w:tc>
        <w:tc>
          <w:tcPr>
            <w:tcW w:type="dxa" w:w="2353"/>
            <w:shd w:val="clear" w:color="auto" w:fill="E6ECFD"/>
            <w:vAlign w:val="center"/>
          </w:tcPr>
          <w:p>
            <w:pPr>
              <w:spacing w:after="20" w:before="20" w:line="252" w:lineRule="auto"/>
            </w:pPr>
            <w:r/>
            <w:r>
              <w:rPr>
                <w:rFonts w:ascii="Arial" w:hAnsi="Arial"/>
                <w:b w:val="0"/>
                <w:i w:val="0"/>
                <w:sz w:val="16"/>
              </w:rPr>
              <w:t>Tahap 3: serial dan suku cadang</w:t>
            </w:r>
          </w:p>
        </w:tc>
        <w:tc>
          <w:tcPr>
            <w:tcW w:type="dxa" w:w="2647"/>
            <w:shd w:val="clear" w:color="auto" w:fill="E6ECFD"/>
            <w:vAlign w:val="center"/>
          </w:tcPr>
          <w:p>
            <w:pPr>
              <w:spacing w:after="20" w:before="20" w:line="252" w:lineRule="auto"/>
            </w:pPr>
            <w:r/>
            <w:r>
              <w:rPr>
                <w:rFonts w:ascii="Arial" w:hAnsi="Arial"/>
                <w:b w:val="0"/>
                <w:i w:val="0"/>
                <w:sz w:val="16"/>
              </w:rPr>
              <w:t>Kredit investasi; penjaminan kerugian pertama</w:t>
            </w:r>
          </w:p>
        </w:tc>
      </w:tr>
      <w:tr>
        <w:trPr>
          <w:cantSplit/>
        </w:trPr>
        <w:tc>
          <w:tcPr>
            <w:tcW w:type="dxa" w:w="1078"/>
            <w:vAlign w:val="center"/>
          </w:tcPr>
          <w:p>
            <w:pPr>
              <w:spacing w:after="20" w:before="20" w:line="252" w:lineRule="auto"/>
            </w:pPr>
            <w:r/>
            <w:r>
              <w:rPr>
                <w:rFonts w:ascii="Arial" w:hAnsi="Arial"/>
                <w:b/>
                <w:i w:val="0"/>
                <w:sz w:val="16"/>
              </w:rPr>
              <w:t>S4 (G4)</w:t>
            </w:r>
          </w:p>
        </w:tc>
        <w:tc>
          <w:tcPr>
            <w:tcW w:type="dxa" w:w="3333"/>
            <w:vAlign w:val="center"/>
          </w:tcPr>
          <w:p>
            <w:pPr>
              <w:spacing w:after="20" w:before="20" w:line="252" w:lineRule="auto"/>
            </w:pPr>
            <w:r/>
            <w:r>
              <w:rPr>
                <w:rFonts w:ascii="Arial" w:hAnsi="Arial"/>
                <w:b w:val="0"/>
                <w:i w:val="0"/>
                <w:sz w:val="16"/>
              </w:rPr>
              <w:t>Produk sendiri TRL 7+, MRL 9; diadopsi pada satu kelas kapal</w:t>
            </w:r>
          </w:p>
        </w:tc>
        <w:tc>
          <w:tcPr>
            <w:tcW w:type="dxa" w:w="2353"/>
            <w:vAlign w:val="center"/>
          </w:tcPr>
          <w:p>
            <w:pPr>
              <w:spacing w:after="20" w:before="20" w:line="252" w:lineRule="auto"/>
            </w:pPr>
            <w:r/>
            <w:r>
              <w:rPr>
                <w:rFonts w:ascii="Arial" w:hAnsi="Arial"/>
                <w:b w:val="0"/>
                <w:i w:val="0"/>
                <w:sz w:val="16"/>
              </w:rPr>
              <w:t>Build-to-spec, design-and-build, ekspor</w:t>
            </w:r>
          </w:p>
        </w:tc>
        <w:tc>
          <w:tcPr>
            <w:tcW w:type="dxa" w:w="2647"/>
            <w:vAlign w:val="center"/>
          </w:tcPr>
          <w:p>
            <w:pPr>
              <w:spacing w:after="20" w:before="20" w:line="252" w:lineRule="auto"/>
            </w:pPr>
            <w:r/>
            <w:r>
              <w:rPr>
                <w:rFonts w:ascii="Arial" w:hAnsi="Arial"/>
                <w:b w:val="0"/>
                <w:i w:val="0"/>
                <w:sz w:val="16"/>
              </w:rPr>
              <w:t>Ventura korporasi; super-deduction R&amp;D; LPEI</w:t>
            </w:r>
          </w:p>
        </w:tc>
      </w:tr>
    </w:tbl>
    <w:p>
      <w:pPr>
        <w:spacing w:after="160"/>
      </w:pPr>
      <w:r>
        <w:rPr>
          <w:rFonts w:ascii="Arial" w:hAnsi="Arial"/>
          <w:b w:val="0"/>
          <w:i/>
          <w:color w:val="051C5C"/>
          <w:sz w:val="17"/>
        </w:rPr>
        <w:t>Sumber: [DOCK hlm. 6]. Skor tidak pernah dinyatakan sendiri: asesor independen memverifikasi, integrator mereviu bukti, dan skor dinilai ulang setiap tahun.</w:t>
      </w:r>
    </w:p>
    <w:p>
      <w:pPr>
        <w:keepNext/>
        <w:keepLines/>
        <w:pBdr>
          <w:left w:val="single" w:sz="36" w:space="8" w:color="2251FF"/>
        </w:pBdr>
        <w:shd w:val="clear" w:color="auto" w:fill="E6ECFD"/>
        <w:spacing w:after="0" w:before="0"/>
        <w:ind w:left="170" w:right="113"/>
      </w:pPr>
      <w:r>
        <w:rPr>
          <w:rFonts w:ascii="Arial" w:hAnsi="Arial"/>
          <w:b/>
          <w:i w:val="0"/>
          <w:color w:val="051C5C"/>
          <w:sz w:val="21"/>
        </w:rPr>
        <w:t>Aturan pokok dan risiko tunggal terbesar</w:t>
      </w:r>
    </w:p>
    <w:p>
      <w:pPr>
        <w:keepLines/>
        <w:pBdr>
          <w:left w:val="single" w:sz="36" w:space="8" w:color="2251FF"/>
        </w:pBdr>
        <w:shd w:val="clear" w:color="auto" w:fill="E6ECFD"/>
        <w:spacing w:after="160" w:before="0"/>
        <w:ind w:left="170" w:right="113"/>
      </w:pPr>
      <w:r>
        <w:rPr>
          <w:rFonts w:ascii="Arial" w:hAnsi="Arial"/>
          <w:b w:val="0"/>
          <w:i w:val="0"/>
          <w:sz w:val="20"/>
        </w:rPr>
        <w:t>Integrator tidak diperkenankan memesan melebihi yang sudah dibuktikan sanggup dipenuhi UKM; memperlakukan DOCK-UP sebagai kuota akan menimbulkan kegagalan mutu pada kapal perang dan merusak kredibilitas program [DOCK hlm. 5, 10]. Uji coba yang diusulkan: satu integrator, 20–30 UKM, 3–5 kelompok komponen, dikoordinasikan KKIP; target keluar usulan: sedikitnya 60% UKM pada S1 atau lebih pada bulan ke-12 dan 25% pada S2 pada bulan ke-18 [K §6.9].</w:t>
      </w:r>
    </w:p>
    <w:p>
      <w:pPr>
        <w:jc w:val="both"/>
      </w:pPr>
      <w:r>
        <w:rPr>
          <w:rFonts w:ascii="Arial" w:hAnsi="Arial"/>
          <w:b w:val="0"/>
          <w:i w:val="0"/>
        </w:rPr>
        <w:t>Dari sudut manajemen proyek, DOCK-UP adalah rencana pengadaan yang menyatukan kualifikasi pemasok, sertifikasi mutu, pembatasan pesanan sesuai kemampuan terbukti, dan pembiayaan per gerbang. Kajian mensyaratkan rencana lokalisasi pada P2 (paket yang dapat dilokalisasi, calon pemasok dengan baseline TRL/MRL, target gerbang, jadwal pesanan) dan kontrak payung serta paket ofset dalam kontrak EPC pada P3 [K §7.4].</w:t>
      </w:r>
    </w:p>
    <w:p>
      <w:pPr>
        <w:pStyle w:val="Heading2"/>
      </w:pPr>
      <w:r>
        <w:t>8.4  Struktur kontrak pembiayaan: pelajaran dari PALCapital</w:t>
      </w:r>
    </w:p>
    <w:p>
      <w:pPr>
        <w:jc w:val="both"/>
      </w:pPr>
      <w:r>
        <w:rPr>
          <w:rFonts w:ascii="Arial" w:hAnsi="Arial"/>
          <w:b w:val="0"/>
          <w:i w:val="0"/>
        </w:rPr>
        <w:t>Dokumen PALCapital merancang kontrol pembayaran terpusat untuk instrumen PAL-SUB-1: kontrak Kemhan di-</w:t>
      </w:r>
      <w:r>
        <w:rPr>
          <w:rFonts w:ascii="Arial" w:hAnsi="Arial"/>
          <w:b w:val="0"/>
          <w:i/>
        </w:rPr>
        <w:t>hash</w:t>
      </w:r>
      <w:r>
        <w:rPr>
          <w:rFonts w:ascii="Arial" w:hAnsi="Arial"/>
          <w:b w:val="0"/>
          <w:i w:val="0"/>
        </w:rPr>
        <w:t xml:space="preserve"> dan nilainya dibuktikan dengan bukti nol-pengetahuan; dana US$150 juta dikunci pada rekening penampungan (</w:t>
      </w:r>
      <w:r>
        <w:rPr>
          <w:rFonts w:ascii="Arial" w:hAnsi="Arial"/>
          <w:b w:val="0"/>
          <w:i/>
        </w:rPr>
        <w:t>escrow</w:t>
      </w:r>
      <w:r>
        <w:rPr>
          <w:rFonts w:ascii="Arial" w:hAnsi="Arial"/>
          <w:b w:val="0"/>
          <w:i w:val="0"/>
        </w:rPr>
        <w:t>) fiat di Bank Mandiri Custody di bawah akta tripartit PAL, Danantara, dan Mandiri; pencairan langsung ke vendor, misalnya Krakatau Steel, setelah persetujuan dua dari dua oleh surveyor BKI dan perwira TNI AL; dan seluruh pembayaran Kemhan masuk ke rekening penampungan penerimaan, lalu mengalir menurut urutan pelunasan (</w:t>
      </w:r>
      <w:r>
        <w:rPr>
          <w:rFonts w:ascii="Arial" w:hAnsi="Arial"/>
          <w:b w:val="0"/>
          <w:i/>
        </w:rPr>
        <w:t>waterfall</w:t>
      </w:r>
      <w:r>
        <w:rPr>
          <w:rFonts w:ascii="Arial" w:hAnsi="Arial"/>
          <w:b w:val="0"/>
          <w:i w:val="0"/>
        </w:rPr>
        <w:t xml:space="preserve">): imbal hasil investor terlebih dahulu, sisanya ke kas PAL [PAL hlm. 7–10]. Dari sudut proyek, rancangan ini memisahkan pencairan dari rekening operasional pelaksana. Instrumen belum diterbitkan atau diuji. Penilaian Kajian mencatat isu yang perlu diselesaikan lebih dulu: hakikatnya utang; pengalihan tagihan negara memerlukan persetujuan Kemhan dan Kemenkeu; sekitar 75% material impor sehingga sebagian pencairan mengalir ke vendor asing; dan Danantara memegang peran investor jangkar, validator, dan penentu bank </w:t>
      </w:r>
      <w:r>
        <w:rPr>
          <w:rFonts w:ascii="Arial" w:hAnsi="Arial"/>
          <w:b w:val="0"/>
          <w:i/>
        </w:rPr>
        <w:t>escrow</w:t>
      </w:r>
      <w:r>
        <w:rPr>
          <w:rFonts w:ascii="Arial" w:hAnsi="Arial"/>
          <w:b w:val="0"/>
          <w:i w:val="0"/>
        </w:rPr>
        <w:t xml:space="preserve"> sekaligus [K §9.4].</w:t>
      </w:r>
    </w:p>
    <w:p>
      <w:pPr>
        <w:pStyle w:val="Heading2"/>
      </w:pPr>
      <w:r>
        <w:t>8.5  Mutu</w:t>
      </w:r>
    </w:p>
    <w:p>
      <w:pPr>
        <w:jc w:val="both"/>
      </w:pPr>
      <w:r>
        <w:rPr>
          <w:rFonts w:ascii="Arial" w:hAnsi="Arial"/>
          <w:b w:val="0"/>
          <w:i w:val="0"/>
        </w:rPr>
        <w:t>Manajemen mutu terdiri dari perencanaan mutu, jaminan mutu (proses sesuai), dan pengendalian mutu (hasil diperiksa). Pada proyek industri dan perkapalan, perangkat utamanya adalah rencana mutu, ITP dengan titik tahan dan saksi, FAT dan uji penerimaan lokasi, pengujian tak merusak (NDT), kualifikasi prosedur dan juru las (ISO 3834, ISO 9606), ketertelusuran material, dan persetujuan klas oleh BKI. Perangkat itu sejalan dengan bukti gerbang pemasok: inspeksi artikel pertama (S1), batch berulang (S2), dan persetujuan pengguna serta ketertelusuran (S3). Pada PAL-SUB-1, surveyor independen dan bukti bergeotag memverifikasi progres sebelum pencairan, dan mutu las tetap diperiksa manual oleh BKI [PAL hlm. 7; DECK85 S72]. Kajian mengusulkan indikator K05, tingkat kegagalan mutu pascapesanan [K §6.3].</w:t>
      </w:r>
    </w:p>
    <w:p>
      <w:pPr>
        <w:pStyle w:val="Heading2"/>
      </w:pPr>
      <w:r>
        <w:t>8.6  Keselamatan dan lingkungan</w:t>
      </w:r>
    </w:p>
    <w:p>
      <w:pPr>
        <w:jc w:val="both"/>
      </w:pPr>
      <w:r>
        <w:rPr>
          <w:rFonts w:ascii="Arial" w:hAnsi="Arial"/>
          <w:b w:val="0"/>
          <w:i w:val="0"/>
        </w:rPr>
        <w:t>Keselamatan dan kesehatan kerja (K3) adalah syarat gerbang. Sistem manajemen K3 mengikuti ketentuan nasional (PP 50/2012) dan standar ISO 45001; aspek lingkungan dan sosial mengikuti analisis dampak lingkungan (AMDAL). Risiko K3 terkonsentrasi pada konstruksi dan komisioning, terutama dengan banyak kontraktor. Platform AI yang diusulkan memuat agen mutu, keselamatan, dan keberlanjutan pada menara kendali proyek [PLAT hlm. 6], tetapi tanggung jawab keselamatan tidak dapat didelegasikan kepada model.</w:t>
      </w:r>
    </w:p>
    <w:p>
      <w:pPr>
        <w:pStyle w:val="Heading2"/>
      </w:pPr>
      <w:r>
        <w:t>8.7  Komisioning dan kesiapan operasi</w:t>
      </w:r>
    </w:p>
    <w:p>
      <w:pPr>
        <w:jc w:val="both"/>
      </w:pPr>
      <w:r>
        <w:rPr>
          <w:rFonts w:ascii="Arial" w:hAnsi="Arial"/>
          <w:b w:val="0"/>
          <w:i w:val="0"/>
        </w:rPr>
        <w:t>Komisioning menguji sistem sebagai satu kesatuan dan menyerahkannya kepada operator: pra-komisioning, komisioning per sistem, uji kinerja pembuktian jaminan, serah terima dengan dossier penyelesaian dan daftar sisa pekerjaan (</w:t>
      </w:r>
      <w:r>
        <w:rPr>
          <w:rFonts w:ascii="Arial" w:hAnsi="Arial"/>
          <w:b w:val="0"/>
          <w:i/>
        </w:rPr>
        <w:t>punch list</w:t>
      </w:r>
      <w:r>
        <w:rPr>
          <w:rFonts w:ascii="Arial" w:hAnsi="Arial"/>
          <w:b w:val="0"/>
          <w:i w:val="0"/>
        </w:rPr>
        <w:t xml:space="preserve">), serta masa pemeliharaan. Kesalahan yang lazim adalah memampatkan komisioning di ujung jadwal. Gerbang M6 sampai M9 memberi kriteria penerimaan: M6 penyelesaian mekanis (dossier, inspeksi, uji keselamatan, tim operasi terlatih); M7 komisioning dan penerimaan kinerja (jaminan kontrak terpenuhi, tidak ada cacat keselamatan kritis); M8 rilis komersial atau regulasi (COD, kualifikasi pelanggan, sertifikat klas atau izin BPOM); dan M9 </w:t>
      </w:r>
      <w:r>
        <w:rPr>
          <w:rFonts w:ascii="Arial" w:hAnsi="Arial"/>
          <w:b w:val="0"/>
          <w:i/>
        </w:rPr>
        <w:t>ramp-up</w:t>
      </w:r>
      <w:r>
        <w:rPr>
          <w:rFonts w:ascii="Arial" w:hAnsi="Arial"/>
          <w:b w:val="0"/>
          <w:i w:val="0"/>
        </w:rPr>
        <w:t xml:space="preserve"> dan realisasi manfaat dengan tinjauan 12 bulan [VERO Milestones; K §7.7].</w:t>
      </w:r>
    </w:p>
    <w:p>
      <w:pPr>
        <w:jc w:val="both"/>
      </w:pPr>
      <w:r>
        <w:rPr>
          <w:rFonts w:ascii="Arial" w:hAnsi="Arial"/>
          <w:b w:val="0"/>
          <w:i w:val="0"/>
        </w:rPr>
        <w:t>Proyek tidak selesai pada serah terima. Kesiapan operasi mencakup organisasi operator, prosedur, suku cadang, pelatihan, dan kontrak pemeliharaan. Evaluasi hasil pada P6 menghasilkan tindakan korektif atau keluar, dan penutupan proyek menutup PO, menagih retensi, menyelesaikan klaim, dan merekonsiliasi biaya akhir per butir PBS sebagai masukan basis data estimasi [EPC §8]. Umur layanan kapal perang 25–30 tahun, dengan pemeliharaan dan peningkatan sering lebih mahal daripada pembangunan, menjadikan kapabilitas MRO domestik bagian dari nilai proyek [DOCK hlm. 2].</w:t>
      </w:r>
    </w:p>
    <w:p>
      <w:pPr>
        <w:pStyle w:val="Heading1"/>
      </w:pPr>
      <w:bookmarkStart w:id="10" w:name="_Toc010"/>
      <w:r>
        <w:t>9  Pemangku kepentingan, komunikasi, dan tim</w:t>
      </w:r>
      <w:bookmarkEnd w:id="10"/>
    </w:p>
    <w:p>
      <w:pPr>
        <w:jc w:val="both"/>
      </w:pPr>
      <w:r>
        <w:rPr>
          <w:rFonts w:ascii="Arial" w:hAnsi="Arial"/>
          <w:b/>
          <w:i w:val="0"/>
        </w:rPr>
        <w:t>Ringkasnya:</w:t>
      </w:r>
      <w:r>
        <w:rPr>
          <w:rFonts w:ascii="Arial" w:hAnsi="Arial"/>
          <w:b w:val="0"/>
          <w:i w:val="0"/>
        </w:rPr>
        <w:t xml:space="preserve"> proyek strategis melibatkan lebih banyak pihak daripada proyek komersial biasa, dan dokumen PALCapital serta DOCK-UP memuat peta pemangku kepentingan yang dapat dipakai langsung. Bab ini menyusunnya menjadi matriks pelibatan, irama pelaporan, dan catatan tentang tim serta insentif.</w:t>
      </w:r>
    </w:p>
    <w:p>
      <w:pPr>
        <w:pStyle w:val="Heading2"/>
      </w:pPr>
      <w:r>
        <w:t>9.1  Peta pemangku kepentingan</w:t>
      </w:r>
    </w:p>
    <w:p>
      <w:pPr>
        <w:jc w:val="both"/>
      </w:pPr>
      <w:r>
        <w:rPr>
          <w:rFonts w:ascii="Arial" w:hAnsi="Arial"/>
          <w:b w:val="0"/>
          <w:i w:val="0"/>
        </w:rPr>
        <w:t>Domain pemangku kepentingan pada PMBOK 7 menekankan pemahaman kepentingan, pemetaan pengaruh, dan pelibatan yang tepat. Tabel berikut menyusun peran dari dokumen sumber; pemeringkatan pengaruh dan strategi adalah analisis penyusun.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15</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Matriks pemangku kepentingan proyek strategis (contoh)</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Matriks pemangku kepentingan proyek strategis (contoh)"/>
      </w:tblPr>
      <w:tblGrid>
        <w:gridCol w:w="2353"/>
        <w:gridCol w:w="2353"/>
        <w:gridCol w:w="2353"/>
        <w:gridCol w:w="2353"/>
      </w:tblGrid>
      <w:tr>
        <w:trPr>
          <w:cantSplit/>
          <w:tblHeader/>
        </w:trPr>
        <w:tc>
          <w:tcPr>
            <w:tcW w:type="dxa" w:w="2259"/>
            <w:shd w:val="clear" w:color="auto" w:fill="2251FF"/>
            <w:vAlign w:val="center"/>
          </w:tcPr>
          <w:p>
            <w:pPr>
              <w:spacing w:after="20" w:before="20" w:line="252" w:lineRule="auto"/>
            </w:pPr>
            <w:r/>
            <w:r>
              <w:rPr>
                <w:rFonts w:ascii="Arial" w:hAnsi="Arial"/>
                <w:b/>
                <w:i w:val="0"/>
                <w:color w:val="FFFFFF"/>
                <w:sz w:val="16"/>
              </w:rPr>
              <w:t>Pemangku kepentingan</w:t>
            </w:r>
          </w:p>
        </w:tc>
        <w:tc>
          <w:tcPr>
            <w:tcW w:type="dxa" w:w="3576"/>
            <w:shd w:val="clear" w:color="auto" w:fill="2251FF"/>
            <w:vAlign w:val="center"/>
          </w:tcPr>
          <w:p>
            <w:pPr>
              <w:spacing w:after="20" w:before="20" w:line="252" w:lineRule="auto"/>
            </w:pPr>
            <w:r/>
            <w:r>
              <w:rPr>
                <w:rFonts w:ascii="Arial" w:hAnsi="Arial"/>
                <w:b/>
                <w:i w:val="0"/>
                <w:color w:val="FFFFFF"/>
                <w:sz w:val="16"/>
              </w:rPr>
              <w:t>Peran dan kepentingan</w:t>
            </w:r>
          </w:p>
        </w:tc>
        <w:tc>
          <w:tcPr>
            <w:tcW w:type="dxa" w:w="1129"/>
            <w:shd w:val="clear" w:color="auto" w:fill="2251FF"/>
            <w:vAlign w:val="center"/>
          </w:tcPr>
          <w:p>
            <w:pPr>
              <w:spacing w:after="20" w:before="20" w:line="252" w:lineRule="auto"/>
            </w:pPr>
            <w:r/>
            <w:r>
              <w:rPr>
                <w:rFonts w:ascii="Arial" w:hAnsi="Arial"/>
                <w:b/>
                <w:i w:val="0"/>
                <w:color w:val="FFFFFF"/>
                <w:sz w:val="16"/>
              </w:rPr>
              <w:t>Pengaruh</w:t>
            </w:r>
          </w:p>
        </w:tc>
        <w:tc>
          <w:tcPr>
            <w:tcW w:type="dxa" w:w="2447"/>
            <w:shd w:val="clear" w:color="auto" w:fill="2251FF"/>
            <w:vAlign w:val="center"/>
          </w:tcPr>
          <w:p>
            <w:pPr>
              <w:spacing w:after="20" w:before="20" w:line="252" w:lineRule="auto"/>
            </w:pPr>
            <w:r/>
            <w:r>
              <w:rPr>
                <w:rFonts w:ascii="Arial" w:hAnsi="Arial"/>
                <w:b/>
                <w:i w:val="0"/>
                <w:color w:val="FFFFFF"/>
                <w:sz w:val="16"/>
              </w:rPr>
              <w:t>Strategi pelibatan</w:t>
            </w:r>
          </w:p>
        </w:tc>
      </w:tr>
      <w:tr>
        <w:trPr>
          <w:cantSplit/>
        </w:trPr>
        <w:tc>
          <w:tcPr>
            <w:tcW w:type="dxa" w:w="2259"/>
            <w:vAlign w:val="center"/>
          </w:tcPr>
          <w:p>
            <w:pPr>
              <w:spacing w:after="20" w:before="20" w:line="252" w:lineRule="auto"/>
            </w:pPr>
            <w:r/>
            <w:r>
              <w:rPr>
                <w:rFonts w:ascii="Arial" w:hAnsi="Arial"/>
                <w:b/>
                <w:i w:val="0"/>
                <w:sz w:val="16"/>
              </w:rPr>
              <w:t>Presiden, Dewan Pengawas</w:t>
            </w:r>
          </w:p>
        </w:tc>
        <w:tc>
          <w:tcPr>
            <w:tcW w:type="dxa" w:w="3576"/>
            <w:vAlign w:val="center"/>
          </w:tcPr>
          <w:p>
            <w:pPr>
              <w:spacing w:after="20" w:before="20" w:line="252" w:lineRule="auto"/>
            </w:pPr>
            <w:r/>
            <w:r>
              <w:rPr>
                <w:rFonts w:ascii="Arial" w:hAnsi="Arial"/>
                <w:b w:val="0"/>
                <w:i w:val="0"/>
                <w:sz w:val="16"/>
              </w:rPr>
              <w:t>Persetujuan strategis, pinjaman dan agunan Badan; hasil nasional dan risiko fiskal</w:t>
            </w:r>
          </w:p>
        </w:tc>
        <w:tc>
          <w:tcPr>
            <w:tcW w:type="dxa" w:w="1129"/>
            <w:vAlign w:val="center"/>
          </w:tcPr>
          <w:p>
            <w:pPr>
              <w:spacing w:after="20" w:before="20" w:line="252" w:lineRule="auto"/>
            </w:pPr>
            <w:r/>
            <w:r>
              <w:rPr>
                <w:rFonts w:ascii="Arial" w:hAnsi="Arial"/>
                <w:b w:val="0"/>
                <w:i w:val="0"/>
                <w:sz w:val="16"/>
              </w:rPr>
              <w:t>Sangat tinggi</w:t>
            </w:r>
          </w:p>
        </w:tc>
        <w:tc>
          <w:tcPr>
            <w:tcW w:type="dxa" w:w="2447"/>
            <w:vAlign w:val="center"/>
          </w:tcPr>
          <w:p>
            <w:pPr>
              <w:spacing w:after="20" w:before="20" w:line="252" w:lineRule="auto"/>
            </w:pPr>
            <w:r/>
            <w:r>
              <w:rPr>
                <w:rFonts w:ascii="Arial" w:hAnsi="Arial"/>
                <w:b w:val="0"/>
                <w:i w:val="0"/>
                <w:sz w:val="16"/>
              </w:rPr>
              <w:t>Paket keputusan tunggal; laporan pengecualian</w:t>
            </w:r>
          </w:p>
        </w:tc>
      </w:tr>
      <w:tr>
        <w:trPr>
          <w:cantSplit/>
        </w:trPr>
        <w:tc>
          <w:tcPr>
            <w:tcW w:type="dxa" w:w="2259"/>
            <w:shd w:val="clear" w:color="auto" w:fill="E6ECFD"/>
            <w:vAlign w:val="center"/>
          </w:tcPr>
          <w:p>
            <w:pPr>
              <w:spacing w:after="20" w:before="20" w:line="252" w:lineRule="auto"/>
            </w:pPr>
            <w:r/>
            <w:r>
              <w:rPr>
                <w:rFonts w:ascii="Arial" w:hAnsi="Arial"/>
                <w:b/>
                <w:i w:val="0"/>
                <w:sz w:val="16"/>
              </w:rPr>
              <w:t>Kemenkeu, Kemhan</w:t>
            </w:r>
          </w:p>
        </w:tc>
        <w:tc>
          <w:tcPr>
            <w:tcW w:type="dxa" w:w="3576"/>
            <w:shd w:val="clear" w:color="auto" w:fill="E6ECFD"/>
            <w:vAlign w:val="center"/>
          </w:tcPr>
          <w:p>
            <w:pPr>
              <w:spacing w:after="20" w:before="20" w:line="252" w:lineRule="auto"/>
            </w:pPr>
            <w:r/>
            <w:r>
              <w:rPr>
                <w:rFonts w:ascii="Arial" w:hAnsi="Arial"/>
                <w:b w:val="0"/>
                <w:i w:val="0"/>
                <w:sz w:val="16"/>
              </w:rPr>
              <w:t>Penanda tangan nilai PO; pembayar termin; kesiapan program</w:t>
            </w:r>
          </w:p>
        </w:tc>
        <w:tc>
          <w:tcPr>
            <w:tcW w:type="dxa" w:w="1129"/>
            <w:shd w:val="clear" w:color="auto" w:fill="E6ECFD"/>
            <w:vAlign w:val="center"/>
          </w:tcPr>
          <w:p>
            <w:pPr>
              <w:spacing w:after="20" w:before="20" w:line="252" w:lineRule="auto"/>
            </w:pPr>
            <w:r/>
            <w:r>
              <w:rPr>
                <w:rFonts w:ascii="Arial" w:hAnsi="Arial"/>
                <w:b w:val="0"/>
                <w:i w:val="0"/>
                <w:sz w:val="16"/>
              </w:rPr>
              <w:t>Sangat tinggi</w:t>
            </w:r>
          </w:p>
        </w:tc>
        <w:tc>
          <w:tcPr>
            <w:tcW w:type="dxa" w:w="2447"/>
            <w:shd w:val="clear" w:color="auto" w:fill="E6ECFD"/>
            <w:vAlign w:val="center"/>
          </w:tcPr>
          <w:p>
            <w:pPr>
              <w:spacing w:after="20" w:before="20" w:line="252" w:lineRule="auto"/>
            </w:pPr>
            <w:r/>
            <w:r>
              <w:rPr>
                <w:rFonts w:ascii="Arial" w:hAnsi="Arial"/>
                <w:b w:val="0"/>
                <w:i w:val="0"/>
                <w:sz w:val="16"/>
              </w:rPr>
              <w:t>Persetujuan pengalihan tagihan; keselarasan jadwal pembayaran</w:t>
            </w:r>
          </w:p>
        </w:tc>
      </w:tr>
      <w:tr>
        <w:trPr>
          <w:cantSplit/>
        </w:trPr>
        <w:tc>
          <w:tcPr>
            <w:tcW w:type="dxa" w:w="2259"/>
            <w:vAlign w:val="center"/>
          </w:tcPr>
          <w:p>
            <w:pPr>
              <w:spacing w:after="20" w:before="20" w:line="252" w:lineRule="auto"/>
            </w:pPr>
            <w:r/>
            <w:r>
              <w:rPr>
                <w:rFonts w:ascii="Arial" w:hAnsi="Arial"/>
                <w:b/>
                <w:i w:val="0"/>
                <w:sz w:val="16"/>
              </w:rPr>
              <w:t>OJK, Bank Indonesia, BSSN</w:t>
            </w:r>
          </w:p>
        </w:tc>
        <w:tc>
          <w:tcPr>
            <w:tcW w:type="dxa" w:w="3576"/>
            <w:vAlign w:val="center"/>
          </w:tcPr>
          <w:p>
            <w:pPr>
              <w:spacing w:after="20" w:before="20" w:line="252" w:lineRule="auto"/>
            </w:pPr>
            <w:r/>
            <w:r>
              <w:rPr>
                <w:rFonts w:ascii="Arial" w:hAnsi="Arial"/>
                <w:b w:val="0"/>
                <w:i w:val="0"/>
                <w:sz w:val="16"/>
              </w:rPr>
              <w:t>Regulator sandbox, stabilitas, keamanan siber</w:t>
            </w:r>
          </w:p>
        </w:tc>
        <w:tc>
          <w:tcPr>
            <w:tcW w:type="dxa" w:w="1129"/>
            <w:vAlign w:val="center"/>
          </w:tcPr>
          <w:p>
            <w:pPr>
              <w:spacing w:after="20" w:before="20" w:line="252" w:lineRule="auto"/>
            </w:pPr>
            <w:r/>
            <w:r>
              <w:rPr>
                <w:rFonts w:ascii="Arial" w:hAnsi="Arial"/>
                <w:b w:val="0"/>
                <w:i w:val="0"/>
                <w:sz w:val="16"/>
              </w:rPr>
              <w:t>Tinggi</w:t>
            </w:r>
          </w:p>
        </w:tc>
        <w:tc>
          <w:tcPr>
            <w:tcW w:type="dxa" w:w="2447"/>
            <w:vAlign w:val="center"/>
          </w:tcPr>
          <w:p>
            <w:pPr>
              <w:spacing w:after="20" w:before="20" w:line="252" w:lineRule="auto"/>
            </w:pPr>
            <w:r/>
            <w:r>
              <w:rPr>
                <w:rFonts w:ascii="Arial" w:hAnsi="Arial"/>
                <w:b w:val="0"/>
                <w:i w:val="0"/>
                <w:sz w:val="16"/>
              </w:rPr>
              <w:t>Konsultasi awal; akses pantau baca-saja</w:t>
            </w:r>
          </w:p>
        </w:tc>
      </w:tr>
      <w:tr>
        <w:trPr>
          <w:cantSplit/>
        </w:trPr>
        <w:tc>
          <w:tcPr>
            <w:tcW w:type="dxa" w:w="2259"/>
            <w:shd w:val="clear" w:color="auto" w:fill="E6ECFD"/>
            <w:vAlign w:val="center"/>
          </w:tcPr>
          <w:p>
            <w:pPr>
              <w:spacing w:after="20" w:before="20" w:line="252" w:lineRule="auto"/>
            </w:pPr>
            <w:r/>
            <w:r>
              <w:rPr>
                <w:rFonts w:ascii="Arial" w:hAnsi="Arial"/>
                <w:b/>
                <w:i w:val="0"/>
                <w:sz w:val="16"/>
              </w:rPr>
              <w:t>KKIP dan integrator (PT PAL, DEFEND ID)</w:t>
            </w:r>
          </w:p>
        </w:tc>
        <w:tc>
          <w:tcPr>
            <w:tcW w:type="dxa" w:w="3576"/>
            <w:shd w:val="clear" w:color="auto" w:fill="E6ECFD"/>
            <w:vAlign w:val="center"/>
          </w:tcPr>
          <w:p>
            <w:pPr>
              <w:spacing w:after="20" w:before="20" w:line="252" w:lineRule="auto"/>
            </w:pPr>
            <w:r/>
            <w:r>
              <w:rPr>
                <w:rFonts w:ascii="Arial" w:hAnsi="Arial"/>
                <w:b w:val="0"/>
                <w:i w:val="0"/>
                <w:sz w:val="16"/>
              </w:rPr>
              <w:t>Koordinasi kebijakan; pemesan, mereviu bukti, mendampingi UKM</w:t>
            </w:r>
          </w:p>
        </w:tc>
        <w:tc>
          <w:tcPr>
            <w:tcW w:type="dxa" w:w="1129"/>
            <w:shd w:val="clear" w:color="auto" w:fill="E6ECFD"/>
            <w:vAlign w:val="center"/>
          </w:tcPr>
          <w:p>
            <w:pPr>
              <w:spacing w:after="20" w:before="20" w:line="252" w:lineRule="auto"/>
            </w:pPr>
            <w:r/>
            <w:r>
              <w:rPr>
                <w:rFonts w:ascii="Arial" w:hAnsi="Arial"/>
                <w:b w:val="0"/>
                <w:i w:val="0"/>
                <w:sz w:val="16"/>
              </w:rPr>
              <w:t>Tinggi</w:t>
            </w:r>
          </w:p>
        </w:tc>
        <w:tc>
          <w:tcPr>
            <w:tcW w:type="dxa" w:w="2447"/>
            <w:shd w:val="clear" w:color="auto" w:fill="E6ECFD"/>
            <w:vAlign w:val="center"/>
          </w:tcPr>
          <w:p>
            <w:pPr>
              <w:spacing w:after="20" w:before="20" w:line="252" w:lineRule="auto"/>
            </w:pPr>
            <w:r/>
            <w:r>
              <w:rPr>
                <w:rFonts w:ascii="Arial" w:hAnsi="Arial"/>
                <w:b w:val="0"/>
                <w:i w:val="0"/>
                <w:sz w:val="16"/>
              </w:rPr>
              <w:t>Kontrak payung bergerbang; rencana lokalisasi</w:t>
            </w:r>
          </w:p>
        </w:tc>
      </w:tr>
      <w:tr>
        <w:trPr>
          <w:cantSplit/>
        </w:trPr>
        <w:tc>
          <w:tcPr>
            <w:tcW w:type="dxa" w:w="2259"/>
            <w:vAlign w:val="center"/>
          </w:tcPr>
          <w:p>
            <w:pPr>
              <w:spacing w:after="20" w:before="20" w:line="252" w:lineRule="auto"/>
            </w:pPr>
            <w:r/>
            <w:r>
              <w:rPr>
                <w:rFonts w:ascii="Arial" w:hAnsi="Arial"/>
                <w:b/>
                <w:i w:val="0"/>
                <w:sz w:val="16"/>
              </w:rPr>
              <w:t>BKI, TNI AL</w:t>
            </w:r>
          </w:p>
        </w:tc>
        <w:tc>
          <w:tcPr>
            <w:tcW w:type="dxa" w:w="3576"/>
            <w:vAlign w:val="center"/>
          </w:tcPr>
          <w:p>
            <w:pPr>
              <w:spacing w:after="20" w:before="20" w:line="252" w:lineRule="auto"/>
            </w:pPr>
            <w:r/>
            <w:r>
              <w:rPr>
                <w:rFonts w:ascii="Arial" w:hAnsi="Arial"/>
                <w:b w:val="0"/>
                <w:i w:val="0"/>
                <w:sz w:val="16"/>
              </w:rPr>
              <w:t>Verifikasi fisik dan mutu; penanda tangan dua dari dua</w:t>
            </w:r>
          </w:p>
        </w:tc>
        <w:tc>
          <w:tcPr>
            <w:tcW w:type="dxa" w:w="1129"/>
            <w:vAlign w:val="center"/>
          </w:tcPr>
          <w:p>
            <w:pPr>
              <w:spacing w:after="20" w:before="20" w:line="252" w:lineRule="auto"/>
            </w:pPr>
            <w:r/>
            <w:r>
              <w:rPr>
                <w:rFonts w:ascii="Arial" w:hAnsi="Arial"/>
                <w:b w:val="0"/>
                <w:i w:val="0"/>
                <w:sz w:val="16"/>
              </w:rPr>
              <w:t>Tinggi</w:t>
            </w:r>
          </w:p>
        </w:tc>
        <w:tc>
          <w:tcPr>
            <w:tcW w:type="dxa" w:w="2447"/>
            <w:vAlign w:val="center"/>
          </w:tcPr>
          <w:p>
            <w:pPr>
              <w:spacing w:after="20" w:before="20" w:line="252" w:lineRule="auto"/>
            </w:pPr>
            <w:r/>
            <w:r>
              <w:rPr>
                <w:rFonts w:ascii="Arial" w:hAnsi="Arial"/>
                <w:b w:val="0"/>
                <w:i w:val="0"/>
                <w:sz w:val="16"/>
              </w:rPr>
              <w:t>Mandat independen; hindari konflik peran</w:t>
            </w:r>
          </w:p>
        </w:tc>
      </w:tr>
      <w:tr>
        <w:trPr>
          <w:cantSplit/>
        </w:trPr>
        <w:tc>
          <w:tcPr>
            <w:tcW w:type="dxa" w:w="2259"/>
            <w:shd w:val="clear" w:color="auto" w:fill="E6ECFD"/>
            <w:vAlign w:val="center"/>
          </w:tcPr>
          <w:p>
            <w:pPr>
              <w:spacing w:after="20" w:before="20" w:line="252" w:lineRule="auto"/>
            </w:pPr>
            <w:r/>
            <w:r>
              <w:rPr>
                <w:rFonts w:ascii="Arial" w:hAnsi="Arial"/>
                <w:b/>
                <w:i w:val="0"/>
                <w:sz w:val="16"/>
              </w:rPr>
              <w:t>Bank, LPEI, penjamin</w:t>
            </w:r>
          </w:p>
        </w:tc>
        <w:tc>
          <w:tcPr>
            <w:tcW w:type="dxa" w:w="3576"/>
            <w:shd w:val="clear" w:color="auto" w:fill="E6ECFD"/>
            <w:vAlign w:val="center"/>
          </w:tcPr>
          <w:p>
            <w:pPr>
              <w:spacing w:after="20" w:before="20" w:line="252" w:lineRule="auto"/>
            </w:pPr>
            <w:r/>
            <w:r>
              <w:rPr>
                <w:rFonts w:ascii="Arial" w:hAnsi="Arial"/>
                <w:b w:val="0"/>
                <w:i w:val="0"/>
                <w:sz w:val="16"/>
              </w:rPr>
              <w:t>Rekening penampungan, ko-investor, KUR, kredit</w:t>
            </w:r>
          </w:p>
        </w:tc>
        <w:tc>
          <w:tcPr>
            <w:tcW w:type="dxa" w:w="1129"/>
            <w:shd w:val="clear" w:color="auto" w:fill="E6ECFD"/>
            <w:vAlign w:val="center"/>
          </w:tcPr>
          <w:p>
            <w:pPr>
              <w:spacing w:after="20" w:before="20" w:line="252" w:lineRule="auto"/>
            </w:pPr>
            <w:r/>
            <w:r>
              <w:rPr>
                <w:rFonts w:ascii="Arial" w:hAnsi="Arial"/>
                <w:b w:val="0"/>
                <w:i w:val="0"/>
                <w:sz w:val="16"/>
              </w:rPr>
              <w:t>Tinggi</w:t>
            </w:r>
          </w:p>
        </w:tc>
        <w:tc>
          <w:tcPr>
            <w:tcW w:type="dxa" w:w="2447"/>
            <w:shd w:val="clear" w:color="auto" w:fill="E6ECFD"/>
            <w:vAlign w:val="center"/>
          </w:tcPr>
          <w:p>
            <w:pPr>
              <w:spacing w:after="20" w:before="20" w:line="252" w:lineRule="auto"/>
            </w:pPr>
            <w:r/>
            <w:r>
              <w:rPr>
                <w:rFonts w:ascii="Arial" w:hAnsi="Arial"/>
                <w:b w:val="0"/>
                <w:i w:val="0"/>
                <w:sz w:val="16"/>
              </w:rPr>
              <w:t>Pembiayaan per gerbang; kerugian pertama bersama</w:t>
            </w:r>
          </w:p>
        </w:tc>
      </w:tr>
      <w:tr>
        <w:trPr>
          <w:cantSplit/>
        </w:trPr>
        <w:tc>
          <w:tcPr>
            <w:tcW w:type="dxa" w:w="2259"/>
            <w:vAlign w:val="center"/>
          </w:tcPr>
          <w:p>
            <w:pPr>
              <w:spacing w:after="20" w:before="20" w:line="252" w:lineRule="auto"/>
            </w:pPr>
            <w:r/>
            <w:r>
              <w:rPr>
                <w:rFonts w:ascii="Arial" w:hAnsi="Arial"/>
                <w:b/>
                <w:i w:val="0"/>
                <w:sz w:val="16"/>
              </w:rPr>
              <w:t>UKM dan pemasok</w:t>
            </w:r>
          </w:p>
        </w:tc>
        <w:tc>
          <w:tcPr>
            <w:tcW w:type="dxa" w:w="3576"/>
            <w:vAlign w:val="center"/>
          </w:tcPr>
          <w:p>
            <w:pPr>
              <w:spacing w:after="20" w:before="20" w:line="252" w:lineRule="auto"/>
            </w:pPr>
            <w:r/>
            <w:r>
              <w:rPr>
                <w:rFonts w:ascii="Arial" w:hAnsi="Arial"/>
                <w:b w:val="0"/>
                <w:i w:val="0"/>
                <w:sz w:val="16"/>
              </w:rPr>
              <w:t>Pemasok yang dikualifikasi; kebutuhan pesanan, modal, sertifikasi</w:t>
            </w:r>
          </w:p>
        </w:tc>
        <w:tc>
          <w:tcPr>
            <w:tcW w:type="dxa" w:w="1129"/>
            <w:vAlign w:val="center"/>
          </w:tcPr>
          <w:p>
            <w:pPr>
              <w:spacing w:after="20" w:before="20" w:line="252" w:lineRule="auto"/>
            </w:pPr>
            <w:r/>
            <w:r>
              <w:rPr>
                <w:rFonts w:ascii="Arial" w:hAnsi="Arial"/>
                <w:b w:val="0"/>
                <w:i w:val="0"/>
                <w:sz w:val="16"/>
              </w:rPr>
              <w:t>Sedang</w:t>
            </w:r>
          </w:p>
        </w:tc>
        <w:tc>
          <w:tcPr>
            <w:tcW w:type="dxa" w:w="2447"/>
            <w:vAlign w:val="center"/>
          </w:tcPr>
          <w:p>
            <w:pPr>
              <w:spacing w:after="20" w:before="20" w:line="252" w:lineRule="auto"/>
            </w:pPr>
            <w:r/>
            <w:r>
              <w:rPr>
                <w:rFonts w:ascii="Arial" w:hAnsi="Arial"/>
                <w:b w:val="0"/>
                <w:i w:val="0"/>
                <w:sz w:val="16"/>
              </w:rPr>
              <w:t>Pendampingan; aturan gerbang yang jelas</w:t>
            </w:r>
          </w:p>
        </w:tc>
      </w:tr>
      <w:tr>
        <w:trPr>
          <w:cantSplit/>
        </w:trPr>
        <w:tc>
          <w:tcPr>
            <w:tcW w:type="dxa" w:w="2259"/>
            <w:shd w:val="clear" w:color="auto" w:fill="E6ECFD"/>
            <w:vAlign w:val="center"/>
          </w:tcPr>
          <w:p>
            <w:pPr>
              <w:spacing w:after="20" w:before="20" w:line="252" w:lineRule="auto"/>
            </w:pPr>
            <w:r/>
            <w:r>
              <w:rPr>
                <w:rFonts w:ascii="Arial" w:hAnsi="Arial"/>
                <w:b/>
                <w:i w:val="0"/>
                <w:sz w:val="16"/>
              </w:rPr>
              <w:t>Pemerintah daerah dan masyarakat</w:t>
            </w:r>
          </w:p>
        </w:tc>
        <w:tc>
          <w:tcPr>
            <w:tcW w:type="dxa" w:w="3576"/>
            <w:shd w:val="clear" w:color="auto" w:fill="E6ECFD"/>
            <w:vAlign w:val="center"/>
          </w:tcPr>
          <w:p>
            <w:pPr>
              <w:spacing w:after="20" w:before="20" w:line="252" w:lineRule="auto"/>
            </w:pPr>
            <w:r/>
            <w:r>
              <w:rPr>
                <w:rFonts w:ascii="Arial" w:hAnsi="Arial"/>
                <w:b w:val="0"/>
                <w:i w:val="0"/>
                <w:sz w:val="16"/>
              </w:rPr>
              <w:t>Lahan, izin, dampak lokal, pembayaran layanan</w:t>
            </w:r>
          </w:p>
        </w:tc>
        <w:tc>
          <w:tcPr>
            <w:tcW w:type="dxa" w:w="1129"/>
            <w:shd w:val="clear" w:color="auto" w:fill="E6ECFD"/>
            <w:vAlign w:val="center"/>
          </w:tcPr>
          <w:p>
            <w:pPr>
              <w:spacing w:after="20" w:before="20" w:line="252" w:lineRule="auto"/>
            </w:pPr>
            <w:r/>
            <w:r>
              <w:rPr>
                <w:rFonts w:ascii="Arial" w:hAnsi="Arial"/>
                <w:b w:val="0"/>
                <w:i w:val="0"/>
                <w:sz w:val="16"/>
              </w:rPr>
              <w:t>Sedang–tinggi</w:t>
            </w:r>
          </w:p>
        </w:tc>
        <w:tc>
          <w:tcPr>
            <w:tcW w:type="dxa" w:w="2447"/>
            <w:shd w:val="clear" w:color="auto" w:fill="E6ECFD"/>
            <w:vAlign w:val="center"/>
          </w:tcPr>
          <w:p>
            <w:pPr>
              <w:spacing w:after="20" w:before="20" w:line="252" w:lineRule="auto"/>
            </w:pPr>
            <w:r/>
            <w:r>
              <w:rPr>
                <w:rFonts w:ascii="Arial" w:hAnsi="Arial"/>
                <w:b w:val="0"/>
                <w:i w:val="0"/>
                <w:sz w:val="16"/>
              </w:rPr>
              <w:t>Konsultasi dini; komunikasi risiko; pantau inflasi daerah</w:t>
            </w:r>
          </w:p>
        </w:tc>
      </w:tr>
    </w:tbl>
    <w:p>
      <w:pPr>
        <w:spacing w:after="160"/>
      </w:pPr>
      <w:r>
        <w:rPr>
          <w:rFonts w:ascii="Arial" w:hAnsi="Arial"/>
          <w:b w:val="0"/>
          <w:i/>
          <w:color w:val="051C5C"/>
          <w:sz w:val="17"/>
        </w:rPr>
        <w:t>Sumber: peran dari [PAL hlm. 15; DOCK hlm. 10; NRF-ES]; pemeringkatan dan strategi: analisis penyusun.</w:t>
      </w:r>
    </w:p>
    <w:p>
      <w:pPr>
        <w:pStyle w:val="Heading2"/>
      </w:pPr>
      <w:r>
        <w:t>9.2  Komunikasi dan irama pelaporan</w:t>
      </w:r>
    </w:p>
    <w:p>
      <w:pPr>
        <w:jc w:val="both"/>
      </w:pPr>
      <w:r>
        <w:rPr>
          <w:rFonts w:ascii="Arial" w:hAnsi="Arial"/>
          <w:b w:val="0"/>
          <w:i w:val="0"/>
        </w:rPr>
        <w:t>Kajian mengusulkan irama portofolio: bulanan untuk likuiditas, kemajuan konstruksi, pengecualian operasi, risiko kritis, dan hambatan lintas arm; triwulanan untuk imbal hasil, transformasi BUMN, biaya dan jadwal proyek, cakupan bukti, dan perpindahan gerbang pemasok; tahunan untuk laporan teraudit, evaluasi hasil, tinjauan sejawat, dan realokasi modal; serta pada saat komisioning dan 12–24 bulan sesudahnya untuk kinerja teknis dan realisasi manfaat [K §14.6]. Penyusun menambahkan laporan mingguan pada tingkat proyek (kemajuan, biaya, perubahan, risiko, K3, hambatan) untuk direktur proyek dan sponsor.</w:t>
      </w:r>
    </w:p>
    <w:p>
      <w:pPr>
        <w:pStyle w:val="Heading2"/>
      </w:pPr>
      <w:r>
        <w:t>9.3  Tim, kompetensi, dan kapasitas</w:t>
      </w:r>
    </w:p>
    <w:p>
      <w:pPr>
        <w:jc w:val="both"/>
      </w:pPr>
      <w:r>
        <w:rPr>
          <w:rFonts w:ascii="Arial" w:hAnsi="Arial"/>
          <w:b w:val="0"/>
          <w:i w:val="0"/>
        </w:rPr>
        <w:t>Kapasitas manusia sering menjadi hambatan nyata yang tidak tampak pada bagan organisasi. Kajian menegaskan bahwa kapasitas kontrak, rekayasa, model finansial, hukum, dan komisioning diuji sebelum menambah jabatan, dan bahwa unit diisi lebih dulu melalui penugasan [EVAL §9; K §13.3]. Kompetensi pemimpin proyek strategis mencakup, menurut ICB4 (IPMA, 2015), perspektif (strategi, tata kelola), orang (kepemimpinan, negosiasi), dan praktik (lingkup, biaya, risiko, pengadaan). Sertifikasi internal untuk direktur proyek, manajer kontrak, pengendali proyek, dan ahli klaim memberi dasar penugasan yang objektif.</w:t>
      </w:r>
    </w:p>
    <w:p>
      <w:pPr>
        <w:pStyle w:val="Heading2"/>
      </w:pPr>
      <w:r>
        <w:t>9.4  Insentif dan adopsi</w:t>
      </w:r>
    </w:p>
    <w:p>
      <w:pPr>
        <w:jc w:val="both"/>
      </w:pPr>
      <w:r>
        <w:rPr>
          <w:rFonts w:ascii="Arial" w:hAnsi="Arial"/>
          <w:b w:val="0"/>
          <w:i w:val="0"/>
        </w:rPr>
        <w:t>Dokumen platform menyebut akar masalah BUMN Karya yang paling mendasar: keberhasilan diukur dari penyelesaian proyek, bukan profitabilitas [PLAT hlm. 3]. Kajian mengusulkan remunerasi variabel yang dikaitkan dengan penciptaan nilai bersih serta hasil yang diverifikasi, dengan penilaian tertunda untuk proyek jangka panjang, dan tidak terutama dengan dana yang dihimpun, nota kesepahaman, belanja modal, atau dividen [K §13.10, §6.7]. Penyusun menambahkan bahwa insentif direktur proyek perlu memuat kinerja biaya dan jadwal terhadap baseline yang tidak ditetapkan ulang secara bebas, tingkat kegagalan mutu, keselamatan, dan kesehatan arus kas.</w:t>
      </w:r>
    </w:p>
    <w:p>
      <w:pPr>
        <w:pStyle w:val="Heading2"/>
      </w:pPr>
      <w:r>
        <w:t>9.5  Pelibatan pemerintah daerah dan masyarakat</w:t>
      </w:r>
    </w:p>
    <w:p>
      <w:pPr>
        <w:jc w:val="both"/>
      </w:pPr>
      <w:r>
        <w:rPr>
          <w:rFonts w:ascii="Arial" w:hAnsi="Arial"/>
          <w:b w:val="0"/>
          <w:i w:val="0"/>
        </w:rPr>
        <w:t>Proyek yang bersentuhan dengan layanan publik menambah pemangku kepentingan yang tidak terlihat pada proyek industri. Pada pengolahan sampah menjadi energi (PSEL), misalnya, pembayaran pemerintah daerah, mutu umpan, dan cakupan pengumpulan sampah tercatat sebagai risiko utama pada register kerja (SP-08 sampai SP-10) [VERO Projects 40]. Pada proyek perumahan dan pesisir, lahan, izin, dan penerimaan masyarakat menentukan jadwal. Pelibatan yang efektif dimulai pada P1: pemetaan kepentingan, konsultasi sebelum desain dikunci, mekanisme keluhan, dan komunikasi risiko yang terbuka, termasuk dampak harga lokal di daerah proyek yang dipantau pada kajian inflasi (Bab 10).</w:t>
      </w:r>
    </w:p>
    <w:p>
      <w:pPr>
        <w:pStyle w:val="Heading2"/>
      </w:pPr>
      <w:r>
        <w:t>9.6  Benturan kepentingan dan pengelolaan perbedaan pendapat</w:t>
      </w:r>
    </w:p>
    <w:p>
      <w:pPr>
        <w:jc w:val="both"/>
      </w:pPr>
      <w:r>
        <w:rPr>
          <w:rFonts w:ascii="Arial" w:hAnsi="Arial"/>
          <w:b w:val="0"/>
          <w:i w:val="0"/>
        </w:rPr>
        <w:t>Tiga situasi memerlukan aturan eksplisit. Pertama, pejabat yang memegang peran ganda (misalnya COO yang juga memimpin DAM) memerlukan dokumen keputusan terpisah dan catatan pengunduran diri dari keputusan [K §3.2]. Kedua, pengusul yang juga pelaksana atau pembeli utama, seperti PT PAL yang menjadi kandidat operator sekaligus pemesan pada beberapa slot, memerlukan penilaian independen atas klaim kapabilitasnya [VERO Partners]. Ketiga, perbedaan pendapat antara pengusul dan fungsi risiko atau hukum harus dicatat dalam risalah dan disampaikan kepada pemutus, bukan diselesaikan secara informal [EVAL §10]. Negosiasi dengan mitra global (misalnya Sibelco, Lynas, Veolia, Thales, Naval Group pada daftar mitra) perlu dipisahkan dari penunjukan: daftar itu adalah shortlist kapabilitas, bukan penunjukan, dan setiap mitra memerlukan uji tuntas atas lingkup, hasrat ekuitas, HKI, syarat komersial, dan kepatuhan [VERO Partners].</w:t>
      </w:r>
    </w:p>
    <w:p>
      <w:pPr>
        <w:jc w:val="both"/>
      </w:pPr>
      <w:r>
        <w:rPr>
          <w:rFonts w:ascii="Arial" w:hAnsi="Arial"/>
          <w:b w:val="0"/>
          <w:i w:val="0"/>
        </w:rPr>
        <w:t>Sistem baru gagal bila tidak dipakai. Register risiko Kajian mencatat risiko kegagalan adopsi (dasbor dibangun tetapi tidak dipakai untuk keputusan) dengan mitigasi berupa pelibatan tim bisnis dan pencatatan keputusan yang melampirkan bukti dari agen [K §15]. Ukuran adopsi yang disarankan: pengguna aktif mingguan menurut peran dan porsi keputusan yang diambil dengan bukti dari agen.</w:t>
      </w:r>
    </w:p>
    <w:p>
      <w:pPr>
        <w:pStyle w:val="Heading1"/>
      </w:pPr>
      <w:bookmarkStart w:id="11" w:name="_Toc011"/>
      <w:r>
        <w:t>10  Pembiayaan proyek, pengendalian dana, dan manfaat</w:t>
      </w:r>
      <w:bookmarkEnd w:id="11"/>
    </w:p>
    <w:p>
      <w:pPr>
        <w:jc w:val="both"/>
      </w:pPr>
      <w:r>
        <w:rPr>
          <w:rFonts w:ascii="Arial" w:hAnsi="Arial"/>
          <w:b/>
          <w:i w:val="0"/>
        </w:rPr>
        <w:t>Ringkasnya:</w:t>
      </w:r>
      <w:r>
        <w:rPr>
          <w:rFonts w:ascii="Arial" w:hAnsi="Arial"/>
          <w:b w:val="0"/>
          <w:i w:val="0"/>
        </w:rPr>
        <w:t xml:space="preserve"> menurut ilustrasi Kajian (kelas D), dua kanal pembiayaan baru bernilai sekitar 6,8% dari portofolio, sehingga mobilisasi dan urutan proyek menentukan. Pembiayaan mengikuti gerbang, dan manfaat harus diukur sebagai hasil tambahan, bukan keluaran bruto.</w:t>
      </w:r>
    </w:p>
    <w:p>
      <w:pPr>
        <w:pStyle w:val="Heading2"/>
      </w:pPr>
      <w:r>
        <w:t>10.1  Pembiayaan sebagai bagian manajemen proyek</w:t>
      </w:r>
    </w:p>
    <w:p>
      <w:pPr>
        <w:jc w:val="both"/>
      </w:pPr>
      <w:r>
        <w:rPr>
          <w:rFonts w:ascii="Arial" w:hAnsi="Arial"/>
          <w:b w:val="0"/>
          <w:i w:val="0"/>
        </w:rPr>
        <w:t>Struktur pendanaan menentukan kapan uang tersedia, siapa menanggung risiko, dan kondisi apa yang harus dipenuhi sebelum pencairan. Pada pembiayaan proyek, perusahaan proyek berbadan hukum tersendiri (</w:t>
      </w:r>
      <w:r>
        <w:rPr>
          <w:rFonts w:ascii="Arial" w:hAnsi="Arial"/>
          <w:b w:val="0"/>
          <w:i/>
        </w:rPr>
        <w:t>special purpose vehicle</w:t>
      </w:r>
      <w:r>
        <w:rPr>
          <w:rFonts w:ascii="Arial" w:hAnsi="Arial"/>
          <w:b w:val="0"/>
          <w:i w:val="0"/>
        </w:rPr>
        <w:t>, SPV) menerbitkan utang tanpa atau dengan regres terbatas kepada sponsor. Kecukupan arus kas diukur dengan DSCR (arus kas yang tersedia untuk pelunasan utang dibagi pokok dan bunga) dan LLCR (nilai kini arus kas selama umur pinjaman dibagi saldo utang). Syarat pendahuluan (</w:t>
      </w:r>
      <w:r>
        <w:rPr>
          <w:rFonts w:ascii="Arial" w:hAnsi="Arial"/>
          <w:b w:val="0"/>
          <w:i/>
        </w:rPr>
        <w:t>conditions precedent</w:t>
      </w:r>
      <w:r>
        <w:rPr>
          <w:rFonts w:ascii="Arial" w:hAnsi="Arial"/>
          <w:b w:val="0"/>
          <w:i w:val="0"/>
        </w:rPr>
        <w:t>) harus dipenuhi sebelum penarikan pertama: kontrak efektif, izin, lahan, asuransi, dan struktur pendanaan mengikat. Itulah isi gerbang P4 [EVAL §11].</w:t>
      </w:r>
    </w:p>
    <w:p>
      <w:pPr>
        <w:pStyle w:val="Heading2"/>
      </w:pPr>
      <w:r>
        <w:t>10.2  Pembiayaan mengikuti gerbang</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16</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Instrumen pembiayaan menurut gerbang proyek dan gerbang pemasok</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Instrumen pembiayaan menurut gerbang proyek dan gerbang pemasok"/>
      </w:tblPr>
      <w:tblGrid>
        <w:gridCol w:w="2353"/>
        <w:gridCol w:w="2353"/>
        <w:gridCol w:w="2353"/>
        <w:gridCol w:w="2353"/>
      </w:tblGrid>
      <w:tr>
        <w:trPr>
          <w:cantSplit/>
          <w:tblHeader/>
        </w:trPr>
        <w:tc>
          <w:tcPr>
            <w:tcW w:type="dxa" w:w="1150"/>
            <w:shd w:val="clear" w:color="auto" w:fill="2251FF"/>
            <w:vAlign w:val="center"/>
          </w:tcPr>
          <w:p>
            <w:pPr>
              <w:spacing w:after="20" w:before="20" w:line="252" w:lineRule="auto"/>
            </w:pPr>
            <w:r/>
            <w:r>
              <w:rPr>
                <w:rFonts w:ascii="Arial" w:hAnsi="Arial"/>
                <w:b/>
                <w:i w:val="0"/>
                <w:color w:val="FFFFFF"/>
                <w:sz w:val="17"/>
              </w:rPr>
              <w:t>Gerbang proyek</w:t>
            </w:r>
          </w:p>
        </w:tc>
        <w:tc>
          <w:tcPr>
            <w:tcW w:type="dxa" w:w="3764"/>
            <w:shd w:val="clear" w:color="auto" w:fill="2251FF"/>
            <w:vAlign w:val="center"/>
          </w:tcPr>
          <w:p>
            <w:pPr>
              <w:spacing w:after="20" w:before="20" w:line="252" w:lineRule="auto"/>
            </w:pPr>
            <w:r/>
            <w:r>
              <w:rPr>
                <w:rFonts w:ascii="Arial" w:hAnsi="Arial"/>
                <w:b/>
                <w:i w:val="0"/>
                <w:color w:val="FFFFFF"/>
                <w:sz w:val="17"/>
              </w:rPr>
              <w:t>Instrumen proyek</w:t>
            </w:r>
          </w:p>
        </w:tc>
        <w:tc>
          <w:tcPr>
            <w:tcW w:type="dxa" w:w="1255"/>
            <w:shd w:val="clear" w:color="auto" w:fill="2251FF"/>
            <w:vAlign w:val="center"/>
          </w:tcPr>
          <w:p>
            <w:pPr>
              <w:spacing w:after="20" w:before="20" w:line="252" w:lineRule="auto"/>
            </w:pPr>
            <w:r/>
            <w:r>
              <w:rPr>
                <w:rFonts w:ascii="Arial" w:hAnsi="Arial"/>
                <w:b/>
                <w:i w:val="0"/>
                <w:color w:val="FFFFFF"/>
                <w:sz w:val="17"/>
              </w:rPr>
              <w:t>Gerbang pemasok</w:t>
            </w:r>
          </w:p>
        </w:tc>
        <w:tc>
          <w:tcPr>
            <w:tcW w:type="dxa" w:w="3242"/>
            <w:shd w:val="clear" w:color="auto" w:fill="2251FF"/>
            <w:vAlign w:val="center"/>
          </w:tcPr>
          <w:p>
            <w:pPr>
              <w:spacing w:after="20" w:before="20" w:line="252" w:lineRule="auto"/>
            </w:pPr>
            <w:r/>
            <w:r>
              <w:rPr>
                <w:rFonts w:ascii="Arial" w:hAnsi="Arial"/>
                <w:b/>
                <w:i w:val="0"/>
                <w:color w:val="FFFFFF"/>
                <w:sz w:val="17"/>
              </w:rPr>
              <w:t>Instrumen pemasok</w:t>
            </w:r>
          </w:p>
        </w:tc>
      </w:tr>
      <w:tr>
        <w:trPr>
          <w:cantSplit/>
        </w:trPr>
        <w:tc>
          <w:tcPr>
            <w:tcW w:type="dxa" w:w="1150"/>
            <w:vAlign w:val="center"/>
          </w:tcPr>
          <w:p>
            <w:pPr>
              <w:spacing w:after="20" w:before="20" w:line="252" w:lineRule="auto"/>
            </w:pPr>
            <w:r/>
            <w:r>
              <w:rPr>
                <w:rFonts w:ascii="Arial" w:hAnsi="Arial"/>
                <w:b/>
                <w:i w:val="0"/>
                <w:sz w:val="17"/>
              </w:rPr>
              <w:t>P0–P2</w:t>
            </w:r>
          </w:p>
        </w:tc>
        <w:tc>
          <w:tcPr>
            <w:tcW w:type="dxa" w:w="3764"/>
            <w:vAlign w:val="center"/>
          </w:tcPr>
          <w:p>
            <w:pPr>
              <w:spacing w:after="20" w:before="20" w:line="252" w:lineRule="auto"/>
            </w:pPr>
            <w:r/>
            <w:r>
              <w:rPr>
                <w:rFonts w:ascii="Arial" w:hAnsi="Arial"/>
                <w:b w:val="0"/>
                <w:i w:val="0"/>
                <w:sz w:val="17"/>
              </w:rPr>
              <w:t>Dana penyiapan proyek DDMF; hibah kajian (dibatasi, dibebankan)</w:t>
            </w:r>
          </w:p>
        </w:tc>
        <w:tc>
          <w:tcPr>
            <w:tcW w:type="dxa" w:w="1255"/>
            <w:vAlign w:val="center"/>
          </w:tcPr>
          <w:p>
            <w:pPr>
              <w:spacing w:after="20" w:before="20" w:line="252" w:lineRule="auto"/>
            </w:pPr>
            <w:r/>
            <w:r>
              <w:rPr>
                <w:rFonts w:ascii="Arial" w:hAnsi="Arial"/>
                <w:b w:val="0"/>
                <w:i w:val="0"/>
                <w:sz w:val="17"/>
              </w:rPr>
              <w:t>Masuk</w:t>
            </w:r>
          </w:p>
        </w:tc>
        <w:tc>
          <w:tcPr>
            <w:tcW w:type="dxa" w:w="3242"/>
            <w:vAlign w:val="center"/>
          </w:tcPr>
          <w:p>
            <w:pPr>
              <w:spacing w:after="20" w:before="20" w:line="252" w:lineRule="auto"/>
            </w:pPr>
            <w:r/>
            <w:r>
              <w:rPr>
                <w:rFonts w:ascii="Arial" w:hAnsi="Arial"/>
                <w:b w:val="0"/>
                <w:i w:val="0"/>
                <w:sz w:val="17"/>
              </w:rPr>
              <w:t>Insinyur pendamping, pelatihan; hibah riset</w:t>
            </w:r>
          </w:p>
        </w:tc>
      </w:tr>
      <w:tr>
        <w:trPr>
          <w:cantSplit/>
        </w:trPr>
        <w:tc>
          <w:tcPr>
            <w:tcW w:type="dxa" w:w="1150"/>
            <w:shd w:val="clear" w:color="auto" w:fill="E6ECFD"/>
            <w:vAlign w:val="center"/>
          </w:tcPr>
          <w:p>
            <w:pPr>
              <w:spacing w:after="20" w:before="20" w:line="252" w:lineRule="auto"/>
            </w:pPr>
            <w:r/>
            <w:r>
              <w:rPr>
                <w:rFonts w:ascii="Arial" w:hAnsi="Arial"/>
                <w:b/>
                <w:i w:val="0"/>
                <w:sz w:val="17"/>
              </w:rPr>
              <w:t>P3</w:t>
            </w:r>
          </w:p>
        </w:tc>
        <w:tc>
          <w:tcPr>
            <w:tcW w:type="dxa" w:w="3764"/>
            <w:shd w:val="clear" w:color="auto" w:fill="E6ECFD"/>
            <w:vAlign w:val="center"/>
          </w:tcPr>
          <w:p>
            <w:pPr>
              <w:spacing w:after="20" w:before="20" w:line="252" w:lineRule="auto"/>
            </w:pPr>
            <w:r/>
            <w:r>
              <w:rPr>
                <w:rFonts w:ascii="Arial" w:hAnsi="Arial"/>
                <w:b w:val="0"/>
                <w:i w:val="0"/>
                <w:sz w:val="17"/>
              </w:rPr>
              <w:t>Ekuitas Danantara; jendela industri NRF; dukungan kelayakan bila dibenarkan secara ekonomi</w:t>
            </w:r>
          </w:p>
        </w:tc>
        <w:tc>
          <w:tcPr>
            <w:tcW w:type="dxa" w:w="1255"/>
            <w:shd w:val="clear" w:color="auto" w:fill="E6ECFD"/>
            <w:vAlign w:val="center"/>
          </w:tcPr>
          <w:p>
            <w:pPr>
              <w:spacing w:after="20" w:before="20" w:line="252" w:lineRule="auto"/>
            </w:pPr>
            <w:r/>
            <w:r>
              <w:rPr>
                <w:rFonts w:ascii="Arial" w:hAnsi="Arial"/>
                <w:b w:val="0"/>
                <w:i w:val="0"/>
                <w:sz w:val="17"/>
              </w:rPr>
              <w:t>S1</w:t>
            </w:r>
          </w:p>
        </w:tc>
        <w:tc>
          <w:tcPr>
            <w:tcW w:type="dxa" w:w="3242"/>
            <w:shd w:val="clear" w:color="auto" w:fill="E6ECFD"/>
            <w:vAlign w:val="center"/>
          </w:tcPr>
          <w:p>
            <w:pPr>
              <w:spacing w:after="20" w:before="20" w:line="252" w:lineRule="auto"/>
            </w:pPr>
            <w:r/>
            <w:r>
              <w:rPr>
                <w:rFonts w:ascii="Arial" w:hAnsi="Arial"/>
                <w:b w:val="0"/>
                <w:i w:val="0"/>
                <w:sz w:val="17"/>
              </w:rPr>
              <w:t>Hibah pendamping, fasilitas bersama</w:t>
            </w:r>
          </w:p>
        </w:tc>
      </w:tr>
      <w:tr>
        <w:trPr>
          <w:cantSplit/>
        </w:trPr>
        <w:tc>
          <w:tcPr>
            <w:tcW w:type="dxa" w:w="1150"/>
            <w:vAlign w:val="center"/>
          </w:tcPr>
          <w:p>
            <w:pPr>
              <w:spacing w:after="20" w:before="20" w:line="252" w:lineRule="auto"/>
            </w:pPr>
            <w:r/>
            <w:r>
              <w:rPr>
                <w:rFonts w:ascii="Arial" w:hAnsi="Arial"/>
                <w:b/>
                <w:i w:val="0"/>
                <w:sz w:val="17"/>
              </w:rPr>
              <w:t>P4</w:t>
            </w:r>
          </w:p>
        </w:tc>
        <w:tc>
          <w:tcPr>
            <w:tcW w:type="dxa" w:w="3764"/>
            <w:vAlign w:val="center"/>
          </w:tcPr>
          <w:p>
            <w:pPr>
              <w:spacing w:after="20" w:before="20" w:line="252" w:lineRule="auto"/>
            </w:pPr>
            <w:r/>
            <w:r>
              <w:rPr>
                <w:rFonts w:ascii="Arial" w:hAnsi="Arial"/>
                <w:b w:val="0"/>
                <w:i w:val="0"/>
                <w:sz w:val="17"/>
              </w:rPr>
              <w:t>Surat tagihan proyek berdaulat; utang bank; kredit ekspor</w:t>
            </w:r>
          </w:p>
        </w:tc>
        <w:tc>
          <w:tcPr>
            <w:tcW w:type="dxa" w:w="1255"/>
            <w:vAlign w:val="center"/>
          </w:tcPr>
          <w:p>
            <w:pPr>
              <w:spacing w:after="20" w:before="20" w:line="252" w:lineRule="auto"/>
            </w:pPr>
            <w:r/>
            <w:r>
              <w:rPr>
                <w:rFonts w:ascii="Arial" w:hAnsi="Arial"/>
                <w:b w:val="0"/>
                <w:i w:val="0"/>
                <w:sz w:val="17"/>
              </w:rPr>
              <w:t>S2</w:t>
            </w:r>
          </w:p>
        </w:tc>
        <w:tc>
          <w:tcPr>
            <w:tcW w:type="dxa" w:w="3242"/>
            <w:vAlign w:val="center"/>
          </w:tcPr>
          <w:p>
            <w:pPr>
              <w:spacing w:after="20" w:before="20" w:line="252" w:lineRule="auto"/>
            </w:pPr>
            <w:r/>
            <w:r>
              <w:rPr>
                <w:rFonts w:ascii="Arial" w:hAnsi="Arial"/>
                <w:b w:val="0"/>
                <w:i w:val="0"/>
                <w:sz w:val="17"/>
              </w:rPr>
              <w:t>Pembiayaan rantai pasok, KUR</w:t>
            </w:r>
          </w:p>
        </w:tc>
      </w:tr>
      <w:tr>
        <w:trPr>
          <w:cantSplit/>
        </w:trPr>
        <w:tc>
          <w:tcPr>
            <w:tcW w:type="dxa" w:w="1150"/>
            <w:shd w:val="clear" w:color="auto" w:fill="E6ECFD"/>
            <w:vAlign w:val="center"/>
          </w:tcPr>
          <w:p>
            <w:pPr>
              <w:spacing w:after="20" w:before="20" w:line="252" w:lineRule="auto"/>
            </w:pPr>
            <w:r/>
            <w:r>
              <w:rPr>
                <w:rFonts w:ascii="Arial" w:hAnsi="Arial"/>
                <w:b/>
                <w:i w:val="0"/>
                <w:sz w:val="17"/>
              </w:rPr>
              <w:t>P5</w:t>
            </w:r>
          </w:p>
        </w:tc>
        <w:tc>
          <w:tcPr>
            <w:tcW w:type="dxa" w:w="3764"/>
            <w:shd w:val="clear" w:color="auto" w:fill="E6ECFD"/>
            <w:vAlign w:val="center"/>
          </w:tcPr>
          <w:p>
            <w:pPr>
              <w:spacing w:after="20" w:before="20" w:line="252" w:lineRule="auto"/>
            </w:pPr>
            <w:r/>
            <w:r>
              <w:rPr>
                <w:rFonts w:ascii="Arial" w:hAnsi="Arial"/>
                <w:b w:val="0"/>
                <w:i w:val="0"/>
                <w:sz w:val="17"/>
              </w:rPr>
              <w:t>Pembiayaan kembali ke obligasi jangka panjang</w:t>
            </w:r>
          </w:p>
        </w:tc>
        <w:tc>
          <w:tcPr>
            <w:tcW w:type="dxa" w:w="1255"/>
            <w:shd w:val="clear" w:color="auto" w:fill="E6ECFD"/>
            <w:vAlign w:val="center"/>
          </w:tcPr>
          <w:p>
            <w:pPr>
              <w:spacing w:after="20" w:before="20" w:line="252" w:lineRule="auto"/>
            </w:pPr>
            <w:r/>
            <w:r>
              <w:rPr>
                <w:rFonts w:ascii="Arial" w:hAnsi="Arial"/>
                <w:b w:val="0"/>
                <w:i w:val="0"/>
                <w:sz w:val="17"/>
              </w:rPr>
              <w:t>S3</w:t>
            </w:r>
          </w:p>
        </w:tc>
        <w:tc>
          <w:tcPr>
            <w:tcW w:type="dxa" w:w="3242"/>
            <w:shd w:val="clear" w:color="auto" w:fill="E6ECFD"/>
            <w:vAlign w:val="center"/>
          </w:tcPr>
          <w:p>
            <w:pPr>
              <w:spacing w:after="20" w:before="20" w:line="252" w:lineRule="auto"/>
            </w:pPr>
            <w:r/>
            <w:r>
              <w:rPr>
                <w:rFonts w:ascii="Arial" w:hAnsi="Arial"/>
                <w:b w:val="0"/>
                <w:i w:val="0"/>
                <w:sz w:val="17"/>
              </w:rPr>
              <w:t>Kredit investasi dengan penjaminan kerugian pertama</w:t>
            </w:r>
          </w:p>
        </w:tc>
      </w:tr>
      <w:tr>
        <w:trPr>
          <w:cantSplit/>
        </w:trPr>
        <w:tc>
          <w:tcPr>
            <w:tcW w:type="dxa" w:w="1150"/>
            <w:vAlign w:val="center"/>
          </w:tcPr>
          <w:p>
            <w:pPr>
              <w:spacing w:after="20" w:before="20" w:line="252" w:lineRule="auto"/>
            </w:pPr>
            <w:r/>
            <w:r>
              <w:rPr>
                <w:rFonts w:ascii="Arial" w:hAnsi="Arial"/>
                <w:b/>
                <w:i w:val="0"/>
                <w:sz w:val="17"/>
              </w:rPr>
              <w:t>P6</w:t>
            </w:r>
          </w:p>
        </w:tc>
        <w:tc>
          <w:tcPr>
            <w:tcW w:type="dxa" w:w="3764"/>
            <w:vAlign w:val="center"/>
          </w:tcPr>
          <w:p>
            <w:pPr>
              <w:spacing w:after="20" w:before="20" w:line="252" w:lineRule="auto"/>
            </w:pPr>
            <w:r/>
            <w:r>
              <w:rPr>
                <w:rFonts w:ascii="Arial" w:hAnsi="Arial"/>
                <w:b w:val="0"/>
                <w:i w:val="0"/>
                <w:sz w:val="17"/>
              </w:rPr>
              <w:t>Daur ulang aset kepada investor swasta</w:t>
            </w:r>
          </w:p>
        </w:tc>
        <w:tc>
          <w:tcPr>
            <w:tcW w:type="dxa" w:w="1255"/>
            <w:vAlign w:val="center"/>
          </w:tcPr>
          <w:p>
            <w:pPr>
              <w:spacing w:after="20" w:before="20" w:line="252" w:lineRule="auto"/>
            </w:pPr>
            <w:r/>
            <w:r>
              <w:rPr>
                <w:rFonts w:ascii="Arial" w:hAnsi="Arial"/>
                <w:b w:val="0"/>
                <w:i w:val="0"/>
                <w:sz w:val="17"/>
              </w:rPr>
              <w:t>S4</w:t>
            </w:r>
          </w:p>
        </w:tc>
        <w:tc>
          <w:tcPr>
            <w:tcW w:type="dxa" w:w="3242"/>
            <w:vAlign w:val="center"/>
          </w:tcPr>
          <w:p>
            <w:pPr>
              <w:spacing w:after="20" w:before="20" w:line="252" w:lineRule="auto"/>
            </w:pPr>
            <w:r/>
            <w:r>
              <w:rPr>
                <w:rFonts w:ascii="Arial" w:hAnsi="Arial"/>
                <w:b w:val="0"/>
                <w:i w:val="0"/>
                <w:sz w:val="17"/>
              </w:rPr>
              <w:t>Ventura korporasi; super-deduction R&amp;D; LPEI</w:t>
            </w:r>
          </w:p>
        </w:tc>
      </w:tr>
    </w:tbl>
    <w:p>
      <w:pPr>
        <w:spacing w:after="160"/>
      </w:pPr>
      <w:r>
        <w:rPr>
          <w:rFonts w:ascii="Arial" w:hAnsi="Arial"/>
          <w:b w:val="0"/>
          <w:i/>
          <w:color w:val="051C5C"/>
          <w:sz w:val="17"/>
        </w:rPr>
        <w:t>Sumber: [K §10.4].</w:t>
      </w:r>
    </w:p>
    <w:p>
      <w:pPr>
        <w:pStyle w:val="Heading2"/>
      </w:pPr>
      <w:r>
        <w:t>10.3  Skala pendanaan portofolio</w:t>
      </w:r>
    </w:p>
    <w:p>
      <w:pPr>
        <w:jc w:val="both"/>
      </w:pPr>
      <w:r>
        <w:rPr>
          <w:rFonts w:ascii="Arial" w:hAnsi="Arial"/>
          <w:b w:val="0"/>
          <w:i w:val="0"/>
        </w:rPr>
        <w:t>Ilustrasi Kajian memperkirakan alokasi strategis Danantara sekitar Rp578 triliun selama lima tahun (US$7 miliar per tahun, lima tahun, Rp16.500 per dolar), surat utang terkait NRF Tahap 1 sekitar Rp118 triliun, dan surat tagihan proyek berdaulat teridentifikasi sekitar Rp24 triliun. Dua kanal baru karenanya bernilai sekitar Rp142 triliun, atau 6,8% dari portofolio Rp2.091 triliun. Sisa sekitar Rp1.371 triliun (65,6%) harus berasal dari utang tingkat proyek, neraca BUMN, ko-investor, dan APBN [K §10.3]. Alokasi Danantara sendiri setara 27,6% sehingga ketiganya berjumlah 34,4%; selebihnya 65,6%.</w:t>
      </w:r>
    </w:p>
    <w:p>
      <w:pPr>
        <w:keepNext/>
        <w:jc w:val="center"/>
      </w:pPr>
      <w:r>
        <w:drawing>
          <wp:inline xmlns:a="http://schemas.openxmlformats.org/drawingml/2006/main" xmlns:pic="http://schemas.openxmlformats.org/drawingml/2006/picture">
            <wp:extent cx="5580000" cy="2997639"/>
            <wp:docPr id="10" name="Picture 10" descr="Dua kanal baru hanya menutup sekitar 6,8% portofolio; sisa Rp1.371 triliun harus dimobilisasi" title="Dua kanal baru hanya menutup sekitar 6,8% portofolio; sisa Rp1.371 triliun harus"/>
            <wp:cNvGraphicFramePr>
              <a:graphicFrameLocks noChangeAspect="1"/>
            </wp:cNvGraphicFramePr>
            <a:graphic>
              <a:graphicData uri="http://schemas.openxmlformats.org/drawingml/2006/picture">
                <pic:pic>
                  <pic:nvPicPr>
                    <pic:cNvPr id="0" name="f_fin.png"/>
                    <pic:cNvPicPr/>
                  </pic:nvPicPr>
                  <pic:blipFill>
                    <a:blip r:embed="rId23"/>
                    <a:stretch>
                      <a:fillRect/>
                    </a:stretch>
                  </pic:blipFill>
                  <pic:spPr>
                    <a:xfrm>
                      <a:off x="0" y="0"/>
                      <a:ext cx="5580000" cy="2997639"/>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10</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Dua kanal baru hanya menutup sekitar 6,8% portofolio; sisa Rp1.371 triliun harus dimobilisasi</w:t>
      </w:r>
    </w:p>
    <w:p>
      <w:pPr>
        <w:spacing w:after="160"/>
      </w:pPr>
      <w:r>
        <w:rPr>
          <w:rFonts w:ascii="Arial" w:hAnsi="Arial"/>
          <w:b w:val="0"/>
          <w:i/>
          <w:color w:val="051C5C"/>
          <w:sz w:val="17"/>
        </w:rPr>
        <w:t>Sumber: [K §10.3]; angka ilustratif kelas D, bukan rencana pendanaan. 578 + 118 + 24 + 1.371 = 2.091.</w:t>
      </w:r>
    </w:p>
    <w:p>
      <w:pPr>
        <w:jc w:val="both"/>
      </w:pPr>
      <w:r>
        <w:rPr>
          <w:rFonts w:ascii="Arial" w:hAnsi="Arial"/>
          <w:b w:val="0"/>
          <w:i w:val="0"/>
        </w:rPr>
        <w:t>Tiga implikasi: manajemen proyek tidak dapat menutupi portofolio yang melampaui kapasitas pendanaan, sehingga urutan proyek harus mencerminkan batas ini; pemetaan sumber dan penggunaan diperlukan per proyek, bukan agregat; dan pelaporan harus memisahkan dana dihimpun, dikomitmenkan, dicairkan, terbangun, dan manfaat tercapai (Bab 11).</w:t>
      </w:r>
    </w:p>
    <w:p>
      <w:pPr>
        <w:pStyle w:val="Heading2"/>
      </w:pPr>
      <w:r>
        <w:t>10.4  Isolasi risiko sistemik</w:t>
      </w:r>
    </w:p>
    <w:p>
      <w:pPr>
        <w:jc w:val="both"/>
      </w:pPr>
      <w:r>
        <w:rPr>
          <w:rFonts w:ascii="Arial" w:hAnsi="Arial"/>
          <w:b w:val="0"/>
          <w:i w:val="0"/>
        </w:rPr>
        <w:t>Cetak biru strategis menunjukkan bahwa pembiayaan proyek hilirisasi yang panjang dan tidak likuid tidak sebaiknya dibebankan kepada bank BUMN komersial: tiga bank (Mandiri Rp2.174 triliun, BRI Rp1.965 triliun, BNI Rp1.087 triliun) memegang aset sekitar Rp5.226 triliun, lebih dari separuh AUM awal, sedangkan defisit pembiayaan struktural proyek kedaulatan diperkirakan Rp95–125 triliun per tahun (kebutuhan Rp250–300 triliun dikurangi retensi dividen Rp80–90 triliun dan arus kas internal Rp70–80 triliun) [K §3.7, §10.7; BP slide 5–7; kelas C]. Usulannya: portofolio Alpha (komersial, tanpa pinjaman paksa) dan Impact (utang non-recourse, tanpa subsidi silang), dengan SPV ring-fenced berpembiayaan campuran dan ekuitas kedaulatan paling banyak 30%. Bagi direktur proyek, artinya struktur kontrak dan jaminan harus dirancang agar kegagalan satu proyek tidak menular ke neraca grup.</w:t>
      </w:r>
    </w:p>
    <w:p>
      <w:pPr>
        <w:pStyle w:val="Heading2"/>
      </w:pPr>
      <w:r>
        <w:t>10.5  Pencairan berbasis tonggak dan pemantauan inflasi</w:t>
      </w:r>
    </w:p>
    <w:p>
      <w:pPr>
        <w:jc w:val="both"/>
      </w:pPr>
      <w:r>
        <w:rPr>
          <w:rFonts w:ascii="Arial" w:hAnsi="Arial"/>
          <w:b w:val="0"/>
          <w:i w:val="0"/>
        </w:rPr>
        <w:t>Pengendalian dana tingkat proyek menggabungkan dana yang dikunci pada rekening independen, pencairan dengan bukti yang diverifikasi pihak independen, dan pembayaran langsung kepada penerima akhir. Ketiganya dirancang pada PALCapital (Bab 8), pada DOCK-UP, dan pada usulan jendela pemasok NRF (target nol penyimpangan) [DECK85 S84]. Instrumen yang dijamin arus kas masa depan negara pada hakikatnya kewajiban dan tunduk pada disiplin utang, pengungkapan, dan uji stres yang sama dengan pinjaman lain [K §1.1].</w:t>
      </w:r>
    </w:p>
    <w:p>
      <w:pPr>
        <w:jc w:val="both"/>
      </w:pPr>
      <w:r>
        <w:rPr>
          <w:rFonts w:ascii="Arial" w:hAnsi="Arial"/>
          <w:b w:val="0"/>
          <w:i w:val="0"/>
        </w:rPr>
        <w:t>Penyaluran dana besar ke proyek domestik dapat menekan harga. Kajian pemantauan inflasi NRF memetakan delapan jalur transmisi (C1–C8) dan lima lapis indikator, termasuk buku besar yang menghubungkan setiap pencairan dengan proyek (ID register), lokasi, sektor, dan jenis belanja. Aliran Rp1.000 triliun setara sekitar 4% PDB nominal dan, bila dibelanjakan cepat di dalam negeri, dapat menghabiskan sebagian besar rentang toleransi inflasi ±1 poin; karena itu platform pemantau perlu ada sebelum rupiah pertama disalurkan [K §8.9; NRF-INF]. Hal ini bergantung pada ID proyek yang konsisten.</w:t>
      </w:r>
    </w:p>
    <w:p>
      <w:pPr>
        <w:pStyle w:val="Heading2"/>
      </w:pPr>
      <w:r>
        <w:t>10.6  Dari keluaran ke manfaat</w:t>
      </w:r>
    </w:p>
    <w:p>
      <w:pPr>
        <w:jc w:val="both"/>
      </w:pPr>
      <w:r>
        <w:rPr>
          <w:rFonts w:ascii="Arial" w:hAnsi="Arial"/>
          <w:b w:val="0"/>
          <w:i w:val="0"/>
        </w:rPr>
        <w:t>Proyek yang selesai tepat waktu dan sesuai anggaran masih bisa gagal bila manfaat tidak terwujud. Manajemen manfaat menambahkan siklus mengidentifikasi, merencanakan, memantau, dan mempertahankan manfaat, dengan pemilik, ukuran, baseline, target, dan waktu untuk tiap manfaat. Dokumen Danantara membedakan keluaran dan hasil: penandatanganan PPA bukan financial close, peresmian konstruksi bukan progres, dan pengalihan aset bukan kenaikan nilai [K §3.4]. Untuk proyek bermandat pembangunan, Kajian menyarankan empat uji: adisionalitas, daya saing, kapabilitas, dan distribusi serta ketahanan [K §4.4]. Penilaian eksekutif mengoperasionalkannya menjadi tiga aspek dengan enam kriteria dan 240 pemeriksaan (40 ID × 6 kriteria): adisionalitas dan dampak (bobot 40%), ENPV/EIRR dan dukungan publik terendah (35%), serta mobilisasi, nilai tambah domestik, dan kapabilitas teknologi (25%) [EXEC slide 12–16].</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17</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Manfaat, ukuran, dan pengendalian terhadap klaim ganda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Manfaat, ukuran, dan pengendalian terhadap klaim ganda"/>
      </w:tblPr>
      <w:tblGrid>
        <w:gridCol w:w="3137"/>
        <w:gridCol w:w="3137"/>
        <w:gridCol w:w="3137"/>
      </w:tblGrid>
      <w:tr>
        <w:trPr>
          <w:cantSplit/>
          <w:tblHeader/>
        </w:trPr>
        <w:tc>
          <w:tcPr>
            <w:tcW w:type="dxa" w:w="2157"/>
            <w:shd w:val="clear" w:color="auto" w:fill="2251FF"/>
            <w:vAlign w:val="center"/>
          </w:tcPr>
          <w:p>
            <w:pPr>
              <w:spacing w:after="20" w:before="20" w:line="252" w:lineRule="auto"/>
            </w:pPr>
            <w:r/>
            <w:r>
              <w:rPr>
                <w:rFonts w:ascii="Arial" w:hAnsi="Arial"/>
                <w:b/>
                <w:i w:val="0"/>
                <w:color w:val="FFFFFF"/>
                <w:sz w:val="17"/>
              </w:rPr>
              <w:t>Manfaat</w:t>
            </w:r>
          </w:p>
        </w:tc>
        <w:tc>
          <w:tcPr>
            <w:tcW w:type="dxa" w:w="3921"/>
            <w:shd w:val="clear" w:color="auto" w:fill="2251FF"/>
            <w:vAlign w:val="center"/>
          </w:tcPr>
          <w:p>
            <w:pPr>
              <w:spacing w:after="20" w:before="20" w:line="252" w:lineRule="auto"/>
            </w:pPr>
            <w:r/>
            <w:r>
              <w:rPr>
                <w:rFonts w:ascii="Arial" w:hAnsi="Arial"/>
                <w:b/>
                <w:i w:val="0"/>
                <w:color w:val="FFFFFF"/>
                <w:sz w:val="17"/>
              </w:rPr>
              <w:t>Ukuran</w:t>
            </w:r>
          </w:p>
        </w:tc>
        <w:tc>
          <w:tcPr>
            <w:tcW w:type="dxa" w:w="3333"/>
            <w:shd w:val="clear" w:color="auto" w:fill="2251FF"/>
            <w:vAlign w:val="center"/>
          </w:tcPr>
          <w:p>
            <w:pPr>
              <w:spacing w:after="20" w:before="20" w:line="252" w:lineRule="auto"/>
            </w:pPr>
            <w:r/>
            <w:r>
              <w:rPr>
                <w:rFonts w:ascii="Arial" w:hAnsi="Arial"/>
                <w:b/>
                <w:i w:val="0"/>
                <w:color w:val="FFFFFF"/>
                <w:sz w:val="17"/>
              </w:rPr>
              <w:t>Pengendalian</w:t>
            </w:r>
          </w:p>
        </w:tc>
      </w:tr>
      <w:tr>
        <w:trPr>
          <w:cantSplit/>
        </w:trPr>
        <w:tc>
          <w:tcPr>
            <w:tcW w:type="dxa" w:w="2157"/>
            <w:vAlign w:val="center"/>
          </w:tcPr>
          <w:p>
            <w:pPr>
              <w:spacing w:after="20" w:before="20" w:line="252" w:lineRule="auto"/>
            </w:pPr>
            <w:r/>
            <w:r>
              <w:rPr>
                <w:rFonts w:ascii="Arial" w:hAnsi="Arial"/>
                <w:b/>
                <w:i w:val="0"/>
                <w:sz w:val="17"/>
              </w:rPr>
              <w:t>Nilai tambah domestik (DVA)</w:t>
            </w:r>
          </w:p>
        </w:tc>
        <w:tc>
          <w:tcPr>
            <w:tcW w:type="dxa" w:w="3921"/>
            <w:vAlign w:val="center"/>
          </w:tcPr>
          <w:p>
            <w:pPr>
              <w:spacing w:after="20" w:before="20" w:line="252" w:lineRule="auto"/>
            </w:pPr>
            <w:r/>
            <w:r>
              <w:rPr>
                <w:rFonts w:ascii="Arial" w:hAnsi="Arial"/>
                <w:b w:val="0"/>
                <w:i w:val="0"/>
                <w:sz w:val="17"/>
              </w:rPr>
              <w:t>DVA langsung; DVA rantai pasok (I-O, daftar material, impor tertanam); pendalaman teknologi</w:t>
            </w:r>
          </w:p>
        </w:tc>
        <w:tc>
          <w:tcPr>
            <w:tcW w:type="dxa" w:w="3333"/>
            <w:vAlign w:val="center"/>
          </w:tcPr>
          <w:p>
            <w:pPr>
              <w:spacing w:after="20" w:before="20" w:line="252" w:lineRule="auto"/>
            </w:pPr>
            <w:r/>
            <w:r>
              <w:rPr>
                <w:rFonts w:ascii="Arial" w:hAnsi="Arial"/>
                <w:b w:val="0"/>
                <w:i w:val="0"/>
                <w:sz w:val="17"/>
              </w:rPr>
              <w:t>MoU, pembelian mesin, atau pelatihan bukan bukti alih teknologi</w:t>
            </w:r>
          </w:p>
        </w:tc>
      </w:tr>
      <w:tr>
        <w:trPr>
          <w:cantSplit/>
        </w:trPr>
        <w:tc>
          <w:tcPr>
            <w:tcW w:type="dxa" w:w="2157"/>
            <w:shd w:val="clear" w:color="auto" w:fill="E6ECFD"/>
            <w:vAlign w:val="center"/>
          </w:tcPr>
          <w:p>
            <w:pPr>
              <w:spacing w:after="20" w:before="20" w:line="252" w:lineRule="auto"/>
            </w:pPr>
            <w:r/>
            <w:r>
              <w:rPr>
                <w:rFonts w:ascii="Arial" w:hAnsi="Arial"/>
                <w:b/>
                <w:i w:val="0"/>
                <w:sz w:val="17"/>
              </w:rPr>
              <w:t>Pekerjaan</w:t>
            </w:r>
          </w:p>
        </w:tc>
        <w:tc>
          <w:tcPr>
            <w:tcW w:type="dxa" w:w="3921"/>
            <w:shd w:val="clear" w:color="auto" w:fill="E6ECFD"/>
            <w:vAlign w:val="center"/>
          </w:tcPr>
          <w:p>
            <w:pPr>
              <w:spacing w:after="20" w:before="20" w:line="252" w:lineRule="auto"/>
            </w:pPr>
            <w:r/>
            <w:r>
              <w:rPr>
                <w:rFonts w:ascii="Arial" w:hAnsi="Arial"/>
                <w:b w:val="0"/>
                <w:i w:val="0"/>
                <w:sz w:val="17"/>
              </w:rPr>
              <w:t>Tahun-kerja langsung, tidak langsung, induksi; pekerjaan tetap</w:t>
            </w:r>
          </w:p>
        </w:tc>
        <w:tc>
          <w:tcPr>
            <w:tcW w:type="dxa" w:w="3333"/>
            <w:shd w:val="clear" w:color="auto" w:fill="E6ECFD"/>
            <w:vAlign w:val="center"/>
          </w:tcPr>
          <w:p>
            <w:pPr>
              <w:spacing w:after="20" w:before="20" w:line="252" w:lineRule="auto"/>
            </w:pPr>
            <w:r/>
            <w:r>
              <w:rPr>
                <w:rFonts w:ascii="Arial" w:hAnsi="Arial"/>
                <w:b w:val="0"/>
                <w:i w:val="0"/>
                <w:sz w:val="17"/>
              </w:rPr>
              <w:t>Pisahkan sementara dan permanen; kurangi pengalihan</w:t>
            </w:r>
          </w:p>
        </w:tc>
      </w:tr>
      <w:tr>
        <w:trPr>
          <w:cantSplit/>
        </w:trPr>
        <w:tc>
          <w:tcPr>
            <w:tcW w:type="dxa" w:w="2157"/>
            <w:vAlign w:val="center"/>
          </w:tcPr>
          <w:p>
            <w:pPr>
              <w:spacing w:after="20" w:before="20" w:line="252" w:lineRule="auto"/>
            </w:pPr>
            <w:r/>
            <w:r>
              <w:rPr>
                <w:rFonts w:ascii="Arial" w:hAnsi="Arial"/>
                <w:b/>
                <w:i w:val="0"/>
                <w:sz w:val="17"/>
              </w:rPr>
              <w:t>Mobilisasi swasta</w:t>
            </w:r>
          </w:p>
        </w:tc>
        <w:tc>
          <w:tcPr>
            <w:tcW w:type="dxa" w:w="3921"/>
            <w:vAlign w:val="center"/>
          </w:tcPr>
          <w:p>
            <w:pPr>
              <w:spacing w:after="20" w:before="20" w:line="252" w:lineRule="auto"/>
            </w:pPr>
            <w:r/>
            <w:r>
              <w:rPr>
                <w:rFonts w:ascii="Arial" w:hAnsi="Arial"/>
                <w:b w:val="0"/>
                <w:i w:val="0"/>
                <w:sz w:val="17"/>
              </w:rPr>
              <w:t>TPDM, PPDM, PIM (metodologi MDB)</w:t>
            </w:r>
          </w:p>
        </w:tc>
        <w:tc>
          <w:tcPr>
            <w:tcW w:type="dxa" w:w="3333"/>
            <w:vAlign w:val="center"/>
          </w:tcPr>
          <w:p>
            <w:pPr>
              <w:spacing w:after="20" w:before="20" w:line="252" w:lineRule="auto"/>
            </w:pPr>
            <w:r/>
            <w:r>
              <w:rPr>
                <w:rFonts w:ascii="Arial" w:hAnsi="Arial"/>
                <w:b w:val="0"/>
                <w:i w:val="0"/>
                <w:sz w:val="17"/>
              </w:rPr>
              <w:t>Obligasi institusi bukan mobilisasi proyek otomatis</w:t>
            </w:r>
          </w:p>
        </w:tc>
      </w:tr>
      <w:tr>
        <w:trPr>
          <w:cantSplit/>
        </w:trPr>
        <w:tc>
          <w:tcPr>
            <w:tcW w:type="dxa" w:w="2157"/>
            <w:shd w:val="clear" w:color="auto" w:fill="E6ECFD"/>
            <w:vAlign w:val="center"/>
          </w:tcPr>
          <w:p>
            <w:pPr>
              <w:spacing w:after="20" w:before="20" w:line="252" w:lineRule="auto"/>
            </w:pPr>
            <w:r/>
            <w:r>
              <w:rPr>
                <w:rFonts w:ascii="Arial" w:hAnsi="Arial"/>
                <w:b/>
                <w:i w:val="0"/>
                <w:sz w:val="17"/>
              </w:rPr>
              <w:t>Dampak PDB; devisa neto</w:t>
            </w:r>
          </w:p>
        </w:tc>
        <w:tc>
          <w:tcPr>
            <w:tcW w:type="dxa" w:w="3921"/>
            <w:shd w:val="clear" w:color="auto" w:fill="E6ECFD"/>
            <w:vAlign w:val="center"/>
          </w:tcPr>
          <w:p>
            <w:pPr>
              <w:spacing w:after="20" w:before="20" w:line="252" w:lineRule="auto"/>
            </w:pPr>
            <w:r/>
            <w:r>
              <w:rPr>
                <w:rFonts w:ascii="Arial" w:hAnsi="Arial"/>
                <w:b w:val="0"/>
                <w:i w:val="0"/>
                <w:sz w:val="17"/>
              </w:rPr>
              <w:t>Selisih terhadap skenario tanpa pipeline; ekspor dan impor dihindari dikurangi impor tertanam</w:t>
            </w:r>
          </w:p>
        </w:tc>
        <w:tc>
          <w:tcPr>
            <w:tcW w:type="dxa" w:w="3333"/>
            <w:shd w:val="clear" w:color="auto" w:fill="E6ECFD"/>
            <w:vAlign w:val="center"/>
          </w:tcPr>
          <w:p>
            <w:pPr>
              <w:spacing w:after="20" w:before="20" w:line="252" w:lineRule="auto"/>
            </w:pPr>
            <w:r/>
            <w:r>
              <w:rPr>
                <w:rFonts w:ascii="Arial" w:hAnsi="Arial"/>
                <w:b w:val="0"/>
                <w:i w:val="0"/>
                <w:sz w:val="17"/>
              </w:rPr>
              <w:t>Kontrafaktual; rentang, bukan titik</w:t>
            </w:r>
          </w:p>
        </w:tc>
      </w:tr>
    </w:tbl>
    <w:p>
      <w:pPr>
        <w:spacing w:after="160"/>
      </w:pPr>
      <w:r>
        <w:rPr>
          <w:rFonts w:ascii="Arial" w:hAnsi="Arial"/>
          <w:b w:val="0"/>
          <w:i/>
          <w:color w:val="051C5C"/>
          <w:sz w:val="17"/>
        </w:rPr>
        <w:t>Sumber: [K §14.4]; [EXEC slide 14–16].</w:t>
      </w:r>
    </w:p>
    <w:p>
      <w:pPr>
        <w:pStyle w:val="Heading2"/>
      </w:pPr>
      <w:r>
        <w:t>10.7  Orde besaran dampak makro</w:t>
      </w:r>
    </w:p>
    <w:p>
      <w:pPr>
        <w:jc w:val="both"/>
      </w:pPr>
      <w:r>
        <w:rPr>
          <w:rFonts w:ascii="Arial" w:hAnsi="Arial"/>
          <w:b w:val="0"/>
          <w:i w:val="0"/>
        </w:rPr>
        <w:t>Model dalam dokumen sumber (kelas D) menghasilkan orde besaran yang berguna sebagai hipotesis pemantauan, bukan klaim. Pipeline Rp2.091 triliun menaikkan level PDB sekitar 1,5% pada puncak 2030 dan 0,74% secara permanen, mendukung sekitar 11,4 juta tahun-kerja selama konstruksi dan sekitar 976 ribu pekerjaan tetap, dan memuat impor sekitar US$38,8 miliar. Model pekerjaan memetakan 35 proyek berbiaya ke tujuh jenis proyek, memakai koefisien tahun-kerja per Rp1 miliar dari analisis input-output proyek strategis yang disesuaikan harga 2025 (faktor 1,2987), efek induksi 35%, dan 0,8 pekerjaan tetap tidak langsung per pekerjaan langsung [K §5.7; EMP].</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18</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Dampak pipeline per klaster menurut model (kelas D, bruto)</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Dampak pipeline per klaster menurut model (kelas D, bruto)"/>
      </w:tblPr>
      <w:tblGrid>
        <w:gridCol w:w="1569"/>
        <w:gridCol w:w="1569"/>
        <w:gridCol w:w="1569"/>
        <w:gridCol w:w="1569"/>
        <w:gridCol w:w="1569"/>
        <w:gridCol w:w="1569"/>
      </w:tblGrid>
      <w:tr>
        <w:trPr>
          <w:cantSplit/>
          <w:tblHeader/>
        </w:trPr>
        <w:tc>
          <w:tcPr>
            <w:tcW w:type="dxa" w:w="1991"/>
            <w:shd w:val="clear" w:color="auto" w:fill="2251FF"/>
            <w:vAlign w:val="center"/>
          </w:tcPr>
          <w:p>
            <w:pPr>
              <w:spacing w:after="20" w:before="20" w:line="252" w:lineRule="auto"/>
            </w:pPr>
            <w:r/>
            <w:r>
              <w:rPr>
                <w:rFonts w:ascii="Arial" w:hAnsi="Arial"/>
                <w:b/>
                <w:i w:val="0"/>
                <w:color w:val="FFFFFF"/>
                <w:sz w:val="17"/>
              </w:rPr>
              <w:t>Klaster</w:t>
            </w:r>
          </w:p>
        </w:tc>
        <w:tc>
          <w:tcPr>
            <w:tcW w:type="dxa" w:w="1810"/>
            <w:shd w:val="clear" w:color="auto" w:fill="2251FF"/>
            <w:vAlign w:val="center"/>
          </w:tcPr>
          <w:p>
            <w:pPr>
              <w:spacing w:after="20" w:before="20" w:line="252" w:lineRule="auto"/>
            </w:pPr>
            <w:r/>
            <w:r>
              <w:rPr>
                <w:rFonts w:ascii="Arial" w:hAnsi="Arial"/>
                <w:b/>
                <w:i w:val="0"/>
                <w:color w:val="FFFFFF"/>
                <w:sz w:val="17"/>
              </w:rPr>
              <w:t>Investasi 2027–2032 (Rp T)</w:t>
            </w:r>
          </w:p>
        </w:tc>
        <w:tc>
          <w:tcPr>
            <w:tcW w:type="dxa" w:w="1448"/>
            <w:shd w:val="clear" w:color="auto" w:fill="2251FF"/>
            <w:vAlign w:val="center"/>
          </w:tcPr>
          <w:p>
            <w:pPr>
              <w:spacing w:after="20" w:before="20" w:line="252" w:lineRule="auto"/>
            </w:pPr>
            <w:r/>
            <w:r>
              <w:rPr>
                <w:rFonts w:ascii="Arial" w:hAnsi="Arial"/>
                <w:b/>
                <w:i w:val="0"/>
                <w:color w:val="FFFFFF"/>
                <w:sz w:val="17"/>
              </w:rPr>
              <w:t>Puncak dampak PDB</w:t>
            </w:r>
          </w:p>
        </w:tc>
        <w:tc>
          <w:tcPr>
            <w:tcW w:type="dxa" w:w="1267"/>
            <w:shd w:val="clear" w:color="auto" w:fill="2251FF"/>
            <w:vAlign w:val="center"/>
          </w:tcPr>
          <w:p>
            <w:pPr>
              <w:spacing w:after="20" w:before="20" w:line="252" w:lineRule="auto"/>
            </w:pPr>
            <w:r/>
            <w:r>
              <w:rPr>
                <w:rFonts w:ascii="Arial" w:hAnsi="Arial"/>
                <w:b/>
                <w:i w:val="0"/>
                <w:color w:val="FFFFFF"/>
                <w:sz w:val="17"/>
              </w:rPr>
              <w:t>Tahun-kerja (juta)</w:t>
            </w:r>
          </w:p>
        </w:tc>
        <w:tc>
          <w:tcPr>
            <w:tcW w:type="dxa" w:w="1629"/>
            <w:shd w:val="clear" w:color="auto" w:fill="2251FF"/>
            <w:vAlign w:val="center"/>
          </w:tcPr>
          <w:p>
            <w:pPr>
              <w:spacing w:after="20" w:before="20" w:line="252" w:lineRule="auto"/>
            </w:pPr>
            <w:r/>
            <w:r>
              <w:rPr>
                <w:rFonts w:ascii="Arial" w:hAnsi="Arial"/>
                <w:b/>
                <w:i w:val="0"/>
                <w:color w:val="FFFFFF"/>
                <w:sz w:val="17"/>
              </w:rPr>
              <w:t>Pekerjaan tetap (ribu)</w:t>
            </w:r>
          </w:p>
        </w:tc>
        <w:tc>
          <w:tcPr>
            <w:tcW w:type="dxa" w:w="1267"/>
            <w:shd w:val="clear" w:color="auto" w:fill="2251FF"/>
            <w:vAlign w:val="center"/>
          </w:tcPr>
          <w:p>
            <w:pPr>
              <w:spacing w:after="20" w:before="20" w:line="252" w:lineRule="auto"/>
            </w:pPr>
            <w:r/>
            <w:r>
              <w:rPr>
                <w:rFonts w:ascii="Arial" w:hAnsi="Arial"/>
                <w:b/>
                <w:i w:val="0"/>
                <w:color w:val="FFFFFF"/>
                <w:sz w:val="17"/>
              </w:rPr>
              <w:t>Impor (US$ miliar)</w:t>
            </w:r>
          </w:p>
        </w:tc>
      </w:tr>
      <w:tr>
        <w:trPr>
          <w:cantSplit/>
        </w:trPr>
        <w:tc>
          <w:tcPr>
            <w:tcW w:type="dxa" w:w="1991"/>
            <w:vAlign w:val="center"/>
          </w:tcPr>
          <w:p>
            <w:pPr>
              <w:spacing w:after="20" w:before="20" w:line="252" w:lineRule="auto"/>
            </w:pPr>
            <w:r/>
            <w:r>
              <w:rPr>
                <w:rFonts w:ascii="Arial" w:hAnsi="Arial"/>
                <w:b/>
                <w:i w:val="0"/>
                <w:sz w:val="17"/>
              </w:rPr>
              <w:t>Sumber daya alam</w:t>
            </w:r>
          </w:p>
        </w:tc>
        <w:tc>
          <w:tcPr>
            <w:tcW w:type="dxa" w:w="1810"/>
            <w:vAlign w:val="center"/>
          </w:tcPr>
          <w:p>
            <w:pPr>
              <w:spacing w:after="20" w:before="20" w:line="252" w:lineRule="auto"/>
            </w:pPr>
            <w:r/>
            <w:r>
              <w:rPr>
                <w:rFonts w:ascii="Arial" w:hAnsi="Arial"/>
                <w:b w:val="0"/>
                <w:i w:val="0"/>
                <w:sz w:val="17"/>
              </w:rPr>
              <w:t>648</w:t>
            </w:r>
          </w:p>
        </w:tc>
        <w:tc>
          <w:tcPr>
            <w:tcW w:type="dxa" w:w="1448"/>
            <w:vAlign w:val="center"/>
          </w:tcPr>
          <w:p>
            <w:pPr>
              <w:spacing w:after="20" w:before="20" w:line="252" w:lineRule="auto"/>
            </w:pPr>
            <w:r/>
            <w:r>
              <w:rPr>
                <w:rFonts w:ascii="Arial" w:hAnsi="Arial"/>
                <w:b w:val="0"/>
                <w:i w:val="0"/>
                <w:sz w:val="17"/>
              </w:rPr>
              <w:t>0,44%</w:t>
            </w:r>
          </w:p>
        </w:tc>
        <w:tc>
          <w:tcPr>
            <w:tcW w:type="dxa" w:w="1267"/>
            <w:vAlign w:val="center"/>
          </w:tcPr>
          <w:p>
            <w:pPr>
              <w:spacing w:after="20" w:before="20" w:line="252" w:lineRule="auto"/>
            </w:pPr>
            <w:r/>
            <w:r>
              <w:rPr>
                <w:rFonts w:ascii="Arial" w:hAnsi="Arial"/>
                <w:b w:val="0"/>
                <w:i w:val="0"/>
                <w:sz w:val="17"/>
              </w:rPr>
              <w:t>3,01</w:t>
            </w:r>
          </w:p>
        </w:tc>
        <w:tc>
          <w:tcPr>
            <w:tcW w:type="dxa" w:w="1629"/>
            <w:vAlign w:val="center"/>
          </w:tcPr>
          <w:p>
            <w:pPr>
              <w:spacing w:after="20" w:before="20" w:line="252" w:lineRule="auto"/>
            </w:pPr>
            <w:r/>
            <w:r>
              <w:rPr>
                <w:rFonts w:ascii="Arial" w:hAnsi="Arial"/>
                <w:b w:val="0"/>
                <w:i w:val="0"/>
                <w:sz w:val="17"/>
              </w:rPr>
              <w:t>344</w:t>
            </w:r>
          </w:p>
        </w:tc>
        <w:tc>
          <w:tcPr>
            <w:tcW w:type="dxa" w:w="1267"/>
            <w:vAlign w:val="center"/>
          </w:tcPr>
          <w:p>
            <w:pPr>
              <w:spacing w:after="20" w:before="20" w:line="252" w:lineRule="auto"/>
            </w:pPr>
            <w:r/>
            <w:r>
              <w:rPr>
                <w:rFonts w:ascii="Arial" w:hAnsi="Arial"/>
                <w:b w:val="0"/>
                <w:i w:val="0"/>
                <w:sz w:val="17"/>
              </w:rPr>
              <w:t>16,4</w:t>
            </w:r>
          </w:p>
        </w:tc>
      </w:tr>
      <w:tr>
        <w:trPr>
          <w:cantSplit/>
        </w:trPr>
        <w:tc>
          <w:tcPr>
            <w:tcW w:type="dxa" w:w="1991"/>
            <w:shd w:val="clear" w:color="auto" w:fill="E6ECFD"/>
            <w:vAlign w:val="center"/>
          </w:tcPr>
          <w:p>
            <w:pPr>
              <w:spacing w:after="20" w:before="20" w:line="252" w:lineRule="auto"/>
            </w:pPr>
            <w:r/>
            <w:r>
              <w:rPr>
                <w:rFonts w:ascii="Arial" w:hAnsi="Arial"/>
                <w:b/>
                <w:i w:val="0"/>
                <w:sz w:val="17"/>
              </w:rPr>
              <w:t>Infrastruktur</w:t>
            </w:r>
          </w:p>
        </w:tc>
        <w:tc>
          <w:tcPr>
            <w:tcW w:type="dxa" w:w="1810"/>
            <w:shd w:val="clear" w:color="auto" w:fill="E6ECFD"/>
            <w:vAlign w:val="center"/>
          </w:tcPr>
          <w:p>
            <w:pPr>
              <w:spacing w:after="20" w:before="20" w:line="252" w:lineRule="auto"/>
            </w:pPr>
            <w:r/>
            <w:r>
              <w:rPr>
                <w:rFonts w:ascii="Arial" w:hAnsi="Arial"/>
                <w:b w:val="0"/>
                <w:i w:val="0"/>
                <w:sz w:val="17"/>
              </w:rPr>
              <w:t>1.113</w:t>
            </w:r>
          </w:p>
        </w:tc>
        <w:tc>
          <w:tcPr>
            <w:tcW w:type="dxa" w:w="1448"/>
            <w:shd w:val="clear" w:color="auto" w:fill="E6ECFD"/>
            <w:vAlign w:val="center"/>
          </w:tcPr>
          <w:p>
            <w:pPr>
              <w:spacing w:after="20" w:before="20" w:line="252" w:lineRule="auto"/>
            </w:pPr>
            <w:r/>
            <w:r>
              <w:rPr>
                <w:rFonts w:ascii="Arial" w:hAnsi="Arial"/>
                <w:b w:val="0"/>
                <w:i w:val="0"/>
                <w:sz w:val="17"/>
              </w:rPr>
              <w:t>1,07%</w:t>
            </w:r>
          </w:p>
        </w:tc>
        <w:tc>
          <w:tcPr>
            <w:tcW w:type="dxa" w:w="1267"/>
            <w:shd w:val="clear" w:color="auto" w:fill="E6ECFD"/>
            <w:vAlign w:val="center"/>
          </w:tcPr>
          <w:p>
            <w:pPr>
              <w:spacing w:after="20" w:before="20" w:line="252" w:lineRule="auto"/>
            </w:pPr>
            <w:r/>
            <w:r>
              <w:rPr>
                <w:rFonts w:ascii="Arial" w:hAnsi="Arial"/>
                <w:b w:val="0"/>
                <w:i w:val="0"/>
                <w:sz w:val="17"/>
              </w:rPr>
              <w:t>6,98</w:t>
            </w:r>
          </w:p>
        </w:tc>
        <w:tc>
          <w:tcPr>
            <w:tcW w:type="dxa" w:w="1629"/>
            <w:shd w:val="clear" w:color="auto" w:fill="E6ECFD"/>
            <w:vAlign w:val="center"/>
          </w:tcPr>
          <w:p>
            <w:pPr>
              <w:spacing w:after="20" w:before="20" w:line="252" w:lineRule="auto"/>
            </w:pPr>
            <w:r/>
            <w:r>
              <w:rPr>
                <w:rFonts w:ascii="Arial" w:hAnsi="Arial"/>
                <w:b w:val="0"/>
                <w:i w:val="0"/>
                <w:sz w:val="17"/>
              </w:rPr>
              <w:t>296</w:t>
            </w:r>
          </w:p>
        </w:tc>
        <w:tc>
          <w:tcPr>
            <w:tcW w:type="dxa" w:w="1267"/>
            <w:shd w:val="clear" w:color="auto" w:fill="E6ECFD"/>
            <w:vAlign w:val="center"/>
          </w:tcPr>
          <w:p>
            <w:pPr>
              <w:spacing w:after="20" w:before="20" w:line="252" w:lineRule="auto"/>
            </w:pPr>
            <w:r/>
            <w:r>
              <w:rPr>
                <w:rFonts w:ascii="Arial" w:hAnsi="Arial"/>
                <w:b w:val="0"/>
                <w:i w:val="0"/>
                <w:sz w:val="17"/>
              </w:rPr>
              <w:t>12,5</w:t>
            </w:r>
          </w:p>
        </w:tc>
      </w:tr>
      <w:tr>
        <w:trPr>
          <w:cantSplit/>
        </w:trPr>
        <w:tc>
          <w:tcPr>
            <w:tcW w:type="dxa" w:w="1991"/>
            <w:vAlign w:val="center"/>
          </w:tcPr>
          <w:p>
            <w:pPr>
              <w:spacing w:after="20" w:before="20" w:line="252" w:lineRule="auto"/>
            </w:pPr>
            <w:r/>
            <w:r>
              <w:rPr>
                <w:rFonts w:ascii="Arial" w:hAnsi="Arial"/>
                <w:b/>
                <w:i w:val="0"/>
                <w:sz w:val="17"/>
              </w:rPr>
              <w:t>Pertahanan</w:t>
            </w:r>
          </w:p>
        </w:tc>
        <w:tc>
          <w:tcPr>
            <w:tcW w:type="dxa" w:w="1810"/>
            <w:vAlign w:val="center"/>
          </w:tcPr>
          <w:p>
            <w:pPr>
              <w:spacing w:after="20" w:before="20" w:line="252" w:lineRule="auto"/>
            </w:pPr>
            <w:r/>
            <w:r>
              <w:rPr>
                <w:rFonts w:ascii="Arial" w:hAnsi="Arial"/>
                <w:b w:val="0"/>
                <w:i w:val="0"/>
                <w:sz w:val="17"/>
              </w:rPr>
              <w:t>225</w:t>
            </w:r>
          </w:p>
        </w:tc>
        <w:tc>
          <w:tcPr>
            <w:tcW w:type="dxa" w:w="1448"/>
            <w:vAlign w:val="center"/>
          </w:tcPr>
          <w:p>
            <w:pPr>
              <w:spacing w:after="20" w:before="20" w:line="252" w:lineRule="auto"/>
            </w:pPr>
            <w:r/>
            <w:r>
              <w:rPr>
                <w:rFonts w:ascii="Arial" w:hAnsi="Arial"/>
                <w:b w:val="0"/>
                <w:i w:val="0"/>
                <w:sz w:val="17"/>
              </w:rPr>
              <w:t>0,10%</w:t>
            </w:r>
          </w:p>
        </w:tc>
        <w:tc>
          <w:tcPr>
            <w:tcW w:type="dxa" w:w="1267"/>
            <w:vAlign w:val="center"/>
          </w:tcPr>
          <w:p>
            <w:pPr>
              <w:spacing w:after="20" w:before="20" w:line="252" w:lineRule="auto"/>
            </w:pPr>
            <w:r/>
            <w:r>
              <w:rPr>
                <w:rFonts w:ascii="Arial" w:hAnsi="Arial"/>
                <w:b w:val="0"/>
                <w:i w:val="0"/>
                <w:sz w:val="17"/>
              </w:rPr>
              <w:t>0,82</w:t>
            </w:r>
          </w:p>
        </w:tc>
        <w:tc>
          <w:tcPr>
            <w:tcW w:type="dxa" w:w="1629"/>
            <w:vAlign w:val="center"/>
          </w:tcPr>
          <w:p>
            <w:pPr>
              <w:spacing w:after="20" w:before="20" w:line="252" w:lineRule="auto"/>
            </w:pPr>
            <w:r/>
            <w:r>
              <w:rPr>
                <w:rFonts w:ascii="Arial" w:hAnsi="Arial"/>
                <w:b w:val="0"/>
                <w:i w:val="0"/>
                <w:sz w:val="17"/>
              </w:rPr>
              <w:t>67</w:t>
            </w:r>
          </w:p>
        </w:tc>
        <w:tc>
          <w:tcPr>
            <w:tcW w:type="dxa" w:w="1267"/>
            <w:vAlign w:val="center"/>
          </w:tcPr>
          <w:p>
            <w:pPr>
              <w:spacing w:after="20" w:before="20" w:line="252" w:lineRule="auto"/>
            </w:pPr>
            <w:r/>
            <w:r>
              <w:rPr>
                <w:rFonts w:ascii="Arial" w:hAnsi="Arial"/>
                <w:b w:val="0"/>
                <w:i w:val="0"/>
                <w:sz w:val="17"/>
              </w:rPr>
              <w:t>7,0</w:t>
            </w:r>
          </w:p>
        </w:tc>
      </w:tr>
      <w:tr>
        <w:trPr>
          <w:cantSplit/>
        </w:trPr>
        <w:tc>
          <w:tcPr>
            <w:tcW w:type="dxa" w:w="1991"/>
            <w:shd w:val="clear" w:color="auto" w:fill="E6ECFD"/>
            <w:vAlign w:val="center"/>
          </w:tcPr>
          <w:p>
            <w:pPr>
              <w:spacing w:after="20" w:before="20" w:line="252" w:lineRule="auto"/>
            </w:pPr>
            <w:r/>
            <w:r>
              <w:rPr>
                <w:rFonts w:ascii="Arial" w:hAnsi="Arial"/>
                <w:b/>
                <w:i w:val="0"/>
                <w:sz w:val="17"/>
              </w:rPr>
              <w:t>Lainnya</w:t>
            </w:r>
          </w:p>
        </w:tc>
        <w:tc>
          <w:tcPr>
            <w:tcW w:type="dxa" w:w="1810"/>
            <w:shd w:val="clear" w:color="auto" w:fill="E6ECFD"/>
            <w:vAlign w:val="center"/>
          </w:tcPr>
          <w:p>
            <w:pPr>
              <w:spacing w:after="20" w:before="20" w:line="252" w:lineRule="auto"/>
            </w:pPr>
            <w:r/>
            <w:r>
              <w:rPr>
                <w:rFonts w:ascii="Arial" w:hAnsi="Arial"/>
                <w:b w:val="0"/>
                <w:i w:val="0"/>
                <w:sz w:val="17"/>
              </w:rPr>
              <w:t>106</w:t>
            </w:r>
          </w:p>
        </w:tc>
        <w:tc>
          <w:tcPr>
            <w:tcW w:type="dxa" w:w="1448"/>
            <w:shd w:val="clear" w:color="auto" w:fill="E6ECFD"/>
            <w:vAlign w:val="center"/>
          </w:tcPr>
          <w:p>
            <w:pPr>
              <w:spacing w:after="20" w:before="20" w:line="252" w:lineRule="auto"/>
            </w:pPr>
            <w:r/>
            <w:r>
              <w:rPr>
                <w:rFonts w:ascii="Arial" w:hAnsi="Arial"/>
                <w:b w:val="0"/>
                <w:i w:val="0"/>
                <w:sz w:val="17"/>
              </w:rPr>
              <w:t>0,07%</w:t>
            </w:r>
          </w:p>
        </w:tc>
        <w:tc>
          <w:tcPr>
            <w:tcW w:type="dxa" w:w="1267"/>
            <w:shd w:val="clear" w:color="auto" w:fill="E6ECFD"/>
            <w:vAlign w:val="center"/>
          </w:tcPr>
          <w:p>
            <w:pPr>
              <w:spacing w:after="20" w:before="20" w:line="252" w:lineRule="auto"/>
            </w:pPr>
            <w:r/>
            <w:r>
              <w:rPr>
                <w:rFonts w:ascii="Arial" w:hAnsi="Arial"/>
                <w:b w:val="0"/>
                <w:i w:val="0"/>
                <w:sz w:val="17"/>
              </w:rPr>
              <w:t>0,60</w:t>
            </w:r>
          </w:p>
        </w:tc>
        <w:tc>
          <w:tcPr>
            <w:tcW w:type="dxa" w:w="1629"/>
            <w:shd w:val="clear" w:color="auto" w:fill="E6ECFD"/>
            <w:vAlign w:val="center"/>
          </w:tcPr>
          <w:p>
            <w:pPr>
              <w:spacing w:after="20" w:before="20" w:line="252" w:lineRule="auto"/>
            </w:pPr>
            <w:r/>
            <w:r>
              <w:rPr>
                <w:rFonts w:ascii="Arial" w:hAnsi="Arial"/>
                <w:b w:val="0"/>
                <w:i w:val="0"/>
                <w:sz w:val="17"/>
              </w:rPr>
              <w:t>270</w:t>
            </w:r>
          </w:p>
        </w:tc>
        <w:tc>
          <w:tcPr>
            <w:tcW w:type="dxa" w:w="1267"/>
            <w:shd w:val="clear" w:color="auto" w:fill="E6ECFD"/>
            <w:vAlign w:val="center"/>
          </w:tcPr>
          <w:p>
            <w:pPr>
              <w:spacing w:after="20" w:before="20" w:line="252" w:lineRule="auto"/>
            </w:pPr>
            <w:r/>
            <w:r>
              <w:rPr>
                <w:rFonts w:ascii="Arial" w:hAnsi="Arial"/>
                <w:b w:val="0"/>
                <w:i w:val="0"/>
                <w:sz w:val="17"/>
              </w:rPr>
              <w:t>3,0</w:t>
            </w:r>
          </w:p>
        </w:tc>
      </w:tr>
      <w:tr>
        <w:trPr>
          <w:cantSplit/>
        </w:trPr>
        <w:tc>
          <w:tcPr>
            <w:tcW w:type="dxa" w:w="1991"/>
            <w:vAlign w:val="center"/>
          </w:tcPr>
          <w:p>
            <w:pPr>
              <w:spacing w:after="20" w:before="20" w:line="252" w:lineRule="auto"/>
            </w:pPr>
            <w:r/>
            <w:r>
              <w:rPr>
                <w:rFonts w:ascii="Arial" w:hAnsi="Arial"/>
                <w:b/>
                <w:i w:val="0"/>
                <w:sz w:val="17"/>
              </w:rPr>
              <w:t>Total</w:t>
            </w:r>
          </w:p>
        </w:tc>
        <w:tc>
          <w:tcPr>
            <w:tcW w:type="dxa" w:w="1810"/>
            <w:vAlign w:val="center"/>
          </w:tcPr>
          <w:p>
            <w:pPr>
              <w:spacing w:after="20" w:before="20" w:line="252" w:lineRule="auto"/>
            </w:pPr>
            <w:r/>
            <w:r>
              <w:rPr>
                <w:rFonts w:ascii="Arial" w:hAnsi="Arial"/>
                <w:b/>
                <w:i w:val="0"/>
                <w:sz w:val="17"/>
              </w:rPr>
              <w:t>2.091</w:t>
            </w:r>
          </w:p>
        </w:tc>
        <w:tc>
          <w:tcPr>
            <w:tcW w:type="dxa" w:w="1448"/>
            <w:vAlign w:val="center"/>
          </w:tcPr>
          <w:p>
            <w:pPr>
              <w:spacing w:after="20" w:before="20" w:line="252" w:lineRule="auto"/>
            </w:pPr>
            <w:r/>
            <w:r>
              <w:rPr>
                <w:rFonts w:ascii="Arial" w:hAnsi="Arial"/>
                <w:b/>
                <w:i w:val="0"/>
                <w:sz w:val="17"/>
              </w:rPr>
              <w:t>1,55%</w:t>
            </w:r>
          </w:p>
        </w:tc>
        <w:tc>
          <w:tcPr>
            <w:tcW w:type="dxa" w:w="1267"/>
            <w:vAlign w:val="center"/>
          </w:tcPr>
          <w:p>
            <w:pPr>
              <w:spacing w:after="20" w:before="20" w:line="252" w:lineRule="auto"/>
            </w:pPr>
            <w:r/>
            <w:r>
              <w:rPr>
                <w:rFonts w:ascii="Arial" w:hAnsi="Arial"/>
                <w:b/>
                <w:i w:val="0"/>
                <w:sz w:val="17"/>
              </w:rPr>
              <w:t>11,41</w:t>
            </w:r>
          </w:p>
        </w:tc>
        <w:tc>
          <w:tcPr>
            <w:tcW w:type="dxa" w:w="1629"/>
            <w:vAlign w:val="center"/>
          </w:tcPr>
          <w:p>
            <w:pPr>
              <w:spacing w:after="20" w:before="20" w:line="252" w:lineRule="auto"/>
            </w:pPr>
            <w:r/>
            <w:r>
              <w:rPr>
                <w:rFonts w:ascii="Arial" w:hAnsi="Arial"/>
                <w:b/>
                <w:i w:val="0"/>
                <w:sz w:val="17"/>
              </w:rPr>
              <w:t>976</w:t>
            </w:r>
          </w:p>
        </w:tc>
        <w:tc>
          <w:tcPr>
            <w:tcW w:type="dxa" w:w="1267"/>
            <w:vAlign w:val="center"/>
          </w:tcPr>
          <w:p>
            <w:pPr>
              <w:spacing w:after="20" w:before="20" w:line="252" w:lineRule="auto"/>
            </w:pPr>
            <w:r/>
            <w:r>
              <w:rPr>
                <w:rFonts w:ascii="Arial" w:hAnsi="Arial"/>
                <w:b/>
                <w:i w:val="0"/>
                <w:sz w:val="17"/>
              </w:rPr>
              <w:t>38,8</w:t>
            </w:r>
          </w:p>
        </w:tc>
      </w:tr>
    </w:tbl>
    <w:p>
      <w:pPr>
        <w:spacing w:after="160"/>
      </w:pPr>
      <w:r>
        <w:rPr>
          <w:rFonts w:ascii="Arial" w:hAnsi="Arial"/>
          <w:b w:val="0"/>
          <w:i/>
          <w:color w:val="051C5C"/>
          <w:sz w:val="17"/>
        </w:rPr>
        <w:t>Sumber: [K §5.7]. Puncak tahun berbeda per klaster; angka bruto, belum dikurangi pengalihan. Skenario pertumbuhan 8% ada pada Lampiran C.</w:t>
      </w:r>
    </w:p>
    <w:p>
      <w:pPr>
        <w:jc w:val="both"/>
      </w:pPr>
      <w:r>
        <w:rPr>
          <w:rFonts w:ascii="Arial" w:hAnsi="Arial"/>
          <w:b w:val="0"/>
          <w:i w:val="0"/>
        </w:rPr>
        <w:t>Tiga catatan penting untuk manajemen proyek. Pekerjaan bruto bukan pekerjaan baru: Indonesia memiliki sekitar 10,7 juta setengah penganggur dan sekitar 1,9 juta pendatang baru angkatan kerja per tahun. Investasi turun dari sekitar Rp409 triliun (2031) menjadi Rp87 triliun (2032) karena hampir semua linimasa berakhir 2031, yang menurut model menurunkan pertumbuhan 2032 sekitar 0,7 poin; ini risiko jadwal portofolio dan menuntut pipeline penerus sejak 2030. Terakhir, pertumbuhan kira-kira sama dengan rasio investasi terhadap PDB dibagi ICOR (28,8% ÷ 5,6 ≈ 5,1% pada 2025), dan jalur yang dipilih sumber memadukan investasi sekitar 33,5% PDB dengan ICOR sekitar 4,2 [K §5.7, §14.7]. ICOR proyek, yaitu biaya modal per unit tambahan output, karenanya menjadi indikator kendali yang menghubungkan efisiensi proyek dengan sasaran makro, dan perlu diukur sejak studi kelayakan.</w:t>
      </w:r>
    </w:p>
    <w:p>
      <w:pPr>
        <w:pStyle w:val="Heading1"/>
      </w:pPr>
      <w:bookmarkStart w:id="12" w:name="_Toc012"/>
      <w:r>
        <w:t>11  Pengukuran kinerja, pelaporan, dan data</w:t>
      </w:r>
      <w:bookmarkEnd w:id="12"/>
    </w:p>
    <w:p>
      <w:pPr>
        <w:jc w:val="both"/>
      </w:pPr>
      <w:r>
        <w:rPr>
          <w:rFonts w:ascii="Arial" w:hAnsi="Arial"/>
          <w:b/>
          <w:i w:val="0"/>
        </w:rPr>
        <w:t>Ringkasnya:</w:t>
      </w:r>
      <w:r>
        <w:rPr>
          <w:rFonts w:ascii="Arial" w:hAnsi="Arial"/>
          <w:b w:val="0"/>
          <w:i w:val="0"/>
        </w:rPr>
        <w:t xml:space="preserve"> Kajian mengusulkan tiga scorecard dengan aturan penilaian yang menolak mengubah data yang tidak tersedia menjadi nol. Bab ini menjelaskan aturan itu, metrik yang relevan bagi pelaksanaan proyek, dan disiplin data yang diperlukan agar angka dapat dipercaya.</w:t>
      </w:r>
    </w:p>
    <w:p>
      <w:pPr>
        <w:pStyle w:val="Heading2"/>
      </w:pPr>
      <w:r>
        <w:t>11.1  Prinsip pengukuran</w:t>
      </w:r>
    </w:p>
    <w:p>
      <w:pPr>
        <w:jc w:val="both"/>
      </w:pPr>
      <w:r>
        <w:rPr>
          <w:rFonts w:ascii="Arial" w:hAnsi="Arial"/>
          <w:b w:val="0"/>
          <w:i w:val="0"/>
        </w:rPr>
        <w:t xml:space="preserve">Indikator yang baik terkait tujuan, dapat diukur dengan data yang tersedia, memiliki definisi dan pemilik, dan memicu tindakan. Indikator tertinggal (biaya akhir, manfaat) dilengkapi indikator pendahulu (CPI, SPI, kemajuan gerbang, umur hambatan). Kerangka </w:t>
      </w:r>
      <w:r>
        <w:rPr>
          <w:rFonts w:ascii="Arial" w:hAnsi="Arial"/>
          <w:b w:val="0"/>
          <w:i/>
        </w:rPr>
        <w:t>balanced scorecard</w:t>
      </w:r>
      <w:r>
        <w:rPr>
          <w:rFonts w:ascii="Arial" w:hAnsi="Arial"/>
          <w:b w:val="0"/>
          <w:i w:val="0"/>
        </w:rPr>
        <w:t xml:space="preserve"> (Kaplan dan Norton, 1996) mengingatkan keseimbangan perspektif keuangan, pemangku kepentingan, proses internal, dan pembelajaran.</w:t>
      </w:r>
    </w:p>
    <w:p>
      <w:pPr>
        <w:pStyle w:val="Heading2"/>
      </w:pPr>
      <w:r>
        <w:t>11.2  Tiga scorecard</w:t>
      </w:r>
    </w:p>
    <w:p>
      <w:pPr>
        <w:jc w:val="both"/>
      </w:pPr>
      <w:r>
        <w:rPr>
          <w:rFonts w:ascii="Arial" w:hAnsi="Arial"/>
          <w:b w:val="0"/>
          <w:i w:val="0"/>
        </w:rPr>
        <w:t xml:space="preserve">Kajian mengadopsi tiga </w:t>
      </w:r>
      <w:r>
        <w:rPr>
          <w:rFonts w:ascii="Arial" w:hAnsi="Arial"/>
          <w:b w:val="0"/>
          <w:i/>
        </w:rPr>
        <w:t>scorecard</w:t>
      </w:r>
      <w:r>
        <w:rPr>
          <w:rFonts w:ascii="Arial" w:hAnsi="Arial"/>
          <w:b w:val="0"/>
          <w:i w:val="0"/>
        </w:rPr>
        <w:t xml:space="preserve"> dari evaluasi kinerja: Investasi (I01–I12; bobot awal 40%), Operasi BUMN (O01–O15; 35%), dan Pembangunan ekonomi dan industri (D01–D12; 25%), ditambah gerbang tata kelola dengan enam pengendalian lulus atau gagal. Setiap metrik memiliki jangkar buruk, target, dan stretch dengan skor 0, 80, dan 100 (interpolasi linear dibatasi 0–100); sedikitnya 80% bobot yang berlaku harus dapat dinilai pada setiap aliran; metrik yang tidak tersedia tetap NR, tidak pernah nol; dan hanya bukti kelas A atau B dengan cakupan sebanding yang layak dinilai [K §14.1]. Belum ada skor agregat yang ditetapkan, dan skor 0/100 pada penilaian 40 slot adalah penalti data, bukan bukti bahwa proyek gagal [EXEC slide 2–4].</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19</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Metrik yang relevan bagi pelaksanaan proyek</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Metrik yang relevan bagi pelaksanaan proyek"/>
      </w:tblPr>
      <w:tblGrid>
        <w:gridCol w:w="3137"/>
        <w:gridCol w:w="3137"/>
        <w:gridCol w:w="3137"/>
      </w:tblGrid>
      <w:tr>
        <w:trPr>
          <w:cantSplit/>
          <w:tblHeader/>
        </w:trPr>
        <w:tc>
          <w:tcPr>
            <w:tcW w:type="dxa" w:w="1176"/>
            <w:shd w:val="clear" w:color="auto" w:fill="2251FF"/>
            <w:vAlign w:val="center"/>
          </w:tcPr>
          <w:p>
            <w:pPr>
              <w:spacing w:after="20" w:before="20" w:line="252" w:lineRule="auto"/>
            </w:pPr>
            <w:r/>
            <w:r>
              <w:rPr>
                <w:rFonts w:ascii="Arial" w:hAnsi="Arial"/>
                <w:b/>
                <w:i w:val="0"/>
                <w:color w:val="FFFFFF"/>
                <w:sz w:val="17"/>
              </w:rPr>
              <w:t>Kode</w:t>
            </w:r>
          </w:p>
        </w:tc>
        <w:tc>
          <w:tcPr>
            <w:tcW w:type="dxa" w:w="4902"/>
            <w:shd w:val="clear" w:color="auto" w:fill="2251FF"/>
            <w:vAlign w:val="center"/>
          </w:tcPr>
          <w:p>
            <w:pPr>
              <w:spacing w:after="20" w:before="20" w:line="252" w:lineRule="auto"/>
            </w:pPr>
            <w:r/>
            <w:r>
              <w:rPr>
                <w:rFonts w:ascii="Arial" w:hAnsi="Arial"/>
                <w:b/>
                <w:i w:val="0"/>
                <w:color w:val="FFFFFF"/>
                <w:sz w:val="17"/>
              </w:rPr>
              <w:t>Metrik</w:t>
            </w:r>
          </w:p>
        </w:tc>
        <w:tc>
          <w:tcPr>
            <w:tcW w:type="dxa" w:w="3333"/>
            <w:shd w:val="clear" w:color="auto" w:fill="2251FF"/>
            <w:vAlign w:val="center"/>
          </w:tcPr>
          <w:p>
            <w:pPr>
              <w:spacing w:after="20" w:before="20" w:line="252" w:lineRule="auto"/>
            </w:pPr>
            <w:r/>
            <w:r>
              <w:rPr>
                <w:rFonts w:ascii="Arial" w:hAnsi="Arial"/>
                <w:b/>
                <w:i w:val="0"/>
                <w:color w:val="FFFFFF"/>
                <w:sz w:val="17"/>
              </w:rPr>
              <w:t>Catatan baseline</w:t>
            </w:r>
          </w:p>
        </w:tc>
      </w:tr>
      <w:tr>
        <w:trPr>
          <w:cantSplit/>
        </w:trPr>
        <w:tc>
          <w:tcPr>
            <w:tcW w:type="dxa" w:w="1176"/>
            <w:vAlign w:val="center"/>
          </w:tcPr>
          <w:p>
            <w:pPr>
              <w:spacing w:after="20" w:before="20" w:line="252" w:lineRule="auto"/>
            </w:pPr>
            <w:r/>
            <w:r>
              <w:rPr>
                <w:rFonts w:ascii="Arial" w:hAnsi="Arial"/>
                <w:b/>
                <w:i w:val="0"/>
                <w:sz w:val="17"/>
              </w:rPr>
              <w:t>D08</w:t>
            </w:r>
          </w:p>
        </w:tc>
        <w:tc>
          <w:tcPr>
            <w:tcW w:type="dxa" w:w="4902"/>
            <w:vAlign w:val="center"/>
          </w:tcPr>
          <w:p>
            <w:pPr>
              <w:spacing w:after="20" w:before="20" w:line="252" w:lineRule="auto"/>
            </w:pPr>
            <w:r/>
            <w:r>
              <w:rPr>
                <w:rFonts w:ascii="Arial" w:hAnsi="Arial"/>
                <w:b w:val="0"/>
                <w:i w:val="0"/>
                <w:sz w:val="17"/>
              </w:rPr>
              <w:t>Komisioning tepat waktu dan tepat anggaran</w:t>
            </w:r>
          </w:p>
        </w:tc>
        <w:tc>
          <w:tcPr>
            <w:tcW w:type="dxa" w:w="3333"/>
            <w:vAlign w:val="center"/>
          </w:tcPr>
          <w:p>
            <w:pPr>
              <w:spacing w:after="20" w:before="20" w:line="252" w:lineRule="auto"/>
            </w:pPr>
            <w:r/>
            <w:r>
              <w:rPr>
                <w:rFonts w:ascii="Arial" w:hAnsi="Arial"/>
                <w:b w:val="0"/>
                <w:i w:val="0"/>
                <w:sz w:val="17"/>
              </w:rPr>
              <w:t>Penetapan ulang baseline tidak menghapus keterlambatan</w:t>
            </w:r>
          </w:p>
        </w:tc>
      </w:tr>
      <w:tr>
        <w:trPr>
          <w:cantSplit/>
        </w:trPr>
        <w:tc>
          <w:tcPr>
            <w:tcW w:type="dxa" w:w="1176"/>
            <w:shd w:val="clear" w:color="auto" w:fill="E6ECFD"/>
            <w:vAlign w:val="center"/>
          </w:tcPr>
          <w:p>
            <w:pPr>
              <w:spacing w:after="20" w:before="20" w:line="252" w:lineRule="auto"/>
            </w:pPr>
            <w:r/>
            <w:r>
              <w:rPr>
                <w:rFonts w:ascii="Arial" w:hAnsi="Arial"/>
                <w:b/>
                <w:i w:val="0"/>
                <w:sz w:val="17"/>
              </w:rPr>
              <w:t>I11</w:t>
            </w:r>
          </w:p>
        </w:tc>
        <w:tc>
          <w:tcPr>
            <w:tcW w:type="dxa" w:w="4902"/>
            <w:shd w:val="clear" w:color="auto" w:fill="E6ECFD"/>
            <w:vAlign w:val="center"/>
          </w:tcPr>
          <w:p>
            <w:pPr>
              <w:spacing w:after="20" w:before="20" w:line="252" w:lineRule="auto"/>
            </w:pPr>
            <w:r/>
            <w:r>
              <w:rPr>
                <w:rFonts w:ascii="Arial" w:hAnsi="Arial"/>
                <w:b w:val="0"/>
                <w:i w:val="0"/>
                <w:sz w:val="17"/>
              </w:rPr>
              <w:t>Capaian tonggak strategis terhadap baseline yang dibekukan</w:t>
            </w:r>
          </w:p>
        </w:tc>
        <w:tc>
          <w:tcPr>
            <w:tcW w:type="dxa" w:w="3333"/>
            <w:shd w:val="clear" w:color="auto" w:fill="E6ECFD"/>
            <w:vAlign w:val="center"/>
          </w:tcPr>
          <w:p>
            <w:pPr>
              <w:spacing w:after="20" w:before="20" w:line="252" w:lineRule="auto"/>
            </w:pPr>
            <w:r/>
            <w:r>
              <w:rPr>
                <w:rFonts w:ascii="Arial" w:hAnsi="Arial"/>
                <w:b w:val="0"/>
                <w:i w:val="0"/>
                <w:sz w:val="17"/>
              </w:rPr>
              <w:t>Baseline disahkan sebelum investasi</w:t>
            </w:r>
          </w:p>
        </w:tc>
      </w:tr>
      <w:tr>
        <w:trPr>
          <w:cantSplit/>
        </w:trPr>
        <w:tc>
          <w:tcPr>
            <w:tcW w:type="dxa" w:w="1176"/>
            <w:vAlign w:val="center"/>
          </w:tcPr>
          <w:p>
            <w:pPr>
              <w:spacing w:after="20" w:before="20" w:line="252" w:lineRule="auto"/>
            </w:pPr>
            <w:r/>
            <w:r>
              <w:rPr>
                <w:rFonts w:ascii="Arial" w:hAnsi="Arial"/>
                <w:b/>
                <w:i w:val="0"/>
                <w:sz w:val="17"/>
              </w:rPr>
              <w:t>O04</w:t>
            </w:r>
          </w:p>
        </w:tc>
        <w:tc>
          <w:tcPr>
            <w:tcW w:type="dxa" w:w="4902"/>
            <w:vAlign w:val="center"/>
          </w:tcPr>
          <w:p>
            <w:pPr>
              <w:spacing w:after="20" w:before="20" w:line="252" w:lineRule="auto"/>
            </w:pPr>
            <w:r/>
            <w:r>
              <w:rPr>
                <w:rFonts w:ascii="Arial" w:hAnsi="Arial"/>
                <w:b w:val="0"/>
                <w:i w:val="0"/>
                <w:sz w:val="17"/>
              </w:rPr>
              <w:t>Konversi kas operasi</w:t>
            </w:r>
          </w:p>
        </w:tc>
        <w:tc>
          <w:tcPr>
            <w:tcW w:type="dxa" w:w="3333"/>
            <w:vAlign w:val="center"/>
          </w:tcPr>
          <w:p>
            <w:pPr>
              <w:spacing w:after="20" w:before="20" w:line="252" w:lineRule="auto"/>
            </w:pPr>
            <w:r/>
            <w:r>
              <w:rPr>
                <w:rFonts w:ascii="Arial" w:hAnsi="Arial"/>
                <w:b w:val="0"/>
                <w:i w:val="0"/>
                <w:sz w:val="17"/>
              </w:rPr>
              <w:t>Utang pemasok tertunggak tidak diberi penghargaan</w:t>
            </w:r>
          </w:p>
        </w:tc>
      </w:tr>
      <w:tr>
        <w:trPr>
          <w:cantSplit/>
        </w:trPr>
        <w:tc>
          <w:tcPr>
            <w:tcW w:type="dxa" w:w="1176"/>
            <w:shd w:val="clear" w:color="auto" w:fill="E6ECFD"/>
            <w:vAlign w:val="center"/>
          </w:tcPr>
          <w:p>
            <w:pPr>
              <w:spacing w:after="20" w:before="20" w:line="252" w:lineRule="auto"/>
            </w:pPr>
            <w:r/>
            <w:r>
              <w:rPr>
                <w:rFonts w:ascii="Arial" w:hAnsi="Arial"/>
                <w:b/>
                <w:i w:val="0"/>
                <w:sz w:val="17"/>
              </w:rPr>
              <w:t>O09</w:t>
            </w:r>
          </w:p>
        </w:tc>
        <w:tc>
          <w:tcPr>
            <w:tcW w:type="dxa" w:w="4902"/>
            <w:shd w:val="clear" w:color="auto" w:fill="E6ECFD"/>
            <w:vAlign w:val="center"/>
          </w:tcPr>
          <w:p>
            <w:pPr>
              <w:spacing w:after="20" w:before="20" w:line="252" w:lineRule="auto"/>
            </w:pPr>
            <w:r/>
            <w:r>
              <w:rPr>
                <w:rFonts w:ascii="Arial" w:hAnsi="Arial"/>
                <w:b w:val="0"/>
                <w:i w:val="0"/>
                <w:sz w:val="17"/>
              </w:rPr>
              <w:t>Manfaat transformasi bersih terverifikasi</w:t>
            </w:r>
          </w:p>
        </w:tc>
        <w:tc>
          <w:tcPr>
            <w:tcW w:type="dxa" w:w="3333"/>
            <w:shd w:val="clear" w:color="auto" w:fill="E6ECFD"/>
            <w:vAlign w:val="center"/>
          </w:tcPr>
          <w:p>
            <w:pPr>
              <w:spacing w:after="20" w:before="20" w:line="252" w:lineRule="auto"/>
            </w:pPr>
            <w:r/>
            <w:r>
              <w:rPr>
                <w:rFonts w:ascii="Arial" w:hAnsi="Arial"/>
                <w:b w:val="0"/>
                <w:i w:val="0"/>
                <w:sz w:val="17"/>
              </w:rPr>
              <w:t>Pengurangan jumlah entitas bukan manfaat</w:t>
            </w:r>
          </w:p>
        </w:tc>
      </w:tr>
      <w:tr>
        <w:trPr>
          <w:cantSplit/>
        </w:trPr>
        <w:tc>
          <w:tcPr>
            <w:tcW w:type="dxa" w:w="1176"/>
            <w:vAlign w:val="center"/>
          </w:tcPr>
          <w:p>
            <w:pPr>
              <w:spacing w:after="20" w:before="20" w:line="252" w:lineRule="auto"/>
            </w:pPr>
            <w:r/>
            <w:r>
              <w:rPr>
                <w:rFonts w:ascii="Arial" w:hAnsi="Arial"/>
                <w:b/>
                <w:i w:val="0"/>
                <w:sz w:val="17"/>
              </w:rPr>
              <w:t>D05 / D06</w:t>
            </w:r>
          </w:p>
        </w:tc>
        <w:tc>
          <w:tcPr>
            <w:tcW w:type="dxa" w:w="4902"/>
            <w:vAlign w:val="center"/>
          </w:tcPr>
          <w:p>
            <w:pPr>
              <w:spacing w:after="20" w:before="20" w:line="252" w:lineRule="auto"/>
            </w:pPr>
            <w:r/>
            <w:r>
              <w:rPr>
                <w:rFonts w:ascii="Arial" w:hAnsi="Arial"/>
                <w:b w:val="0"/>
                <w:i w:val="0"/>
                <w:sz w:val="17"/>
              </w:rPr>
              <w:t>Porsi DVA pada paket jangkar; tonggak kapabilitas teknologi terverifikasi</w:t>
            </w:r>
          </w:p>
        </w:tc>
        <w:tc>
          <w:tcPr>
            <w:tcW w:type="dxa" w:w="3333"/>
            <w:vAlign w:val="center"/>
          </w:tcPr>
          <w:p>
            <w:pPr>
              <w:spacing w:after="20" w:before="20" w:line="252" w:lineRule="auto"/>
            </w:pPr>
            <w:r/>
            <w:r>
              <w:rPr>
                <w:rFonts w:ascii="Arial" w:hAnsi="Arial"/>
                <w:b w:val="0"/>
                <w:i w:val="0"/>
                <w:sz w:val="17"/>
              </w:rPr>
              <w:t>Tidak identik dengan sertifikat TKDN</w:t>
            </w:r>
          </w:p>
        </w:tc>
      </w:tr>
      <w:tr>
        <w:trPr>
          <w:cantSplit/>
        </w:trPr>
        <w:tc>
          <w:tcPr>
            <w:tcW w:type="dxa" w:w="1176"/>
            <w:shd w:val="clear" w:color="auto" w:fill="E6ECFD"/>
            <w:vAlign w:val="center"/>
          </w:tcPr>
          <w:p>
            <w:pPr>
              <w:spacing w:after="20" w:before="20" w:line="252" w:lineRule="auto"/>
            </w:pPr>
            <w:r/>
            <w:r>
              <w:rPr>
                <w:rFonts w:ascii="Arial" w:hAnsi="Arial"/>
                <w:b/>
                <w:i w:val="0"/>
                <w:sz w:val="17"/>
              </w:rPr>
              <w:t>K01–K05</w:t>
            </w:r>
          </w:p>
        </w:tc>
        <w:tc>
          <w:tcPr>
            <w:tcW w:type="dxa" w:w="4902"/>
            <w:shd w:val="clear" w:color="auto" w:fill="E6ECFD"/>
            <w:vAlign w:val="center"/>
          </w:tcPr>
          <w:p>
            <w:pPr>
              <w:spacing w:after="20" w:before="20" w:line="252" w:lineRule="auto"/>
            </w:pPr>
            <w:r/>
            <w:r>
              <w:rPr>
                <w:rFonts w:ascii="Arial" w:hAnsi="Arial"/>
                <w:b w:val="0"/>
                <w:i w:val="0"/>
                <w:sz w:val="17"/>
              </w:rPr>
              <w:t>Pemasok per gerbang; nilai pesanan; kandungan lokal berbasis kapabilitas; waktu siklus gerbang; kegagalan mutu pascapesanan</w:t>
            </w:r>
          </w:p>
        </w:tc>
        <w:tc>
          <w:tcPr>
            <w:tcW w:type="dxa" w:w="3333"/>
            <w:shd w:val="clear" w:color="auto" w:fill="E6ECFD"/>
            <w:vAlign w:val="center"/>
          </w:tcPr>
          <w:p>
            <w:pPr>
              <w:spacing w:after="20" w:before="20" w:line="252" w:lineRule="auto"/>
            </w:pPr>
            <w:r/>
            <w:r>
              <w:rPr>
                <w:rFonts w:ascii="Arial" w:hAnsi="Arial"/>
                <w:b w:val="0"/>
                <w:i w:val="0"/>
                <w:sz w:val="17"/>
              </w:rPr>
              <w:t>Usulan Kajian</w:t>
            </w:r>
          </w:p>
        </w:tc>
      </w:tr>
    </w:tbl>
    <w:p>
      <w:pPr>
        <w:spacing w:after="160"/>
      </w:pPr>
      <w:r>
        <w:rPr>
          <w:rFonts w:ascii="Arial" w:hAnsi="Arial"/>
          <w:b w:val="0"/>
          <w:i/>
          <w:color w:val="051C5C"/>
          <w:sz w:val="17"/>
        </w:rPr>
        <w:t>Sumber: [K Lampiran A, §6.3].</w:t>
      </w:r>
    </w:p>
    <w:p>
      <w:pPr>
        <w:pStyle w:val="Heading2"/>
      </w:pPr>
      <w:r>
        <w:t>11.3  Lima belas KPI kepemimpinan</w:t>
      </w:r>
    </w:p>
    <w:p>
      <w:pPr>
        <w:jc w:val="both"/>
      </w:pPr>
      <w:r>
        <w:rPr>
          <w:rFonts w:ascii="Arial" w:hAnsi="Arial"/>
          <w:b w:val="0"/>
          <w:i w:val="0"/>
        </w:rPr>
        <w:t>Untuk Kepala Badan Pelaksana dan Dewan Pengawas, Kajian mengusulkan lima belas KPI dengan target ditetapkan setelah baseline tersedia. Yang paling relevan bagi manajemen proyek: mutu register (100% identitas terpetakan dalam 30 hari); waktu keputusan (median dan persentil ke-90 sejak dokumen lengkap, dengan waktu tunggu dipisahkan; usulan penurunan median 30% dalam enam bulan setelah baseline); penyelesaian hambatan (rasio yang diselesaikan secara sah terhadap yang jatuh tempo, beserta umurnya); kesiapan investasi (proyek yang memenuhi bukti P2 dan persetujuan P3 sebelum komitmen tak dapat dibatalkan: 100%); dan ketepatan jadwal dan biaya terhadap baseline yang disahkan [K §14.5; EVAL §17].</w:t>
      </w:r>
    </w:p>
    <w:p>
      <w:pPr>
        <w:pStyle w:val="Heading2"/>
      </w:pPr>
      <w:r>
        <w:t>11.4  Lima tahap modal dan kelas bukti</w:t>
      </w:r>
    </w:p>
    <w:p>
      <w:pPr>
        <w:keepNext/>
        <w:jc w:val="center"/>
      </w:pPr>
      <w:r>
        <w:drawing>
          <wp:inline xmlns:a="http://schemas.openxmlformats.org/drawingml/2006/main" xmlns:pic="http://schemas.openxmlformats.org/drawingml/2006/picture">
            <wp:extent cx="5580000" cy="2456938"/>
            <wp:docPr id="11" name="Picture 11" descr="Lima tahap modal dilaporkan terpisah, dan setiap angka membawa kelas bukti" title="Lima tahap modal dilaporkan terpisah, dan setiap angka membawa kelas bukti"/>
            <wp:cNvGraphicFramePr>
              <a:graphicFrameLocks noChangeAspect="1"/>
            </wp:cNvGraphicFramePr>
            <a:graphic>
              <a:graphicData uri="http://schemas.openxmlformats.org/drawingml/2006/picture">
                <pic:pic>
                  <pic:nvPicPr>
                    <pic:cNvPr id="0" name="f_stages.png"/>
                    <pic:cNvPicPr/>
                  </pic:nvPicPr>
                  <pic:blipFill>
                    <a:blip r:embed="rId24"/>
                    <a:stretch>
                      <a:fillRect/>
                    </a:stretch>
                  </pic:blipFill>
                  <pic:spPr>
                    <a:xfrm>
                      <a:off x="0" y="0"/>
                      <a:ext cx="5580000" cy="2456938"/>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Lima tahap modal dilaporkan terpisah, dan setiap angka membawa kelas bukti</w:t>
      </w:r>
    </w:p>
    <w:p>
      <w:pPr>
        <w:spacing w:after="160"/>
      </w:pPr>
      <w:r>
        <w:rPr>
          <w:rFonts w:ascii="Arial" w:hAnsi="Arial"/>
          <w:b w:val="0"/>
          <w:i/>
          <w:color w:val="051C5C"/>
          <w:sz w:val="17"/>
        </w:rPr>
        <w:t>Sumber: [K §14.3, §2.4].</w:t>
      </w:r>
    </w:p>
    <w:p>
      <w:pPr>
        <w:jc w:val="both"/>
      </w:pPr>
      <w:r>
        <w:rPr>
          <w:rFonts w:ascii="Arial" w:hAnsi="Arial"/>
          <w:b w:val="0"/>
          <w:i w:val="0"/>
        </w:rPr>
        <w:t>Setiap tahap memerlukan buktinya sendiri, dan tahap lanjut tidak pernah disimpulkan dari tahap sebelumnya. Aturan sederhananya: setiap angka di dasbor membawa kelas bukti, sumber, dan tanggal.</w:t>
      </w:r>
    </w:p>
    <w:p>
      <w:pPr>
        <w:pStyle w:val="Heading2"/>
      </w:pPr>
      <w:r>
        <w:t>11.5  Laporan proyek dan pelaporan berdasarkan pengecualian</w:t>
      </w:r>
    </w:p>
    <w:p>
      <w:pPr>
        <w:jc w:val="both"/>
      </w:pPr>
      <w:r>
        <w:rPr>
          <w:rFonts w:ascii="Arial" w:hAnsi="Arial"/>
          <w:b w:val="0"/>
          <w:i w:val="0"/>
        </w:rPr>
        <w:t>Laporan bulanan proyek yang berguna memuat sepuluh bagian: ringkasan dengan status Hijau, Kuning, Merah, atau Hitam; kemajuan fisik berbobot dan SPI dengan jalur kritis; laporan biaya (anggaran asli, perubahan disetujui, anggaran berjalan, komitmen, aktual, ETC, EAC, varians, CPI); kas (tagihan, penerimaan, piutang jatuh tempo, pekerjaan belum ditagih, DSO); perubahan dan klaim; lima risiko teratas; mutu dan K3; pengadaan dan kemajuan gerbang pemasok; keputusan yang diminta beserta umur hambatan; serta kelas bukti dan catatan data (Lampiran B). Prinsip manajemen berdasarkan pengecualian (PRINCE2) menetapkan batas toleransi biaya, waktu, dan lingkup pada piagam; selama proyek berada dalam toleransi, direktur proyek mengelola sendiri, dan penyimpangan di luar batas dieskalasi kepada sponsor atau Kepala. Kajian menambahkan bahwa laporan harus memisahkan waktu kajian aktif dari waktu menunggu pihak lain, agar data keterlambatan menunjuk sebab yang tepat [EVAL §11].</w:t>
      </w:r>
    </w:p>
    <w:p>
      <w:pPr>
        <w:pStyle w:val="Heading2"/>
      </w:pPr>
      <w:r>
        <w:t>11.6  Data induk dan penghitungan ganda</w:t>
      </w:r>
    </w:p>
    <w:p>
      <w:pPr>
        <w:jc w:val="both"/>
      </w:pPr>
      <w:r>
        <w:rPr>
          <w:rFonts w:ascii="Arial" w:hAnsi="Arial"/>
          <w:b w:val="0"/>
          <w:i w:val="0"/>
        </w:rPr>
        <w:t>Platform AI yang diusulkan memakai data induk berupa ID proyek, WBS, kode biaya, kode aktivitas, kode material, ID pemasok, ID kontrak, ID perintah perubahan, ID sertifikat pembayaran, dan ID aset [PLAT hlm. 6]. Kajian memperluasnya menjadi satu register identitas: ID proyek yang sama pada register, scorecard, dan menara kendali; ID pemasok yang sama pada agen pengadaan dan register kesiapan DOCK-UP; serta ID seri dan kontrak untuk instrumen pembiayaan [K §12.2]. Tanpa identitas tunggal, penghitungan ganda sulit dihindari. Kajian merinci pengendaliannya: jembatan NAV (NAV awal + modal eksternal + hasil investasi − distribusi = NAV akhir) agar pengalihan aset tidak dihitung sebagai imbal hasil; eliminasi konsolidasi antara laba BUMN dan dividennya; pencatatan terpisah total belanja modal, ekuitas dan utang Danantara, modal publik lain, dan pendanaan swasta; atribusi selaras MDB agar investasi yang sama tidak diklaim berkali-kali; serta pemisahan pekerjaan langsung, tidak langsung, induksi, permanen, dan pengalihan [K §14.4].</w:t>
      </w:r>
    </w:p>
    <w:p>
      <w:pPr>
        <w:pStyle w:val="Heading1"/>
      </w:pPr>
      <w:bookmarkStart w:id="13" w:name="_Toc013"/>
      <w:r>
        <w:t>12  AI multiagen dalam manajemen proyek</w:t>
      </w:r>
      <w:bookmarkEnd w:id="13"/>
    </w:p>
    <w:p>
      <w:pPr>
        <w:jc w:val="both"/>
      </w:pPr>
      <w:r>
        <w:rPr>
          <w:rFonts w:ascii="Arial" w:hAnsi="Arial"/>
          <w:b/>
          <w:i w:val="0"/>
        </w:rPr>
        <w:t>Ringkasnya:</w:t>
      </w:r>
      <w:r>
        <w:rPr>
          <w:rFonts w:ascii="Arial" w:hAnsi="Arial"/>
          <w:b w:val="0"/>
          <w:i w:val="0"/>
        </w:rPr>
        <w:t xml:space="preserve"> rancangan dalam dokumen platform sebagian besar mengodekan disiplin proses (anggaran, pemeriksaan PR, pencocokan tiga arah, EVM) dan tidak mengganti keputusan manusia. Rancangan itu belum memuat anggaran Rp dan membutuhkan data induk yang konsisten.</w:t>
      </w:r>
    </w:p>
    <w:p>
      <w:pPr>
        <w:pStyle w:val="Heading2"/>
      </w:pPr>
      <w:r>
        <w:t>12.1  Data sebelum kecerdasan</w:t>
      </w:r>
    </w:p>
    <w:p>
      <w:pPr>
        <w:jc w:val="both"/>
      </w:pPr>
      <w:r>
        <w:rPr>
          <w:rFonts w:ascii="Arial" w:hAnsi="Arial"/>
          <w:b w:val="0"/>
          <w:i w:val="0"/>
        </w:rPr>
        <w:t>Prasyarat digitalisasi adalah proses yang terdefinisi (Bab 3 sampai 11) dan data induk yang konsisten. Kajian menyatakan: agen hanya sebaik data induk dan integrasi ERP, sehingga Fase 1 harus memvalidasi model data sebelum perluasan [K §12.8]. Lapisan teknologi proyek modal umumnya terdiri dari ERP, sistem jadwal (misalnya Primavera P6), lingkungan data bersama dan BIM (CDE), e-procurement, manajemen kontrak, sistem K3 dan mutu, serta data lapangan (aplikasi seluler, drone, CCTV, sensor IoT).</w:t>
      </w:r>
    </w:p>
    <w:p>
      <w:pPr>
        <w:pStyle w:val="Heading2"/>
      </w:pPr>
      <w:r>
        <w:t>12.2  Rancangan sistem</w:t>
      </w:r>
    </w:p>
    <w:p>
      <w:pPr>
        <w:jc w:val="both"/>
      </w:pPr>
      <w:r>
        <w:rPr>
          <w:rFonts w:ascii="Arial" w:hAnsi="Arial"/>
          <w:b w:val="0"/>
          <w:i w:val="0"/>
        </w:rPr>
        <w:t xml:space="preserve">Dokumen platform mengusulkan sistem operasi proyek berbasis AI, bukan </w:t>
      </w:r>
      <w:r>
        <w:rPr>
          <w:rFonts w:ascii="Arial" w:hAnsi="Arial"/>
          <w:b w:val="0"/>
          <w:i/>
        </w:rPr>
        <w:t>chatbot</w:t>
      </w:r>
      <w:r>
        <w:rPr>
          <w:rFonts w:ascii="Arial" w:hAnsi="Arial"/>
          <w:b w:val="0"/>
          <w:i w:val="0"/>
        </w:rPr>
        <w:t xml:space="preserve">, yang "memberikan pengawasan menyeluruh dari proyek hingga portofolio". Tujuannya melindungi arus kas, mendeteksi potensi kerugian lebih awal, meningkatkan produktivitas, dan mengoordinasikan portofolio proyek BUMN Konstruksi [PLAT hlm. 5]. Arsitekturnya berlapis enam: Portfolio Control Tower di Danantara, </w:t>
      </w:r>
      <w:r>
        <w:rPr>
          <w:rFonts w:ascii="Arial" w:hAnsi="Arial"/>
          <w:b w:val="0"/>
          <w:i/>
        </w:rPr>
        <w:t>orchestrator</w:t>
      </w:r>
      <w:r>
        <w:rPr>
          <w:rFonts w:ascii="Arial" w:hAnsi="Arial"/>
          <w:b w:val="0"/>
          <w:i w:val="0"/>
        </w:rPr>
        <w:t xml:space="preserve"> perusahaan, kelompok agen korporat (komersial, keuangan, eksekusi), menara kendali per proyek dengan dua belas agen, intelijen lapangan, dan platform data perusahaan [PLAT hlm. 6].</w:t>
      </w:r>
    </w:p>
    <w:p>
      <w:pPr>
        <w:keepNext/>
        <w:jc w:val="center"/>
      </w:pPr>
      <w:r>
        <w:drawing>
          <wp:inline xmlns:a="http://schemas.openxmlformats.org/drawingml/2006/main" xmlns:pic="http://schemas.openxmlformats.org/drawingml/2006/picture">
            <wp:extent cx="5580000" cy="3610588"/>
            <wp:docPr id="12" name="Picture 12" descr="Enam lapis arsitektur multiagen, dengan persetujuan manusia pada keputusan material" title="Enam lapis arsitektur multiagen, dengan persetujuan manusia pada keputusan mater"/>
            <wp:cNvGraphicFramePr>
              <a:graphicFrameLocks noChangeAspect="1"/>
            </wp:cNvGraphicFramePr>
            <a:graphic>
              <a:graphicData uri="http://schemas.openxmlformats.org/drawingml/2006/picture">
                <pic:pic>
                  <pic:nvPicPr>
                    <pic:cNvPr id="0" name="f_agents.png"/>
                    <pic:cNvPicPr/>
                  </pic:nvPicPr>
                  <pic:blipFill>
                    <a:blip r:embed="rId25"/>
                    <a:stretch>
                      <a:fillRect/>
                    </a:stretch>
                  </pic:blipFill>
                  <pic:spPr>
                    <a:xfrm>
                      <a:off x="0" y="0"/>
                      <a:ext cx="5580000" cy="3610588"/>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Enam lapis arsitektur multiagen, dengan persetujuan manusia pada keputusan material</w:t>
      </w:r>
    </w:p>
    <w:p>
      <w:pPr>
        <w:spacing w:after="160"/>
      </w:pPr>
      <w:r>
        <w:rPr>
          <w:rFonts w:ascii="Arial" w:hAnsi="Arial"/>
          <w:b w:val="0"/>
          <w:i/>
          <w:color w:val="051C5C"/>
          <w:sz w:val="17"/>
        </w:rPr>
        <w:t>Sumber: [PLAT hlm. 5–6; K §12.2], digambar ulang.</w:t>
      </w:r>
    </w:p>
    <w:p>
      <w:pPr>
        <w:pStyle w:val="Heading2"/>
      </w:pPr>
      <w:r>
        <w:t>12.3  Agen dan disiplin proses yang dikodekan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20</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Agen prioritas dan area manajemen proyek yang dilayaninya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Agen prioritas dan area manajemen proyek yang dilayaninya"/>
      </w:tblPr>
      <w:tblGrid>
        <w:gridCol w:w="3137"/>
        <w:gridCol w:w="3137"/>
        <w:gridCol w:w="3137"/>
      </w:tblGrid>
      <w:tr>
        <w:trPr>
          <w:cantSplit/>
          <w:tblHeader/>
        </w:trPr>
        <w:tc>
          <w:tcPr>
            <w:tcW w:type="dxa" w:w="2353"/>
            <w:shd w:val="clear" w:color="auto" w:fill="2251FF"/>
            <w:vAlign w:val="center"/>
          </w:tcPr>
          <w:p>
            <w:pPr>
              <w:spacing w:after="20" w:before="20" w:line="252" w:lineRule="auto"/>
            </w:pPr>
            <w:r/>
            <w:r>
              <w:rPr>
                <w:rFonts w:ascii="Arial" w:hAnsi="Arial"/>
                <w:b/>
                <w:i w:val="0"/>
                <w:color w:val="FFFFFF"/>
                <w:sz w:val="16"/>
              </w:rPr>
              <w:t>Agen</w:t>
            </w:r>
          </w:p>
        </w:tc>
        <w:tc>
          <w:tcPr>
            <w:tcW w:type="dxa" w:w="3529"/>
            <w:shd w:val="clear" w:color="auto" w:fill="2251FF"/>
            <w:vAlign w:val="center"/>
          </w:tcPr>
          <w:p>
            <w:pPr>
              <w:spacing w:after="20" w:before="20" w:line="252" w:lineRule="auto"/>
            </w:pPr>
            <w:r/>
            <w:r>
              <w:rPr>
                <w:rFonts w:ascii="Arial" w:hAnsi="Arial"/>
                <w:b/>
                <w:i w:val="0"/>
                <w:color w:val="FFFFFF"/>
                <w:sz w:val="16"/>
              </w:rPr>
              <w:t>Fungsi menurut sumber</w:t>
            </w:r>
          </w:p>
        </w:tc>
        <w:tc>
          <w:tcPr>
            <w:tcW w:type="dxa" w:w="3529"/>
            <w:shd w:val="clear" w:color="auto" w:fill="2251FF"/>
            <w:vAlign w:val="center"/>
          </w:tcPr>
          <w:p>
            <w:pPr>
              <w:spacing w:after="20" w:before="20" w:line="252" w:lineRule="auto"/>
            </w:pPr>
            <w:r/>
            <w:r>
              <w:rPr>
                <w:rFonts w:ascii="Arial" w:hAnsi="Arial"/>
                <w:b/>
                <w:i w:val="0"/>
                <w:color w:val="FFFFFF"/>
                <w:sz w:val="16"/>
              </w:rPr>
              <w:t>Aturan kendali yang dapat dikodekan</w:t>
            </w:r>
          </w:p>
        </w:tc>
      </w:tr>
      <w:tr>
        <w:trPr>
          <w:cantSplit/>
        </w:trPr>
        <w:tc>
          <w:tcPr>
            <w:tcW w:type="dxa" w:w="2353"/>
            <w:vAlign w:val="center"/>
          </w:tcPr>
          <w:p>
            <w:pPr>
              <w:spacing w:after="20" w:before="20" w:line="252" w:lineRule="auto"/>
            </w:pPr>
            <w:r/>
            <w:r>
              <w:rPr>
                <w:rFonts w:ascii="Arial" w:hAnsi="Arial"/>
                <w:b/>
                <w:i w:val="0"/>
                <w:sz w:val="16"/>
              </w:rPr>
              <w:t>Project Document Agent</w:t>
            </w:r>
          </w:p>
        </w:tc>
        <w:tc>
          <w:tcPr>
            <w:tcW w:type="dxa" w:w="3529"/>
            <w:vAlign w:val="center"/>
          </w:tcPr>
          <w:p>
            <w:pPr>
              <w:spacing w:after="20" w:before="20" w:line="252" w:lineRule="auto"/>
            </w:pPr>
            <w:r/>
            <w:r>
              <w:rPr>
                <w:rFonts w:ascii="Arial" w:hAnsi="Arial"/>
                <w:b w:val="0"/>
                <w:i w:val="0"/>
                <w:sz w:val="16"/>
              </w:rPr>
              <w:t>Ekstraksi dan klasifikasi kontrak, gambar, laporan</w:t>
            </w:r>
          </w:p>
        </w:tc>
        <w:tc>
          <w:tcPr>
            <w:tcW w:type="dxa" w:w="3529"/>
            <w:vAlign w:val="center"/>
          </w:tcPr>
          <w:p>
            <w:pPr>
              <w:spacing w:after="20" w:before="20" w:line="252" w:lineRule="auto"/>
            </w:pPr>
            <w:r/>
            <w:r>
              <w:rPr>
                <w:rFonts w:ascii="Arial" w:hAnsi="Arial"/>
                <w:b w:val="0"/>
                <w:i w:val="0"/>
                <w:sz w:val="16"/>
              </w:rPr>
              <w:t>Daftar kewajiban kontrak; tenggat pemberitahuan klaim</w:t>
            </w:r>
          </w:p>
        </w:tc>
      </w:tr>
      <w:tr>
        <w:trPr>
          <w:cantSplit/>
        </w:trPr>
        <w:tc>
          <w:tcPr>
            <w:tcW w:type="dxa" w:w="2353"/>
            <w:shd w:val="clear" w:color="auto" w:fill="E6ECFD"/>
            <w:vAlign w:val="center"/>
          </w:tcPr>
          <w:p>
            <w:pPr>
              <w:spacing w:after="20" w:before="20" w:line="252" w:lineRule="auto"/>
            </w:pPr>
            <w:r/>
            <w:r>
              <w:rPr>
                <w:rFonts w:ascii="Arial" w:hAnsi="Arial"/>
                <w:b/>
                <w:i w:val="0"/>
                <w:sz w:val="16"/>
              </w:rPr>
              <w:t>Cost Agent</w:t>
            </w:r>
          </w:p>
        </w:tc>
        <w:tc>
          <w:tcPr>
            <w:tcW w:type="dxa" w:w="3529"/>
            <w:shd w:val="clear" w:color="auto" w:fill="E6ECFD"/>
            <w:vAlign w:val="center"/>
          </w:tcPr>
          <w:p>
            <w:pPr>
              <w:spacing w:after="20" w:before="20" w:line="252" w:lineRule="auto"/>
            </w:pPr>
            <w:r/>
            <w:r>
              <w:rPr>
                <w:rFonts w:ascii="Arial" w:hAnsi="Arial"/>
                <w:b w:val="0"/>
                <w:i w:val="0"/>
                <w:sz w:val="16"/>
              </w:rPr>
              <w:t>Estimasi independen dari data historis dan harga pasar; deteksi risiko biaya</w:t>
            </w:r>
          </w:p>
        </w:tc>
        <w:tc>
          <w:tcPr>
            <w:tcW w:type="dxa" w:w="3529"/>
            <w:shd w:val="clear" w:color="auto" w:fill="E6ECFD"/>
            <w:vAlign w:val="center"/>
          </w:tcPr>
          <w:p>
            <w:pPr>
              <w:spacing w:after="20" w:before="20" w:line="252" w:lineRule="auto"/>
            </w:pPr>
            <w:r/>
            <w:r>
              <w:rPr>
                <w:rFonts w:ascii="Arial" w:hAnsi="Arial"/>
                <w:b w:val="0"/>
                <w:i w:val="0"/>
                <w:sz w:val="16"/>
              </w:rPr>
              <w:t>Rantai estimasi, anggaran, komitmen, aktual; tren dan EAC</w:t>
            </w:r>
          </w:p>
        </w:tc>
      </w:tr>
      <w:tr>
        <w:trPr>
          <w:cantSplit/>
        </w:trPr>
        <w:tc>
          <w:tcPr>
            <w:tcW w:type="dxa" w:w="2353"/>
            <w:vAlign w:val="center"/>
          </w:tcPr>
          <w:p>
            <w:pPr>
              <w:spacing w:after="20" w:before="20" w:line="252" w:lineRule="auto"/>
            </w:pPr>
            <w:r/>
            <w:r>
              <w:rPr>
                <w:rFonts w:ascii="Arial" w:hAnsi="Arial"/>
                <w:b/>
                <w:i w:val="0"/>
                <w:sz w:val="16"/>
              </w:rPr>
              <w:t>Cash and Receivables Agent</w:t>
            </w:r>
          </w:p>
        </w:tc>
        <w:tc>
          <w:tcPr>
            <w:tcW w:type="dxa" w:w="3529"/>
            <w:vAlign w:val="center"/>
          </w:tcPr>
          <w:p>
            <w:pPr>
              <w:spacing w:after="20" w:before="20" w:line="252" w:lineRule="auto"/>
            </w:pPr>
            <w:r/>
            <w:r>
              <w:rPr>
                <w:rFonts w:ascii="Arial" w:hAnsi="Arial"/>
                <w:b w:val="0"/>
                <w:i w:val="0"/>
                <w:sz w:val="16"/>
              </w:rPr>
              <w:t>Pemantauan faktur dan sertifikat; prediksi gagal bayar</w:t>
            </w:r>
          </w:p>
        </w:tc>
        <w:tc>
          <w:tcPr>
            <w:tcW w:type="dxa" w:w="3529"/>
            <w:vAlign w:val="center"/>
          </w:tcPr>
          <w:p>
            <w:pPr>
              <w:spacing w:after="20" w:before="20" w:line="252" w:lineRule="auto"/>
            </w:pPr>
            <w:r/>
            <w:r>
              <w:rPr>
                <w:rFonts w:ascii="Arial" w:hAnsi="Arial"/>
                <w:b w:val="0"/>
                <w:i w:val="0"/>
                <w:sz w:val="16"/>
              </w:rPr>
              <w:t>Umur piutang; pekerjaan belum ditagih; retensi; DSO</w:t>
            </w:r>
          </w:p>
        </w:tc>
      </w:tr>
      <w:tr>
        <w:trPr>
          <w:cantSplit/>
        </w:trPr>
        <w:tc>
          <w:tcPr>
            <w:tcW w:type="dxa" w:w="2353"/>
            <w:shd w:val="clear" w:color="auto" w:fill="E6ECFD"/>
            <w:vAlign w:val="center"/>
          </w:tcPr>
          <w:p>
            <w:pPr>
              <w:spacing w:after="20" w:before="20" w:line="252" w:lineRule="auto"/>
            </w:pPr>
            <w:r/>
            <w:r>
              <w:rPr>
                <w:rFonts w:ascii="Arial" w:hAnsi="Arial"/>
                <w:b/>
                <w:i w:val="0"/>
                <w:sz w:val="16"/>
              </w:rPr>
              <w:t>Procurement Agent</w:t>
            </w:r>
          </w:p>
        </w:tc>
        <w:tc>
          <w:tcPr>
            <w:tcW w:type="dxa" w:w="3529"/>
            <w:shd w:val="clear" w:color="auto" w:fill="E6ECFD"/>
            <w:vAlign w:val="center"/>
          </w:tcPr>
          <w:p>
            <w:pPr>
              <w:spacing w:after="20" w:before="20" w:line="252" w:lineRule="auto"/>
            </w:pPr>
            <w:r/>
            <w:r>
              <w:rPr>
                <w:rFonts w:ascii="Arial" w:hAnsi="Arial"/>
                <w:b w:val="0"/>
                <w:i w:val="0"/>
                <w:sz w:val="16"/>
              </w:rPr>
              <w:t>Analisis pemasok dan harga; risiko pemasok; pemantauan pengiriman</w:t>
            </w:r>
          </w:p>
        </w:tc>
        <w:tc>
          <w:tcPr>
            <w:tcW w:type="dxa" w:w="3529"/>
            <w:shd w:val="clear" w:color="auto" w:fill="E6ECFD"/>
            <w:vAlign w:val="center"/>
          </w:tcPr>
          <w:p>
            <w:pPr>
              <w:spacing w:after="20" w:before="20" w:line="252" w:lineRule="auto"/>
            </w:pPr>
            <w:r/>
            <w:r>
              <w:rPr>
                <w:rFonts w:ascii="Arial" w:hAnsi="Arial"/>
                <w:b w:val="0"/>
                <w:i w:val="0"/>
                <w:sz w:val="16"/>
              </w:rPr>
              <w:t>Tiga pemeriksaan PR; pencocokan tiga arah; waktu tunggu</w:t>
            </w:r>
          </w:p>
        </w:tc>
      </w:tr>
      <w:tr>
        <w:trPr>
          <w:cantSplit/>
        </w:trPr>
        <w:tc>
          <w:tcPr>
            <w:tcW w:type="dxa" w:w="2353"/>
            <w:vAlign w:val="center"/>
          </w:tcPr>
          <w:p>
            <w:pPr>
              <w:spacing w:after="20" w:before="20" w:line="252" w:lineRule="auto"/>
            </w:pPr>
            <w:r/>
            <w:r>
              <w:rPr>
                <w:rFonts w:ascii="Arial" w:hAnsi="Arial"/>
                <w:b/>
                <w:i w:val="0"/>
                <w:sz w:val="16"/>
              </w:rPr>
              <w:t>Schedule Agent</w:t>
            </w:r>
          </w:p>
        </w:tc>
        <w:tc>
          <w:tcPr>
            <w:tcW w:type="dxa" w:w="3529"/>
            <w:vAlign w:val="center"/>
          </w:tcPr>
          <w:p>
            <w:pPr>
              <w:spacing w:after="20" w:before="20" w:line="252" w:lineRule="auto"/>
            </w:pPr>
            <w:r/>
            <w:r>
              <w:rPr>
                <w:rFonts w:ascii="Arial" w:hAnsi="Arial"/>
                <w:b w:val="0"/>
                <w:i w:val="0"/>
                <w:sz w:val="16"/>
              </w:rPr>
              <w:t>Kemajuan fisik terhadap rencana; dampak keterlambatan pada margin</w:t>
            </w:r>
          </w:p>
        </w:tc>
        <w:tc>
          <w:tcPr>
            <w:tcW w:type="dxa" w:w="3529"/>
            <w:vAlign w:val="center"/>
          </w:tcPr>
          <w:p>
            <w:pPr>
              <w:spacing w:after="20" w:before="20" w:line="252" w:lineRule="auto"/>
            </w:pPr>
            <w:r/>
            <w:r>
              <w:rPr>
                <w:rFonts w:ascii="Arial" w:hAnsi="Arial"/>
                <w:b w:val="0"/>
                <w:i w:val="0"/>
                <w:sz w:val="16"/>
              </w:rPr>
              <w:t>SPI; perubahan jalur kritis; item waktu tunggu panjang</w:t>
            </w:r>
          </w:p>
        </w:tc>
      </w:tr>
      <w:tr>
        <w:trPr>
          <w:cantSplit/>
        </w:trPr>
        <w:tc>
          <w:tcPr>
            <w:tcW w:type="dxa" w:w="2353"/>
            <w:shd w:val="clear" w:color="auto" w:fill="E6ECFD"/>
            <w:vAlign w:val="center"/>
          </w:tcPr>
          <w:p>
            <w:pPr>
              <w:spacing w:after="20" w:before="20" w:line="252" w:lineRule="auto"/>
            </w:pPr>
            <w:r/>
            <w:r>
              <w:rPr>
                <w:rFonts w:ascii="Arial" w:hAnsi="Arial"/>
                <w:b/>
                <w:i w:val="0"/>
                <w:sz w:val="16"/>
              </w:rPr>
              <w:t>Project Manager Orchestrator</w:t>
            </w:r>
          </w:p>
        </w:tc>
        <w:tc>
          <w:tcPr>
            <w:tcW w:type="dxa" w:w="3529"/>
            <w:shd w:val="clear" w:color="auto" w:fill="E6ECFD"/>
            <w:vAlign w:val="center"/>
          </w:tcPr>
          <w:p>
            <w:pPr>
              <w:spacing w:after="20" w:before="20" w:line="252" w:lineRule="auto"/>
            </w:pPr>
            <w:r/>
            <w:r>
              <w:rPr>
                <w:rFonts w:ascii="Arial" w:hAnsi="Arial"/>
                <w:b w:val="0"/>
                <w:i w:val="0"/>
                <w:sz w:val="16"/>
              </w:rPr>
              <w:t>Mengoordinasikan agen, menyelesaikan konflik keluaran, eskalasi ke manusia</w:t>
            </w:r>
          </w:p>
        </w:tc>
        <w:tc>
          <w:tcPr>
            <w:tcW w:type="dxa" w:w="3529"/>
            <w:shd w:val="clear" w:color="auto" w:fill="E6ECFD"/>
            <w:vAlign w:val="center"/>
          </w:tcPr>
          <w:p>
            <w:pPr>
              <w:spacing w:after="20" w:before="20" w:line="252" w:lineRule="auto"/>
            </w:pPr>
            <w:r/>
            <w:r>
              <w:rPr>
                <w:rFonts w:ascii="Arial" w:hAnsi="Arial"/>
                <w:b w:val="0"/>
                <w:i w:val="0"/>
                <w:sz w:val="16"/>
              </w:rPr>
              <w:t>Prioritas; klasifikasi risiko</w:t>
            </w:r>
          </w:p>
        </w:tc>
      </w:tr>
    </w:tbl>
    <w:p>
      <w:pPr>
        <w:spacing w:after="160"/>
      </w:pPr>
      <w:r>
        <w:rPr>
          <w:rFonts w:ascii="Arial" w:hAnsi="Arial"/>
          <w:b w:val="0"/>
          <w:i/>
          <w:color w:val="051C5C"/>
          <w:sz w:val="17"/>
        </w:rPr>
        <w:t>Sumber: [PLAT hlm. 5–7; K §12.3]. Kolom ketiga menerapkan [EPC §4–§7]; analisis penyusun. Agen risiko portofolio dan bid/no-bid dijelaskan pada [PLAT hlm. 5].</w:t>
      </w:r>
    </w:p>
    <w:p>
      <w:pPr>
        <w:jc w:val="both"/>
      </w:pPr>
      <w:r>
        <w:rPr>
          <w:rFonts w:ascii="Arial" w:hAnsi="Arial"/>
          <w:b w:val="0"/>
          <w:i w:val="0"/>
        </w:rPr>
        <w:t>Kajian merekomendasikan rilis pertama mengodekan rantai anggaran EPC standar, tiga pemeriksaan pada permintaan pembelian, pencocokan tiga arah, nilai terhasil, dan perlindungan pendapatan (pekerjaan belum ditagih, perubahan belum disetujui, retensi, pengembalian uang muka) [K §12.4].</w:t>
      </w:r>
    </w:p>
    <w:p>
      <w:pPr>
        <w:jc w:val="both"/>
      </w:pPr>
      <w:r>
        <w:rPr>
          <w:rFonts w:ascii="Arial" w:hAnsi="Arial"/>
          <w:b w:val="0"/>
          <w:i w:val="0"/>
        </w:rPr>
        <w:t>Agen portofolio mengklasifikasikan proyek menjadi Hijau, Kuning, Merah, dan Hitam [PLAT hlm. 5]; sumber tidak menetapkan ambangnya. Sebagai bahan diskusi, penyusun mengusulkan ilustrasi: Hijau bila CPI dan SPI di atas 0,95 dan tidak ada risiko kritis terbuka; Kuning bila salah satunya 0,90–0,95 atau satu risiko tinggi terbuka; Merah bila di bawah 0,90, arus kas negatif, atau klaim besar tanpa penyelesaian; Hitam bila keberlanjutan proyek atau perusahaan terancam. Ambang itu memerlukan baseline per jenis proyek. Otonomi agen bertingkat: L0 menginformasikan, L1 merekomendasikan, L2 menyiapkan draf untuk disetujui manusia, dan L3 melaksanakan tindakan berisiko rendah yang dapat dibatalkan dalam batas yang ditetapkan; agen tidak pernah mengikat perusahaan secara hukum atau memutuskan hal keselamatan [K §12.5].</w:t>
      </w:r>
    </w:p>
    <w:p>
      <w:pPr>
        <w:pStyle w:val="Heading2"/>
      </w:pPr>
      <w:r>
        <w:t>12.4  MVP tiga bulan dan peningkatan skala</w:t>
      </w:r>
    </w:p>
    <w:p>
      <w:pPr>
        <w:jc w:val="both"/>
      </w:pPr>
      <w:r>
        <w:rPr>
          <w:rFonts w:ascii="Arial" w:hAnsi="Arial"/>
          <w:b w:val="0"/>
          <w:i w:val="0"/>
        </w:rPr>
        <w:t xml:space="preserve">Rencana tiga bulan membangun menara kendali AI terintegrasi dengan ERP yang ada, dengan enam agen dan pilot pada dua sampai tiga proyek. Bulan pertama: fondasi dan integrasi data baca-saja, </w:t>
      </w:r>
      <w:r>
        <w:rPr>
          <w:rFonts w:ascii="Arial" w:hAnsi="Arial"/>
          <w:b w:val="0"/>
          <w:i/>
        </w:rPr>
        <w:t>master data</w:t>
      </w:r>
      <w:r>
        <w:rPr>
          <w:rFonts w:ascii="Arial" w:hAnsi="Arial"/>
          <w:b w:val="0"/>
          <w:i w:val="0"/>
        </w:rPr>
        <w:t>, keamanan, kerangka multiagen, dan perekrutan tim. Bulan kedua: pengembangan enam agen dan pengujian dengan pengguna kunci. Bulan ketiga: integrasi, pilot, uji penerimaan pengguna (UAT), pelatihan, dokumentasi, dan evaluasi [PLAT hlm. 7]. Tim Fase 1 terdiri dari 14 staf teknis dan 6–8 pakar bisnis. Skalanya direncanakan 4 GPU pada Fase 1 (satu BUMN, 2–3 proyek), 8 GPU pada Fase 2 (6–12 bulan; 2–3 BUMN; 20–50 proyek), 16 GPU pada Fase 3 (12–24 bulan; seluruh BUMN Karya; lebih dari 100 proyek), dan 16–24 GPU atau lebih pada Fase 4 [PLAT hlm. 8; K §12.7]. Dokumen platform tidak memuat anggaran Rp, dan menyebut tiga bulan pada satu halaman, bagan M1–M12 pada halaman lain, serta 24 bulan untuk peningkatan skala; Kajian membaca tiga bulan sebagai MVP dan 24 bulan sebagai perluasan [K Lampiran E].</w:t>
      </w:r>
    </w:p>
    <w:p>
      <w:pPr>
        <w:pStyle w:val="Heading2"/>
      </w:pPr>
      <w:r>
        <w:t>12.5  Tata kelola dan manfaat bersih</w:t>
      </w:r>
    </w:p>
    <w:p>
      <w:pPr>
        <w:jc w:val="both"/>
      </w:pPr>
      <w:r>
        <w:rPr>
          <w:rFonts w:ascii="Arial" w:hAnsi="Arial"/>
          <w:b w:val="0"/>
          <w:i w:val="0"/>
        </w:rPr>
        <w:t>Persyaratan yang diusulkan Kajian: infrastruktur lokal dan model terbuka agar data sensitif tidak keluar dari lingkungan terkendali; akses berbasis peran, isolasi antar-BUMN, dan log audit atas setiap tindakan agen; set evaluasi per agen dengan rekomendasi yang mengutip sumber; integrasi ERP baca-saja pada Fase 1; pemilik bisnis untuk setiap agen; keputusan bid/no-bid dan penghentian proyek tetap pada organ perusahaan; antarmuka terbuka agar tidak terkunci pada satu vendor; dan manfaat diukur bersih setelah biaya implementasi dan operasi (O09), bukan jam hemat [K §12.8].</w:t>
      </w:r>
    </w:p>
    <w:p>
      <w:pPr>
        <w:jc w:val="both"/>
      </w:pPr>
      <w:r>
        <w:rPr>
          <w:rFonts w:ascii="Arial" w:hAnsi="Arial"/>
          <w:b w:val="0"/>
          <w:i w:val="0"/>
        </w:rPr>
        <w:t>Satu ilustrasi manfaat: untuk perusahaan berpendapatan Rp20 triliun, penurunan umur piutang 10 hari melepaskan kas sekitar Rp20.000 miliar × 10/365 ≈ Rp0,55 triliun, dan pada biaya modal 10% bernilai sekitar Rp55 miliar per tahun (kelas D) [K Lampiran C]. Karena dokumen platform tidak menghitung biaya program, kasus bisnis perlu disusun sebelum Fase 2.</w:t>
      </w:r>
    </w:p>
    <w:p>
      <w:pPr>
        <w:pStyle w:val="Heading1"/>
      </w:pPr>
      <w:bookmarkStart w:id="14" w:name="_Toc014"/>
      <w:r>
        <w:t>13  Studi kasus 1: BUMN Karya</w:t>
      </w:r>
      <w:bookmarkEnd w:id="14"/>
    </w:p>
    <w:p>
      <w:pPr>
        <w:jc w:val="both"/>
      </w:pPr>
      <w:r>
        <w:rPr>
          <w:rFonts w:ascii="Arial" w:hAnsi="Arial"/>
          <w:b/>
          <w:i w:val="0"/>
        </w:rPr>
        <w:t>Ringkasnya:</w:t>
      </w:r>
      <w:r>
        <w:rPr>
          <w:rFonts w:ascii="Arial" w:hAnsi="Arial"/>
          <w:b w:val="0"/>
          <w:i w:val="0"/>
        </w:rPr>
        <w:t xml:space="preserve"> dokumen platform mengaitkan estimasi kerugian BUMN Karya dengan enam akar masalah yang semuanya dapat dibaca sebagai kegagalan pengendalian proyek. Bab ini memetakan setiap akar masalah ke kendali yang dibahas pada Bab 3 sampai 12.</w:t>
      </w:r>
    </w:p>
    <w:p>
      <w:pPr>
        <w:pStyle w:val="Heading2"/>
      </w:pPr>
      <w:r>
        <w:t>13.1  Kondisi</w:t>
      </w:r>
    </w:p>
    <w:p>
      <w:pPr>
        <w:jc w:val="both"/>
      </w:pPr>
      <w:r>
        <w:rPr>
          <w:rFonts w:ascii="Arial" w:hAnsi="Arial"/>
          <w:b w:val="0"/>
          <w:i w:val="0"/>
        </w:rPr>
        <w:t>Empat BUMN Karya mencatat estimasi kerugian 2025 sekitar Rp28 triliun: WIKA Rp10,14 triliun, PP Rp8,0 triliun, Adhi Karya Rp5,4 triliun, dan Waskita Rp4,48 triliun (jumlah 28,02; kelas C; harus digantikan angka teraudit). Anggaran infrastruktur turun dari sekitar Rp110,95 triliun menjadi Rp61,38 triliun, sekitar 45% [PLAT hlm. 3; K §11]. Dokumen platform menggambarkan pergeseran dari kontraktor menjadi konglomerasi investasi infrastruktur yang dibiayai utang: kontraktor utama dan EPC, pengembang proyek, investor jalan tol, pengembang properti, pemilik aset, dan pembiaya proyek pemerintah sekaligus.</w:t>
      </w:r>
    </w:p>
    <w:p>
      <w:pPr>
        <w:keepNext/>
        <w:jc w:val="center"/>
      </w:pPr>
      <w:r>
        <w:drawing>
          <wp:inline xmlns:a="http://schemas.openxmlformats.org/drawingml/2006/main" xmlns:pic="http://schemas.openxmlformats.org/drawingml/2006/picture">
            <wp:extent cx="5580000" cy="2365086"/>
            <wp:docPr id="13" name="Picture 13" descr="Estimasi kerugian 2025 empat BUMN Karya dan penurunan anggaran infrastruktur" title="Estimasi kerugian 2025 empat BUMN Karya dan penurunan anggaran infrastruktur"/>
            <wp:cNvGraphicFramePr>
              <a:graphicFrameLocks noChangeAspect="1"/>
            </wp:cNvGraphicFramePr>
            <a:graphic>
              <a:graphicData uri="http://schemas.openxmlformats.org/drawingml/2006/picture">
                <pic:pic>
                  <pic:nvPicPr>
                    <pic:cNvPr id="0" name="f_karya.png"/>
                    <pic:cNvPicPr/>
                  </pic:nvPicPr>
                  <pic:blipFill>
                    <a:blip r:embed="rId26"/>
                    <a:stretch>
                      <a:fillRect/>
                    </a:stretch>
                  </pic:blipFill>
                  <pic:spPr>
                    <a:xfrm>
                      <a:off x="0" y="0"/>
                      <a:ext cx="5580000" cy="2365086"/>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13</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Estimasi kerugian 2025 empat BUMN Karya dan penurunan anggaran infrastruktur</w:t>
      </w:r>
    </w:p>
    <w:p>
      <w:pPr>
        <w:spacing w:after="160"/>
      </w:pPr>
      <w:r>
        <w:rPr>
          <w:rFonts w:ascii="Arial" w:hAnsi="Arial"/>
          <w:b w:val="0"/>
          <w:i/>
          <w:color w:val="051C5C"/>
          <w:sz w:val="17"/>
        </w:rPr>
        <w:t>Sumber: [PLAT hlm. 3; K §11.1]; kelas C.</w:t>
      </w:r>
    </w:p>
    <w:p>
      <w:pPr>
        <w:pStyle w:val="Heading2"/>
      </w:pPr>
      <w:r>
        <w:t>13.2  Akar masalah dan kendali yang relevan</w:t>
      </w:r>
    </w:p>
    <w:p>
      <w:pPr>
        <w:jc w:val="both"/>
      </w:pPr>
      <w:r>
        <w:rPr>
          <w:rFonts w:ascii="Arial" w:hAnsi="Arial"/>
          <w:b w:val="0"/>
          <w:i w:val="0"/>
        </w:rPr>
        <w:t>Dokumen platform mengaitkan tekanan itu dengan lima penyebab. Penyusun membacanya sebagai masalah manajemen proyek dan mengusulkan kendali yang bersesuaian; pembacaan itu adalah tafsir penyusun, bukan hasil pengujian sebab-akibat.</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Akar masalah BUMN Karya, kegagalan pengendalian, dan kendali yang diusulkan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Akar masalah BUMN Karya, kegagalan pengendalian, dan kendali yang diusulkan"/>
      </w:tblPr>
      <w:tblGrid>
        <w:gridCol w:w="3137"/>
        <w:gridCol w:w="3137"/>
        <w:gridCol w:w="3137"/>
      </w:tblGrid>
      <w:tr>
        <w:trPr>
          <w:cantSplit/>
          <w:tblHeader/>
        </w:trPr>
        <w:tc>
          <w:tcPr>
            <w:tcW w:type="dxa" w:w="2941"/>
            <w:shd w:val="clear" w:color="auto" w:fill="2251FF"/>
            <w:vAlign w:val="center"/>
          </w:tcPr>
          <w:p>
            <w:pPr>
              <w:spacing w:after="20" w:before="20" w:line="252" w:lineRule="auto"/>
            </w:pPr>
            <w:r/>
            <w:r>
              <w:rPr>
                <w:rFonts w:ascii="Arial" w:hAnsi="Arial"/>
                <w:b/>
                <w:i w:val="0"/>
                <w:color w:val="FFFFFF"/>
                <w:sz w:val="16"/>
              </w:rPr>
              <w:t>Akar masalah (sumber)</w:t>
            </w:r>
          </w:p>
        </w:tc>
        <w:tc>
          <w:tcPr>
            <w:tcW w:type="dxa" w:w="2941"/>
            <w:shd w:val="clear" w:color="auto" w:fill="2251FF"/>
            <w:vAlign w:val="center"/>
          </w:tcPr>
          <w:p>
            <w:pPr>
              <w:spacing w:after="20" w:before="20" w:line="252" w:lineRule="auto"/>
            </w:pPr>
            <w:r/>
            <w:r>
              <w:rPr>
                <w:rFonts w:ascii="Arial" w:hAnsi="Arial"/>
                <w:b/>
                <w:i w:val="0"/>
                <w:color w:val="FFFFFF"/>
                <w:sz w:val="16"/>
              </w:rPr>
              <w:t>Kegagalan pengendalian (tafsir penyusun)</w:t>
            </w:r>
          </w:p>
        </w:tc>
        <w:tc>
          <w:tcPr>
            <w:tcW w:type="dxa" w:w="3529"/>
            <w:shd w:val="clear" w:color="auto" w:fill="2251FF"/>
            <w:vAlign w:val="center"/>
          </w:tcPr>
          <w:p>
            <w:pPr>
              <w:spacing w:after="20" w:before="20" w:line="252" w:lineRule="auto"/>
            </w:pPr>
            <w:r/>
            <w:r>
              <w:rPr>
                <w:rFonts w:ascii="Arial" w:hAnsi="Arial"/>
                <w:b/>
                <w:i w:val="0"/>
                <w:color w:val="FFFFFF"/>
                <w:sz w:val="16"/>
              </w:rPr>
              <w:t>Kendali yang diusulkan</w:t>
            </w:r>
          </w:p>
        </w:tc>
      </w:tr>
      <w:tr>
        <w:trPr>
          <w:cantSplit/>
        </w:trPr>
        <w:tc>
          <w:tcPr>
            <w:tcW w:type="dxa" w:w="2941"/>
            <w:vAlign w:val="center"/>
          </w:tcPr>
          <w:p>
            <w:pPr>
              <w:spacing w:after="20" w:before="20" w:line="252" w:lineRule="auto"/>
            </w:pPr>
            <w:r/>
            <w:r>
              <w:rPr>
                <w:rFonts w:ascii="Arial" w:hAnsi="Arial"/>
                <w:b/>
                <w:i w:val="0"/>
                <w:sz w:val="16"/>
              </w:rPr>
              <w:t>Ekspansi infrastruktur agresif dalam waktu singkat</w:t>
            </w:r>
          </w:p>
        </w:tc>
        <w:tc>
          <w:tcPr>
            <w:tcW w:type="dxa" w:w="2941"/>
            <w:vAlign w:val="center"/>
          </w:tcPr>
          <w:p>
            <w:pPr>
              <w:spacing w:after="20" w:before="20" w:line="252" w:lineRule="auto"/>
            </w:pPr>
            <w:r/>
            <w:r>
              <w:rPr>
                <w:rFonts w:ascii="Arial" w:hAnsi="Arial"/>
                <w:b w:val="0"/>
                <w:i w:val="0"/>
                <w:sz w:val="16"/>
              </w:rPr>
              <w:t>Tidak ada seleksi portofolio dan batas kapasitas</w:t>
            </w:r>
          </w:p>
        </w:tc>
        <w:tc>
          <w:tcPr>
            <w:tcW w:type="dxa" w:w="3529"/>
            <w:vAlign w:val="center"/>
          </w:tcPr>
          <w:p>
            <w:pPr>
              <w:spacing w:after="20" w:before="20" w:line="252" w:lineRule="auto"/>
            </w:pPr>
            <w:r/>
            <w:r>
              <w:rPr>
                <w:rFonts w:ascii="Arial" w:hAnsi="Arial"/>
                <w:b w:val="0"/>
                <w:i w:val="0"/>
                <w:sz w:val="16"/>
              </w:rPr>
              <w:t>Gerbang bid/no-bid dengan margin minimum berbasis risiko dan jaminan pembayaran</w:t>
            </w:r>
          </w:p>
        </w:tc>
      </w:tr>
      <w:tr>
        <w:trPr>
          <w:cantSplit/>
        </w:trPr>
        <w:tc>
          <w:tcPr>
            <w:tcW w:type="dxa" w:w="2941"/>
            <w:shd w:val="clear" w:color="auto" w:fill="E6ECFD"/>
            <w:vAlign w:val="center"/>
          </w:tcPr>
          <w:p>
            <w:pPr>
              <w:spacing w:after="20" w:before="20" w:line="252" w:lineRule="auto"/>
            </w:pPr>
            <w:r/>
            <w:r>
              <w:rPr>
                <w:rFonts w:ascii="Arial" w:hAnsi="Arial"/>
                <w:b/>
                <w:i w:val="0"/>
                <w:sz w:val="16"/>
              </w:rPr>
              <w:t>Margin rendah; proyek penugasan tanpa kompensasi penuh</w:t>
            </w:r>
          </w:p>
        </w:tc>
        <w:tc>
          <w:tcPr>
            <w:tcW w:type="dxa" w:w="2941"/>
            <w:shd w:val="clear" w:color="auto" w:fill="E6ECFD"/>
            <w:vAlign w:val="center"/>
          </w:tcPr>
          <w:p>
            <w:pPr>
              <w:spacing w:after="20" w:before="20" w:line="252" w:lineRule="auto"/>
            </w:pPr>
            <w:r/>
            <w:r>
              <w:rPr>
                <w:rFonts w:ascii="Arial" w:hAnsi="Arial"/>
                <w:b w:val="0"/>
                <w:i w:val="0"/>
                <w:sz w:val="16"/>
              </w:rPr>
              <w:t>Estimasi dan kontingensi tidak mencerminkan risiko</w:t>
            </w:r>
          </w:p>
        </w:tc>
        <w:tc>
          <w:tcPr>
            <w:tcW w:type="dxa" w:w="3529"/>
            <w:shd w:val="clear" w:color="auto" w:fill="E6ECFD"/>
            <w:vAlign w:val="center"/>
          </w:tcPr>
          <w:p>
            <w:pPr>
              <w:spacing w:after="20" w:before="20" w:line="252" w:lineRule="auto"/>
            </w:pPr>
            <w:r/>
            <w:r>
              <w:rPr>
                <w:rFonts w:ascii="Arial" w:hAnsi="Arial"/>
                <w:b w:val="0"/>
                <w:i w:val="0"/>
                <w:sz w:val="16"/>
              </w:rPr>
              <w:t>Estimasi independen; kontingensi berbasis risiko; kompensasi penugasan dipisah</w:t>
            </w:r>
          </w:p>
        </w:tc>
      </w:tr>
      <w:tr>
        <w:trPr>
          <w:cantSplit/>
        </w:trPr>
        <w:tc>
          <w:tcPr>
            <w:tcW w:type="dxa" w:w="2941"/>
            <w:vAlign w:val="center"/>
          </w:tcPr>
          <w:p>
            <w:pPr>
              <w:spacing w:after="20" w:before="20" w:line="252" w:lineRule="auto"/>
            </w:pPr>
            <w:r/>
            <w:r>
              <w:rPr>
                <w:rFonts w:ascii="Arial" w:hAnsi="Arial"/>
                <w:b/>
                <w:i w:val="0"/>
                <w:sz w:val="16"/>
              </w:rPr>
              <w:t>Pembayaran pemerintah dan pemilik proyek terlambat</w:t>
            </w:r>
          </w:p>
        </w:tc>
        <w:tc>
          <w:tcPr>
            <w:tcW w:type="dxa" w:w="2941"/>
            <w:vAlign w:val="center"/>
          </w:tcPr>
          <w:p>
            <w:pPr>
              <w:spacing w:after="20" w:before="20" w:line="252" w:lineRule="auto"/>
            </w:pPr>
            <w:r/>
            <w:r>
              <w:rPr>
                <w:rFonts w:ascii="Arial" w:hAnsi="Arial"/>
                <w:b w:val="0"/>
                <w:i w:val="0"/>
                <w:sz w:val="16"/>
              </w:rPr>
              <w:t>Siklus kas tidak dikelola</w:t>
            </w:r>
          </w:p>
        </w:tc>
        <w:tc>
          <w:tcPr>
            <w:tcW w:type="dxa" w:w="3529"/>
            <w:vAlign w:val="center"/>
          </w:tcPr>
          <w:p>
            <w:pPr>
              <w:spacing w:after="20" w:before="20" w:line="252" w:lineRule="auto"/>
            </w:pPr>
            <w:r/>
            <w:r>
              <w:rPr>
                <w:rFonts w:ascii="Arial" w:hAnsi="Arial"/>
                <w:b w:val="0"/>
                <w:i w:val="0"/>
                <w:sz w:val="16"/>
              </w:rPr>
              <w:t>Eskalasi piutang jatuh tempo; penagihan per tonggak; kontrak layanan publik yang didanai</w:t>
            </w:r>
          </w:p>
        </w:tc>
      </w:tr>
      <w:tr>
        <w:trPr>
          <w:cantSplit/>
        </w:trPr>
        <w:tc>
          <w:tcPr>
            <w:tcW w:type="dxa" w:w="2941"/>
            <w:shd w:val="clear" w:color="auto" w:fill="E6ECFD"/>
            <w:vAlign w:val="center"/>
          </w:tcPr>
          <w:p>
            <w:pPr>
              <w:spacing w:after="20" w:before="20" w:line="252" w:lineRule="auto"/>
            </w:pPr>
            <w:r/>
            <w:r>
              <w:rPr>
                <w:rFonts w:ascii="Arial" w:hAnsi="Arial"/>
                <w:b/>
                <w:i w:val="0"/>
                <w:sz w:val="16"/>
              </w:rPr>
              <w:t>Risiko turnkey dan EPC ditanggung kontraktor</w:t>
            </w:r>
          </w:p>
        </w:tc>
        <w:tc>
          <w:tcPr>
            <w:tcW w:type="dxa" w:w="2941"/>
            <w:shd w:val="clear" w:color="auto" w:fill="E6ECFD"/>
            <w:vAlign w:val="center"/>
          </w:tcPr>
          <w:p>
            <w:pPr>
              <w:spacing w:after="20" w:before="20" w:line="252" w:lineRule="auto"/>
            </w:pPr>
            <w:r/>
            <w:r>
              <w:rPr>
                <w:rFonts w:ascii="Arial" w:hAnsi="Arial"/>
                <w:b w:val="0"/>
                <w:i w:val="0"/>
                <w:sz w:val="16"/>
              </w:rPr>
              <w:t>Alokasi risiko kontrak tidak seimbang; lingkup belum matang</w:t>
            </w:r>
          </w:p>
        </w:tc>
        <w:tc>
          <w:tcPr>
            <w:tcW w:type="dxa" w:w="3529"/>
            <w:shd w:val="clear" w:color="auto" w:fill="E6ECFD"/>
            <w:vAlign w:val="center"/>
          </w:tcPr>
          <w:p>
            <w:pPr>
              <w:spacing w:after="20" w:before="20" w:line="252" w:lineRule="auto"/>
            </w:pPr>
            <w:r/>
            <w:r>
              <w:rPr>
                <w:rFonts w:ascii="Arial" w:hAnsi="Arial"/>
                <w:b w:val="0"/>
                <w:i w:val="0"/>
                <w:sz w:val="16"/>
              </w:rPr>
              <w:t>Bentuk kontrak sesuai kematangan definisi; kendali perubahan dan klaim</w:t>
            </w:r>
          </w:p>
        </w:tc>
      </w:tr>
      <w:tr>
        <w:trPr>
          <w:cantSplit/>
        </w:trPr>
        <w:tc>
          <w:tcPr>
            <w:tcW w:type="dxa" w:w="2941"/>
            <w:vAlign w:val="center"/>
          </w:tcPr>
          <w:p>
            <w:pPr>
              <w:spacing w:after="20" w:before="20" w:line="252" w:lineRule="auto"/>
            </w:pPr>
            <w:r/>
            <w:r>
              <w:rPr>
                <w:rFonts w:ascii="Arial" w:hAnsi="Arial"/>
                <w:b/>
                <w:i w:val="0"/>
                <w:sz w:val="16"/>
              </w:rPr>
              <w:t>Tata kelola dan insentif: sukses = penyelesaian proyek</w:t>
            </w:r>
          </w:p>
        </w:tc>
        <w:tc>
          <w:tcPr>
            <w:tcW w:type="dxa" w:w="2941"/>
            <w:vAlign w:val="center"/>
          </w:tcPr>
          <w:p>
            <w:pPr>
              <w:spacing w:after="20" w:before="20" w:line="252" w:lineRule="auto"/>
            </w:pPr>
            <w:r/>
            <w:r>
              <w:rPr>
                <w:rFonts w:ascii="Arial" w:hAnsi="Arial"/>
                <w:b w:val="0"/>
                <w:i w:val="0"/>
                <w:sz w:val="16"/>
              </w:rPr>
              <w:t>Insentif tidak mengukur laba dan kas</w:t>
            </w:r>
          </w:p>
        </w:tc>
        <w:tc>
          <w:tcPr>
            <w:tcW w:type="dxa" w:w="3529"/>
            <w:vAlign w:val="center"/>
          </w:tcPr>
          <w:p>
            <w:pPr>
              <w:spacing w:after="20" w:before="20" w:line="252" w:lineRule="auto"/>
            </w:pPr>
            <w:r/>
            <w:r>
              <w:rPr>
                <w:rFonts w:ascii="Arial" w:hAnsi="Arial"/>
                <w:b w:val="0"/>
                <w:i w:val="0"/>
                <w:sz w:val="16"/>
              </w:rPr>
              <w:t>KPI laba ekonomi, konversi kas, margin backlog; remunerasi tertunda</w:t>
            </w:r>
          </w:p>
        </w:tc>
      </w:tr>
      <w:tr>
        <w:trPr>
          <w:cantSplit/>
        </w:trPr>
        <w:tc>
          <w:tcPr>
            <w:tcW w:type="dxa" w:w="2941"/>
            <w:shd w:val="clear" w:color="auto" w:fill="E6ECFD"/>
            <w:vAlign w:val="center"/>
          </w:tcPr>
          <w:p>
            <w:pPr>
              <w:spacing w:after="20" w:before="20" w:line="252" w:lineRule="auto"/>
            </w:pPr>
            <w:r/>
            <w:r>
              <w:rPr>
                <w:rFonts w:ascii="Arial" w:hAnsi="Arial"/>
                <w:b/>
                <w:i w:val="0"/>
                <w:sz w:val="16"/>
              </w:rPr>
              <w:t>Proyek dibiayai utang perusahaan</w:t>
            </w:r>
          </w:p>
        </w:tc>
        <w:tc>
          <w:tcPr>
            <w:tcW w:type="dxa" w:w="2941"/>
            <w:shd w:val="clear" w:color="auto" w:fill="E6ECFD"/>
            <w:vAlign w:val="center"/>
          </w:tcPr>
          <w:p>
            <w:pPr>
              <w:spacing w:after="20" w:before="20" w:line="252" w:lineRule="auto"/>
            </w:pPr>
            <w:r/>
            <w:r>
              <w:rPr>
                <w:rFonts w:ascii="Arial" w:hAnsi="Arial"/>
                <w:b w:val="0"/>
                <w:i w:val="0"/>
                <w:sz w:val="16"/>
              </w:rPr>
              <w:t>Pendanaan tidak mengikuti gerbang</w:t>
            </w:r>
          </w:p>
        </w:tc>
        <w:tc>
          <w:tcPr>
            <w:tcW w:type="dxa" w:w="3529"/>
            <w:shd w:val="clear" w:color="auto" w:fill="E6ECFD"/>
            <w:vAlign w:val="center"/>
          </w:tcPr>
          <w:p>
            <w:pPr>
              <w:spacing w:after="20" w:before="20" w:line="252" w:lineRule="auto"/>
            </w:pPr>
            <w:r/>
            <w:r>
              <w:rPr>
                <w:rFonts w:ascii="Arial" w:hAnsi="Arial"/>
                <w:b w:val="0"/>
                <w:i w:val="0"/>
                <w:sz w:val="16"/>
              </w:rPr>
              <w:t>Pendanaan dari pemilik proyek; aset warisan dipisahkan</w:t>
            </w:r>
          </w:p>
        </w:tc>
      </w:tr>
    </w:tbl>
    <w:p>
      <w:pPr>
        <w:spacing w:after="160"/>
      </w:pPr>
      <w:r>
        <w:rPr>
          <w:rFonts w:ascii="Arial" w:hAnsi="Arial"/>
          <w:b w:val="0"/>
          <w:i/>
          <w:color w:val="051C5C"/>
          <w:sz w:val="17"/>
        </w:rPr>
        <w:t>Sumber: kolom pertama dari [PLAT hlm. 3; K §11.1]; kolom kedua dan ketiga: analisis penyusun yang menerapkan Bab 3 sampai 12.</w:t>
      </w:r>
    </w:p>
    <w:p>
      <w:pPr>
        <w:pStyle w:val="Heading2"/>
      </w:pPr>
      <w:r>
        <w:t>13.3  Disiplin penawaran dan data diagnostik</w:t>
      </w:r>
    </w:p>
    <w:p>
      <w:pPr>
        <w:jc w:val="both"/>
      </w:pPr>
      <w:r>
        <w:rPr>
          <w:rFonts w:ascii="Arial" w:hAnsi="Arial"/>
          <w:b w:val="0"/>
          <w:i w:val="0"/>
        </w:rPr>
        <w:t>Kendali pertama pada tabel di atas, gerbang bid/no-bid, dapat dirumuskan dengan kriteria yang jelas. Penyusun mengusulkan tujuh pertanyaan sebelum penawaran diajukan: apakah margin yang diperkirakan, setelah kontingensi berbasis risiko, memenuhi batas minimum; apakah pembayaran dijamin (pendanaan dari pemilik proyek, rekening penampungan, atau uang muka dengan jaminan); apakah kebutuhan modal kerja puncak tertutup; apakah lingkup cukup matang untuk bentuk kontrak yang ditawarkan; apakah ada denda keterlambatan atau alokasi risiko yang tidak seimbang; apakah kredit pemberi kerja dan sejarah pembayarannya memadai; dan apakah kapasitas serta kapabilitas tim tersedia tanpa mengorbankan proyek berjalan. Agen bid/no-bid pada platform AI menjalankan analisis serupa dengan simulasi skenario dasar, penurunan, dan penurunan berat [PLAT hlm. 5].</w:t>
      </w:r>
    </w:p>
    <w:p>
      <w:pPr>
        <w:jc w:val="both"/>
      </w:pPr>
      <w:r>
        <w:rPr>
          <w:rFonts w:ascii="Arial" w:hAnsi="Arial"/>
          <w:b w:val="0"/>
          <w:i w:val="0"/>
        </w:rPr>
        <w:t>Diagnostik per perusahaan memerlukan data yang jelas. Kajian menyusun templatnya: hasil usaha dan laba atau rugi TB2023–TB2025 yang teraudit beserta penyajian ulang; total utang, utang berbunga, rasio cakupan bunga, ketahanan kas, dan konsentrasi jatuh tempo; piutang menurut pemilik proyek (Pemerintah, BUMN pemilik, pihak lain), umurnya, dan bagian yang disengketakan; buku pesanan dan margin saat penawaran serta porsi kontrak merugi; aset warisan pada nilai buku dan nilai wajar; dan riwayat dukungan negara beserta persyaratannya [K §11.1]. Tanpa data itu metrik pemulihan tetap NR.</w:t>
      </w:r>
    </w:p>
    <w:p>
      <w:pPr>
        <w:pStyle w:val="Heading2"/>
      </w:pPr>
      <w:r>
        <w:t>13.4  Model sasaran, urutan, dan metrik pemulihan</w:t>
      </w:r>
    </w:p>
    <w:p>
      <w:pPr>
        <w:jc w:val="both"/>
      </w:pPr>
      <w:r>
        <w:rPr>
          <w:rFonts w:ascii="Arial" w:hAnsi="Arial"/>
          <w:b w:val="0"/>
          <w:i w:val="0"/>
        </w:rPr>
        <w:t>Model sasaran: fokus pada bisnis inti konstruksi; selektif pada proyek bermargin sehat; tidak memiliki aset jangka panjang berlebihan; pendanaan proyek dari pemilik; manajemen risiko proyek yang kuat; tata kelola profesional dan independen [PLAT hlm. 3; K §11.2]. Aset yang menjadi beban (jalan tol, properti hunian, bandara, pembangkit, pelabuhan, konsesi tambang, hotel, kawasan industri, pabrik) disarankan ditempatkan pada perusahaan investasi terpisah. Kajian mencatat bahwa pembentukan wahana itu memerlukan bukti, penilaian independen saat pengalihan, dan pemisahan kewajiban warisan, sehingga diagnostik per aset, termasuk divestasi, mendahului keputusan struktur [K §11.2, §11.4].</w:t>
      </w:r>
    </w:p>
    <w:p>
      <w:pPr>
        <w:jc w:val="both"/>
      </w:pPr>
      <w:r>
        <w:rPr>
          <w:rFonts w:ascii="Arial" w:hAnsi="Arial"/>
          <w:b w:val="0"/>
          <w:i w:val="0"/>
        </w:rPr>
        <w:t>Urutan yang diusulkan: Hari 0–30 permintaan data (laporan teraudit TB2025, piutang, kontrak, aset); Hari 31–90 diagnostik per perusahaan dan per aset serta rencana pemulihan; bulan 4–12 seleksi proyek, penagihan, pemisahan aset warisan, dan perlindungan kas; bulan 12–24 keputusan struktur berdasarkan bukti dan konversi kas operasi positif pada sedikitnya dua perusahaan [K §11.4, §16]. Metrik pemulihan: laba ekonomi inkremental (O02); konversi kas operasi (O04) dan DSO; utang bersih/EBITDA (O08) dan cakupan bunga; margin backlog saat penawaran dibandingkan saat penyelesaian; CPI dan SPI; klaim dan perubahan yang dipulihkan terhadap yang diajukan; dan manfaat transformasi bersih terverifikasi (O09) [K §11.4].</w:t>
      </w:r>
    </w:p>
    <w:p>
      <w:pPr>
        <w:pStyle w:val="Heading2"/>
      </w:pPr>
      <w:r>
        <w:t>13.5  Peran dalam proyek jangkar</w:t>
      </w:r>
    </w:p>
    <w:p>
      <w:pPr>
        <w:jc w:val="both"/>
      </w:pPr>
      <w:r>
        <w:rPr>
          <w:rFonts w:ascii="Arial" w:hAnsi="Arial"/>
          <w:b w:val="0"/>
          <w:i w:val="0"/>
        </w:rPr>
        <w:t>Setelah pulih, BUMN Karya dapat menjadi kontraktor EPC yang disiplin dan integrator serta pembeli utama bagi pemasok domestik pada proyek jangkar seperti Giant Sea Wall dan Program 3 Juta Rumah, dengan syarat prinsip pembayaran tepat waktu dan volume sesuai gerbang tetap berlaku [K §11.4]. BUMN Karya juga dapat menjadi salah satu kelompok uji coba DPMS bila diagnostik per perusahaan pada Hari 31–90 selesai.</w:t>
      </w:r>
    </w:p>
    <w:p>
      <w:pPr>
        <w:pStyle w:val="Heading1"/>
      </w:pPr>
      <w:bookmarkStart w:id="15" w:name="_Toc015"/>
      <w:r>
        <w:t>14  Studi kasus 2: register 40 slot proyek strategis</w:t>
      </w:r>
      <w:bookmarkEnd w:id="15"/>
    </w:p>
    <w:p>
      <w:pPr>
        <w:jc w:val="both"/>
      </w:pPr>
      <w:r>
        <w:rPr>
          <w:rFonts w:ascii="Arial" w:hAnsi="Arial"/>
          <w:b/>
          <w:i w:val="0"/>
        </w:rPr>
        <w:t>Ringkasnya:</w:t>
      </w:r>
      <w:r>
        <w:rPr>
          <w:rFonts w:ascii="Arial" w:hAnsi="Arial"/>
          <w:b w:val="0"/>
          <w:i w:val="0"/>
        </w:rPr>
        <w:t xml:space="preserve"> register kerja memperlihatkan secara konkret apa yang hilang bila sistem manajemen proyek belum ada: identitas, baseline, gerbang, dan satu total yang direkonsiliasi. Bab ini menyajikan temuan data dan rencana bukti 90 hari.</w:t>
      </w:r>
    </w:p>
    <w:p>
      <w:pPr>
        <w:pStyle w:val="Heading2"/>
      </w:pPr>
      <w:r>
        <w:t>14.1  Apa yang dikelola</w:t>
      </w:r>
    </w:p>
    <w:p>
      <w:pPr>
        <w:jc w:val="both"/>
      </w:pPr>
      <w:r>
        <w:rPr>
          <w:rFonts w:ascii="Arial" w:hAnsi="Arial"/>
          <w:b w:val="0"/>
          <w:i w:val="0"/>
        </w:rPr>
        <w:t>Portofolio kerja terdiri dari 40 slot proyek dengan nilai dinyatakan Rp2.091,46 triliun, berasal dari grafik pada bahan diskusi. Slot ini bukan daftar Proyek Strategis Nasional yang ditetapkan hukum dan bukan 40 badan hukum proyek yang telah terverifikasi [K §2.5; EXEC]. Register per 1 Oktober 2026 memiliki 19 kolom, antara lain ID, klaster, nama, status identifikasi, kelompok penanggung jawab, operator atau kandidat, bukti penugasan, tonggak saat ini, anggaran grafik, teknologi, mitra global potensial, risiko utama, dan urutan tonggak [VERO Projects 40]. Register belum mencatat bukti penunjukan sponsor, badan hukum SPV, lokasi, kapasitas, arus kas, baseline yang disetujui, izin, tanggal jadwal, persentase kemajuan, dan realisasi.</w:t>
      </w:r>
    </w:p>
    <w:p>
      <w:pPr>
        <w:pStyle w:val="Heading2"/>
      </w:pPr>
      <w:r>
        <w:t>14.2  Temuan data</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Temuan kualitas data register dan akibatnya bagi manajemen proyek</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Temuan kualitas data register dan akibatnya bagi manajemen proyek"/>
      </w:tblPr>
      <w:tblGrid>
        <w:gridCol w:w="4706"/>
        <w:gridCol w:w="4706"/>
      </w:tblGrid>
      <w:tr>
        <w:trPr>
          <w:cantSplit/>
          <w:tblHeader/>
        </w:trPr>
        <w:tc>
          <w:tcPr>
            <w:tcW w:type="dxa" w:w="6078"/>
            <w:shd w:val="clear" w:color="auto" w:fill="2251FF"/>
            <w:vAlign w:val="center"/>
          </w:tcPr>
          <w:p>
            <w:pPr>
              <w:spacing w:after="20" w:before="20" w:line="252" w:lineRule="auto"/>
            </w:pPr>
            <w:r/>
            <w:r>
              <w:rPr>
                <w:rFonts w:ascii="Arial" w:hAnsi="Arial"/>
                <w:b/>
                <w:i w:val="0"/>
                <w:color w:val="FFFFFF"/>
                <w:sz w:val="17"/>
              </w:rPr>
              <w:t>Temuan</w:t>
            </w:r>
          </w:p>
        </w:tc>
        <w:tc>
          <w:tcPr>
            <w:tcW w:type="dxa" w:w="3333"/>
            <w:shd w:val="clear" w:color="auto" w:fill="2251FF"/>
            <w:vAlign w:val="center"/>
          </w:tcPr>
          <w:p>
            <w:pPr>
              <w:spacing w:after="20" w:before="20" w:line="252" w:lineRule="auto"/>
            </w:pPr>
            <w:r/>
            <w:r>
              <w:rPr>
                <w:rFonts w:ascii="Arial" w:hAnsi="Arial"/>
                <w:b/>
                <w:i w:val="0"/>
                <w:color w:val="FFFFFF"/>
                <w:sz w:val="17"/>
              </w:rPr>
              <w:t>Akibat</w:t>
            </w:r>
          </w:p>
        </w:tc>
      </w:tr>
      <w:tr>
        <w:trPr>
          <w:cantSplit/>
        </w:trPr>
        <w:tc>
          <w:tcPr>
            <w:tcW w:type="dxa" w:w="6078"/>
            <w:vAlign w:val="center"/>
          </w:tcPr>
          <w:p>
            <w:pPr>
              <w:spacing w:after="20" w:before="20" w:line="252" w:lineRule="auto"/>
            </w:pPr>
            <w:r/>
            <w:r>
              <w:rPr>
                <w:rFonts w:ascii="Arial" w:hAnsi="Arial"/>
                <w:b/>
                <w:i w:val="0"/>
                <w:sz w:val="17"/>
              </w:rPr>
              <w:t>Hanya 18 dari 40 slot bernama (Rp604,97 T; 28,9% dari nilai dinyatakan); 22 slot tanpa nama, sponsor, kapasitas, lokasi, atau anggaran</w:t>
            </w:r>
          </w:p>
        </w:tc>
        <w:tc>
          <w:tcPr>
            <w:tcW w:type="dxa" w:w="3333"/>
            <w:vAlign w:val="center"/>
          </w:tcPr>
          <w:p>
            <w:pPr>
              <w:spacing w:after="20" w:before="20" w:line="252" w:lineRule="auto"/>
            </w:pPr>
            <w:r/>
            <w:r>
              <w:rPr>
                <w:rFonts w:ascii="Arial" w:hAnsi="Arial"/>
                <w:b w:val="0"/>
                <w:i w:val="0"/>
                <w:sz w:val="17"/>
              </w:rPr>
              <w:t>Tidak ada akuntabilitas atau baseline untuk 22 slot</w:t>
            </w:r>
          </w:p>
        </w:tc>
      </w:tr>
      <w:tr>
        <w:trPr>
          <w:cantSplit/>
        </w:trPr>
        <w:tc>
          <w:tcPr>
            <w:tcW w:type="dxa" w:w="6078"/>
            <w:shd w:val="clear" w:color="auto" w:fill="E6ECFD"/>
            <w:vAlign w:val="center"/>
          </w:tcPr>
          <w:p>
            <w:pPr>
              <w:spacing w:after="20" w:before="20" w:line="252" w:lineRule="auto"/>
            </w:pPr>
            <w:r/>
            <w:r>
              <w:rPr>
                <w:rFonts w:ascii="Arial" w:hAnsi="Arial"/>
                <w:b/>
                <w:i w:val="0"/>
                <w:sz w:val="17"/>
              </w:rPr>
              <w:t>Dua total pada grafik sumber (Rp2.072,53 T dan Rp2.091,46 T; selisih Rp18,93 T) dengan komposisi klaster yang berbeda jauh</w:t>
            </w:r>
          </w:p>
        </w:tc>
        <w:tc>
          <w:tcPr>
            <w:tcW w:type="dxa" w:w="3333"/>
            <w:shd w:val="clear" w:color="auto" w:fill="E6ECFD"/>
            <w:vAlign w:val="center"/>
          </w:tcPr>
          <w:p>
            <w:pPr>
              <w:spacing w:after="20" w:before="20" w:line="252" w:lineRule="auto"/>
            </w:pPr>
            <w:r/>
            <w:r>
              <w:rPr>
                <w:rFonts w:ascii="Arial" w:hAnsi="Arial"/>
                <w:b w:val="0"/>
                <w:i w:val="0"/>
                <w:sz w:val="17"/>
              </w:rPr>
              <w:t>Plafon anggaran belum dapat ditetapkan</w:t>
            </w:r>
          </w:p>
        </w:tc>
      </w:tr>
      <w:tr>
        <w:trPr>
          <w:cantSplit/>
        </w:trPr>
        <w:tc>
          <w:tcPr>
            <w:tcW w:type="dxa" w:w="6078"/>
            <w:vAlign w:val="center"/>
          </w:tcPr>
          <w:p>
            <w:pPr>
              <w:spacing w:after="20" w:before="20" w:line="252" w:lineRule="auto"/>
            </w:pPr>
            <w:r/>
            <w:r>
              <w:rPr>
                <w:rFonts w:ascii="Arial" w:hAnsi="Arial"/>
                <w:b/>
                <w:i w:val="0"/>
                <w:sz w:val="17"/>
              </w:rPr>
              <w:t>Kolom tonggak saat ini: seluruh 18 slot bernama "belum terverifikasi" dan 22 slot "tidak diketahui"</w:t>
            </w:r>
          </w:p>
        </w:tc>
        <w:tc>
          <w:tcPr>
            <w:tcW w:type="dxa" w:w="3333"/>
            <w:vAlign w:val="center"/>
          </w:tcPr>
          <w:p>
            <w:pPr>
              <w:spacing w:after="20" w:before="20" w:line="252" w:lineRule="auto"/>
            </w:pPr>
            <w:r/>
            <w:r>
              <w:rPr>
                <w:rFonts w:ascii="Arial" w:hAnsi="Arial"/>
                <w:b w:val="0"/>
                <w:i w:val="0"/>
                <w:sz w:val="17"/>
              </w:rPr>
              <w:t>Register belum mencatat gerbang terverifikasi untuk satu pun slot</w:t>
            </w:r>
          </w:p>
        </w:tc>
      </w:tr>
      <w:tr>
        <w:trPr>
          <w:cantSplit/>
        </w:trPr>
        <w:tc>
          <w:tcPr>
            <w:tcW w:type="dxa" w:w="6078"/>
            <w:shd w:val="clear" w:color="auto" w:fill="E6ECFD"/>
            <w:vAlign w:val="center"/>
          </w:tcPr>
          <w:p>
            <w:pPr>
              <w:spacing w:after="20" w:before="20" w:line="252" w:lineRule="auto"/>
            </w:pPr>
            <w:r/>
            <w:r>
              <w:rPr>
                <w:rFonts w:ascii="Arial" w:hAnsi="Arial"/>
                <w:b/>
                <w:i w:val="0"/>
                <w:sz w:val="17"/>
              </w:rPr>
              <w:t>Tanggal dan basis estimasi tidak dinyatakan; anggaran sumber tidak dapat diasumsikan memenuhi kelas AACE</w:t>
            </w:r>
          </w:p>
        </w:tc>
        <w:tc>
          <w:tcPr>
            <w:tcW w:type="dxa" w:w="3333"/>
            <w:shd w:val="clear" w:color="auto" w:fill="E6ECFD"/>
            <w:vAlign w:val="center"/>
          </w:tcPr>
          <w:p>
            <w:pPr>
              <w:spacing w:after="20" w:before="20" w:line="252" w:lineRule="auto"/>
            </w:pPr>
            <w:r/>
            <w:r>
              <w:rPr>
                <w:rFonts w:ascii="Arial" w:hAnsi="Arial"/>
                <w:b w:val="0"/>
                <w:i w:val="0"/>
                <w:sz w:val="17"/>
              </w:rPr>
              <w:t>Akurasi dan kontingensi tidak dapat dikuantifikasi</w:t>
            </w:r>
          </w:p>
        </w:tc>
      </w:tr>
      <w:tr>
        <w:trPr>
          <w:cantSplit/>
        </w:trPr>
        <w:tc>
          <w:tcPr>
            <w:tcW w:type="dxa" w:w="6078"/>
            <w:vAlign w:val="center"/>
          </w:tcPr>
          <w:p>
            <w:pPr>
              <w:spacing w:after="20" w:before="20" w:line="252" w:lineRule="auto"/>
            </w:pPr>
            <w:r/>
            <w:r>
              <w:rPr>
                <w:rFonts w:ascii="Arial" w:hAnsi="Arial"/>
                <w:b/>
                <w:i w:val="0"/>
                <w:sz w:val="17"/>
              </w:rPr>
              <w:t>PLTS 100 GW: Rp231,4 T pada register dibanding Rp1.130 T pada pernyataan resmi (4,88 kali)</w:t>
            </w:r>
          </w:p>
        </w:tc>
        <w:tc>
          <w:tcPr>
            <w:tcW w:type="dxa" w:w="3333"/>
            <w:vAlign w:val="center"/>
          </w:tcPr>
          <w:p>
            <w:pPr>
              <w:spacing w:after="20" w:before="20" w:line="252" w:lineRule="auto"/>
            </w:pPr>
            <w:r/>
            <w:r>
              <w:rPr>
                <w:rFonts w:ascii="Arial" w:hAnsi="Arial"/>
                <w:b w:val="0"/>
                <w:i w:val="0"/>
                <w:sz w:val="17"/>
              </w:rPr>
              <w:t>Perlu rekonsiliasi lingkup dan satuan</w:t>
            </w:r>
          </w:p>
        </w:tc>
      </w:tr>
      <w:tr>
        <w:trPr>
          <w:cantSplit/>
        </w:trPr>
        <w:tc>
          <w:tcPr>
            <w:tcW w:type="dxa" w:w="6078"/>
            <w:shd w:val="clear" w:color="auto" w:fill="E6ECFD"/>
            <w:vAlign w:val="center"/>
          </w:tcPr>
          <w:p>
            <w:pPr>
              <w:spacing w:after="20" w:before="20" w:line="252" w:lineRule="auto"/>
            </w:pPr>
            <w:r/>
            <w:r>
              <w:rPr>
                <w:rFonts w:ascii="Arial" w:hAnsi="Arial"/>
                <w:b/>
                <w:i w:val="0"/>
                <w:sz w:val="17"/>
              </w:rPr>
              <w:t>Label belum terselesaikan (Atoma, CDME, CPE); klaster berbeda antarsumber</w:t>
            </w:r>
          </w:p>
        </w:tc>
        <w:tc>
          <w:tcPr>
            <w:tcW w:type="dxa" w:w="3333"/>
            <w:shd w:val="clear" w:color="auto" w:fill="E6ECFD"/>
            <w:vAlign w:val="center"/>
          </w:tcPr>
          <w:p>
            <w:pPr>
              <w:spacing w:after="20" w:before="20" w:line="252" w:lineRule="auto"/>
            </w:pPr>
            <w:r/>
            <w:r>
              <w:rPr>
                <w:rFonts w:ascii="Arial" w:hAnsi="Arial"/>
                <w:b w:val="0"/>
                <w:i w:val="0"/>
                <w:sz w:val="17"/>
              </w:rPr>
              <w:t>Risiko duplikasi dan celah lingkup</w:t>
            </w:r>
          </w:p>
        </w:tc>
      </w:tr>
      <w:tr>
        <w:trPr>
          <w:cantSplit/>
        </w:trPr>
        <w:tc>
          <w:tcPr>
            <w:tcW w:type="dxa" w:w="6078"/>
            <w:vAlign w:val="center"/>
          </w:tcPr>
          <w:p>
            <w:pPr>
              <w:spacing w:after="20" w:before="20" w:line="252" w:lineRule="auto"/>
            </w:pPr>
            <w:r/>
            <w:r>
              <w:rPr>
                <w:rFonts w:ascii="Arial" w:hAnsi="Arial"/>
                <w:b/>
                <w:i w:val="0"/>
                <w:sz w:val="17"/>
              </w:rPr>
              <w:t>Skor tiga pilar 0/100 sebagai penalti data; 39 KPI belum terukur (12, 15, dan 12)</w:t>
            </w:r>
          </w:p>
        </w:tc>
        <w:tc>
          <w:tcPr>
            <w:tcW w:type="dxa" w:w="3333"/>
            <w:vAlign w:val="center"/>
          </w:tcPr>
          <w:p>
            <w:pPr>
              <w:spacing w:after="20" w:before="20" w:line="252" w:lineRule="auto"/>
            </w:pPr>
            <w:r/>
            <w:r>
              <w:rPr>
                <w:rFonts w:ascii="Arial" w:hAnsi="Arial"/>
                <w:b w:val="0"/>
                <w:i w:val="0"/>
                <w:sz w:val="17"/>
              </w:rPr>
              <w:t>Skor bukan bukti proyek gagal</w:t>
            </w:r>
          </w:p>
        </w:tc>
      </w:tr>
    </w:tbl>
    <w:p>
      <w:pPr>
        <w:spacing w:after="160"/>
      </w:pPr>
      <w:r>
        <w:rPr>
          <w:rFonts w:ascii="Arial" w:hAnsi="Arial"/>
          <w:b w:val="0"/>
          <w:i/>
          <w:color w:val="051C5C"/>
          <w:sz w:val="17"/>
        </w:rPr>
        <w:t>Sumber: [VERO; EXEC slide 2–8, 17; EVAL §1; K §4.6].</w:t>
      </w:r>
    </w:p>
    <w:p>
      <w:pPr>
        <w:keepNext/>
        <w:jc w:val="center"/>
      </w:pPr>
      <w:r>
        <w:drawing>
          <wp:inline xmlns:a="http://schemas.openxmlformats.org/drawingml/2006/main" xmlns:pic="http://schemas.openxmlformats.org/drawingml/2006/picture">
            <wp:extent cx="5580000" cy="2887853"/>
            <wp:docPr id="14" name="Picture 14" descr="Total kedua tabel hampir sama, tetapi nilai tiap klaster berbeda jauh, sehingga komposisi portofolio tidak dapat dipastikan" title="Total kedua tabel hampir sama, tetapi nilai tiap klaster berbeda jauh, sehingga "/>
            <wp:cNvGraphicFramePr>
              <a:graphicFrameLocks noChangeAspect="1"/>
            </wp:cNvGraphicFramePr>
            <a:graphic>
              <a:graphicData uri="http://schemas.openxmlformats.org/drawingml/2006/picture">
                <pic:pic>
                  <pic:nvPicPr>
                    <pic:cNvPr id="0" name="f_clusters.png"/>
                    <pic:cNvPicPr/>
                  </pic:nvPicPr>
                  <pic:blipFill>
                    <a:blip r:embed="rId27"/>
                    <a:stretch>
                      <a:fillRect/>
                    </a:stretch>
                  </pic:blipFill>
                  <pic:spPr>
                    <a:xfrm>
                      <a:off x="0" y="0"/>
                      <a:ext cx="5580000" cy="2887853"/>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14</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Total kedua tabel hampir sama, tetapi nilai tiap klaster berbeda jauh, sehingga komposisi portofolio tidak dapat dipastikan</w:t>
      </w:r>
    </w:p>
    <w:p>
      <w:pPr>
        <w:spacing w:after="160"/>
      </w:pPr>
      <w:r>
        <w:rPr>
          <w:rFonts w:ascii="Arial" w:hAnsi="Arial"/>
          <w:b w:val="0"/>
          <w:i/>
          <w:color w:val="051C5C"/>
          <w:sz w:val="17"/>
        </w:rPr>
        <w:t>Sumber: [K §4.6, §7.2; EVAL §1]. Selisih klaster jauh lebih besar daripada selisih total (Rp18,93 T); klaster Lainnya Rp451,94 T pada ringkasan dan Rp743,38 T pada rincian.</w:t>
      </w:r>
    </w:p>
    <w:p>
      <w:pPr>
        <w:jc w:val="both"/>
      </w:pPr>
      <w:r>
        <w:rPr>
          <w:rFonts w:ascii="Arial" w:hAnsi="Arial"/>
          <w:b w:val="0"/>
          <w:i w:val="0"/>
        </w:rPr>
        <w:t>Gambar di atas menunjukkan bahwa kemiripan total menyamarkan perbedaan komposisi: mineral Rp283,85 triliun pada ringkasan dibanding Rp86,87 triliun pada rincian, dan klaster Lainnya sebaliknya. Inilah wujud nyata prinsip satu register, satu penyebut.</w:t>
      </w:r>
    </w:p>
    <w:p>
      <w:pPr>
        <w:pStyle w:val="Heading2"/>
      </w:pPr>
      <w:r>
        <w:t>14.3  Dua register yang saling melengkapi (hipotesis)</w:t>
      </w:r>
    </w:p>
    <w:p>
      <w:pPr>
        <w:jc w:val="both"/>
      </w:pPr>
      <w:r>
        <w:rPr>
          <w:rFonts w:ascii="Arial" w:hAnsi="Arial"/>
          <w:b w:val="0"/>
          <w:i w:val="0"/>
        </w:rPr>
        <w:t xml:space="preserve">Model pekerjaan DDMF memuat daftar 40 proyek RKAP 2026, 35 di antaranya berbiaya dengan total Rp2.091,475 triliun dan lima tanpa biaya. Seluruh 18 slot bernama pada register kerja cocok jumlahnya dengan baris RKAP. Tujuh belas proyek berbiaya lainnya (antara lain perumahan, sekolah, kota cerdas, ekosistem tekstil, Giant Sea Wall, dan Athens) berjumlah Rp1.486,5 triliun, cocok dalam selisih pembulatan Rp0,015 triliun dengan bagian nilai dinyatakan yang belum berkaitan dengan nama. Ini hipotesis kerja: kedua sumber tidak menyatakan kesetaraannya, dan satu nama (Atoma pada register, Anoa pada RKAP) hanya cocok menurut nilai [K §4.6; VERO; EMP]. Pemilik data perlu mengonfirmasinya dalam </w:t>
      </w:r>
      <w:r>
        <w:rPr>
          <w:rFonts w:ascii="Arial" w:hAnsi="Arial"/>
          <w:b w:val="0"/>
          <w:i/>
        </w:rPr>
        <w:t>crosswalk</w:t>
      </w:r>
      <w:r>
        <w:rPr>
          <w:rFonts w:ascii="Arial" w:hAnsi="Arial"/>
          <w:b w:val="0"/>
          <w:i w:val="0"/>
        </w:rPr>
        <w:t xml:space="preserve"> satu-ke-satu.</w:t>
      </w:r>
    </w:p>
    <w:p>
      <w:pPr>
        <w:pStyle w:val="Heading2"/>
      </w:pPr>
      <w:r>
        <w:t>14.4  Kesiapan pelaksanaan menurut enam dimensi</w:t>
      </w:r>
    </w:p>
    <w:p>
      <w:pPr>
        <w:jc w:val="both"/>
      </w:pPr>
      <w:r>
        <w:rPr>
          <w:rFonts w:ascii="Arial" w:hAnsi="Arial"/>
          <w:b w:val="0"/>
          <w:i w:val="0"/>
        </w:rPr>
        <w:t>Evaluasi tata kelola menilai bahwa kesiapan melaksanakan 40 proyek belum dapat dibuktikan pada enam dimensi, dan bahwa kesenjangan terpenting adalah register terintegrasi [EVAL §3; K §4.6]. Keenamnya: akuntabilitas proyek (satu penanggung jawab per proyek dan satu register keputusan dan hambatan); kewenangan modal (peta otorisasi per entitas, objek, dan tahap); penjaminan dan dukungan fiskal (mandat pembangunan tidak otomatis memberi penjaminan negara atau PMN); pengadaan dan mitra (pemilik manfaat, transaksi berelasi, alasan penunjukan langsung); transparansi dan audit (opini audit terkini belum dinilai); dan pengukuran keberhasilan (dua kasus per proyek, finansial dan nasional).</w:t>
      </w:r>
    </w:p>
    <w:p>
      <w:pPr>
        <w:pStyle w:val="Heading2"/>
      </w:pPr>
      <w:r>
        <w:t>14.5  Rencana bukti 90 hari dan prioritas verifikasi</w:t>
      </w:r>
    </w:p>
    <w:p>
      <w:pPr>
        <w:jc w:val="both"/>
      </w:pPr>
      <w:r>
        <w:rPr>
          <w:rFonts w:ascii="Arial" w:hAnsi="Arial"/>
          <w:b w:val="0"/>
          <w:i w:val="0"/>
        </w:rPr>
        <w:t>Penilaian eksekutif menyarankan prioritas verifikasi menurut materialitas data, bukan peringkat imbal hasil. Enam label terbesar mencakup sekitar 89,0% estimasi bernama: PLTS 100 GW (Rp231,40 triliun; 38,3% dari estimasi bernama), biodiesel (75,39), logam multi (73,29), CPE (71,20), CDME (46,28), dan kilang (40,94) [EXEC slide 21].</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23</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Rencana bukti 90 hari untuk register 40 slot</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Rencana bukti 90 hari untuk register 40 slot"/>
      </w:tblPr>
      <w:tblGrid>
        <w:gridCol w:w="3137"/>
        <w:gridCol w:w="3137"/>
        <w:gridCol w:w="3137"/>
      </w:tblGrid>
      <w:tr>
        <w:trPr>
          <w:cantSplit/>
          <w:tblHeader/>
        </w:trPr>
        <w:tc>
          <w:tcPr>
            <w:tcW w:type="dxa" w:w="1274"/>
            <w:shd w:val="clear" w:color="auto" w:fill="2251FF"/>
            <w:vAlign w:val="center"/>
          </w:tcPr>
          <w:p>
            <w:pPr>
              <w:spacing w:after="20" w:before="20" w:line="252" w:lineRule="auto"/>
            </w:pPr>
            <w:r/>
            <w:r>
              <w:rPr>
                <w:rFonts w:ascii="Arial" w:hAnsi="Arial"/>
                <w:b/>
                <w:i w:val="0"/>
                <w:color w:val="FFFFFF"/>
                <w:sz w:val="17"/>
              </w:rPr>
              <w:t>Periode</w:t>
            </w:r>
          </w:p>
        </w:tc>
        <w:tc>
          <w:tcPr>
            <w:tcW w:type="dxa" w:w="5490"/>
            <w:shd w:val="clear" w:color="auto" w:fill="2251FF"/>
            <w:vAlign w:val="center"/>
          </w:tcPr>
          <w:p>
            <w:pPr>
              <w:spacing w:after="20" w:before="20" w:line="252" w:lineRule="auto"/>
            </w:pPr>
            <w:r/>
            <w:r>
              <w:rPr>
                <w:rFonts w:ascii="Arial" w:hAnsi="Arial"/>
                <w:b/>
                <w:i w:val="0"/>
                <w:color w:val="FFFFFF"/>
                <w:sz w:val="17"/>
              </w:rPr>
              <w:t>Keluaran</w:t>
            </w:r>
          </w:p>
        </w:tc>
        <w:tc>
          <w:tcPr>
            <w:tcW w:type="dxa" w:w="2647"/>
            <w:shd w:val="clear" w:color="auto" w:fill="2251FF"/>
            <w:vAlign w:val="center"/>
          </w:tcPr>
          <w:p>
            <w:pPr>
              <w:spacing w:after="20" w:before="20" w:line="252" w:lineRule="auto"/>
            </w:pPr>
            <w:r/>
            <w:r>
              <w:rPr>
                <w:rFonts w:ascii="Arial" w:hAnsi="Arial"/>
                <w:b/>
                <w:i w:val="0"/>
                <w:color w:val="FFFFFF"/>
                <w:sz w:val="17"/>
              </w:rPr>
              <w:t>Penanggung jawab</w:t>
            </w:r>
          </w:p>
        </w:tc>
      </w:tr>
      <w:tr>
        <w:trPr>
          <w:cantSplit/>
        </w:trPr>
        <w:tc>
          <w:tcPr>
            <w:tcW w:type="dxa" w:w="1274"/>
            <w:vAlign w:val="center"/>
          </w:tcPr>
          <w:p>
            <w:pPr>
              <w:spacing w:after="20" w:before="20" w:line="252" w:lineRule="auto"/>
            </w:pPr>
            <w:r/>
            <w:r>
              <w:rPr>
                <w:rFonts w:ascii="Arial" w:hAnsi="Arial"/>
                <w:b/>
                <w:i w:val="0"/>
                <w:sz w:val="17"/>
              </w:rPr>
              <w:t>Hari 1–30</w:t>
            </w:r>
          </w:p>
        </w:tc>
        <w:tc>
          <w:tcPr>
            <w:tcW w:type="dxa" w:w="5490"/>
            <w:vAlign w:val="center"/>
          </w:tcPr>
          <w:p>
            <w:pPr>
              <w:spacing w:after="20" w:before="20" w:line="252" w:lineRule="auto"/>
            </w:pPr>
            <w:r/>
            <w:r>
              <w:rPr>
                <w:rFonts w:ascii="Arial" w:hAnsi="Arial"/>
                <w:b w:val="0"/>
                <w:i w:val="0"/>
                <w:sz w:val="17"/>
              </w:rPr>
              <w:t>Register resmi 40 slot (nama, lokasi, SPV, sponsor, lingkup biaya); crosswalk dengan daftar RKAP DDMF; rekonsiliasi dua total dan batas biaya PLTS; pemilik data</w:t>
            </w:r>
          </w:p>
        </w:tc>
        <w:tc>
          <w:tcPr>
            <w:tcW w:type="dxa" w:w="2647"/>
            <w:vAlign w:val="center"/>
          </w:tcPr>
          <w:p>
            <w:pPr>
              <w:spacing w:after="20" w:before="20" w:line="252" w:lineRule="auto"/>
            </w:pPr>
            <w:r/>
            <w:r>
              <w:rPr>
                <w:rFonts w:ascii="Arial" w:hAnsi="Arial"/>
                <w:b w:val="0"/>
                <w:i w:val="0"/>
                <w:sz w:val="17"/>
              </w:rPr>
              <w:t>PMO strategis; DIM; DAM; DDMF; sponsor</w:t>
            </w:r>
          </w:p>
        </w:tc>
      </w:tr>
      <w:tr>
        <w:trPr>
          <w:cantSplit/>
        </w:trPr>
        <w:tc>
          <w:tcPr>
            <w:tcW w:type="dxa" w:w="1274"/>
            <w:shd w:val="clear" w:color="auto" w:fill="E6ECFD"/>
            <w:vAlign w:val="center"/>
          </w:tcPr>
          <w:p>
            <w:pPr>
              <w:spacing w:after="20" w:before="20" w:line="252" w:lineRule="auto"/>
            </w:pPr>
            <w:r/>
            <w:r>
              <w:rPr>
                <w:rFonts w:ascii="Arial" w:hAnsi="Arial"/>
                <w:b/>
                <w:i w:val="0"/>
                <w:sz w:val="17"/>
              </w:rPr>
              <w:t>Hari 31–60</w:t>
            </w:r>
          </w:p>
        </w:tc>
        <w:tc>
          <w:tcPr>
            <w:tcW w:type="dxa" w:w="5490"/>
            <w:shd w:val="clear" w:color="auto" w:fill="E6ECFD"/>
            <w:vAlign w:val="center"/>
          </w:tcPr>
          <w:p>
            <w:pPr>
              <w:spacing w:after="20" w:before="20" w:line="252" w:lineRule="auto"/>
            </w:pPr>
            <w:r/>
            <w:r>
              <w:rPr>
                <w:rFonts w:ascii="Arial" w:hAnsi="Arial"/>
                <w:b w:val="0"/>
                <w:i w:val="0"/>
                <w:sz w:val="17"/>
              </w:rPr>
              <w:t>Model FNPV, ENPV, EIRR untuk enam label terbesar; baseline biaya satuan, output, produktivitas; baseline inflasi pra-NRF</w:t>
            </w:r>
          </w:p>
        </w:tc>
        <w:tc>
          <w:tcPr>
            <w:tcW w:type="dxa" w:w="2647"/>
            <w:shd w:val="clear" w:color="auto" w:fill="E6ECFD"/>
            <w:vAlign w:val="center"/>
          </w:tcPr>
          <w:p>
            <w:pPr>
              <w:spacing w:after="20" w:before="20" w:line="252" w:lineRule="auto"/>
            </w:pPr>
            <w:r/>
            <w:r>
              <w:rPr>
                <w:rFonts w:ascii="Arial" w:hAnsi="Arial"/>
                <w:b w:val="0"/>
                <w:i w:val="0"/>
                <w:sz w:val="17"/>
              </w:rPr>
              <w:t>CFO proyek; COO; ekonom; Risiko</w:t>
            </w:r>
          </w:p>
        </w:tc>
      </w:tr>
      <w:tr>
        <w:trPr>
          <w:cantSplit/>
        </w:trPr>
        <w:tc>
          <w:tcPr>
            <w:tcW w:type="dxa" w:w="1274"/>
            <w:vAlign w:val="center"/>
          </w:tcPr>
          <w:p>
            <w:pPr>
              <w:spacing w:after="20" w:before="20" w:line="252" w:lineRule="auto"/>
            </w:pPr>
            <w:r/>
            <w:r>
              <w:rPr>
                <w:rFonts w:ascii="Arial" w:hAnsi="Arial"/>
                <w:b/>
                <w:i w:val="0"/>
                <w:sz w:val="17"/>
              </w:rPr>
              <w:t>Hari 61–90</w:t>
            </w:r>
          </w:p>
        </w:tc>
        <w:tc>
          <w:tcPr>
            <w:tcW w:type="dxa" w:w="5490"/>
            <w:vAlign w:val="center"/>
          </w:tcPr>
          <w:p>
            <w:pPr>
              <w:spacing w:after="20" w:before="20" w:line="252" w:lineRule="auto"/>
            </w:pPr>
            <w:r/>
            <w:r>
              <w:rPr>
                <w:rFonts w:ascii="Arial" w:hAnsi="Arial"/>
                <w:b w:val="0"/>
                <w:i w:val="0"/>
                <w:sz w:val="17"/>
              </w:rPr>
              <w:t>Buku besar mobilisasi (TPDM, PPDM, PIM); audit DVA dan teknologi; target yang disepakati; asurans independen; kebijakan Alpha/Impact</w:t>
            </w:r>
          </w:p>
        </w:tc>
        <w:tc>
          <w:tcPr>
            <w:tcW w:type="dxa" w:w="2647"/>
            <w:vAlign w:val="center"/>
          </w:tcPr>
          <w:p>
            <w:pPr>
              <w:spacing w:after="20" w:before="20" w:line="252" w:lineRule="auto"/>
            </w:pPr>
            <w:r/>
            <w:r>
              <w:rPr>
                <w:rFonts w:ascii="Arial" w:hAnsi="Arial"/>
                <w:b w:val="0"/>
                <w:i w:val="0"/>
                <w:sz w:val="17"/>
              </w:rPr>
              <w:t>Treasury; unit dampak; CTO; reviewer independen</w:t>
            </w:r>
          </w:p>
        </w:tc>
      </w:tr>
    </w:tbl>
    <w:p>
      <w:pPr>
        <w:spacing w:after="160"/>
      </w:pPr>
      <w:r>
        <w:rPr>
          <w:rFonts w:ascii="Arial" w:hAnsi="Arial"/>
          <w:b w:val="0"/>
          <w:i/>
          <w:color w:val="051C5C"/>
          <w:sz w:val="17"/>
        </w:rPr>
        <w:t>Sumber: [K §16.3; EXEC slide 22].</w:t>
      </w:r>
    </w:p>
    <w:p>
      <w:pPr>
        <w:pStyle w:val="Heading2"/>
      </w:pPr>
      <w:r>
        <w:t>14.6  Keadaan register terhadap sepuluh kondisi kesiapan</w:t>
      </w:r>
    </w:p>
    <w:p>
      <w:pPr>
        <w:jc w:val="both"/>
      </w:pPr>
      <w:r>
        <w:rPr>
          <w:rFonts w:ascii="Arial" w:hAnsi="Arial"/>
          <w:b w:val="0"/>
          <w:i w:val="0"/>
        </w:rPr>
        <w:t>Register yang siap bagi manajemen proyek memenuhi sepuluh kondisi: ID unik lintas sistem; satu taksonomi klaster; sponsor dan direktur proyek bernama; gerbang terverifikasi; baseline lingkup, biaya, dan jadwal yang dibekukan; register risiko dengan pemilik; struktur pendanaan; rencana lokalisasi; kelas bukti pada setiap angka; dan riwayat versi. Menurut pembacaan penyusun atas isi register (bukan audit), tidak ada kondisi yang terpenuhi penuh, tiga terpenuhi sebagian, dan tujuh belum terpenuhi atau tidak dapat dinilai.</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24</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Keadaan register 1 Oktober 2026 terhadap sepuluh kondisi (penilaian penyusun)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Keadaan register 1 Oktober 2026 terhadap sepuluh kondisi (penilaian penyusun)"/>
      </w:tblPr>
      <w:tblGrid>
        <w:gridCol w:w="3137"/>
        <w:gridCol w:w="3137"/>
        <w:gridCol w:w="3137"/>
      </w:tblGrid>
      <w:tr>
        <w:trPr>
          <w:cantSplit/>
          <w:tblHeader/>
        </w:trPr>
        <w:tc>
          <w:tcPr>
            <w:tcW w:type="dxa" w:w="2660"/>
            <w:shd w:val="clear" w:color="auto" w:fill="2251FF"/>
            <w:vAlign w:val="center"/>
          </w:tcPr>
          <w:p>
            <w:pPr>
              <w:spacing w:after="20" w:before="20" w:line="252" w:lineRule="auto"/>
            </w:pPr>
            <w:r/>
            <w:r>
              <w:rPr>
                <w:rFonts w:ascii="Arial" w:hAnsi="Arial"/>
                <w:b/>
                <w:i w:val="0"/>
                <w:color w:val="FFFFFF"/>
                <w:sz w:val="17"/>
              </w:rPr>
              <w:t>Kondisi</w:t>
            </w:r>
          </w:p>
        </w:tc>
        <w:tc>
          <w:tcPr>
            <w:tcW w:type="dxa" w:w="5524"/>
            <w:shd w:val="clear" w:color="auto" w:fill="2251FF"/>
            <w:vAlign w:val="center"/>
          </w:tcPr>
          <w:p>
            <w:pPr>
              <w:spacing w:after="20" w:before="20" w:line="252" w:lineRule="auto"/>
            </w:pPr>
            <w:r/>
            <w:r>
              <w:rPr>
                <w:rFonts w:ascii="Arial" w:hAnsi="Arial"/>
                <w:b/>
                <w:i w:val="0"/>
                <w:color w:val="FFFFFF"/>
                <w:sz w:val="17"/>
              </w:rPr>
              <w:t>Keadaan menurut dokumen</w:t>
            </w:r>
          </w:p>
        </w:tc>
        <w:tc>
          <w:tcPr>
            <w:tcW w:type="dxa" w:w="1228"/>
            <w:shd w:val="clear" w:color="auto" w:fill="2251FF"/>
            <w:vAlign w:val="center"/>
          </w:tcPr>
          <w:p>
            <w:pPr>
              <w:spacing w:after="20" w:before="20" w:line="252" w:lineRule="auto"/>
            </w:pPr>
            <w:r/>
            <w:r>
              <w:rPr>
                <w:rFonts w:ascii="Arial" w:hAnsi="Arial"/>
                <w:b/>
                <w:i w:val="0"/>
                <w:color w:val="FFFFFF"/>
                <w:sz w:val="17"/>
              </w:rPr>
              <w:t>Penilaian</w:t>
            </w:r>
          </w:p>
        </w:tc>
      </w:tr>
      <w:tr>
        <w:trPr>
          <w:cantSplit/>
        </w:trPr>
        <w:tc>
          <w:tcPr>
            <w:tcW w:type="dxa" w:w="2660"/>
            <w:vAlign w:val="center"/>
          </w:tcPr>
          <w:p>
            <w:pPr>
              <w:spacing w:after="20" w:before="20" w:line="252" w:lineRule="auto"/>
            </w:pPr>
            <w:r/>
            <w:r>
              <w:rPr>
                <w:rFonts w:ascii="Arial" w:hAnsi="Arial"/>
                <w:b/>
                <w:i w:val="0"/>
                <w:sz w:val="17"/>
              </w:rPr>
              <w:t>ID unik lintas sistem</w:t>
            </w:r>
          </w:p>
        </w:tc>
        <w:tc>
          <w:tcPr>
            <w:tcW w:type="dxa" w:w="5524"/>
            <w:vAlign w:val="center"/>
          </w:tcPr>
          <w:p>
            <w:pPr>
              <w:spacing w:after="20" w:before="20" w:line="252" w:lineRule="auto"/>
            </w:pPr>
            <w:r/>
            <w:r>
              <w:rPr>
                <w:rFonts w:ascii="Arial" w:hAnsi="Arial"/>
                <w:b w:val="0"/>
                <w:i w:val="0"/>
                <w:sz w:val="17"/>
              </w:rPr>
              <w:t>SP-ID adalah ID buku kerja, belum ID resmi</w:t>
            </w:r>
          </w:p>
        </w:tc>
        <w:tc>
          <w:tcPr>
            <w:tcW w:type="dxa" w:w="1228"/>
            <w:vAlign w:val="center"/>
          </w:tcPr>
          <w:p>
            <w:pPr>
              <w:spacing w:after="20" w:before="20" w:line="252" w:lineRule="auto"/>
            </w:pPr>
            <w:r/>
            <w:r>
              <w:rPr>
                <w:rFonts w:ascii="Arial" w:hAnsi="Arial"/>
                <w:b w:val="0"/>
                <w:i w:val="0"/>
                <w:sz w:val="17"/>
              </w:rPr>
              <w:t>Belum</w:t>
            </w:r>
          </w:p>
        </w:tc>
      </w:tr>
      <w:tr>
        <w:trPr>
          <w:cantSplit/>
        </w:trPr>
        <w:tc>
          <w:tcPr>
            <w:tcW w:type="dxa" w:w="2660"/>
            <w:shd w:val="clear" w:color="auto" w:fill="E6ECFD"/>
            <w:vAlign w:val="center"/>
          </w:tcPr>
          <w:p>
            <w:pPr>
              <w:spacing w:after="20" w:before="20" w:line="252" w:lineRule="auto"/>
            </w:pPr>
            <w:r/>
            <w:r>
              <w:rPr>
                <w:rFonts w:ascii="Arial" w:hAnsi="Arial"/>
                <w:b/>
                <w:i w:val="0"/>
                <w:sz w:val="17"/>
              </w:rPr>
              <w:t>Satu taksonomi klaster</w:t>
            </w:r>
          </w:p>
        </w:tc>
        <w:tc>
          <w:tcPr>
            <w:tcW w:type="dxa" w:w="5524"/>
            <w:shd w:val="clear" w:color="auto" w:fill="E6ECFD"/>
            <w:vAlign w:val="center"/>
          </w:tcPr>
          <w:p>
            <w:pPr>
              <w:spacing w:after="20" w:before="20" w:line="252" w:lineRule="auto"/>
            </w:pPr>
            <w:r/>
            <w:r>
              <w:rPr>
                <w:rFonts w:ascii="Arial" w:hAnsi="Arial"/>
                <w:b w:val="0"/>
                <w:i w:val="0"/>
                <w:sz w:val="17"/>
              </w:rPr>
              <w:t>Empat klaster dengan komposisi berbeda antarsumber</w:t>
            </w:r>
          </w:p>
        </w:tc>
        <w:tc>
          <w:tcPr>
            <w:tcW w:type="dxa" w:w="1228"/>
            <w:shd w:val="clear" w:color="auto" w:fill="E6ECFD"/>
            <w:vAlign w:val="center"/>
          </w:tcPr>
          <w:p>
            <w:pPr>
              <w:spacing w:after="20" w:before="20" w:line="252" w:lineRule="auto"/>
            </w:pPr>
            <w:r/>
            <w:r>
              <w:rPr>
                <w:rFonts w:ascii="Arial" w:hAnsi="Arial"/>
                <w:b w:val="0"/>
                <w:i w:val="0"/>
                <w:sz w:val="17"/>
              </w:rPr>
              <w:t>Belum</w:t>
            </w:r>
          </w:p>
        </w:tc>
      </w:tr>
      <w:tr>
        <w:trPr>
          <w:cantSplit/>
        </w:trPr>
        <w:tc>
          <w:tcPr>
            <w:tcW w:type="dxa" w:w="2660"/>
            <w:vAlign w:val="center"/>
          </w:tcPr>
          <w:p>
            <w:pPr>
              <w:spacing w:after="20" w:before="20" w:line="252" w:lineRule="auto"/>
            </w:pPr>
            <w:r/>
            <w:r>
              <w:rPr>
                <w:rFonts w:ascii="Arial" w:hAnsi="Arial"/>
                <w:b/>
                <w:i w:val="0"/>
                <w:sz w:val="17"/>
              </w:rPr>
              <w:t>Sponsor dan direktur proyek</w:t>
            </w:r>
          </w:p>
        </w:tc>
        <w:tc>
          <w:tcPr>
            <w:tcW w:type="dxa" w:w="5524"/>
            <w:vAlign w:val="center"/>
          </w:tcPr>
          <w:p>
            <w:pPr>
              <w:spacing w:after="20" w:before="20" w:line="252" w:lineRule="auto"/>
            </w:pPr>
            <w:r/>
            <w:r>
              <w:rPr>
                <w:rFonts w:ascii="Arial" w:hAnsi="Arial"/>
                <w:b w:val="0"/>
                <w:i w:val="0"/>
                <w:sz w:val="17"/>
              </w:rPr>
              <w:t>15 usulan analis, 3 berdasarkan remit platform, 22 tanpa lingkup; penunjukan belum terverifikasi</w:t>
            </w:r>
          </w:p>
        </w:tc>
        <w:tc>
          <w:tcPr>
            <w:tcW w:type="dxa" w:w="1228"/>
            <w:vAlign w:val="center"/>
          </w:tcPr>
          <w:p>
            <w:pPr>
              <w:spacing w:after="20" w:before="20" w:line="252" w:lineRule="auto"/>
            </w:pPr>
            <w:r/>
            <w:r>
              <w:rPr>
                <w:rFonts w:ascii="Arial" w:hAnsi="Arial"/>
                <w:b w:val="0"/>
                <w:i w:val="0"/>
                <w:sz w:val="17"/>
              </w:rPr>
              <w:t>Belum</w:t>
            </w:r>
          </w:p>
        </w:tc>
      </w:tr>
      <w:tr>
        <w:trPr>
          <w:cantSplit/>
        </w:trPr>
        <w:tc>
          <w:tcPr>
            <w:tcW w:type="dxa" w:w="2660"/>
            <w:shd w:val="clear" w:color="auto" w:fill="E6ECFD"/>
            <w:vAlign w:val="center"/>
          </w:tcPr>
          <w:p>
            <w:pPr>
              <w:spacing w:after="20" w:before="20" w:line="252" w:lineRule="auto"/>
            </w:pPr>
            <w:r/>
            <w:r>
              <w:rPr>
                <w:rFonts w:ascii="Arial" w:hAnsi="Arial"/>
                <w:b/>
                <w:i w:val="0"/>
                <w:sz w:val="17"/>
              </w:rPr>
              <w:t>Gerbang terverifikasi</w:t>
            </w:r>
          </w:p>
        </w:tc>
        <w:tc>
          <w:tcPr>
            <w:tcW w:type="dxa" w:w="5524"/>
            <w:shd w:val="clear" w:color="auto" w:fill="E6ECFD"/>
            <w:vAlign w:val="center"/>
          </w:tcPr>
          <w:p>
            <w:pPr>
              <w:spacing w:after="20" w:before="20" w:line="252" w:lineRule="auto"/>
            </w:pPr>
            <w:r/>
            <w:r>
              <w:rPr>
                <w:rFonts w:ascii="Arial" w:hAnsi="Arial"/>
                <w:b w:val="0"/>
                <w:i w:val="0"/>
                <w:sz w:val="17"/>
              </w:rPr>
              <w:t>Belum tercatat untuk satu pun slot</w:t>
            </w:r>
          </w:p>
        </w:tc>
        <w:tc>
          <w:tcPr>
            <w:tcW w:type="dxa" w:w="1228"/>
            <w:shd w:val="clear" w:color="auto" w:fill="E6ECFD"/>
            <w:vAlign w:val="center"/>
          </w:tcPr>
          <w:p>
            <w:pPr>
              <w:spacing w:after="20" w:before="20" w:line="252" w:lineRule="auto"/>
            </w:pPr>
            <w:r/>
            <w:r>
              <w:rPr>
                <w:rFonts w:ascii="Arial" w:hAnsi="Arial"/>
                <w:b w:val="0"/>
                <w:i w:val="0"/>
                <w:sz w:val="17"/>
              </w:rPr>
              <w:t>Belum</w:t>
            </w:r>
          </w:p>
        </w:tc>
      </w:tr>
      <w:tr>
        <w:trPr>
          <w:cantSplit/>
        </w:trPr>
        <w:tc>
          <w:tcPr>
            <w:tcW w:type="dxa" w:w="2660"/>
            <w:vAlign w:val="center"/>
          </w:tcPr>
          <w:p>
            <w:pPr>
              <w:spacing w:after="20" w:before="20" w:line="252" w:lineRule="auto"/>
            </w:pPr>
            <w:r/>
            <w:r>
              <w:rPr>
                <w:rFonts w:ascii="Arial" w:hAnsi="Arial"/>
                <w:b/>
                <w:i w:val="0"/>
                <w:sz w:val="17"/>
              </w:rPr>
              <w:t>Baseline lingkup, biaya, jadwal</w:t>
            </w:r>
          </w:p>
        </w:tc>
        <w:tc>
          <w:tcPr>
            <w:tcW w:type="dxa" w:w="5524"/>
            <w:vAlign w:val="center"/>
          </w:tcPr>
          <w:p>
            <w:pPr>
              <w:spacing w:after="20" w:before="20" w:line="252" w:lineRule="auto"/>
            </w:pPr>
            <w:r/>
            <w:r>
              <w:rPr>
                <w:rFonts w:ascii="Arial" w:hAnsi="Arial"/>
                <w:b w:val="0"/>
                <w:i w:val="0"/>
                <w:sz w:val="17"/>
              </w:rPr>
              <w:t>Tidak ada; kelas estimasi tidak dinyatakan; horizon kosong atau "tidak dapat diestimasi"</w:t>
            </w:r>
          </w:p>
        </w:tc>
        <w:tc>
          <w:tcPr>
            <w:tcW w:type="dxa" w:w="1228"/>
            <w:vAlign w:val="center"/>
          </w:tcPr>
          <w:p>
            <w:pPr>
              <w:spacing w:after="20" w:before="20" w:line="252" w:lineRule="auto"/>
            </w:pPr>
            <w:r/>
            <w:r>
              <w:rPr>
                <w:rFonts w:ascii="Arial" w:hAnsi="Arial"/>
                <w:b w:val="0"/>
                <w:i w:val="0"/>
                <w:sz w:val="17"/>
              </w:rPr>
              <w:t>Belum</w:t>
            </w:r>
          </w:p>
        </w:tc>
      </w:tr>
      <w:tr>
        <w:trPr>
          <w:cantSplit/>
        </w:trPr>
        <w:tc>
          <w:tcPr>
            <w:tcW w:type="dxa" w:w="2660"/>
            <w:shd w:val="clear" w:color="auto" w:fill="E6ECFD"/>
            <w:vAlign w:val="center"/>
          </w:tcPr>
          <w:p>
            <w:pPr>
              <w:spacing w:after="20" w:before="20" w:line="252" w:lineRule="auto"/>
            </w:pPr>
            <w:r/>
            <w:r>
              <w:rPr>
                <w:rFonts w:ascii="Arial" w:hAnsi="Arial"/>
                <w:b/>
                <w:i w:val="0"/>
                <w:sz w:val="17"/>
              </w:rPr>
              <w:t>Register risiko dengan pemilik</w:t>
            </w:r>
          </w:p>
        </w:tc>
        <w:tc>
          <w:tcPr>
            <w:tcW w:type="dxa" w:w="5524"/>
            <w:shd w:val="clear" w:color="auto" w:fill="E6ECFD"/>
            <w:vAlign w:val="center"/>
          </w:tcPr>
          <w:p>
            <w:pPr>
              <w:spacing w:after="20" w:before="20" w:line="252" w:lineRule="auto"/>
            </w:pPr>
            <w:r/>
            <w:r>
              <w:rPr>
                <w:rFonts w:ascii="Arial" w:hAnsi="Arial"/>
                <w:b w:val="0"/>
                <w:i w:val="0"/>
                <w:sz w:val="17"/>
              </w:rPr>
              <w:t>Ada kolom risiko utama per proyek; tanpa pemilik, kontingensi, atau kuantifikasi</w:t>
            </w:r>
          </w:p>
        </w:tc>
        <w:tc>
          <w:tcPr>
            <w:tcW w:type="dxa" w:w="1228"/>
            <w:shd w:val="clear" w:color="auto" w:fill="E6ECFD"/>
            <w:vAlign w:val="center"/>
          </w:tcPr>
          <w:p>
            <w:pPr>
              <w:spacing w:after="20" w:before="20" w:line="252" w:lineRule="auto"/>
            </w:pPr>
            <w:r/>
            <w:r>
              <w:rPr>
                <w:rFonts w:ascii="Arial" w:hAnsi="Arial"/>
                <w:b w:val="0"/>
                <w:i w:val="0"/>
                <w:sz w:val="17"/>
              </w:rPr>
              <w:t>Sebagian</w:t>
            </w:r>
          </w:p>
        </w:tc>
      </w:tr>
      <w:tr>
        <w:trPr>
          <w:cantSplit/>
        </w:trPr>
        <w:tc>
          <w:tcPr>
            <w:tcW w:type="dxa" w:w="2660"/>
            <w:vAlign w:val="center"/>
          </w:tcPr>
          <w:p>
            <w:pPr>
              <w:spacing w:after="20" w:before="20" w:line="252" w:lineRule="auto"/>
            </w:pPr>
            <w:r/>
            <w:r>
              <w:rPr>
                <w:rFonts w:ascii="Arial" w:hAnsi="Arial"/>
                <w:b/>
                <w:i w:val="0"/>
                <w:sz w:val="17"/>
              </w:rPr>
              <w:t>Struktur pendanaan</w:t>
            </w:r>
          </w:p>
        </w:tc>
        <w:tc>
          <w:tcPr>
            <w:tcW w:type="dxa" w:w="5524"/>
            <w:vAlign w:val="center"/>
          </w:tcPr>
          <w:p>
            <w:pPr>
              <w:spacing w:after="20" w:before="20" w:line="252" w:lineRule="auto"/>
            </w:pPr>
            <w:r/>
            <w:r>
              <w:rPr>
                <w:rFonts w:ascii="Arial" w:hAnsi="Arial"/>
                <w:b w:val="0"/>
                <w:i w:val="0"/>
                <w:sz w:val="17"/>
              </w:rPr>
              <w:t>Tidak ada pada register; dibahas pada tingkat portofolio</w:t>
            </w:r>
          </w:p>
        </w:tc>
        <w:tc>
          <w:tcPr>
            <w:tcW w:type="dxa" w:w="1228"/>
            <w:vAlign w:val="center"/>
          </w:tcPr>
          <w:p>
            <w:pPr>
              <w:spacing w:after="20" w:before="20" w:line="252" w:lineRule="auto"/>
            </w:pPr>
            <w:r/>
            <w:r>
              <w:rPr>
                <w:rFonts w:ascii="Arial" w:hAnsi="Arial"/>
                <w:b w:val="0"/>
                <w:i w:val="0"/>
                <w:sz w:val="17"/>
              </w:rPr>
              <w:t>Belum</w:t>
            </w:r>
          </w:p>
        </w:tc>
      </w:tr>
      <w:tr>
        <w:trPr>
          <w:cantSplit/>
        </w:trPr>
        <w:tc>
          <w:tcPr>
            <w:tcW w:type="dxa" w:w="2660"/>
            <w:shd w:val="clear" w:color="auto" w:fill="E6ECFD"/>
            <w:vAlign w:val="center"/>
          </w:tcPr>
          <w:p>
            <w:pPr>
              <w:spacing w:after="20" w:before="20" w:line="252" w:lineRule="auto"/>
            </w:pPr>
            <w:r/>
            <w:r>
              <w:rPr>
                <w:rFonts w:ascii="Arial" w:hAnsi="Arial"/>
                <w:b/>
                <w:i w:val="0"/>
                <w:sz w:val="17"/>
              </w:rPr>
              <w:t>Rencana lokalisasi dan pemasok</w:t>
            </w:r>
          </w:p>
        </w:tc>
        <w:tc>
          <w:tcPr>
            <w:tcW w:type="dxa" w:w="5524"/>
            <w:shd w:val="clear" w:color="auto" w:fill="E6ECFD"/>
            <w:vAlign w:val="center"/>
          </w:tcPr>
          <w:p>
            <w:pPr>
              <w:spacing w:after="20" w:before="20" w:line="252" w:lineRule="auto"/>
            </w:pPr>
            <w:r/>
            <w:r>
              <w:rPr>
                <w:rFonts w:ascii="Arial" w:hAnsi="Arial"/>
                <w:b w:val="0"/>
                <w:i w:val="0"/>
                <w:sz w:val="17"/>
              </w:rPr>
              <w:t>Daftar mitra global berupa shortlist kapabilitas, belum penunjukan</w:t>
            </w:r>
          </w:p>
        </w:tc>
        <w:tc>
          <w:tcPr>
            <w:tcW w:type="dxa" w:w="1228"/>
            <w:shd w:val="clear" w:color="auto" w:fill="E6ECFD"/>
            <w:vAlign w:val="center"/>
          </w:tcPr>
          <w:p>
            <w:pPr>
              <w:spacing w:after="20" w:before="20" w:line="252" w:lineRule="auto"/>
            </w:pPr>
            <w:r/>
            <w:r>
              <w:rPr>
                <w:rFonts w:ascii="Arial" w:hAnsi="Arial"/>
                <w:b w:val="0"/>
                <w:i w:val="0"/>
                <w:sz w:val="17"/>
              </w:rPr>
              <w:t>Sebagian</w:t>
            </w:r>
          </w:p>
        </w:tc>
      </w:tr>
      <w:tr>
        <w:trPr>
          <w:cantSplit/>
        </w:trPr>
        <w:tc>
          <w:tcPr>
            <w:tcW w:type="dxa" w:w="2660"/>
            <w:vAlign w:val="center"/>
          </w:tcPr>
          <w:p>
            <w:pPr>
              <w:spacing w:after="20" w:before="20" w:line="252" w:lineRule="auto"/>
            </w:pPr>
            <w:r/>
            <w:r>
              <w:rPr>
                <w:rFonts w:ascii="Arial" w:hAnsi="Arial"/>
                <w:b/>
                <w:i w:val="0"/>
                <w:sz w:val="17"/>
              </w:rPr>
              <w:t>Kelas bukti</w:t>
            </w:r>
          </w:p>
        </w:tc>
        <w:tc>
          <w:tcPr>
            <w:tcW w:type="dxa" w:w="5524"/>
            <w:vAlign w:val="center"/>
          </w:tcPr>
          <w:p>
            <w:pPr>
              <w:spacing w:after="20" w:before="20" w:line="252" w:lineRule="auto"/>
            </w:pPr>
            <w:r/>
            <w:r>
              <w:rPr>
                <w:rFonts w:ascii="Arial" w:hAnsi="Arial"/>
                <w:b w:val="0"/>
                <w:i w:val="0"/>
                <w:sz w:val="17"/>
              </w:rPr>
              <w:t>Angka berlabel sumber, tanpa kelas bukti yang konsisten</w:t>
            </w:r>
          </w:p>
        </w:tc>
        <w:tc>
          <w:tcPr>
            <w:tcW w:type="dxa" w:w="1228"/>
            <w:vAlign w:val="center"/>
          </w:tcPr>
          <w:p>
            <w:pPr>
              <w:spacing w:after="20" w:before="20" w:line="252" w:lineRule="auto"/>
            </w:pPr>
            <w:r/>
            <w:r>
              <w:rPr>
                <w:rFonts w:ascii="Arial" w:hAnsi="Arial"/>
                <w:b w:val="0"/>
                <w:i w:val="0"/>
                <w:sz w:val="17"/>
              </w:rPr>
              <w:t>Sebagian</w:t>
            </w:r>
          </w:p>
        </w:tc>
      </w:tr>
      <w:tr>
        <w:trPr>
          <w:cantSplit/>
        </w:trPr>
        <w:tc>
          <w:tcPr>
            <w:tcW w:type="dxa" w:w="2660"/>
            <w:shd w:val="clear" w:color="auto" w:fill="E6ECFD"/>
            <w:vAlign w:val="center"/>
          </w:tcPr>
          <w:p>
            <w:pPr>
              <w:spacing w:after="20" w:before="20" w:line="252" w:lineRule="auto"/>
            </w:pPr>
            <w:r/>
            <w:r>
              <w:rPr>
                <w:rFonts w:ascii="Arial" w:hAnsi="Arial"/>
                <w:b/>
                <w:i w:val="0"/>
                <w:sz w:val="17"/>
              </w:rPr>
              <w:t>Riwayat versi</w:t>
            </w:r>
          </w:p>
        </w:tc>
        <w:tc>
          <w:tcPr>
            <w:tcW w:type="dxa" w:w="5524"/>
            <w:shd w:val="clear" w:color="auto" w:fill="E6ECFD"/>
            <w:vAlign w:val="center"/>
          </w:tcPr>
          <w:p>
            <w:pPr>
              <w:spacing w:after="20" w:before="20" w:line="252" w:lineRule="auto"/>
            </w:pPr>
            <w:r/>
            <w:r>
              <w:rPr>
                <w:rFonts w:ascii="Arial" w:hAnsi="Arial"/>
                <w:b w:val="0"/>
                <w:i w:val="0"/>
                <w:sz w:val="17"/>
              </w:rPr>
              <w:t>Tidak dapat dinilai dari buku kerja</w:t>
            </w:r>
          </w:p>
        </w:tc>
        <w:tc>
          <w:tcPr>
            <w:tcW w:type="dxa" w:w="1228"/>
            <w:shd w:val="clear" w:color="auto" w:fill="E6ECFD"/>
            <w:vAlign w:val="center"/>
          </w:tcPr>
          <w:p>
            <w:pPr>
              <w:spacing w:after="20" w:before="20" w:line="252" w:lineRule="auto"/>
            </w:pPr>
            <w:r/>
            <w:r>
              <w:rPr>
                <w:rFonts w:ascii="Arial" w:hAnsi="Arial"/>
                <w:b w:val="0"/>
                <w:i w:val="0"/>
                <w:sz w:val="17"/>
              </w:rPr>
              <w:t>NR</w:t>
            </w:r>
          </w:p>
        </w:tc>
      </w:tr>
    </w:tbl>
    <w:p>
      <w:pPr>
        <w:spacing w:after="160"/>
      </w:pPr>
      <w:r>
        <w:rPr>
          <w:rFonts w:ascii="Arial" w:hAnsi="Arial"/>
          <w:b w:val="0"/>
          <w:i/>
          <w:color w:val="051C5C"/>
          <w:sz w:val="17"/>
        </w:rPr>
        <w:t>Sumber: [VERO; EXEC; K §4.6]. Penilaian ini membaca isi register, bukan praktik internal.</w:t>
      </w:r>
    </w:p>
    <w:p>
      <w:pPr>
        <w:jc w:val="both"/>
      </w:pPr>
      <w:r>
        <w:rPr>
          <w:rFonts w:ascii="Arial" w:hAnsi="Arial"/>
          <w:b w:val="0"/>
          <w:i w:val="0"/>
        </w:rPr>
        <w:t>Hanya setelah kondisi-kondisi itu terpenuhi, skor tiga pilar dapat berubah dari penalti data menjadi penilaian berbasis bukti.</w:t>
      </w:r>
    </w:p>
    <w:p>
      <w:pPr>
        <w:pStyle w:val="Heading1"/>
      </w:pPr>
      <w:bookmarkStart w:id="16" w:name="_Toc016"/>
      <w:r>
        <w:t>15  Sistem Manajemen Proyek Terpadu Danantara I: komponen, gerbang, peran</w:t>
      </w:r>
      <w:bookmarkEnd w:id="16"/>
    </w:p>
    <w:p>
      <w:pPr>
        <w:jc w:val="both"/>
      </w:pPr>
      <w:r>
        <w:rPr>
          <w:rFonts w:ascii="Arial" w:hAnsi="Arial"/>
          <w:b/>
          <w:i w:val="0"/>
        </w:rPr>
        <w:t>Ringkasnya:</w:t>
      </w:r>
      <w:r>
        <w:rPr>
          <w:rFonts w:ascii="Arial" w:hAnsi="Arial"/>
          <w:b w:val="0"/>
          <w:i w:val="0"/>
        </w:rPr>
        <w:t xml:space="preserve"> unsur manajemen proyek sudah tersebar pada dokumen sumber. DPMS menyatukannya dalam tujuh komponen dan satu lintasan gerbang dengan artefak wajib. Bab ini memuat rancangan; standar minimum, kematangan, dan peta jalan ada pada Bab 16.</w:t>
      </w:r>
    </w:p>
    <w:p>
      <w:pPr>
        <w:pStyle w:val="Heading2"/>
      </w:pPr>
      <w:r>
        <w:t>15.1  Prinsip desain</w:t>
      </w:r>
    </w:p>
    <w:p>
      <w:pPr>
        <w:jc w:val="both"/>
      </w:pPr>
      <w:r>
        <w:rPr>
          <w:rFonts w:ascii="Arial" w:hAnsi="Arial"/>
          <w:b w:val="0"/>
          <w:i w:val="0"/>
        </w:rPr>
        <w:t>DPMS bertumpu pada enam prinsip dalam subbab 2.5 dan satu tambahan: manusia memutuskan, sistem menyediakan bukti. Usulan ini adalah rancangan penyusun, bukan kebijakan Danantara.</w:t>
      </w:r>
    </w:p>
    <w:p>
      <w:pPr>
        <w:pStyle w:val="Heading2"/>
      </w:pPr>
      <w:r>
        <w:t>15.2  Tujuh komponen</w:t>
      </w:r>
    </w:p>
    <w:p>
      <w:pPr>
        <w:keepNext/>
        <w:jc w:val="center"/>
      </w:pPr>
      <w:r>
        <w:drawing>
          <wp:inline xmlns:a="http://schemas.openxmlformats.org/drawingml/2006/main" xmlns:pic="http://schemas.openxmlformats.org/drawingml/2006/picture">
            <wp:extent cx="5580000" cy="3760225"/>
            <wp:docPr id="15" name="Picture 15" descr="DPMS terdiri dari tujuh komponen di atas fondasi register tunggal dan data induk" title="DPMS terdiri dari tujuh komponen di atas fondasi register tunggal dan data induk"/>
            <wp:cNvGraphicFramePr>
              <a:graphicFrameLocks noChangeAspect="1"/>
            </wp:cNvGraphicFramePr>
            <a:graphic>
              <a:graphicData uri="http://schemas.openxmlformats.org/drawingml/2006/picture">
                <pic:pic>
                  <pic:nvPicPr>
                    <pic:cNvPr id="0" name="f_dpms.png"/>
                    <pic:cNvPicPr/>
                  </pic:nvPicPr>
                  <pic:blipFill>
                    <a:blip r:embed="rId28"/>
                    <a:stretch>
                      <a:fillRect/>
                    </a:stretch>
                  </pic:blipFill>
                  <pic:spPr>
                    <a:xfrm>
                      <a:off x="0" y="0"/>
                      <a:ext cx="5580000" cy="3760225"/>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15</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DPMS terdiri dari tujuh komponen di atas fondasi register tunggal dan data induk</w:t>
      </w:r>
    </w:p>
    <w:p>
      <w:pPr>
        <w:spacing w:after="160"/>
      </w:pPr>
      <w:r>
        <w:rPr>
          <w:rFonts w:ascii="Arial" w:hAnsi="Arial"/>
          <w:b w:val="0"/>
          <w:i/>
          <w:color w:val="051C5C"/>
          <w:sz w:val="17"/>
        </w:rPr>
        <w:t>Sumber: rancangan penyusun berdasarkan Bab 3 sampai 14.</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25</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Isi minimum tiap komponen DPMS</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Isi minimum tiap komponen DPMS"/>
      </w:tblPr>
      <w:tblGrid>
        <w:gridCol w:w="3137"/>
        <w:gridCol w:w="3137"/>
        <w:gridCol w:w="3137"/>
      </w:tblGrid>
      <w:tr>
        <w:trPr>
          <w:cantSplit/>
          <w:tblHeader/>
        </w:trPr>
        <w:tc>
          <w:tcPr>
            <w:tcW w:type="dxa" w:w="2353"/>
            <w:shd w:val="clear" w:color="auto" w:fill="2251FF"/>
            <w:vAlign w:val="center"/>
          </w:tcPr>
          <w:p>
            <w:pPr>
              <w:spacing w:after="20" w:before="20" w:line="252" w:lineRule="auto"/>
            </w:pPr>
            <w:r/>
            <w:r>
              <w:rPr>
                <w:rFonts w:ascii="Arial" w:hAnsi="Arial"/>
                <w:b/>
                <w:i w:val="0"/>
                <w:color w:val="FFFFFF"/>
                <w:sz w:val="17"/>
              </w:rPr>
              <w:t>Komponen</w:t>
            </w:r>
          </w:p>
        </w:tc>
        <w:tc>
          <w:tcPr>
            <w:tcW w:type="dxa" w:w="5490"/>
            <w:shd w:val="clear" w:color="auto" w:fill="2251FF"/>
            <w:vAlign w:val="center"/>
          </w:tcPr>
          <w:p>
            <w:pPr>
              <w:spacing w:after="20" w:before="20" w:line="252" w:lineRule="auto"/>
            </w:pPr>
            <w:r/>
            <w:r>
              <w:rPr>
                <w:rFonts w:ascii="Arial" w:hAnsi="Arial"/>
                <w:b/>
                <w:i w:val="0"/>
                <w:color w:val="FFFFFF"/>
                <w:sz w:val="17"/>
              </w:rPr>
              <w:t>Isi minimum</w:t>
            </w:r>
          </w:p>
        </w:tc>
        <w:tc>
          <w:tcPr>
            <w:tcW w:type="dxa" w:w="1569"/>
            <w:shd w:val="clear" w:color="auto" w:fill="2251FF"/>
            <w:vAlign w:val="center"/>
          </w:tcPr>
          <w:p>
            <w:pPr>
              <w:spacing w:after="20" w:before="20" w:line="252" w:lineRule="auto"/>
            </w:pPr>
            <w:r/>
            <w:r>
              <w:rPr>
                <w:rFonts w:ascii="Arial" w:hAnsi="Arial"/>
                <w:b/>
                <w:i w:val="0"/>
                <w:color w:val="FFFFFF"/>
                <w:sz w:val="17"/>
              </w:rPr>
              <w:t>Dasar</w:t>
            </w:r>
          </w:p>
        </w:tc>
      </w:tr>
      <w:tr>
        <w:trPr>
          <w:cantSplit/>
        </w:trPr>
        <w:tc>
          <w:tcPr>
            <w:tcW w:type="dxa" w:w="2353"/>
            <w:vAlign w:val="center"/>
          </w:tcPr>
          <w:p>
            <w:pPr>
              <w:spacing w:after="20" w:before="20" w:line="252" w:lineRule="auto"/>
            </w:pPr>
            <w:r/>
            <w:r>
              <w:rPr>
                <w:rFonts w:ascii="Arial" w:hAnsi="Arial"/>
                <w:b/>
                <w:i w:val="0"/>
                <w:sz w:val="17"/>
              </w:rPr>
              <w:t>1 Kebijakan dan standar</w:t>
            </w:r>
          </w:p>
        </w:tc>
        <w:tc>
          <w:tcPr>
            <w:tcW w:type="dxa" w:w="5490"/>
            <w:vAlign w:val="center"/>
          </w:tcPr>
          <w:p>
            <w:pPr>
              <w:spacing w:after="20" w:before="20" w:line="252" w:lineRule="auto"/>
            </w:pPr>
            <w:r/>
            <w:r>
              <w:rPr>
                <w:rFonts w:ascii="Arial" w:hAnsi="Arial"/>
                <w:b w:val="0"/>
                <w:i w:val="0"/>
                <w:sz w:val="17"/>
              </w:rPr>
              <w:t>Kebijakan manajemen proyek; standar minimum; kamus metrik; kebijakan estimasi dan kontingensi</w:t>
            </w:r>
          </w:p>
        </w:tc>
        <w:tc>
          <w:tcPr>
            <w:tcW w:type="dxa" w:w="1569"/>
            <w:vAlign w:val="center"/>
          </w:tcPr>
          <w:p>
            <w:pPr>
              <w:spacing w:after="20" w:before="20" w:line="252" w:lineRule="auto"/>
            </w:pPr>
            <w:r/>
            <w:r>
              <w:rPr>
                <w:rFonts w:ascii="Arial" w:hAnsi="Arial"/>
                <w:b w:val="0"/>
                <w:i w:val="0"/>
                <w:sz w:val="17"/>
              </w:rPr>
              <w:t>Bab 2, 4, 6</w:t>
            </w:r>
          </w:p>
        </w:tc>
      </w:tr>
      <w:tr>
        <w:trPr>
          <w:cantSplit/>
        </w:trPr>
        <w:tc>
          <w:tcPr>
            <w:tcW w:type="dxa" w:w="2353"/>
            <w:shd w:val="clear" w:color="auto" w:fill="E6ECFD"/>
            <w:vAlign w:val="center"/>
          </w:tcPr>
          <w:p>
            <w:pPr>
              <w:spacing w:after="20" w:before="20" w:line="252" w:lineRule="auto"/>
            </w:pPr>
            <w:r/>
            <w:r>
              <w:rPr>
                <w:rFonts w:ascii="Arial" w:hAnsi="Arial"/>
                <w:b/>
                <w:i w:val="0"/>
                <w:sz w:val="17"/>
              </w:rPr>
              <w:t>2 Organisasi dan peran</w:t>
            </w:r>
          </w:p>
        </w:tc>
        <w:tc>
          <w:tcPr>
            <w:tcW w:type="dxa" w:w="5490"/>
            <w:shd w:val="clear" w:color="auto" w:fill="E6ECFD"/>
            <w:vAlign w:val="center"/>
          </w:tcPr>
          <w:p>
            <w:pPr>
              <w:spacing w:after="20" w:before="20" w:line="252" w:lineRule="auto"/>
            </w:pPr>
            <w:r/>
            <w:r>
              <w:rPr>
                <w:rFonts w:ascii="Arial" w:hAnsi="Arial"/>
                <w:b w:val="0"/>
                <w:i w:val="0"/>
                <w:sz w:val="17"/>
              </w:rPr>
              <w:t>Unit Industri Strategis sebagai PMO portofolio; sponsor; direktur proyek; fungsi jaminan independen; pemimpin klaster</w:t>
            </w:r>
          </w:p>
        </w:tc>
        <w:tc>
          <w:tcPr>
            <w:tcW w:type="dxa" w:w="1569"/>
            <w:shd w:val="clear" w:color="auto" w:fill="E6ECFD"/>
            <w:vAlign w:val="center"/>
          </w:tcPr>
          <w:p>
            <w:pPr>
              <w:spacing w:after="20" w:before="20" w:line="252" w:lineRule="auto"/>
            </w:pPr>
            <w:r/>
            <w:r>
              <w:rPr>
                <w:rFonts w:ascii="Arial" w:hAnsi="Arial"/>
                <w:b w:val="0"/>
                <w:i w:val="0"/>
                <w:sz w:val="17"/>
              </w:rPr>
              <w:t>Bab 3, 9</w:t>
            </w:r>
          </w:p>
        </w:tc>
      </w:tr>
      <w:tr>
        <w:trPr>
          <w:cantSplit/>
        </w:trPr>
        <w:tc>
          <w:tcPr>
            <w:tcW w:type="dxa" w:w="2353"/>
            <w:vAlign w:val="center"/>
          </w:tcPr>
          <w:p>
            <w:pPr>
              <w:spacing w:after="20" w:before="20" w:line="252" w:lineRule="auto"/>
            </w:pPr>
            <w:r/>
            <w:r>
              <w:rPr>
                <w:rFonts w:ascii="Arial" w:hAnsi="Arial"/>
                <w:b/>
                <w:i w:val="0"/>
                <w:sz w:val="17"/>
              </w:rPr>
              <w:t>3 Proses dan gerbang</w:t>
            </w:r>
          </w:p>
        </w:tc>
        <w:tc>
          <w:tcPr>
            <w:tcW w:type="dxa" w:w="5490"/>
            <w:vAlign w:val="center"/>
          </w:tcPr>
          <w:p>
            <w:pPr>
              <w:spacing w:after="20" w:before="20" w:line="252" w:lineRule="auto"/>
            </w:pPr>
            <w:r/>
            <w:r>
              <w:rPr>
                <w:rFonts w:ascii="Arial" w:hAnsi="Arial"/>
                <w:b w:val="0"/>
                <w:i w:val="0"/>
                <w:sz w:val="17"/>
              </w:rPr>
              <w:t>Gerbang P, M, dan S terpadu; perencanaan, kendali biaya, risiko, pengadaan, perubahan, komisioning, manfaat</w:t>
            </w:r>
          </w:p>
        </w:tc>
        <w:tc>
          <w:tcPr>
            <w:tcW w:type="dxa" w:w="1569"/>
            <w:vAlign w:val="center"/>
          </w:tcPr>
          <w:p>
            <w:pPr>
              <w:spacing w:after="20" w:before="20" w:line="252" w:lineRule="auto"/>
            </w:pPr>
            <w:r/>
            <w:r>
              <w:rPr>
                <w:rFonts w:ascii="Arial" w:hAnsi="Arial"/>
                <w:b w:val="0"/>
                <w:i w:val="0"/>
                <w:sz w:val="17"/>
              </w:rPr>
              <w:t>Bab 3 sampai 10</w:t>
            </w:r>
          </w:p>
        </w:tc>
      </w:tr>
      <w:tr>
        <w:trPr>
          <w:cantSplit/>
        </w:trPr>
        <w:tc>
          <w:tcPr>
            <w:tcW w:type="dxa" w:w="2353"/>
            <w:shd w:val="clear" w:color="auto" w:fill="E6ECFD"/>
            <w:vAlign w:val="center"/>
          </w:tcPr>
          <w:p>
            <w:pPr>
              <w:spacing w:after="20" w:before="20" w:line="252" w:lineRule="auto"/>
            </w:pPr>
            <w:r/>
            <w:r>
              <w:rPr>
                <w:rFonts w:ascii="Arial" w:hAnsi="Arial"/>
                <w:b/>
                <w:i w:val="0"/>
                <w:sz w:val="17"/>
              </w:rPr>
              <w:t>4 Artefak dan templat</w:t>
            </w:r>
          </w:p>
        </w:tc>
        <w:tc>
          <w:tcPr>
            <w:tcW w:type="dxa" w:w="5490"/>
            <w:shd w:val="clear" w:color="auto" w:fill="E6ECFD"/>
            <w:vAlign w:val="center"/>
          </w:tcPr>
          <w:p>
            <w:pPr>
              <w:spacing w:after="20" w:before="20" w:line="252" w:lineRule="auto"/>
            </w:pPr>
            <w:r/>
            <w:r>
              <w:rPr>
                <w:rFonts w:ascii="Arial" w:hAnsi="Arial"/>
                <w:b w:val="0"/>
                <w:i w:val="0"/>
                <w:sz w:val="17"/>
              </w:rPr>
              <w:t>Piagam, kasus bisnis, register, baseline, laporan, permintaan perubahan, daftar periksa gerbang</w:t>
            </w:r>
          </w:p>
        </w:tc>
        <w:tc>
          <w:tcPr>
            <w:tcW w:type="dxa" w:w="1569"/>
            <w:shd w:val="clear" w:color="auto" w:fill="E6ECFD"/>
            <w:vAlign w:val="center"/>
          </w:tcPr>
          <w:p>
            <w:pPr>
              <w:spacing w:after="20" w:before="20" w:line="252" w:lineRule="auto"/>
            </w:pPr>
            <w:r/>
            <w:r>
              <w:rPr>
                <w:rFonts w:ascii="Arial" w:hAnsi="Arial"/>
                <w:b w:val="0"/>
                <w:i w:val="0"/>
                <w:sz w:val="17"/>
              </w:rPr>
              <w:t>Bab 4 sampai 8; Lampiran B</w:t>
            </w:r>
          </w:p>
        </w:tc>
      </w:tr>
      <w:tr>
        <w:trPr>
          <w:cantSplit/>
        </w:trPr>
        <w:tc>
          <w:tcPr>
            <w:tcW w:type="dxa" w:w="2353"/>
            <w:vAlign w:val="center"/>
          </w:tcPr>
          <w:p>
            <w:pPr>
              <w:spacing w:after="20" w:before="20" w:line="252" w:lineRule="auto"/>
            </w:pPr>
            <w:r/>
            <w:r>
              <w:rPr>
                <w:rFonts w:ascii="Arial" w:hAnsi="Arial"/>
                <w:b/>
                <w:i w:val="0"/>
                <w:sz w:val="17"/>
              </w:rPr>
              <w:t>5 Data dan teknologi</w:t>
            </w:r>
          </w:p>
        </w:tc>
        <w:tc>
          <w:tcPr>
            <w:tcW w:type="dxa" w:w="5490"/>
            <w:vAlign w:val="center"/>
          </w:tcPr>
          <w:p>
            <w:pPr>
              <w:spacing w:after="20" w:before="20" w:line="252" w:lineRule="auto"/>
            </w:pPr>
            <w:r/>
            <w:r>
              <w:rPr>
                <w:rFonts w:ascii="Arial" w:hAnsi="Arial"/>
                <w:b w:val="0"/>
                <w:i w:val="0"/>
                <w:sz w:val="17"/>
              </w:rPr>
              <w:t>Identitas tunggal dan data induk; menara kendali; agen AI dengan tata kelola</w:t>
            </w:r>
          </w:p>
        </w:tc>
        <w:tc>
          <w:tcPr>
            <w:tcW w:type="dxa" w:w="1569"/>
            <w:vAlign w:val="center"/>
          </w:tcPr>
          <w:p>
            <w:pPr>
              <w:spacing w:after="20" w:before="20" w:line="252" w:lineRule="auto"/>
            </w:pPr>
            <w:r/>
            <w:r>
              <w:rPr>
                <w:rFonts w:ascii="Arial" w:hAnsi="Arial"/>
                <w:b w:val="0"/>
                <w:i w:val="0"/>
                <w:sz w:val="17"/>
              </w:rPr>
              <w:t>Bab 11, 12</w:t>
            </w:r>
          </w:p>
        </w:tc>
      </w:tr>
      <w:tr>
        <w:trPr>
          <w:cantSplit/>
        </w:trPr>
        <w:tc>
          <w:tcPr>
            <w:tcW w:type="dxa" w:w="2353"/>
            <w:shd w:val="clear" w:color="auto" w:fill="E6ECFD"/>
            <w:vAlign w:val="center"/>
          </w:tcPr>
          <w:p>
            <w:pPr>
              <w:spacing w:after="20" w:before="20" w:line="252" w:lineRule="auto"/>
            </w:pPr>
            <w:r/>
            <w:r>
              <w:rPr>
                <w:rFonts w:ascii="Arial" w:hAnsi="Arial"/>
                <w:b/>
                <w:i w:val="0"/>
                <w:sz w:val="17"/>
              </w:rPr>
              <w:t>6 Kinerja dan pelaporan</w:t>
            </w:r>
          </w:p>
        </w:tc>
        <w:tc>
          <w:tcPr>
            <w:tcW w:type="dxa" w:w="5490"/>
            <w:shd w:val="clear" w:color="auto" w:fill="E6ECFD"/>
            <w:vAlign w:val="center"/>
          </w:tcPr>
          <w:p>
            <w:pPr>
              <w:spacing w:after="20" w:before="20" w:line="252" w:lineRule="auto"/>
            </w:pPr>
            <w:r/>
            <w:r>
              <w:rPr>
                <w:rFonts w:ascii="Arial" w:hAnsi="Arial"/>
                <w:b w:val="0"/>
                <w:i w:val="0"/>
                <w:sz w:val="17"/>
              </w:rPr>
              <w:t>Tiga scorecard; 15 KPI; irama pelaporan; kelas bukti; lima tahap modal</w:t>
            </w:r>
          </w:p>
        </w:tc>
        <w:tc>
          <w:tcPr>
            <w:tcW w:type="dxa" w:w="1569"/>
            <w:shd w:val="clear" w:color="auto" w:fill="E6ECFD"/>
            <w:vAlign w:val="center"/>
          </w:tcPr>
          <w:p>
            <w:pPr>
              <w:spacing w:after="20" w:before="20" w:line="252" w:lineRule="auto"/>
            </w:pPr>
            <w:r/>
            <w:r>
              <w:rPr>
                <w:rFonts w:ascii="Arial" w:hAnsi="Arial"/>
                <w:b w:val="0"/>
                <w:i w:val="0"/>
                <w:sz w:val="17"/>
              </w:rPr>
              <w:t>Bab 9, 11</w:t>
            </w:r>
          </w:p>
        </w:tc>
      </w:tr>
      <w:tr>
        <w:trPr>
          <w:cantSplit/>
        </w:trPr>
        <w:tc>
          <w:tcPr>
            <w:tcW w:type="dxa" w:w="2353"/>
            <w:vAlign w:val="center"/>
          </w:tcPr>
          <w:p>
            <w:pPr>
              <w:spacing w:after="20" w:before="20" w:line="252" w:lineRule="auto"/>
            </w:pPr>
            <w:r/>
            <w:r>
              <w:rPr>
                <w:rFonts w:ascii="Arial" w:hAnsi="Arial"/>
                <w:b/>
                <w:i w:val="0"/>
                <w:sz w:val="17"/>
              </w:rPr>
              <w:t>7 Kapabilitas dan budaya</w:t>
            </w:r>
          </w:p>
        </w:tc>
        <w:tc>
          <w:tcPr>
            <w:tcW w:type="dxa" w:w="5490"/>
            <w:vAlign w:val="center"/>
          </w:tcPr>
          <w:p>
            <w:pPr>
              <w:spacing w:after="20" w:before="20" w:line="252" w:lineRule="auto"/>
            </w:pPr>
            <w:r/>
            <w:r>
              <w:rPr>
                <w:rFonts w:ascii="Arial" w:hAnsi="Arial"/>
                <w:b w:val="0"/>
                <w:i w:val="0"/>
                <w:sz w:val="17"/>
              </w:rPr>
              <w:t>Kompetensi, pelatihan, insentif, manajemen perubahan</w:t>
            </w:r>
          </w:p>
        </w:tc>
        <w:tc>
          <w:tcPr>
            <w:tcW w:type="dxa" w:w="1569"/>
            <w:vAlign w:val="center"/>
          </w:tcPr>
          <w:p>
            <w:pPr>
              <w:spacing w:after="20" w:before="20" w:line="252" w:lineRule="auto"/>
            </w:pPr>
            <w:r/>
            <w:r>
              <w:rPr>
                <w:rFonts w:ascii="Arial" w:hAnsi="Arial"/>
                <w:b w:val="0"/>
                <w:i w:val="0"/>
                <w:sz w:val="17"/>
              </w:rPr>
              <w:t>Bab 9</w:t>
            </w:r>
          </w:p>
        </w:tc>
      </w:tr>
    </w:tbl>
    <w:p>
      <w:pPr>
        <w:spacing w:after="40"/>
      </w:pPr>
    </w:p>
    <w:p>
      <w:pPr>
        <w:pStyle w:val="Heading2"/>
      </w:pPr>
      <w:r>
        <w:t>15.3  Artefak wajib dan pengendalian pada tiap gerbang</w:t>
      </w:r>
    </w:p>
    <w:p>
      <w:pPr>
        <w:jc w:val="both"/>
      </w:pPr>
      <w:r>
        <w:rPr>
          <w:rFonts w:ascii="Arial" w:hAnsi="Arial"/>
          <w:b w:val="0"/>
          <w:i w:val="0"/>
        </w:rPr>
        <w:t>Bukti untuk melanjutkan telah dirumuskan pada Tabel 4. Tabel berikut menambahkan artefak yang harus ada dan pengendalian inti yang berlaku pada setiap gerbang.</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26</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Artefak wajib dan pengendalian inti per gerbang</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Artefak wajib dan pengendalian inti per gerbang"/>
      </w:tblPr>
      <w:tblGrid>
        <w:gridCol w:w="3137"/>
        <w:gridCol w:w="3137"/>
        <w:gridCol w:w="3137"/>
      </w:tblGrid>
      <w:tr>
        <w:trPr>
          <w:cantSplit/>
          <w:tblHeader/>
        </w:trPr>
        <w:tc>
          <w:tcPr>
            <w:tcW w:type="dxa" w:w="784"/>
            <w:shd w:val="clear" w:color="auto" w:fill="2251FF"/>
            <w:vAlign w:val="center"/>
          </w:tcPr>
          <w:p>
            <w:pPr>
              <w:spacing w:after="20" w:before="20" w:line="252" w:lineRule="auto"/>
            </w:pPr>
            <w:r/>
            <w:r>
              <w:rPr>
                <w:rFonts w:ascii="Arial" w:hAnsi="Arial"/>
                <w:b/>
                <w:i w:val="0"/>
                <w:color w:val="FFFFFF"/>
                <w:sz w:val="16"/>
              </w:rPr>
              <w:t>Gerbang</w:t>
            </w:r>
          </w:p>
        </w:tc>
        <w:tc>
          <w:tcPr>
            <w:tcW w:type="dxa" w:w="4902"/>
            <w:shd w:val="clear" w:color="auto" w:fill="2251FF"/>
            <w:vAlign w:val="center"/>
          </w:tcPr>
          <w:p>
            <w:pPr>
              <w:spacing w:after="20" w:before="20" w:line="252" w:lineRule="auto"/>
            </w:pPr>
            <w:r/>
            <w:r>
              <w:rPr>
                <w:rFonts w:ascii="Arial" w:hAnsi="Arial"/>
                <w:b/>
                <w:i w:val="0"/>
                <w:color w:val="FFFFFF"/>
                <w:sz w:val="16"/>
              </w:rPr>
              <w:t>Artefak wajib</w:t>
            </w:r>
          </w:p>
        </w:tc>
        <w:tc>
          <w:tcPr>
            <w:tcW w:type="dxa" w:w="3725"/>
            <w:shd w:val="clear" w:color="auto" w:fill="2251FF"/>
            <w:vAlign w:val="center"/>
          </w:tcPr>
          <w:p>
            <w:pPr>
              <w:spacing w:after="20" w:before="20" w:line="252" w:lineRule="auto"/>
            </w:pPr>
            <w:r/>
            <w:r>
              <w:rPr>
                <w:rFonts w:ascii="Arial" w:hAnsi="Arial"/>
                <w:b/>
                <w:i w:val="0"/>
                <w:color w:val="FFFFFF"/>
                <w:sz w:val="16"/>
              </w:rPr>
              <w:t>Pengendalian inti</w:t>
            </w:r>
          </w:p>
        </w:tc>
      </w:tr>
      <w:tr>
        <w:trPr>
          <w:cantSplit/>
        </w:trPr>
        <w:tc>
          <w:tcPr>
            <w:tcW w:type="dxa" w:w="784"/>
            <w:vAlign w:val="center"/>
          </w:tcPr>
          <w:p>
            <w:pPr>
              <w:spacing w:after="20" w:before="20" w:line="252" w:lineRule="auto"/>
            </w:pPr>
            <w:r/>
            <w:r>
              <w:rPr>
                <w:rFonts w:ascii="Arial" w:hAnsi="Arial"/>
                <w:b/>
                <w:i w:val="0"/>
                <w:sz w:val="16"/>
              </w:rPr>
              <w:t>P0</w:t>
            </w:r>
          </w:p>
        </w:tc>
        <w:tc>
          <w:tcPr>
            <w:tcW w:type="dxa" w:w="4902"/>
            <w:vAlign w:val="center"/>
          </w:tcPr>
          <w:p>
            <w:pPr>
              <w:spacing w:after="20" w:before="20" w:line="252" w:lineRule="auto"/>
            </w:pPr>
            <w:r/>
            <w:r>
              <w:rPr>
                <w:rFonts w:ascii="Arial" w:hAnsi="Arial"/>
                <w:b w:val="0"/>
                <w:i w:val="0"/>
                <w:sz w:val="16"/>
              </w:rPr>
              <w:t>Entri register; piagam awal; penunjukan sponsor, direktur proyek, organ sah</w:t>
            </w:r>
          </w:p>
        </w:tc>
        <w:tc>
          <w:tcPr>
            <w:tcW w:type="dxa" w:w="3725"/>
            <w:vAlign w:val="center"/>
          </w:tcPr>
          <w:p>
            <w:pPr>
              <w:spacing w:after="20" w:before="20" w:line="252" w:lineRule="auto"/>
            </w:pPr>
            <w:r/>
            <w:r>
              <w:rPr>
                <w:rFonts w:ascii="Arial" w:hAnsi="Arial"/>
                <w:b w:val="0"/>
                <w:i w:val="0"/>
                <w:sz w:val="16"/>
              </w:rPr>
              <w:t>Identitas tunggal; batas lingkup; jalur keputusan</w:t>
            </w:r>
          </w:p>
        </w:tc>
      </w:tr>
      <w:tr>
        <w:trPr>
          <w:cantSplit/>
        </w:trPr>
        <w:tc>
          <w:tcPr>
            <w:tcW w:type="dxa" w:w="784"/>
            <w:shd w:val="clear" w:color="auto" w:fill="E6ECFD"/>
            <w:vAlign w:val="center"/>
          </w:tcPr>
          <w:p>
            <w:pPr>
              <w:spacing w:after="20" w:before="20" w:line="252" w:lineRule="auto"/>
            </w:pPr>
            <w:r/>
            <w:r>
              <w:rPr>
                <w:rFonts w:ascii="Arial" w:hAnsi="Arial"/>
                <w:b/>
                <w:i w:val="0"/>
                <w:sz w:val="16"/>
              </w:rPr>
              <w:t>P1</w:t>
            </w:r>
          </w:p>
        </w:tc>
        <w:tc>
          <w:tcPr>
            <w:tcW w:type="dxa" w:w="4902"/>
            <w:shd w:val="clear" w:color="auto" w:fill="E6ECFD"/>
            <w:vAlign w:val="center"/>
          </w:tcPr>
          <w:p>
            <w:pPr>
              <w:spacing w:after="20" w:before="20" w:line="252" w:lineRule="auto"/>
            </w:pPr>
            <w:r/>
            <w:r>
              <w:rPr>
                <w:rFonts w:ascii="Arial" w:hAnsi="Arial"/>
                <w:b w:val="0"/>
                <w:i w:val="0"/>
                <w:sz w:val="16"/>
              </w:rPr>
              <w:t>Dua kasus bisnis; opsi termasuk tidak membangun; estimasi kelas 5; rencana lokalisasi awal</w:t>
            </w:r>
          </w:p>
        </w:tc>
        <w:tc>
          <w:tcPr>
            <w:tcW w:type="dxa" w:w="3725"/>
            <w:shd w:val="clear" w:color="auto" w:fill="E6ECFD"/>
            <w:vAlign w:val="center"/>
          </w:tcPr>
          <w:p>
            <w:pPr>
              <w:spacing w:after="20" w:before="20" w:line="252" w:lineRule="auto"/>
            </w:pPr>
            <w:r/>
            <w:r>
              <w:rPr>
                <w:rFonts w:ascii="Arial" w:hAnsi="Arial"/>
                <w:b w:val="0"/>
                <w:i w:val="0"/>
                <w:sz w:val="16"/>
              </w:rPr>
              <w:t>Uji adisionalitas; opini risiko independen</w:t>
            </w:r>
          </w:p>
        </w:tc>
      </w:tr>
      <w:tr>
        <w:trPr>
          <w:cantSplit/>
        </w:trPr>
        <w:tc>
          <w:tcPr>
            <w:tcW w:type="dxa" w:w="784"/>
            <w:vAlign w:val="center"/>
          </w:tcPr>
          <w:p>
            <w:pPr>
              <w:spacing w:after="20" w:before="20" w:line="252" w:lineRule="auto"/>
            </w:pPr>
            <w:r/>
            <w:r>
              <w:rPr>
                <w:rFonts w:ascii="Arial" w:hAnsi="Arial"/>
                <w:b/>
                <w:i w:val="0"/>
                <w:sz w:val="16"/>
              </w:rPr>
              <w:t>P2</w:t>
            </w:r>
          </w:p>
        </w:tc>
        <w:tc>
          <w:tcPr>
            <w:tcW w:type="dxa" w:w="4902"/>
            <w:vAlign w:val="center"/>
          </w:tcPr>
          <w:p>
            <w:pPr>
              <w:spacing w:after="20" w:before="20" w:line="252" w:lineRule="auto"/>
            </w:pPr>
            <w:r/>
            <w:r>
              <w:rPr>
                <w:rFonts w:ascii="Arial" w:hAnsi="Arial"/>
                <w:b w:val="0"/>
                <w:i w:val="0"/>
                <w:sz w:val="16"/>
              </w:rPr>
              <w:t>Studi teknis; estimasi kelas 4–3 dengan basis; jadwal induk; register risiko dan kontingensi; peta pemasok; term sheet</w:t>
            </w:r>
          </w:p>
        </w:tc>
        <w:tc>
          <w:tcPr>
            <w:tcW w:type="dxa" w:w="3725"/>
            <w:vAlign w:val="center"/>
          </w:tcPr>
          <w:p>
            <w:pPr>
              <w:spacing w:after="20" w:before="20" w:line="252" w:lineRule="auto"/>
            </w:pPr>
            <w:r/>
            <w:r>
              <w:rPr>
                <w:rFonts w:ascii="Arial" w:hAnsi="Arial"/>
                <w:b w:val="0"/>
                <w:i w:val="0"/>
                <w:sz w:val="16"/>
              </w:rPr>
              <w:t>Daftar periksa kesiapan (subbab 4.6); kajian teknologi independen; gerbang pemasok dipetakan</w:t>
            </w:r>
          </w:p>
        </w:tc>
      </w:tr>
      <w:tr>
        <w:trPr>
          <w:cantSplit/>
        </w:trPr>
        <w:tc>
          <w:tcPr>
            <w:tcW w:type="dxa" w:w="784"/>
            <w:shd w:val="clear" w:color="auto" w:fill="E6ECFD"/>
            <w:vAlign w:val="center"/>
          </w:tcPr>
          <w:p>
            <w:pPr>
              <w:spacing w:after="20" w:before="20" w:line="252" w:lineRule="auto"/>
            </w:pPr>
            <w:r/>
            <w:r>
              <w:rPr>
                <w:rFonts w:ascii="Arial" w:hAnsi="Arial"/>
                <w:b/>
                <w:i w:val="0"/>
                <w:sz w:val="16"/>
              </w:rPr>
              <w:t>P3</w:t>
            </w:r>
          </w:p>
        </w:tc>
        <w:tc>
          <w:tcPr>
            <w:tcW w:type="dxa" w:w="4902"/>
            <w:shd w:val="clear" w:color="auto" w:fill="E6ECFD"/>
            <w:vAlign w:val="center"/>
          </w:tcPr>
          <w:p>
            <w:pPr>
              <w:spacing w:after="20" w:before="20" w:line="252" w:lineRule="auto"/>
            </w:pPr>
            <w:r/>
            <w:r>
              <w:rPr>
                <w:rFonts w:ascii="Arial" w:hAnsi="Arial"/>
                <w:b w:val="0"/>
                <w:i w:val="0"/>
                <w:sz w:val="16"/>
              </w:rPr>
              <w:t>Rekomendasi komite; perbedaan pendapat; kontrak payung dan paket ofset dalam kontrak</w:t>
            </w:r>
          </w:p>
        </w:tc>
        <w:tc>
          <w:tcPr>
            <w:tcW w:type="dxa" w:w="3725"/>
            <w:shd w:val="clear" w:color="auto" w:fill="E6ECFD"/>
            <w:vAlign w:val="center"/>
          </w:tcPr>
          <w:p>
            <w:pPr>
              <w:spacing w:after="20" w:before="20" w:line="252" w:lineRule="auto"/>
            </w:pPr>
            <w:r/>
            <w:r>
              <w:rPr>
                <w:rFonts w:ascii="Arial" w:hAnsi="Arial"/>
                <w:b w:val="0"/>
                <w:i w:val="0"/>
                <w:sz w:val="16"/>
              </w:rPr>
              <w:t>Persetujuan yang dicadangkan; tanda tangan dipisah dari persetujuan bisnis</w:t>
            </w:r>
          </w:p>
        </w:tc>
      </w:tr>
      <w:tr>
        <w:trPr>
          <w:cantSplit/>
        </w:trPr>
        <w:tc>
          <w:tcPr>
            <w:tcW w:type="dxa" w:w="784"/>
            <w:vAlign w:val="center"/>
          </w:tcPr>
          <w:p>
            <w:pPr>
              <w:spacing w:after="20" w:before="20" w:line="252" w:lineRule="auto"/>
            </w:pPr>
            <w:r/>
            <w:r>
              <w:rPr>
                <w:rFonts w:ascii="Arial" w:hAnsi="Arial"/>
                <w:b/>
                <w:i w:val="0"/>
                <w:sz w:val="16"/>
              </w:rPr>
              <w:t>P4</w:t>
            </w:r>
          </w:p>
        </w:tc>
        <w:tc>
          <w:tcPr>
            <w:tcW w:type="dxa" w:w="4902"/>
            <w:vAlign w:val="center"/>
          </w:tcPr>
          <w:p>
            <w:pPr>
              <w:spacing w:after="20" w:before="20" w:line="252" w:lineRule="auto"/>
            </w:pPr>
            <w:r/>
            <w:r>
              <w:rPr>
                <w:rFonts w:ascii="Arial" w:hAnsi="Arial"/>
                <w:b w:val="0"/>
                <w:i w:val="0"/>
                <w:sz w:val="16"/>
              </w:rPr>
              <w:t>Syarat pendahuluan; baseline lingkup, biaya, jadwal; rencana perubahan, mutu, K3</w:t>
            </w:r>
          </w:p>
        </w:tc>
        <w:tc>
          <w:tcPr>
            <w:tcW w:type="dxa" w:w="3725"/>
            <w:vAlign w:val="center"/>
          </w:tcPr>
          <w:p>
            <w:pPr>
              <w:spacing w:after="20" w:before="20" w:line="252" w:lineRule="auto"/>
            </w:pPr>
            <w:r/>
            <w:r>
              <w:rPr>
                <w:rFonts w:ascii="Arial" w:hAnsi="Arial"/>
                <w:b w:val="0"/>
                <w:i w:val="0"/>
                <w:sz w:val="16"/>
              </w:rPr>
              <w:t>Rantai biaya; tiga pemeriksaan PR; pencocokan tiga arah; EVM; pesanan dilepas per gerbang S</w:t>
            </w:r>
          </w:p>
        </w:tc>
      </w:tr>
      <w:tr>
        <w:trPr>
          <w:cantSplit/>
        </w:trPr>
        <w:tc>
          <w:tcPr>
            <w:tcW w:type="dxa" w:w="784"/>
            <w:shd w:val="clear" w:color="auto" w:fill="E6ECFD"/>
            <w:vAlign w:val="center"/>
          </w:tcPr>
          <w:p>
            <w:pPr>
              <w:spacing w:after="20" w:before="20" w:line="252" w:lineRule="auto"/>
            </w:pPr>
            <w:r/>
            <w:r>
              <w:rPr>
                <w:rFonts w:ascii="Arial" w:hAnsi="Arial"/>
                <w:b/>
                <w:i w:val="0"/>
                <w:sz w:val="16"/>
              </w:rPr>
              <w:t>P5</w:t>
            </w:r>
          </w:p>
        </w:tc>
        <w:tc>
          <w:tcPr>
            <w:tcW w:type="dxa" w:w="4902"/>
            <w:shd w:val="clear" w:color="auto" w:fill="E6ECFD"/>
            <w:vAlign w:val="center"/>
          </w:tcPr>
          <w:p>
            <w:pPr>
              <w:spacing w:after="20" w:before="20" w:line="252" w:lineRule="auto"/>
            </w:pPr>
            <w:r/>
            <w:r>
              <w:rPr>
                <w:rFonts w:ascii="Arial" w:hAnsi="Arial"/>
                <w:b w:val="0"/>
                <w:i w:val="0"/>
                <w:sz w:val="16"/>
              </w:rPr>
              <w:t>Dossier penyelesaian; hasil uji kinerja; penerimaan aset; kesiapan operasi</w:t>
            </w:r>
          </w:p>
        </w:tc>
        <w:tc>
          <w:tcPr>
            <w:tcW w:type="dxa" w:w="3725"/>
            <w:shd w:val="clear" w:color="auto" w:fill="E6ECFD"/>
            <w:vAlign w:val="center"/>
          </w:tcPr>
          <w:p>
            <w:pPr>
              <w:spacing w:after="20" w:before="20" w:line="252" w:lineRule="auto"/>
            </w:pPr>
            <w:r/>
            <w:r>
              <w:rPr>
                <w:rFonts w:ascii="Arial" w:hAnsi="Arial"/>
                <w:b w:val="0"/>
                <w:i w:val="0"/>
                <w:sz w:val="16"/>
              </w:rPr>
              <w:t>Kriteria penerimaan; independensi surveyor</w:t>
            </w:r>
          </w:p>
        </w:tc>
      </w:tr>
      <w:tr>
        <w:trPr>
          <w:cantSplit/>
        </w:trPr>
        <w:tc>
          <w:tcPr>
            <w:tcW w:type="dxa" w:w="784"/>
            <w:vAlign w:val="center"/>
          </w:tcPr>
          <w:p>
            <w:pPr>
              <w:spacing w:after="20" w:before="20" w:line="252" w:lineRule="auto"/>
            </w:pPr>
            <w:r/>
            <w:r>
              <w:rPr>
                <w:rFonts w:ascii="Arial" w:hAnsi="Arial"/>
                <w:b/>
                <w:i w:val="0"/>
                <w:sz w:val="16"/>
              </w:rPr>
              <w:t>P6</w:t>
            </w:r>
          </w:p>
        </w:tc>
        <w:tc>
          <w:tcPr>
            <w:tcW w:type="dxa" w:w="4902"/>
            <w:vAlign w:val="center"/>
          </w:tcPr>
          <w:p>
            <w:pPr>
              <w:spacing w:after="20" w:before="20" w:line="252" w:lineRule="auto"/>
            </w:pPr>
            <w:r/>
            <w:r>
              <w:rPr>
                <w:rFonts w:ascii="Arial" w:hAnsi="Arial"/>
                <w:b w:val="0"/>
                <w:i w:val="0"/>
                <w:sz w:val="16"/>
              </w:rPr>
              <w:t>Biaya akhir; manfaat aktual; pelajaran</w:t>
            </w:r>
          </w:p>
        </w:tc>
        <w:tc>
          <w:tcPr>
            <w:tcW w:type="dxa" w:w="3725"/>
            <w:vAlign w:val="center"/>
          </w:tcPr>
          <w:p>
            <w:pPr>
              <w:spacing w:after="20" w:before="20" w:line="252" w:lineRule="auto"/>
            </w:pPr>
            <w:r/>
            <w:r>
              <w:rPr>
                <w:rFonts w:ascii="Arial" w:hAnsi="Arial"/>
                <w:b w:val="0"/>
                <w:i w:val="0"/>
                <w:sz w:val="16"/>
              </w:rPr>
              <w:t>Perbandingan terhadap baseline dan kasus bisnis; umpan balik ke basis estimasi</w:t>
            </w:r>
          </w:p>
        </w:tc>
      </w:tr>
    </w:tbl>
    <w:p>
      <w:pPr>
        <w:spacing w:after="160"/>
      </w:pPr>
      <w:r>
        <w:rPr>
          <w:rFonts w:ascii="Arial" w:hAnsi="Arial"/>
          <w:b w:val="0"/>
          <w:i/>
          <w:color w:val="051C5C"/>
          <w:sz w:val="17"/>
        </w:rPr>
        <w:t>Sumber: sintesis penyusun dari [EVAL §11; K §7.4; VERO Milestones; DOCK hlm. 6; EPC] dan Bab 3 sampai 10.</w:t>
      </w:r>
    </w:p>
    <w:p>
      <w:pPr>
        <w:pStyle w:val="Heading2"/>
      </w:pPr>
      <w:r>
        <w:t>15.4  Peran inti</w:t>
      </w:r>
    </w:p>
    <w:p>
      <w:pPr>
        <w:jc w:val="both"/>
      </w:pPr>
      <w:r>
        <w:rPr>
          <w:rFonts w:ascii="Arial" w:hAnsi="Arial"/>
          <w:b w:val="0"/>
          <w:i w:val="0"/>
        </w:rPr>
        <w:t xml:space="preserve">Peran mengikuti usulan Kajian. </w:t>
      </w:r>
      <w:r>
        <w:rPr>
          <w:rFonts w:ascii="Arial" w:hAnsi="Arial"/>
          <w:b/>
          <w:i w:val="0"/>
        </w:rPr>
        <w:t>Kepala Badan Pelaksana</w:t>
      </w:r>
      <w:r>
        <w:rPr>
          <w:rFonts w:ascii="Arial" w:hAnsi="Arial"/>
          <w:b w:val="0"/>
          <w:i w:val="0"/>
        </w:rPr>
        <w:t xml:space="preserve"> menetapkan prioritas portofolio dan keputusan gerbang atas nama Badan (PP 10/2025, Pasal 18). </w:t>
      </w:r>
      <w:r>
        <w:rPr>
          <w:rFonts w:ascii="Arial" w:hAnsi="Arial"/>
          <w:b/>
          <w:i w:val="0"/>
        </w:rPr>
        <w:t>Dewan Pengawas</w:t>
      </w:r>
      <w:r>
        <w:rPr>
          <w:rFonts w:ascii="Arial" w:hAnsi="Arial"/>
          <w:b w:val="0"/>
          <w:i w:val="0"/>
        </w:rPr>
        <w:t xml:space="preserve"> menyetujui kerangka scorecard dan gerbang tata kelola. </w:t>
      </w:r>
      <w:r>
        <w:rPr>
          <w:rFonts w:ascii="Arial" w:hAnsi="Arial"/>
          <w:b/>
          <w:i w:val="0"/>
        </w:rPr>
        <w:t>Kepala unit Industri Strategis</w:t>
      </w:r>
      <w:r>
        <w:rPr>
          <w:rFonts w:ascii="Arial" w:hAnsi="Arial"/>
          <w:b w:val="0"/>
          <w:i w:val="0"/>
        </w:rPr>
        <w:t xml:space="preserve"> mengelola prioritas terpadu, ketergantungan, mutu paket keputusan, dan pelaporan, tanpa kewenangan persetujuan umum. </w:t>
      </w:r>
      <w:r>
        <w:rPr>
          <w:rFonts w:ascii="Arial" w:hAnsi="Arial"/>
          <w:b/>
          <w:i w:val="0"/>
        </w:rPr>
        <w:t>MD Portofolio dan Pelaksanaan Proyek</w:t>
      </w:r>
      <w:r>
        <w:rPr>
          <w:rFonts w:ascii="Arial" w:hAnsi="Arial"/>
          <w:b w:val="0"/>
          <w:i w:val="0"/>
        </w:rPr>
        <w:t xml:space="preserve"> memiliki register, jadwal terpadu, hambatan, dan mutu data. </w:t>
      </w:r>
      <w:r>
        <w:rPr>
          <w:rFonts w:ascii="Arial" w:hAnsi="Arial"/>
          <w:b/>
          <w:i w:val="0"/>
        </w:rPr>
        <w:t>MD Rekayasa dan Pelaksanaan</w:t>
      </w:r>
      <w:r>
        <w:rPr>
          <w:rFonts w:ascii="Arial" w:hAnsi="Arial"/>
          <w:b w:val="0"/>
          <w:i w:val="0"/>
        </w:rPr>
        <w:t xml:space="preserve"> mengkaji kesiapan studi, rekayasa, strategi kontrak, </w:t>
      </w:r>
      <w:r>
        <w:rPr>
          <w:rFonts w:ascii="Arial" w:hAnsi="Arial"/>
          <w:b w:val="0"/>
          <w:i/>
        </w:rPr>
        <w:t>constructability</w:t>
      </w:r>
      <w:r>
        <w:rPr>
          <w:rFonts w:ascii="Arial" w:hAnsi="Arial"/>
          <w:b w:val="0"/>
          <w:i w:val="0"/>
        </w:rPr>
        <w:t xml:space="preserve">, biaya, dan komisioning. </w:t>
      </w:r>
      <w:r>
        <w:rPr>
          <w:rFonts w:ascii="Arial" w:hAnsi="Arial"/>
          <w:b/>
          <w:i w:val="0"/>
        </w:rPr>
        <w:t>MD Pengembangan Industri Strategis</w:t>
      </w:r>
      <w:r>
        <w:rPr>
          <w:rFonts w:ascii="Arial" w:hAnsi="Arial"/>
          <w:b w:val="0"/>
          <w:i w:val="0"/>
        </w:rPr>
        <w:t xml:space="preserve"> memiliki kantor DOCK-UP. </w:t>
      </w:r>
      <w:r>
        <w:rPr>
          <w:rFonts w:ascii="Arial" w:hAnsi="Arial"/>
          <w:b/>
          <w:i w:val="0"/>
        </w:rPr>
        <w:t>Pemimpin klaster</w:t>
      </w:r>
      <w:r>
        <w:rPr>
          <w:rFonts w:ascii="Arial" w:hAnsi="Arial"/>
          <w:b w:val="0"/>
          <w:i w:val="0"/>
        </w:rPr>
        <w:t xml:space="preserve"> menyelesaikan ketergantungan dalam klaster. </w:t>
      </w:r>
      <w:r>
        <w:rPr>
          <w:rFonts w:ascii="Arial" w:hAnsi="Arial"/>
          <w:b/>
          <w:i w:val="0"/>
        </w:rPr>
        <w:t>Sponsor korporasi</w:t>
      </w:r>
      <w:r>
        <w:rPr>
          <w:rFonts w:ascii="Arial" w:hAnsi="Arial"/>
          <w:b w:val="0"/>
          <w:i w:val="0"/>
        </w:rPr>
        <w:t xml:space="preserve"> memiliki kasus bisnis dan kinerja aset. </w:t>
      </w:r>
      <w:r>
        <w:rPr>
          <w:rFonts w:ascii="Arial" w:hAnsi="Arial"/>
          <w:b/>
          <w:i w:val="0"/>
        </w:rPr>
        <w:t>Direktur proyek</w:t>
      </w:r>
      <w:r>
        <w:rPr>
          <w:rFonts w:ascii="Arial" w:hAnsi="Arial"/>
          <w:b w:val="0"/>
          <w:i w:val="0"/>
        </w:rPr>
        <w:t xml:space="preserve"> memimpin pelaksanaan (S15). </w:t>
      </w:r>
      <w:r>
        <w:rPr>
          <w:rFonts w:ascii="Arial" w:hAnsi="Arial"/>
          <w:b/>
          <w:i w:val="0"/>
        </w:rPr>
        <w:t>Pengendali proyek</w:t>
      </w:r>
      <w:r>
        <w:rPr>
          <w:rFonts w:ascii="Arial" w:hAnsi="Arial"/>
          <w:b w:val="0"/>
          <w:i w:val="0"/>
        </w:rPr>
        <w:t xml:space="preserve"> (biaya, jadwal, risiko, kontrak) menjalankan rantai kendali dan dapat didukung agen AI. </w:t>
      </w:r>
      <w:r>
        <w:rPr>
          <w:rFonts w:ascii="Arial" w:hAnsi="Arial"/>
          <w:b/>
          <w:i w:val="0"/>
        </w:rPr>
        <w:t>Risiko, Hukum, dan Audit Internal</w:t>
      </w:r>
      <w:r>
        <w:rPr>
          <w:rFonts w:ascii="Arial" w:hAnsi="Arial"/>
          <w:b w:val="0"/>
          <w:i w:val="0"/>
        </w:rPr>
        <w:t xml:space="preserve"> memberi opini dan jaminan independen tanpa melapor kepada pengusul [EVAL §8–10, §13–15; K §13.3–13.5].</w:t>
      </w:r>
    </w:p>
    <w:p>
      <w:pPr>
        <w:pStyle w:val="Heading2"/>
      </w:pPr>
      <w:r>
        <w:t>15.5  Irama tata kelola</w:t>
      </w:r>
    </w:p>
    <w:p>
      <w:pPr>
        <w:jc w:val="both"/>
      </w:pPr>
      <w:r>
        <w:rPr>
          <w:rFonts w:ascii="Arial" w:hAnsi="Arial"/>
          <w:b w:val="0"/>
          <w:i w:val="0"/>
        </w:rPr>
        <w:t>Empat forum diusulkan: forum penyelesaian hambatan mingguan dengan siklus 2/5/15 hari dan eskalasi dalam 10 hari; tinjauan proyek bulanan (biaya, jadwal, risiko, perubahan, K3, mutu); tinjauan portofolio triwulanan (kemajuan gerbang, scorecard, cakupan bukti, alokasi kapasitas); dan tinjauan gerbang pada setiap titik keputusan. Tinjauan hasil dilakukan tahunan dan pada komisioning ditambah 12–24 bulan [K §13.7, §14.6]. Forum koordinasi tidak ditambahkan sebagai lapisan persetujuan universal: satu paket informasi melayani berbagai tinjauan dan satu keputusan diambil pada entitas yang berwenang [EVAL §10].</w:t>
      </w:r>
    </w:p>
    <w:p>
      <w:pPr>
        <w:pStyle w:val="Heading1"/>
      </w:pPr>
      <w:bookmarkStart w:id="17" w:name="_Toc017"/>
      <w:r>
        <w:t>16  Sistem Manajemen Proyek Terpadu Danantara II: standar, kematangan, peta jalan</w:t>
      </w:r>
      <w:bookmarkEnd w:id="17"/>
    </w:p>
    <w:p>
      <w:pPr>
        <w:jc w:val="both"/>
      </w:pPr>
      <w:r>
        <w:rPr>
          <w:rFonts w:ascii="Arial" w:hAnsi="Arial"/>
          <w:b/>
          <w:i w:val="0"/>
        </w:rPr>
        <w:t>Ringkasnya:</w:t>
      </w:r>
      <w:r>
        <w:rPr>
          <w:rFonts w:ascii="Arial" w:hAnsi="Arial"/>
          <w:b w:val="0"/>
          <w:i w:val="0"/>
        </w:rPr>
        <w:t xml:space="preserve"> delapan standar minimum, lima tingkat kematangan, dan peta jalan 24 bulan dengan uji unit 90 hari sebagai titik keputusan pertama.</w:t>
      </w:r>
    </w:p>
    <w:p>
      <w:pPr>
        <w:pStyle w:val="Heading2"/>
      </w:pPr>
      <w:r>
        <w:t>16.1  Standar minimum untuk semua proyek</w:t>
      </w:r>
    </w:p>
    <w:p>
      <w:pPr>
        <w:pStyle w:val="ListBullet"/>
        <w:spacing w:after="40"/>
      </w:pPr>
      <w:r>
        <w:rPr>
          <w:rFonts w:ascii="Arial" w:hAnsi="Arial"/>
          <w:b w:val="0"/>
          <w:i w:val="0"/>
        </w:rPr>
        <w:t>Setiap proyek memiliki ID tunggal, sponsor, direktur proyek, dan organ sah sebelum P0.</w:t>
      </w:r>
    </w:p>
    <w:p>
      <w:pPr>
        <w:pStyle w:val="ListBullet"/>
        <w:spacing w:after="40"/>
      </w:pPr>
      <w:r>
        <w:rPr>
          <w:rFonts w:ascii="Arial" w:hAnsi="Arial"/>
          <w:b w:val="0"/>
          <w:i w:val="0"/>
        </w:rPr>
        <w:t>Keputusan modal (P3) didukung estimasi kelas 3 atau lebih tinggi, kontingensi berbasis risiko, dan opini risiko independen.</w:t>
      </w:r>
    </w:p>
    <w:p>
      <w:pPr>
        <w:pStyle w:val="ListBullet"/>
        <w:spacing w:after="40"/>
      </w:pPr>
      <w:r>
        <w:rPr>
          <w:rFonts w:ascii="Arial" w:hAnsi="Arial"/>
          <w:b w:val="0"/>
          <w:i w:val="0"/>
        </w:rPr>
        <w:t>Baseline lingkup, biaya, dan jadwal dibekukan pada P4; penetapan ulang hanya melalui permintaan perubahan yang disetujui dan dicatat.</w:t>
      </w:r>
    </w:p>
    <w:p>
      <w:pPr>
        <w:pStyle w:val="ListBullet"/>
        <w:spacing w:after="40"/>
      </w:pPr>
      <w:r>
        <w:rPr>
          <w:rFonts w:ascii="Arial" w:hAnsi="Arial"/>
          <w:b w:val="0"/>
          <w:i w:val="0"/>
        </w:rPr>
        <w:t>Setiap baris PR memiliki elemen WBS dan butir PBS; tiga pemeriksaan PR berlaku; PO tidak diterbitkan setelah pekerjaan dimulai.</w:t>
      </w:r>
    </w:p>
    <w:p>
      <w:pPr>
        <w:pStyle w:val="ListBullet"/>
        <w:spacing w:after="40"/>
      </w:pPr>
      <w:r>
        <w:rPr>
          <w:rFonts w:ascii="Arial" w:hAnsi="Arial"/>
          <w:b w:val="0"/>
          <w:i w:val="0"/>
        </w:rPr>
        <w:t>Dana yang ditetapkan berbasis tonggak dicairkan hanya setelah verifikasi independen.</w:t>
      </w:r>
    </w:p>
    <w:p>
      <w:pPr>
        <w:pStyle w:val="ListBullet"/>
        <w:spacing w:after="40"/>
      </w:pPr>
      <w:r>
        <w:rPr>
          <w:rFonts w:ascii="Arial" w:hAnsi="Arial"/>
          <w:b w:val="0"/>
          <w:i w:val="0"/>
        </w:rPr>
        <w:t>Setiap angka pada laporan memuat kelas bukti, sumber, dan tanggal; data yang tidak tersedia ditulis NR.</w:t>
      </w:r>
    </w:p>
    <w:p>
      <w:pPr>
        <w:pStyle w:val="ListBullet"/>
        <w:spacing w:after="40"/>
      </w:pPr>
      <w:r>
        <w:rPr>
          <w:rFonts w:ascii="Arial" w:hAnsi="Arial"/>
          <w:b w:val="0"/>
          <w:i w:val="0"/>
        </w:rPr>
        <w:t>Pesanan kepada pemasok pada proyek jangkar dilepas sesuai gerbang S yang terverifikasi.</w:t>
      </w:r>
    </w:p>
    <w:p>
      <w:pPr>
        <w:pStyle w:val="ListBullet"/>
        <w:spacing w:after="120"/>
      </w:pPr>
      <w:r>
        <w:rPr>
          <w:rFonts w:ascii="Arial" w:hAnsi="Arial"/>
          <w:b w:val="0"/>
          <w:i w:val="0"/>
        </w:rPr>
        <w:t>Fungsi risiko, hukum, dan audit tidak melapor secara substantif kepada pengusul.</w:t>
      </w:r>
    </w:p>
    <w:p>
      <w:pPr>
        <w:pStyle w:val="Heading2"/>
      </w:pPr>
      <w:r>
        <w:t>16.2  Model kematangan</w:t>
      </w:r>
    </w:p>
    <w:p>
      <w:pPr>
        <w:jc w:val="both"/>
      </w:pPr>
      <w:r>
        <w:rPr>
          <w:rFonts w:ascii="Arial" w:hAnsi="Arial"/>
          <w:b w:val="0"/>
          <w:i w:val="0"/>
        </w:rPr>
        <w:t>Model kematangan membantu menetapkan target yang realistis. Lima tingkat berikut dirancang penyusun untuk Danantara. Penilaian kondisi saat ini tidak dilakukan karena memerlukan pengujian internal.</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27</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Model kematangan DPMS pada empat dimensi dan lima tingkat</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Model kematangan DPMS pada empat dimensi dan lima tingkat"/>
      </w:tblPr>
      <w:tblGrid>
        <w:gridCol w:w="1882"/>
        <w:gridCol w:w="1882"/>
        <w:gridCol w:w="1882"/>
        <w:gridCol w:w="1882"/>
        <w:gridCol w:w="1882"/>
      </w:tblGrid>
      <w:tr>
        <w:trPr>
          <w:cantSplit/>
          <w:tblHeader/>
        </w:trPr>
        <w:tc>
          <w:tcPr>
            <w:tcW w:type="dxa" w:w="1165"/>
            <w:shd w:val="clear" w:color="auto" w:fill="2251FF"/>
            <w:vAlign w:val="center"/>
          </w:tcPr>
          <w:p>
            <w:pPr>
              <w:spacing w:after="20" w:before="20" w:line="252" w:lineRule="auto"/>
            </w:pPr>
            <w:r/>
            <w:r>
              <w:rPr>
                <w:rFonts w:ascii="Arial" w:hAnsi="Arial"/>
                <w:b/>
                <w:i w:val="0"/>
                <w:color w:val="FFFFFF"/>
                <w:sz w:val="15"/>
              </w:rPr>
              <w:t>Tingkat</w:t>
            </w:r>
          </w:p>
        </w:tc>
        <w:tc>
          <w:tcPr>
            <w:tcW w:type="dxa" w:w="1972"/>
            <w:shd w:val="clear" w:color="auto" w:fill="2251FF"/>
            <w:vAlign w:val="center"/>
          </w:tcPr>
          <w:p>
            <w:pPr>
              <w:spacing w:after="20" w:before="20" w:line="252" w:lineRule="auto"/>
            </w:pPr>
            <w:r/>
            <w:r>
              <w:rPr>
                <w:rFonts w:ascii="Arial" w:hAnsi="Arial"/>
                <w:b/>
                <w:i w:val="0"/>
                <w:color w:val="FFFFFF"/>
                <w:sz w:val="15"/>
              </w:rPr>
              <w:t>Register dan data</w:t>
            </w:r>
          </w:p>
        </w:tc>
        <w:tc>
          <w:tcPr>
            <w:tcW w:type="dxa" w:w="1793"/>
            <w:shd w:val="clear" w:color="auto" w:fill="2251FF"/>
            <w:vAlign w:val="center"/>
          </w:tcPr>
          <w:p>
            <w:pPr>
              <w:spacing w:after="20" w:before="20" w:line="252" w:lineRule="auto"/>
            </w:pPr>
            <w:r/>
            <w:r>
              <w:rPr>
                <w:rFonts w:ascii="Arial" w:hAnsi="Arial"/>
                <w:b/>
                <w:i w:val="0"/>
                <w:color w:val="FFFFFF"/>
                <w:sz w:val="15"/>
              </w:rPr>
              <w:t>Gerbang dan keputusan</w:t>
            </w:r>
          </w:p>
        </w:tc>
        <w:tc>
          <w:tcPr>
            <w:tcW w:type="dxa" w:w="2151"/>
            <w:shd w:val="clear" w:color="auto" w:fill="2251FF"/>
            <w:vAlign w:val="center"/>
          </w:tcPr>
          <w:p>
            <w:pPr>
              <w:spacing w:after="20" w:before="20" w:line="252" w:lineRule="auto"/>
            </w:pPr>
            <w:r/>
            <w:r>
              <w:rPr>
                <w:rFonts w:ascii="Arial" w:hAnsi="Arial"/>
                <w:b/>
                <w:i w:val="0"/>
                <w:color w:val="FFFFFF"/>
                <w:sz w:val="15"/>
              </w:rPr>
              <w:t>Biaya, jadwal, risiko</w:t>
            </w:r>
          </w:p>
        </w:tc>
        <w:tc>
          <w:tcPr>
            <w:tcW w:type="dxa" w:w="2330"/>
            <w:shd w:val="clear" w:color="auto" w:fill="2251FF"/>
            <w:vAlign w:val="center"/>
          </w:tcPr>
          <w:p>
            <w:pPr>
              <w:spacing w:after="20" w:before="20" w:line="252" w:lineRule="auto"/>
            </w:pPr>
            <w:r/>
            <w:r>
              <w:rPr>
                <w:rFonts w:ascii="Arial" w:hAnsi="Arial"/>
                <w:b/>
                <w:i w:val="0"/>
                <w:color w:val="FFFFFF"/>
                <w:sz w:val="15"/>
              </w:rPr>
              <w:t>Pengadaan dan manfaat</w:t>
            </w:r>
          </w:p>
        </w:tc>
      </w:tr>
      <w:tr>
        <w:trPr>
          <w:cantSplit/>
        </w:trPr>
        <w:tc>
          <w:tcPr>
            <w:tcW w:type="dxa" w:w="1165"/>
            <w:vAlign w:val="center"/>
          </w:tcPr>
          <w:p>
            <w:pPr>
              <w:spacing w:after="20" w:before="20" w:line="252" w:lineRule="auto"/>
            </w:pPr>
            <w:r/>
            <w:r>
              <w:rPr>
                <w:rFonts w:ascii="Arial" w:hAnsi="Arial"/>
                <w:b/>
                <w:i w:val="0"/>
                <w:sz w:val="15"/>
              </w:rPr>
              <w:t>1 Awal</w:t>
            </w:r>
          </w:p>
        </w:tc>
        <w:tc>
          <w:tcPr>
            <w:tcW w:type="dxa" w:w="1972"/>
            <w:vAlign w:val="center"/>
          </w:tcPr>
          <w:p>
            <w:pPr>
              <w:spacing w:after="20" w:before="20" w:line="252" w:lineRule="auto"/>
            </w:pPr>
            <w:r/>
            <w:r>
              <w:rPr>
                <w:rFonts w:ascii="Arial" w:hAnsi="Arial"/>
                <w:b w:val="0"/>
                <w:i w:val="0"/>
                <w:sz w:val="15"/>
              </w:rPr>
              <w:t>Daftar terpisah; angka berbeda</w:t>
            </w:r>
          </w:p>
        </w:tc>
        <w:tc>
          <w:tcPr>
            <w:tcW w:type="dxa" w:w="1793"/>
            <w:vAlign w:val="center"/>
          </w:tcPr>
          <w:p>
            <w:pPr>
              <w:spacing w:after="20" w:before="20" w:line="252" w:lineRule="auto"/>
            </w:pPr>
            <w:r/>
            <w:r>
              <w:rPr>
                <w:rFonts w:ascii="Arial" w:hAnsi="Arial"/>
                <w:b w:val="0"/>
                <w:i w:val="0"/>
                <w:sz w:val="15"/>
              </w:rPr>
              <w:t>Keputusan ad hoc</w:t>
            </w:r>
          </w:p>
        </w:tc>
        <w:tc>
          <w:tcPr>
            <w:tcW w:type="dxa" w:w="2151"/>
            <w:vAlign w:val="center"/>
          </w:tcPr>
          <w:p>
            <w:pPr>
              <w:spacing w:after="20" w:before="20" w:line="252" w:lineRule="auto"/>
            </w:pPr>
            <w:r/>
            <w:r>
              <w:rPr>
                <w:rFonts w:ascii="Arial" w:hAnsi="Arial"/>
                <w:b w:val="0"/>
                <w:i w:val="0"/>
                <w:sz w:val="15"/>
              </w:rPr>
              <w:t>Aktual saja; daftar kekhawatiran</w:t>
            </w:r>
          </w:p>
        </w:tc>
        <w:tc>
          <w:tcPr>
            <w:tcW w:type="dxa" w:w="2330"/>
            <w:vAlign w:val="center"/>
          </w:tcPr>
          <w:p>
            <w:pPr>
              <w:spacing w:after="20" w:before="20" w:line="252" w:lineRule="auto"/>
            </w:pPr>
            <w:r/>
            <w:r>
              <w:rPr>
                <w:rFonts w:ascii="Arial" w:hAnsi="Arial"/>
                <w:b w:val="0"/>
                <w:i w:val="0"/>
                <w:sz w:val="15"/>
              </w:rPr>
              <w:t>Pembelian per kasus; manfaat tidak dilacak</w:t>
            </w:r>
          </w:p>
        </w:tc>
      </w:tr>
      <w:tr>
        <w:trPr>
          <w:cantSplit/>
        </w:trPr>
        <w:tc>
          <w:tcPr>
            <w:tcW w:type="dxa" w:w="1165"/>
            <w:shd w:val="clear" w:color="auto" w:fill="E6ECFD"/>
            <w:vAlign w:val="center"/>
          </w:tcPr>
          <w:p>
            <w:pPr>
              <w:spacing w:after="20" w:before="20" w:line="252" w:lineRule="auto"/>
            </w:pPr>
            <w:r/>
            <w:r>
              <w:rPr>
                <w:rFonts w:ascii="Arial" w:hAnsi="Arial"/>
                <w:b/>
                <w:i w:val="0"/>
                <w:sz w:val="15"/>
              </w:rPr>
              <w:t>2 Terdefinisi</w:t>
            </w:r>
          </w:p>
        </w:tc>
        <w:tc>
          <w:tcPr>
            <w:tcW w:type="dxa" w:w="1972"/>
            <w:shd w:val="clear" w:color="auto" w:fill="E6ECFD"/>
            <w:vAlign w:val="center"/>
          </w:tcPr>
          <w:p>
            <w:pPr>
              <w:spacing w:after="20" w:before="20" w:line="252" w:lineRule="auto"/>
            </w:pPr>
            <w:r/>
            <w:r>
              <w:rPr>
                <w:rFonts w:ascii="Arial" w:hAnsi="Arial"/>
                <w:b w:val="0"/>
                <w:i w:val="0"/>
                <w:sz w:val="15"/>
              </w:rPr>
              <w:t>Register tunggal dengan ID dan pemilik data</w:t>
            </w:r>
          </w:p>
        </w:tc>
        <w:tc>
          <w:tcPr>
            <w:tcW w:type="dxa" w:w="1793"/>
            <w:shd w:val="clear" w:color="auto" w:fill="E6ECFD"/>
            <w:vAlign w:val="center"/>
          </w:tcPr>
          <w:p>
            <w:pPr>
              <w:spacing w:after="20" w:before="20" w:line="252" w:lineRule="auto"/>
            </w:pPr>
            <w:r/>
            <w:r>
              <w:rPr>
                <w:rFonts w:ascii="Arial" w:hAnsi="Arial"/>
                <w:b w:val="0"/>
                <w:i w:val="0"/>
                <w:sz w:val="15"/>
              </w:rPr>
              <w:t>Gerbang P0–P6 didefinisikan</w:t>
            </w:r>
          </w:p>
        </w:tc>
        <w:tc>
          <w:tcPr>
            <w:tcW w:type="dxa" w:w="2151"/>
            <w:shd w:val="clear" w:color="auto" w:fill="E6ECFD"/>
            <w:vAlign w:val="center"/>
          </w:tcPr>
          <w:p>
            <w:pPr>
              <w:spacing w:after="20" w:before="20" w:line="252" w:lineRule="auto"/>
            </w:pPr>
            <w:r/>
            <w:r>
              <w:rPr>
                <w:rFonts w:ascii="Arial" w:hAnsi="Arial"/>
                <w:b w:val="0"/>
                <w:i w:val="0"/>
                <w:sz w:val="15"/>
              </w:rPr>
              <w:t>Anggaran dan baseline; register risiko dengan pemilik</w:t>
            </w:r>
          </w:p>
        </w:tc>
        <w:tc>
          <w:tcPr>
            <w:tcW w:type="dxa" w:w="2330"/>
            <w:shd w:val="clear" w:color="auto" w:fill="E6ECFD"/>
            <w:vAlign w:val="center"/>
          </w:tcPr>
          <w:p>
            <w:pPr>
              <w:spacing w:after="20" w:before="20" w:line="252" w:lineRule="auto"/>
            </w:pPr>
            <w:r/>
            <w:r>
              <w:rPr>
                <w:rFonts w:ascii="Arial" w:hAnsi="Arial"/>
                <w:b w:val="0"/>
                <w:i w:val="0"/>
                <w:sz w:val="15"/>
              </w:rPr>
              <w:t>Prosedur dan kewenangan; manfaat ditetapkan</w:t>
            </w:r>
          </w:p>
        </w:tc>
      </w:tr>
      <w:tr>
        <w:trPr>
          <w:cantSplit/>
        </w:trPr>
        <w:tc>
          <w:tcPr>
            <w:tcW w:type="dxa" w:w="1165"/>
            <w:vAlign w:val="center"/>
          </w:tcPr>
          <w:p>
            <w:pPr>
              <w:spacing w:after="20" w:before="20" w:line="252" w:lineRule="auto"/>
            </w:pPr>
            <w:r/>
            <w:r>
              <w:rPr>
                <w:rFonts w:ascii="Arial" w:hAnsi="Arial"/>
                <w:b/>
                <w:i w:val="0"/>
                <w:sz w:val="15"/>
              </w:rPr>
              <w:t>3 Terkelola</w:t>
            </w:r>
          </w:p>
        </w:tc>
        <w:tc>
          <w:tcPr>
            <w:tcW w:type="dxa" w:w="1972"/>
            <w:vAlign w:val="center"/>
          </w:tcPr>
          <w:p>
            <w:pPr>
              <w:spacing w:after="20" w:before="20" w:line="252" w:lineRule="auto"/>
            </w:pPr>
            <w:r/>
            <w:r>
              <w:rPr>
                <w:rFonts w:ascii="Arial" w:hAnsi="Arial"/>
                <w:b w:val="0"/>
                <w:i w:val="0"/>
                <w:sz w:val="15"/>
              </w:rPr>
              <w:t>Register direkonsiliasi dan berversi</w:t>
            </w:r>
          </w:p>
        </w:tc>
        <w:tc>
          <w:tcPr>
            <w:tcW w:type="dxa" w:w="1793"/>
            <w:vAlign w:val="center"/>
          </w:tcPr>
          <w:p>
            <w:pPr>
              <w:spacing w:after="20" w:before="20" w:line="252" w:lineRule="auto"/>
            </w:pPr>
            <w:r/>
            <w:r>
              <w:rPr>
                <w:rFonts w:ascii="Arial" w:hAnsi="Arial"/>
                <w:b w:val="0"/>
                <w:i w:val="0"/>
                <w:sz w:val="15"/>
              </w:rPr>
              <w:t>Gerbang dijalankan dengan bukti</w:t>
            </w:r>
          </w:p>
        </w:tc>
        <w:tc>
          <w:tcPr>
            <w:tcW w:type="dxa" w:w="2151"/>
            <w:vAlign w:val="center"/>
          </w:tcPr>
          <w:p>
            <w:pPr>
              <w:spacing w:after="20" w:before="20" w:line="252" w:lineRule="auto"/>
            </w:pPr>
            <w:r/>
            <w:r>
              <w:rPr>
                <w:rFonts w:ascii="Arial" w:hAnsi="Arial"/>
                <w:b w:val="0"/>
                <w:i w:val="0"/>
                <w:sz w:val="15"/>
              </w:rPr>
              <w:t>Komitmen, EAC, jalur kritis; kontingensi berbasis risiko</w:t>
            </w:r>
          </w:p>
        </w:tc>
        <w:tc>
          <w:tcPr>
            <w:tcW w:type="dxa" w:w="2330"/>
            <w:vAlign w:val="center"/>
          </w:tcPr>
          <w:p>
            <w:pPr>
              <w:spacing w:after="20" w:before="20" w:line="252" w:lineRule="auto"/>
            </w:pPr>
            <w:r/>
            <w:r>
              <w:rPr>
                <w:rFonts w:ascii="Arial" w:hAnsi="Arial"/>
                <w:b w:val="0"/>
                <w:i w:val="0"/>
                <w:sz w:val="15"/>
              </w:rPr>
              <w:t>Tiga pemeriksaan PR dan pencocokan tiga arah; manfaat dilaporkan pada P6</w:t>
            </w:r>
          </w:p>
        </w:tc>
      </w:tr>
      <w:tr>
        <w:trPr>
          <w:cantSplit/>
        </w:trPr>
        <w:tc>
          <w:tcPr>
            <w:tcW w:type="dxa" w:w="1165"/>
            <w:shd w:val="clear" w:color="auto" w:fill="E6ECFD"/>
            <w:vAlign w:val="center"/>
          </w:tcPr>
          <w:p>
            <w:pPr>
              <w:spacing w:after="20" w:before="20" w:line="252" w:lineRule="auto"/>
            </w:pPr>
            <w:r/>
            <w:r>
              <w:rPr>
                <w:rFonts w:ascii="Arial" w:hAnsi="Arial"/>
                <w:b/>
                <w:i w:val="0"/>
                <w:sz w:val="15"/>
              </w:rPr>
              <w:t>4 Terukur</w:t>
            </w:r>
          </w:p>
        </w:tc>
        <w:tc>
          <w:tcPr>
            <w:tcW w:type="dxa" w:w="1972"/>
            <w:shd w:val="clear" w:color="auto" w:fill="E6ECFD"/>
            <w:vAlign w:val="center"/>
          </w:tcPr>
          <w:p>
            <w:pPr>
              <w:spacing w:after="20" w:before="20" w:line="252" w:lineRule="auto"/>
            </w:pPr>
            <w:r/>
            <w:r>
              <w:rPr>
                <w:rFonts w:ascii="Arial" w:hAnsi="Arial"/>
                <w:b w:val="0"/>
                <w:i w:val="0"/>
                <w:sz w:val="15"/>
              </w:rPr>
              <w:t>Kelas bukti pada setiap angka; kualitas data diukur</w:t>
            </w:r>
          </w:p>
        </w:tc>
        <w:tc>
          <w:tcPr>
            <w:tcW w:type="dxa" w:w="1793"/>
            <w:shd w:val="clear" w:color="auto" w:fill="E6ECFD"/>
            <w:vAlign w:val="center"/>
          </w:tcPr>
          <w:p>
            <w:pPr>
              <w:spacing w:after="20" w:before="20" w:line="252" w:lineRule="auto"/>
            </w:pPr>
            <w:r/>
            <w:r>
              <w:rPr>
                <w:rFonts w:ascii="Arial" w:hAnsi="Arial"/>
                <w:b w:val="0"/>
                <w:i w:val="0"/>
                <w:sz w:val="15"/>
              </w:rPr>
              <w:t>Waktu keputusan dan hambatan diukur</w:t>
            </w:r>
          </w:p>
        </w:tc>
        <w:tc>
          <w:tcPr>
            <w:tcW w:type="dxa" w:w="2151"/>
            <w:shd w:val="clear" w:color="auto" w:fill="E6ECFD"/>
            <w:vAlign w:val="center"/>
          </w:tcPr>
          <w:p>
            <w:pPr>
              <w:spacing w:after="20" w:before="20" w:line="252" w:lineRule="auto"/>
            </w:pPr>
            <w:r/>
            <w:r>
              <w:rPr>
                <w:rFonts w:ascii="Arial" w:hAnsi="Arial"/>
                <w:b w:val="0"/>
                <w:i w:val="0"/>
                <w:sz w:val="15"/>
              </w:rPr>
              <w:t>EVM; estimasi berkelas AACE; simulasi risiko jadwal dan biaya</w:t>
            </w:r>
          </w:p>
        </w:tc>
        <w:tc>
          <w:tcPr>
            <w:tcW w:type="dxa" w:w="2330"/>
            <w:shd w:val="clear" w:color="auto" w:fill="E6ECFD"/>
            <w:vAlign w:val="center"/>
          </w:tcPr>
          <w:p>
            <w:pPr>
              <w:spacing w:after="20" w:before="20" w:line="252" w:lineRule="auto"/>
            </w:pPr>
            <w:r/>
            <w:r>
              <w:rPr>
                <w:rFonts w:ascii="Arial" w:hAnsi="Arial"/>
                <w:b w:val="0"/>
                <w:i w:val="0"/>
                <w:sz w:val="15"/>
              </w:rPr>
              <w:t>Gerbang pemasok dan indikator K01–K05; manfaat terverifikasi tanpa penghitungan ganda</w:t>
            </w:r>
          </w:p>
        </w:tc>
      </w:tr>
      <w:tr>
        <w:trPr>
          <w:cantSplit/>
        </w:trPr>
        <w:tc>
          <w:tcPr>
            <w:tcW w:type="dxa" w:w="1165"/>
            <w:vAlign w:val="center"/>
          </w:tcPr>
          <w:p>
            <w:pPr>
              <w:spacing w:after="20" w:before="20" w:line="252" w:lineRule="auto"/>
            </w:pPr>
            <w:r/>
            <w:r>
              <w:rPr>
                <w:rFonts w:ascii="Arial" w:hAnsi="Arial"/>
                <w:b/>
                <w:i w:val="0"/>
                <w:sz w:val="15"/>
              </w:rPr>
              <w:t>5 Dioptimalkan</w:t>
            </w:r>
          </w:p>
        </w:tc>
        <w:tc>
          <w:tcPr>
            <w:tcW w:type="dxa" w:w="1972"/>
            <w:vAlign w:val="center"/>
          </w:tcPr>
          <w:p>
            <w:pPr>
              <w:spacing w:after="20" w:before="20" w:line="252" w:lineRule="auto"/>
            </w:pPr>
            <w:r/>
            <w:r>
              <w:rPr>
                <w:rFonts w:ascii="Arial" w:hAnsi="Arial"/>
                <w:b w:val="0"/>
                <w:i w:val="0"/>
                <w:sz w:val="15"/>
              </w:rPr>
              <w:t>Data hampir waktu nyata dari sistem sumber</w:t>
            </w:r>
          </w:p>
        </w:tc>
        <w:tc>
          <w:tcPr>
            <w:tcW w:type="dxa" w:w="1793"/>
            <w:vAlign w:val="center"/>
          </w:tcPr>
          <w:p>
            <w:pPr>
              <w:spacing w:after="20" w:before="20" w:line="252" w:lineRule="auto"/>
            </w:pPr>
            <w:r/>
            <w:r>
              <w:rPr>
                <w:rFonts w:ascii="Arial" w:hAnsi="Arial"/>
                <w:b w:val="0"/>
                <w:i w:val="0"/>
                <w:sz w:val="15"/>
              </w:rPr>
              <w:t>Gerbang disempurnakan dari data hasil</w:t>
            </w:r>
          </w:p>
        </w:tc>
        <w:tc>
          <w:tcPr>
            <w:tcW w:type="dxa" w:w="2151"/>
            <w:vAlign w:val="center"/>
          </w:tcPr>
          <w:p>
            <w:pPr>
              <w:spacing w:after="20" w:before="20" w:line="252" w:lineRule="auto"/>
            </w:pPr>
            <w:r/>
            <w:r>
              <w:rPr>
                <w:rFonts w:ascii="Arial" w:hAnsi="Arial"/>
                <w:b w:val="0"/>
                <w:i w:val="0"/>
                <w:sz w:val="15"/>
              </w:rPr>
              <w:t>Prakiraan dan koreksi dengan umpan balik</w:t>
            </w:r>
          </w:p>
        </w:tc>
        <w:tc>
          <w:tcPr>
            <w:tcW w:type="dxa" w:w="2330"/>
            <w:vAlign w:val="center"/>
          </w:tcPr>
          <w:p>
            <w:pPr>
              <w:spacing w:after="20" w:before="20" w:line="252" w:lineRule="auto"/>
            </w:pPr>
            <w:r/>
            <w:r>
              <w:rPr>
                <w:rFonts w:ascii="Arial" w:hAnsi="Arial"/>
                <w:b w:val="0"/>
                <w:i w:val="0"/>
                <w:sz w:val="15"/>
              </w:rPr>
              <w:t>Basis pelajaran memperbaiki estimasi; pemasok bersaing, termasuk ekspor</w:t>
            </w:r>
          </w:p>
        </w:tc>
      </w:tr>
    </w:tbl>
    <w:p>
      <w:pPr>
        <w:spacing w:after="160"/>
      </w:pPr>
      <w:r>
        <w:rPr>
          <w:rFonts w:ascii="Arial" w:hAnsi="Arial"/>
          <w:b w:val="0"/>
          <w:i/>
          <w:color w:val="051C5C"/>
          <w:sz w:val="17"/>
        </w:rPr>
        <w:t>Rancangan penyusun; terinspirasi model kematangan umum (misalnya OPM3 dan P3M3).</w:t>
      </w:r>
    </w:p>
    <w:p>
      <w:pPr>
        <w:pStyle w:val="Heading2"/>
      </w:pPr>
      <w:r>
        <w:t>16.3  Peta jalan penerapan</w:t>
      </w:r>
    </w:p>
    <w:p>
      <w:pPr>
        <w:jc w:val="both"/>
      </w:pPr>
      <w:r>
        <w:rPr>
          <w:rFonts w:ascii="Arial" w:hAnsi="Arial"/>
          <w:b w:val="0"/>
          <w:i w:val="0"/>
        </w:rPr>
        <w:t>Peta jalan mengikuti rencana Kajian dengan Hari 0 sebagai tanggal persetujuan prinsip. Tahapan, keputusan, dan bukti pada tiap titik adalah usulan.</w:t>
      </w:r>
    </w:p>
    <w:p>
      <w:pPr>
        <w:keepNext/>
        <w:jc w:val="center"/>
      </w:pPr>
      <w:r>
        <w:drawing>
          <wp:inline xmlns:a="http://schemas.openxmlformats.org/drawingml/2006/main" xmlns:pic="http://schemas.openxmlformats.org/drawingml/2006/picture">
            <wp:extent cx="5580000" cy="3089273"/>
            <wp:docPr id="16" name="Picture 16" descr="Peta jalan DPMS berjalan dalam empat fase, dengan uji unit 90 hari sebagai titik keputusan pertama" title="Peta jalan DPMS berjalan dalam empat fase, dengan uji unit 90 hari sebagai titik"/>
            <wp:cNvGraphicFramePr>
              <a:graphicFrameLocks noChangeAspect="1"/>
            </wp:cNvGraphicFramePr>
            <a:graphic>
              <a:graphicData uri="http://schemas.openxmlformats.org/drawingml/2006/picture">
                <pic:pic>
                  <pic:nvPicPr>
                    <pic:cNvPr id="0" name="f_roadmap.png"/>
                    <pic:cNvPicPr/>
                  </pic:nvPicPr>
                  <pic:blipFill>
                    <a:blip r:embed="rId29"/>
                    <a:stretch>
                      <a:fillRect/>
                    </a:stretch>
                  </pic:blipFill>
                  <pic:spPr>
                    <a:xfrm>
                      <a:off x="0" y="0"/>
                      <a:ext cx="5580000" cy="3089273"/>
                    </a:xfrm>
                    <a:prstGeom prst="rect"/>
                  </pic:spPr>
                </pic:pic>
              </a:graphicData>
            </a:graphic>
          </wp:inline>
        </w:drawing>
      </w:r>
    </w:p>
    <w:p>
      <w:pPr>
        <w:pStyle w:val="Caption"/>
        <w:keepNext w:val="0"/>
      </w:pPr>
      <w:r>
        <w:rPr>
          <w:rFonts w:ascii="Arial" w:hAnsi="Arial"/>
          <w:b/>
          <w:color w:val="051C5C"/>
          <w:sz w:val="19"/>
        </w:rPr>
        <w:t xml:space="preserve">Gambar </w:t>
      </w:r>
      <w:r>
        <w:rPr>
          <w:rFonts w:ascii="Arial" w:hAnsi="Arial"/>
          <w:b/>
          <w:color w:val="051C5C"/>
          <w:sz w:val="19"/>
        </w:rPr>
        <w:fldChar w:fldCharType="begin"/>
      </w:r>
      <w:r>
        <w:rPr>
          <w:rFonts w:ascii="Arial" w:hAnsi="Arial"/>
          <w:b/>
          <w:color w:val="051C5C"/>
          <w:sz w:val="19"/>
        </w:rPr>
        <w:instrText xml:space="preserve"> SEQ Gambar \* ARABIC </w:instrText>
      </w:r>
      <w:r>
        <w:rPr>
          <w:rFonts w:ascii="Arial" w:hAnsi="Arial"/>
          <w:b/>
          <w:color w:val="051C5C"/>
          <w:sz w:val="19"/>
        </w:rPr>
        <w:fldChar w:fldCharType="separate"/>
      </w:r>
      <w:r>
        <w:rPr>
          <w:rFonts w:ascii="Arial" w:hAnsi="Arial"/>
          <w:b/>
          <w:color w:val="051C5C"/>
          <w:sz w:val="19"/>
        </w:rPr>
        <w:t>16</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Peta jalan DPMS berjalan dalam empat fase, dengan uji unit 90 hari sebagai titik keputusan pertama</w:t>
      </w:r>
    </w:p>
    <w:p>
      <w:pPr>
        <w:spacing w:after="160"/>
      </w:pPr>
      <w:r>
        <w:rPr>
          <w:rFonts w:ascii="Arial" w:hAnsi="Arial"/>
          <w:b w:val="0"/>
          <w:i/>
          <w:color w:val="051C5C"/>
          <w:sz w:val="17"/>
        </w:rPr>
        <w:t>Sumber: diolah dari [K §16] dan [EVAL §16]. Kolom berukuran sama dan menunjukkan urutan fase, bukan skala waktu.</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28</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Langkah penerapan, titik keputusan, dan bukti</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Langkah penerapan, titik keputusan, dan bukti"/>
      </w:tblPr>
      <w:tblGrid>
        <w:gridCol w:w="3137"/>
        <w:gridCol w:w="3137"/>
        <w:gridCol w:w="3137"/>
      </w:tblGrid>
      <w:tr>
        <w:trPr>
          <w:cantSplit/>
          <w:tblHeader/>
        </w:trPr>
        <w:tc>
          <w:tcPr>
            <w:tcW w:type="dxa" w:w="1372"/>
            <w:shd w:val="clear" w:color="auto" w:fill="2251FF"/>
            <w:vAlign w:val="center"/>
          </w:tcPr>
          <w:p>
            <w:pPr>
              <w:spacing w:after="20" w:before="20" w:line="252" w:lineRule="auto"/>
            </w:pPr>
            <w:r/>
            <w:r>
              <w:rPr>
                <w:rFonts w:ascii="Arial" w:hAnsi="Arial"/>
                <w:b/>
                <w:i w:val="0"/>
                <w:color w:val="FFFFFF"/>
                <w:sz w:val="17"/>
              </w:rPr>
              <w:t>Waktu</w:t>
            </w:r>
          </w:p>
        </w:tc>
        <w:tc>
          <w:tcPr>
            <w:tcW w:type="dxa" w:w="5392"/>
            <w:shd w:val="clear" w:color="auto" w:fill="2251FF"/>
            <w:vAlign w:val="center"/>
          </w:tcPr>
          <w:p>
            <w:pPr>
              <w:spacing w:after="20" w:before="20" w:line="252" w:lineRule="auto"/>
            </w:pPr>
            <w:r/>
            <w:r>
              <w:rPr>
                <w:rFonts w:ascii="Arial" w:hAnsi="Arial"/>
                <w:b/>
                <w:i w:val="0"/>
                <w:color w:val="FFFFFF"/>
                <w:sz w:val="17"/>
              </w:rPr>
              <w:t>Pekerjaan utama</w:t>
            </w:r>
          </w:p>
        </w:tc>
        <w:tc>
          <w:tcPr>
            <w:tcW w:type="dxa" w:w="2647"/>
            <w:shd w:val="clear" w:color="auto" w:fill="2251FF"/>
            <w:vAlign w:val="center"/>
          </w:tcPr>
          <w:p>
            <w:pPr>
              <w:spacing w:after="20" w:before="20" w:line="252" w:lineRule="auto"/>
            </w:pPr>
            <w:r/>
            <w:r>
              <w:rPr>
                <w:rFonts w:ascii="Arial" w:hAnsi="Arial"/>
                <w:b/>
                <w:i w:val="0"/>
                <w:color w:val="FFFFFF"/>
                <w:sz w:val="17"/>
              </w:rPr>
              <w:t>Keputusan dan bukti</w:t>
            </w:r>
          </w:p>
        </w:tc>
      </w:tr>
      <w:tr>
        <w:trPr>
          <w:cantSplit/>
        </w:trPr>
        <w:tc>
          <w:tcPr>
            <w:tcW w:type="dxa" w:w="1372"/>
            <w:vAlign w:val="center"/>
          </w:tcPr>
          <w:p>
            <w:pPr>
              <w:spacing w:after="20" w:before="20" w:line="252" w:lineRule="auto"/>
            </w:pPr>
            <w:r/>
            <w:r>
              <w:rPr>
                <w:rFonts w:ascii="Arial" w:hAnsi="Arial"/>
                <w:b/>
                <w:i w:val="0"/>
                <w:sz w:val="17"/>
              </w:rPr>
              <w:t>Hari 0</w:t>
            </w:r>
          </w:p>
        </w:tc>
        <w:tc>
          <w:tcPr>
            <w:tcW w:type="dxa" w:w="5392"/>
            <w:vAlign w:val="center"/>
          </w:tcPr>
          <w:p>
            <w:pPr>
              <w:spacing w:after="20" w:before="20" w:line="252" w:lineRule="auto"/>
            </w:pPr>
            <w:r/>
            <w:r>
              <w:rPr>
                <w:rFonts w:ascii="Arial" w:hAnsi="Arial"/>
                <w:b w:val="0"/>
                <w:i w:val="0"/>
                <w:sz w:val="17"/>
              </w:rPr>
              <w:t>Persetujuan prinsip model dan unit dengan piagam terbatas</w:t>
            </w:r>
          </w:p>
        </w:tc>
        <w:tc>
          <w:tcPr>
            <w:tcW w:type="dxa" w:w="2647"/>
            <w:vAlign w:val="center"/>
          </w:tcPr>
          <w:p>
            <w:pPr>
              <w:spacing w:after="20" w:before="20" w:line="252" w:lineRule="auto"/>
            </w:pPr>
            <w:r/>
            <w:r>
              <w:rPr>
                <w:rFonts w:ascii="Arial" w:hAnsi="Arial"/>
                <w:b w:val="0"/>
                <w:i w:val="0"/>
                <w:sz w:val="17"/>
              </w:rPr>
              <w:t>Kepala Badan Pelaksana; Dewan diberi informasi</w:t>
            </w:r>
          </w:p>
        </w:tc>
      </w:tr>
      <w:tr>
        <w:trPr>
          <w:cantSplit/>
        </w:trPr>
        <w:tc>
          <w:tcPr>
            <w:tcW w:type="dxa" w:w="1372"/>
            <w:shd w:val="clear" w:color="auto" w:fill="E6ECFD"/>
            <w:vAlign w:val="center"/>
          </w:tcPr>
          <w:p>
            <w:pPr>
              <w:spacing w:after="20" w:before="20" w:line="252" w:lineRule="auto"/>
            </w:pPr>
            <w:r/>
            <w:r>
              <w:rPr>
                <w:rFonts w:ascii="Arial" w:hAnsi="Arial"/>
                <w:b/>
                <w:i w:val="0"/>
                <w:sz w:val="17"/>
              </w:rPr>
              <w:t>Hari 1–45</w:t>
            </w:r>
          </w:p>
        </w:tc>
        <w:tc>
          <w:tcPr>
            <w:tcW w:type="dxa" w:w="5392"/>
            <w:shd w:val="clear" w:color="auto" w:fill="E6ECFD"/>
            <w:vAlign w:val="center"/>
          </w:tcPr>
          <w:p>
            <w:pPr>
              <w:spacing w:after="20" w:before="20" w:line="252" w:lineRule="auto"/>
            </w:pPr>
            <w:r/>
            <w:r>
              <w:rPr>
                <w:rFonts w:ascii="Arial" w:hAnsi="Arial"/>
                <w:b w:val="0"/>
                <w:i w:val="0"/>
                <w:sz w:val="17"/>
              </w:rPr>
              <w:t>Rekonsiliasi register 40 slot; peta otorisasi; kebijakan manajemen proyek; piagam unit; kelompok proyek percontohan</w:t>
            </w:r>
          </w:p>
        </w:tc>
        <w:tc>
          <w:tcPr>
            <w:tcW w:type="dxa" w:w="2647"/>
            <w:shd w:val="clear" w:color="auto" w:fill="E6ECFD"/>
            <w:vAlign w:val="center"/>
          </w:tcPr>
          <w:p>
            <w:pPr>
              <w:spacing w:after="20" w:before="20" w:line="252" w:lineRule="auto"/>
            </w:pPr>
            <w:r/>
            <w:r>
              <w:rPr>
                <w:rFonts w:ascii="Arial" w:hAnsi="Arial"/>
                <w:b w:val="0"/>
                <w:i w:val="0"/>
                <w:sz w:val="17"/>
              </w:rPr>
              <w:t>Register disahkan sebagai penyebut tunggal (Hari 45); identitas 100%</w:t>
            </w:r>
          </w:p>
        </w:tc>
      </w:tr>
      <w:tr>
        <w:trPr>
          <w:cantSplit/>
        </w:trPr>
        <w:tc>
          <w:tcPr>
            <w:tcW w:type="dxa" w:w="1372"/>
            <w:vAlign w:val="center"/>
          </w:tcPr>
          <w:p>
            <w:pPr>
              <w:spacing w:after="20" w:before="20" w:line="252" w:lineRule="auto"/>
            </w:pPr>
            <w:r/>
            <w:r>
              <w:rPr>
                <w:rFonts w:ascii="Arial" w:hAnsi="Arial"/>
                <w:b/>
                <w:i w:val="0"/>
                <w:sz w:val="17"/>
              </w:rPr>
              <w:t>Hari 31–90</w:t>
            </w:r>
          </w:p>
        </w:tc>
        <w:tc>
          <w:tcPr>
            <w:tcW w:type="dxa" w:w="5392"/>
            <w:vAlign w:val="center"/>
          </w:tcPr>
          <w:p>
            <w:pPr>
              <w:spacing w:after="20" w:before="20" w:line="252" w:lineRule="auto"/>
            </w:pPr>
            <w:r/>
            <w:r>
              <w:rPr>
                <w:rFonts w:ascii="Arial" w:hAnsi="Arial"/>
                <w:b w:val="0"/>
                <w:i w:val="0"/>
                <w:sz w:val="17"/>
              </w:rPr>
              <w:t>Diagnostik BUMN Karya; MVP AI dan pemantau inflasi; gerbang DOCK-UP dan desain uji coba (Hari 60); scorecard (Hari 90); rencana bukti (Bab 14)</w:t>
            </w:r>
          </w:p>
        </w:tc>
        <w:tc>
          <w:tcPr>
            <w:tcW w:type="dxa" w:w="2647"/>
            <w:vAlign w:val="center"/>
          </w:tcPr>
          <w:p>
            <w:pPr>
              <w:spacing w:after="20" w:before="20" w:line="252" w:lineRule="auto"/>
            </w:pPr>
            <w:r/>
            <w:r>
              <w:rPr>
                <w:rFonts w:ascii="Arial" w:hAnsi="Arial"/>
                <w:b w:val="0"/>
                <w:i w:val="0"/>
                <w:sz w:val="17"/>
              </w:rPr>
              <w:t>Evaluasi uji unit: lanjut, perbaiki, atau hentikan (Hari 90)</w:t>
            </w:r>
          </w:p>
        </w:tc>
      </w:tr>
      <w:tr>
        <w:trPr>
          <w:cantSplit/>
        </w:trPr>
        <w:tc>
          <w:tcPr>
            <w:tcW w:type="dxa" w:w="1372"/>
            <w:shd w:val="clear" w:color="auto" w:fill="E6ECFD"/>
            <w:vAlign w:val="center"/>
          </w:tcPr>
          <w:p>
            <w:pPr>
              <w:spacing w:after="20" w:before="20" w:line="252" w:lineRule="auto"/>
            </w:pPr>
            <w:r/>
            <w:r>
              <w:rPr>
                <w:rFonts w:ascii="Arial" w:hAnsi="Arial"/>
                <w:b/>
                <w:i w:val="0"/>
                <w:sz w:val="17"/>
              </w:rPr>
              <w:t>Bulan 4–6</w:t>
            </w:r>
          </w:p>
        </w:tc>
        <w:tc>
          <w:tcPr>
            <w:tcW w:type="dxa" w:w="5392"/>
            <w:shd w:val="clear" w:color="auto" w:fill="E6ECFD"/>
            <w:vAlign w:val="center"/>
          </w:tcPr>
          <w:p>
            <w:pPr>
              <w:spacing w:after="20" w:before="20" w:line="252" w:lineRule="auto"/>
            </w:pPr>
            <w:r/>
            <w:r>
              <w:rPr>
                <w:rFonts w:ascii="Arial" w:hAnsi="Arial"/>
                <w:b w:val="0"/>
                <w:i w:val="0"/>
                <w:sz w:val="17"/>
              </w:rPr>
              <w:t>Perluasan ke seluruh portofolio; uji kualitas data dan kontrol perubahan; baseline penuh per proyek</w:t>
            </w:r>
          </w:p>
        </w:tc>
        <w:tc>
          <w:tcPr>
            <w:tcW w:type="dxa" w:w="2647"/>
            <w:shd w:val="clear" w:color="auto" w:fill="E6ECFD"/>
            <w:vAlign w:val="center"/>
          </w:tcPr>
          <w:p>
            <w:pPr>
              <w:spacing w:after="20" w:before="20" w:line="252" w:lineRule="auto"/>
            </w:pPr>
            <w:r/>
            <w:r>
              <w:rPr>
                <w:rFonts w:ascii="Arial" w:hAnsi="Arial"/>
                <w:b w:val="0"/>
                <w:i w:val="0"/>
                <w:sz w:val="17"/>
              </w:rPr>
              <w:t>Perluasan unit; kontrak payung DOCK-UP; perluasan AI (sekitar bulan 6)</w:t>
            </w:r>
          </w:p>
        </w:tc>
      </w:tr>
      <w:tr>
        <w:trPr>
          <w:cantSplit/>
        </w:trPr>
        <w:tc>
          <w:tcPr>
            <w:tcW w:type="dxa" w:w="1372"/>
            <w:vAlign w:val="center"/>
          </w:tcPr>
          <w:p>
            <w:pPr>
              <w:spacing w:after="20" w:before="20" w:line="252" w:lineRule="auto"/>
            </w:pPr>
            <w:r/>
            <w:r>
              <w:rPr>
                <w:rFonts w:ascii="Arial" w:hAnsi="Arial"/>
                <w:b/>
                <w:i w:val="0"/>
                <w:sz w:val="17"/>
              </w:rPr>
              <w:t>Bulan 6–12</w:t>
            </w:r>
          </w:p>
        </w:tc>
        <w:tc>
          <w:tcPr>
            <w:tcW w:type="dxa" w:w="5392"/>
            <w:vAlign w:val="center"/>
          </w:tcPr>
          <w:p>
            <w:pPr>
              <w:spacing w:after="20" w:before="20" w:line="252" w:lineRule="auto"/>
            </w:pPr>
            <w:r/>
            <w:r>
              <w:rPr>
                <w:rFonts w:ascii="Arial" w:hAnsi="Arial"/>
                <w:b w:val="0"/>
                <w:i w:val="0"/>
                <w:sz w:val="17"/>
              </w:rPr>
              <w:t>Dasbor terekonsiliasi; scorecard triwulanan; diagnostik aset warisan</w:t>
            </w:r>
          </w:p>
        </w:tc>
        <w:tc>
          <w:tcPr>
            <w:tcW w:type="dxa" w:w="2647"/>
            <w:vAlign w:val="center"/>
          </w:tcPr>
          <w:p>
            <w:pPr>
              <w:spacing w:after="20" w:before="20" w:line="252" w:lineRule="auto"/>
            </w:pPr>
            <w:r/>
            <w:r>
              <w:rPr>
                <w:rFonts w:ascii="Arial" w:hAnsi="Arial"/>
                <w:b w:val="0"/>
                <w:i w:val="0"/>
                <w:sz w:val="17"/>
              </w:rPr>
              <w:t>Struktur permanen; jabatan formal ditinjau paling cepat bulan ke-12</w:t>
            </w:r>
          </w:p>
        </w:tc>
      </w:tr>
      <w:tr>
        <w:trPr>
          <w:cantSplit/>
        </w:trPr>
        <w:tc>
          <w:tcPr>
            <w:tcW w:type="dxa" w:w="1372"/>
            <w:shd w:val="clear" w:color="auto" w:fill="E6ECFD"/>
            <w:vAlign w:val="center"/>
          </w:tcPr>
          <w:p>
            <w:pPr>
              <w:spacing w:after="20" w:before="20" w:line="252" w:lineRule="auto"/>
            </w:pPr>
            <w:r/>
            <w:r>
              <w:rPr>
                <w:rFonts w:ascii="Arial" w:hAnsi="Arial"/>
                <w:b/>
                <w:i w:val="0"/>
                <w:sz w:val="17"/>
              </w:rPr>
              <w:t>Bulan 12–24</w:t>
            </w:r>
          </w:p>
        </w:tc>
        <w:tc>
          <w:tcPr>
            <w:tcW w:type="dxa" w:w="5392"/>
            <w:shd w:val="clear" w:color="auto" w:fill="E6ECFD"/>
            <w:vAlign w:val="center"/>
          </w:tcPr>
          <w:p>
            <w:pPr>
              <w:spacing w:after="20" w:before="20" w:line="252" w:lineRule="auto"/>
            </w:pPr>
            <w:r/>
            <w:r>
              <w:rPr>
                <w:rFonts w:ascii="Arial" w:hAnsi="Arial"/>
                <w:b w:val="0"/>
                <w:i w:val="0"/>
                <w:sz w:val="17"/>
              </w:rPr>
              <w:t>Laporan portofolio tahunan; integrator kedua; peningkatan skala AI</w:t>
            </w:r>
          </w:p>
        </w:tc>
        <w:tc>
          <w:tcPr>
            <w:tcW w:type="dxa" w:w="2647"/>
            <w:shd w:val="clear" w:color="auto" w:fill="E6ECFD"/>
            <w:vAlign w:val="center"/>
          </w:tcPr>
          <w:p>
            <w:pPr>
              <w:spacing w:after="20" w:before="20" w:line="252" w:lineRule="auto"/>
            </w:pPr>
            <w:r/>
            <w:r>
              <w:rPr>
                <w:rFonts w:ascii="Arial" w:hAnsi="Arial"/>
                <w:b w:val="0"/>
                <w:i w:val="0"/>
                <w:sz w:val="17"/>
              </w:rPr>
              <w:t>Pengukuran manfaat; keputusan perluasan</w:t>
            </w:r>
          </w:p>
        </w:tc>
      </w:tr>
    </w:tbl>
    <w:p>
      <w:pPr>
        <w:spacing w:after="160"/>
      </w:pPr>
      <w:r>
        <w:rPr>
          <w:rFonts w:ascii="Arial" w:hAnsi="Arial"/>
          <w:b w:val="0"/>
          <w:i/>
          <w:color w:val="051C5C"/>
          <w:sz w:val="17"/>
        </w:rPr>
        <w:t>Sumber: [K §1.4, §16.1–16.3]; [EVAL §16].</w:t>
      </w:r>
    </w:p>
    <w:p>
      <w:pPr>
        <w:pStyle w:val="Heading2"/>
      </w:pPr>
      <w:r>
        <w:t>16.4  Cara menilai apakah sistem bekerja</w:t>
      </w:r>
    </w:p>
    <w:p>
      <w:pPr>
        <w:jc w:val="both"/>
      </w:pPr>
      <w:r>
        <w:rPr>
          <w:rFonts w:ascii="Arial" w:hAnsi="Arial"/>
          <w:b w:val="0"/>
          <w:i w:val="0"/>
        </w:rPr>
        <w:t>Usulan unit berbeda dari bukti bahwa unit itu berhasil. Kriteria uji 90 hari yang disarankan: median waktu keputusan dan persentil ke-90 terukur terhadap baseline; hambatan lintas arm diselesaikan sesuai siklus 2/5/15 hari; tidak ada keputusan yang hanya memindahkan antrean ke tingkat baru; satu paket keputusan melayani berbagai tinjauan; opini risiko dan hukum diterima tanpa tekanan dengan perbedaan pendapat tercatat; dan kualitas register naik ke identitas 100% [EVAL §16; K §13.8]. Bila kriteria tidak terpenuhi, penyebabnya dianalisis: kewenangan, kesiapan proyek, kapasitas pelaksana, atau koordinasi eksternal.</w:t>
      </w:r>
    </w:p>
    <w:p>
      <w:pPr>
        <w:pStyle w:val="Heading1"/>
      </w:pPr>
      <w:bookmarkStart w:id="18" w:name="_Toc018"/>
      <w:r>
        <w:t>17  Risiko penerapan, kesimpulan, dan rekomendasi</w:t>
      </w:r>
      <w:bookmarkEnd w:id="18"/>
    </w:p>
    <w:p>
      <w:pPr>
        <w:jc w:val="both"/>
      </w:pPr>
      <w:r>
        <w:rPr>
          <w:rFonts w:ascii="Arial" w:hAnsi="Arial"/>
          <w:b/>
          <w:i w:val="0"/>
        </w:rPr>
        <w:t>Ringkasnya:</w:t>
      </w:r>
      <w:r>
        <w:rPr>
          <w:rFonts w:ascii="Arial" w:hAnsi="Arial"/>
          <w:b w:val="0"/>
          <w:i w:val="0"/>
        </w:rPr>
        <w:t xml:space="preserve"> risiko penerapan terbesar adalah unit baru menjadi lapisan rapat tambahan dan data yang belum siap. Makalah ini mengusulkan dua belas rekomendasi untuk dipertimbangkan.</w:t>
      </w:r>
    </w:p>
    <w:p>
      <w:pPr>
        <w:pStyle w:val="Heading2"/>
      </w:pPr>
      <w:r>
        <w:t>17.1  Risiko penerapan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29</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Risiko penerapan DPMS dan mitigasinya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Risiko penerapan DPMS dan mitigasinya"/>
      </w:tblPr>
      <w:tblGrid>
        <w:gridCol w:w="3137"/>
        <w:gridCol w:w="3137"/>
        <w:gridCol w:w="3137"/>
      </w:tblGrid>
      <w:tr>
        <w:trPr>
          <w:cantSplit/>
          <w:tblHeader/>
        </w:trPr>
        <w:tc>
          <w:tcPr>
            <w:tcW w:type="dxa" w:w="2941"/>
            <w:shd w:val="clear" w:color="auto" w:fill="2251FF"/>
            <w:vAlign w:val="center"/>
          </w:tcPr>
          <w:p>
            <w:pPr>
              <w:spacing w:after="20" w:before="20" w:line="252" w:lineRule="auto"/>
            </w:pPr>
            <w:r/>
            <w:r>
              <w:rPr>
                <w:rFonts w:ascii="Arial" w:hAnsi="Arial"/>
                <w:b/>
                <w:i w:val="0"/>
                <w:color w:val="FFFFFF"/>
                <w:sz w:val="16"/>
              </w:rPr>
              <w:t>Risiko</w:t>
            </w:r>
          </w:p>
        </w:tc>
        <w:tc>
          <w:tcPr>
            <w:tcW w:type="dxa" w:w="2941"/>
            <w:shd w:val="clear" w:color="auto" w:fill="2251FF"/>
            <w:vAlign w:val="center"/>
          </w:tcPr>
          <w:p>
            <w:pPr>
              <w:spacing w:after="20" w:before="20" w:line="252" w:lineRule="auto"/>
            </w:pPr>
            <w:r/>
            <w:r>
              <w:rPr>
                <w:rFonts w:ascii="Arial" w:hAnsi="Arial"/>
                <w:b/>
                <w:i w:val="0"/>
                <w:color w:val="FFFFFF"/>
                <w:sz w:val="16"/>
              </w:rPr>
              <w:t>Gejala</w:t>
            </w:r>
          </w:p>
        </w:tc>
        <w:tc>
          <w:tcPr>
            <w:tcW w:type="dxa" w:w="3529"/>
            <w:shd w:val="clear" w:color="auto" w:fill="2251FF"/>
            <w:vAlign w:val="center"/>
          </w:tcPr>
          <w:p>
            <w:pPr>
              <w:spacing w:after="20" w:before="20" w:line="252" w:lineRule="auto"/>
            </w:pPr>
            <w:r/>
            <w:r>
              <w:rPr>
                <w:rFonts w:ascii="Arial" w:hAnsi="Arial"/>
                <w:b/>
                <w:i w:val="0"/>
                <w:color w:val="FFFFFF"/>
                <w:sz w:val="16"/>
              </w:rPr>
              <w:t>Mitigasi</w:t>
            </w:r>
          </w:p>
        </w:tc>
      </w:tr>
      <w:tr>
        <w:trPr>
          <w:cantSplit/>
        </w:trPr>
        <w:tc>
          <w:tcPr>
            <w:tcW w:type="dxa" w:w="2941"/>
            <w:vAlign w:val="center"/>
          </w:tcPr>
          <w:p>
            <w:pPr>
              <w:spacing w:after="20" w:before="20" w:line="252" w:lineRule="auto"/>
            </w:pPr>
            <w:r/>
            <w:r>
              <w:rPr>
                <w:rFonts w:ascii="Arial" w:hAnsi="Arial"/>
                <w:b/>
                <w:i w:val="0"/>
                <w:sz w:val="16"/>
              </w:rPr>
              <w:t>Unit menjadi lapisan rapat tambahan</w:t>
            </w:r>
          </w:p>
        </w:tc>
        <w:tc>
          <w:tcPr>
            <w:tcW w:type="dxa" w:w="2941"/>
            <w:vAlign w:val="center"/>
          </w:tcPr>
          <w:p>
            <w:pPr>
              <w:spacing w:after="20" w:before="20" w:line="252" w:lineRule="auto"/>
            </w:pPr>
            <w:r/>
            <w:r>
              <w:rPr>
                <w:rFonts w:ascii="Arial" w:hAnsi="Arial"/>
                <w:b w:val="0"/>
                <w:i w:val="0"/>
                <w:sz w:val="16"/>
              </w:rPr>
              <w:t>Waktu keputusan tidak membaik; rapat berulang</w:t>
            </w:r>
          </w:p>
        </w:tc>
        <w:tc>
          <w:tcPr>
            <w:tcW w:type="dxa" w:w="3529"/>
            <w:vAlign w:val="center"/>
          </w:tcPr>
          <w:p>
            <w:pPr>
              <w:spacing w:after="20" w:before="20" w:line="252" w:lineRule="auto"/>
            </w:pPr>
            <w:r/>
            <w:r>
              <w:rPr>
                <w:rFonts w:ascii="Arial" w:hAnsi="Arial"/>
                <w:b w:val="0"/>
                <w:i w:val="0"/>
                <w:sz w:val="16"/>
              </w:rPr>
              <w:t>Piagam per fungsi; paket keputusan tunggal; ukur waktu</w:t>
            </w:r>
          </w:p>
        </w:tc>
      </w:tr>
      <w:tr>
        <w:trPr>
          <w:cantSplit/>
        </w:trPr>
        <w:tc>
          <w:tcPr>
            <w:tcW w:type="dxa" w:w="2941"/>
            <w:shd w:val="clear" w:color="auto" w:fill="E6ECFD"/>
            <w:vAlign w:val="center"/>
          </w:tcPr>
          <w:p>
            <w:pPr>
              <w:spacing w:after="20" w:before="20" w:line="252" w:lineRule="auto"/>
            </w:pPr>
            <w:r/>
            <w:r>
              <w:rPr>
                <w:rFonts w:ascii="Arial" w:hAnsi="Arial"/>
                <w:b/>
                <w:i w:val="0"/>
                <w:sz w:val="16"/>
              </w:rPr>
              <w:t>Sentralisasi dan akuntabilitas kabur</w:t>
            </w:r>
          </w:p>
        </w:tc>
        <w:tc>
          <w:tcPr>
            <w:tcW w:type="dxa" w:w="2941"/>
            <w:shd w:val="clear" w:color="auto" w:fill="E6ECFD"/>
            <w:vAlign w:val="center"/>
          </w:tcPr>
          <w:p>
            <w:pPr>
              <w:spacing w:after="20" w:before="20" w:line="252" w:lineRule="auto"/>
            </w:pPr>
            <w:r/>
            <w:r>
              <w:rPr>
                <w:rFonts w:ascii="Arial" w:hAnsi="Arial"/>
                <w:b w:val="0"/>
                <w:i w:val="0"/>
                <w:sz w:val="16"/>
              </w:rPr>
              <w:t>Direktur proyek menunggu persetujuan unit</w:t>
            </w:r>
          </w:p>
        </w:tc>
        <w:tc>
          <w:tcPr>
            <w:tcW w:type="dxa" w:w="3529"/>
            <w:shd w:val="clear" w:color="auto" w:fill="E6ECFD"/>
            <w:vAlign w:val="center"/>
          </w:tcPr>
          <w:p>
            <w:pPr>
              <w:spacing w:after="20" w:before="20" w:line="252" w:lineRule="auto"/>
            </w:pPr>
            <w:r/>
            <w:r>
              <w:rPr>
                <w:rFonts w:ascii="Arial" w:hAnsi="Arial"/>
                <w:b w:val="0"/>
                <w:i w:val="0"/>
                <w:sz w:val="16"/>
              </w:rPr>
              <w:t>Peta otorisasi; RASCI satu A; unit menyiapkan, organ memutuskan</w:t>
            </w:r>
          </w:p>
        </w:tc>
      </w:tr>
      <w:tr>
        <w:trPr>
          <w:cantSplit/>
        </w:trPr>
        <w:tc>
          <w:tcPr>
            <w:tcW w:type="dxa" w:w="2941"/>
            <w:vAlign w:val="center"/>
          </w:tcPr>
          <w:p>
            <w:pPr>
              <w:spacing w:after="20" w:before="20" w:line="252" w:lineRule="auto"/>
            </w:pPr>
            <w:r/>
            <w:r>
              <w:rPr>
                <w:rFonts w:ascii="Arial" w:hAnsi="Arial"/>
                <w:b/>
                <w:i w:val="0"/>
                <w:sz w:val="16"/>
              </w:rPr>
              <w:t>Data belum siap</w:t>
            </w:r>
          </w:p>
        </w:tc>
        <w:tc>
          <w:tcPr>
            <w:tcW w:type="dxa" w:w="2941"/>
            <w:vAlign w:val="center"/>
          </w:tcPr>
          <w:p>
            <w:pPr>
              <w:spacing w:after="20" w:before="20" w:line="252" w:lineRule="auto"/>
            </w:pPr>
            <w:r/>
            <w:r>
              <w:rPr>
                <w:rFonts w:ascii="Arial" w:hAnsi="Arial"/>
                <w:b w:val="0"/>
                <w:i w:val="0"/>
                <w:sz w:val="16"/>
              </w:rPr>
              <w:t>Dasbor menampilkan angka berbeda</w:t>
            </w:r>
          </w:p>
        </w:tc>
        <w:tc>
          <w:tcPr>
            <w:tcW w:type="dxa" w:w="3529"/>
            <w:vAlign w:val="center"/>
          </w:tcPr>
          <w:p>
            <w:pPr>
              <w:spacing w:after="20" w:before="20" w:line="252" w:lineRule="auto"/>
            </w:pPr>
            <w:r/>
            <w:r>
              <w:rPr>
                <w:rFonts w:ascii="Arial" w:hAnsi="Arial"/>
                <w:b w:val="0"/>
                <w:i w:val="0"/>
                <w:sz w:val="16"/>
              </w:rPr>
              <w:t>Rencana bukti 90 hari; satu register; validasi model data pada Fase 1</w:t>
            </w:r>
          </w:p>
        </w:tc>
      </w:tr>
      <w:tr>
        <w:trPr>
          <w:cantSplit/>
        </w:trPr>
        <w:tc>
          <w:tcPr>
            <w:tcW w:type="dxa" w:w="2941"/>
            <w:shd w:val="clear" w:color="auto" w:fill="E6ECFD"/>
            <w:vAlign w:val="center"/>
          </w:tcPr>
          <w:p>
            <w:pPr>
              <w:spacing w:after="20" w:before="20" w:line="252" w:lineRule="auto"/>
            </w:pPr>
            <w:r/>
            <w:r>
              <w:rPr>
                <w:rFonts w:ascii="Arial" w:hAnsi="Arial"/>
                <w:b/>
                <w:i w:val="0"/>
                <w:sz w:val="16"/>
              </w:rPr>
              <w:t>Adopsi gagal</w:t>
            </w:r>
          </w:p>
        </w:tc>
        <w:tc>
          <w:tcPr>
            <w:tcW w:type="dxa" w:w="2941"/>
            <w:shd w:val="clear" w:color="auto" w:fill="E6ECFD"/>
            <w:vAlign w:val="center"/>
          </w:tcPr>
          <w:p>
            <w:pPr>
              <w:spacing w:after="20" w:before="20" w:line="252" w:lineRule="auto"/>
            </w:pPr>
            <w:r/>
            <w:r>
              <w:rPr>
                <w:rFonts w:ascii="Arial" w:hAnsi="Arial"/>
                <w:b w:val="0"/>
                <w:i w:val="0"/>
                <w:sz w:val="16"/>
              </w:rPr>
              <w:t>Dasbor tidak dipakai untuk keputusan</w:t>
            </w:r>
          </w:p>
        </w:tc>
        <w:tc>
          <w:tcPr>
            <w:tcW w:type="dxa" w:w="3529"/>
            <w:shd w:val="clear" w:color="auto" w:fill="E6ECFD"/>
            <w:vAlign w:val="center"/>
          </w:tcPr>
          <w:p>
            <w:pPr>
              <w:spacing w:after="20" w:before="20" w:line="252" w:lineRule="auto"/>
            </w:pPr>
            <w:r/>
            <w:r>
              <w:rPr>
                <w:rFonts w:ascii="Arial" w:hAnsi="Arial"/>
                <w:b w:val="0"/>
                <w:i w:val="0"/>
                <w:sz w:val="16"/>
              </w:rPr>
              <w:t>Libatkan tim bisnis; ukur penggunaan; hentikan proses lama</w:t>
            </w:r>
          </w:p>
        </w:tc>
      </w:tr>
      <w:tr>
        <w:trPr>
          <w:cantSplit/>
        </w:trPr>
        <w:tc>
          <w:tcPr>
            <w:tcW w:type="dxa" w:w="2941"/>
            <w:vAlign w:val="center"/>
          </w:tcPr>
          <w:p>
            <w:pPr>
              <w:spacing w:after="20" w:before="20" w:line="252" w:lineRule="auto"/>
            </w:pPr>
            <w:r/>
            <w:r>
              <w:rPr>
                <w:rFonts w:ascii="Arial" w:hAnsi="Arial"/>
                <w:b/>
                <w:i w:val="0"/>
                <w:sz w:val="16"/>
              </w:rPr>
              <w:t>Gerbang menjadi formalitas</w:t>
            </w:r>
          </w:p>
        </w:tc>
        <w:tc>
          <w:tcPr>
            <w:tcW w:type="dxa" w:w="2941"/>
            <w:vAlign w:val="center"/>
          </w:tcPr>
          <w:p>
            <w:pPr>
              <w:spacing w:after="20" w:before="20" w:line="252" w:lineRule="auto"/>
            </w:pPr>
            <w:r/>
            <w:r>
              <w:rPr>
                <w:rFonts w:ascii="Arial" w:hAnsi="Arial"/>
                <w:b w:val="0"/>
                <w:i w:val="0"/>
                <w:sz w:val="16"/>
              </w:rPr>
              <w:t>Semua proyek lolos; perbedaan pendapat tidak tercatat</w:t>
            </w:r>
          </w:p>
        </w:tc>
        <w:tc>
          <w:tcPr>
            <w:tcW w:type="dxa" w:w="3529"/>
            <w:vAlign w:val="center"/>
          </w:tcPr>
          <w:p>
            <w:pPr>
              <w:spacing w:after="20" w:before="20" w:line="252" w:lineRule="auto"/>
            </w:pPr>
            <w:r/>
            <w:r>
              <w:rPr>
                <w:rFonts w:ascii="Arial" w:hAnsi="Arial"/>
                <w:b w:val="0"/>
                <w:i w:val="0"/>
                <w:sz w:val="16"/>
              </w:rPr>
              <w:t>Opini independen; catatan perbedaan pendapat; disiplin keluar</w:t>
            </w:r>
          </w:p>
        </w:tc>
      </w:tr>
      <w:tr>
        <w:trPr>
          <w:cantSplit/>
        </w:trPr>
        <w:tc>
          <w:tcPr>
            <w:tcW w:type="dxa" w:w="2941"/>
            <w:shd w:val="clear" w:color="auto" w:fill="E6ECFD"/>
            <w:vAlign w:val="center"/>
          </w:tcPr>
          <w:p>
            <w:pPr>
              <w:spacing w:after="20" w:before="20" w:line="252" w:lineRule="auto"/>
            </w:pPr>
            <w:r/>
            <w:r>
              <w:rPr>
                <w:rFonts w:ascii="Arial" w:hAnsi="Arial"/>
                <w:b/>
                <w:i w:val="0"/>
                <w:sz w:val="16"/>
              </w:rPr>
              <w:t>DOCK-UP menjadi kuota</w:t>
            </w:r>
          </w:p>
        </w:tc>
        <w:tc>
          <w:tcPr>
            <w:tcW w:type="dxa" w:w="2941"/>
            <w:shd w:val="clear" w:color="auto" w:fill="E6ECFD"/>
            <w:vAlign w:val="center"/>
          </w:tcPr>
          <w:p>
            <w:pPr>
              <w:spacing w:after="20" w:before="20" w:line="252" w:lineRule="auto"/>
            </w:pPr>
            <w:r/>
            <w:r>
              <w:rPr>
                <w:rFonts w:ascii="Arial" w:hAnsi="Arial"/>
                <w:b w:val="0"/>
                <w:i w:val="0"/>
                <w:sz w:val="16"/>
              </w:rPr>
              <w:t>Pesanan mendahului kesiapan; kegagalan mutu</w:t>
            </w:r>
          </w:p>
        </w:tc>
        <w:tc>
          <w:tcPr>
            <w:tcW w:type="dxa" w:w="3529"/>
            <w:shd w:val="clear" w:color="auto" w:fill="E6ECFD"/>
            <w:vAlign w:val="center"/>
          </w:tcPr>
          <w:p>
            <w:pPr>
              <w:spacing w:after="20" w:before="20" w:line="252" w:lineRule="auto"/>
            </w:pPr>
            <w:r/>
            <w:r>
              <w:rPr>
                <w:rFonts w:ascii="Arial" w:hAnsi="Arial"/>
                <w:b w:val="0"/>
                <w:i w:val="0"/>
                <w:sz w:val="16"/>
              </w:rPr>
              <w:t>Pelepasan volume per gerbang; asesor independen</w:t>
            </w:r>
          </w:p>
        </w:tc>
      </w:tr>
      <w:tr>
        <w:trPr>
          <w:cantSplit/>
        </w:trPr>
        <w:tc>
          <w:tcPr>
            <w:tcW w:type="dxa" w:w="2941"/>
            <w:vAlign w:val="center"/>
          </w:tcPr>
          <w:p>
            <w:pPr>
              <w:spacing w:after="20" w:before="20" w:line="252" w:lineRule="auto"/>
            </w:pPr>
            <w:r/>
            <w:r>
              <w:rPr>
                <w:rFonts w:ascii="Arial" w:hAnsi="Arial"/>
                <w:b/>
                <w:i w:val="0"/>
                <w:sz w:val="16"/>
              </w:rPr>
              <w:t>Dominasi pengusul</w:t>
            </w:r>
          </w:p>
        </w:tc>
        <w:tc>
          <w:tcPr>
            <w:tcW w:type="dxa" w:w="2941"/>
            <w:vAlign w:val="center"/>
          </w:tcPr>
          <w:p>
            <w:pPr>
              <w:spacing w:after="20" w:before="20" w:line="252" w:lineRule="auto"/>
            </w:pPr>
            <w:r/>
            <w:r>
              <w:rPr>
                <w:rFonts w:ascii="Arial" w:hAnsi="Arial"/>
                <w:b w:val="0"/>
                <w:i w:val="0"/>
                <w:sz w:val="16"/>
              </w:rPr>
              <w:t>Keberatan risiko dikesampingkan</w:t>
            </w:r>
          </w:p>
        </w:tc>
        <w:tc>
          <w:tcPr>
            <w:tcW w:type="dxa" w:w="3529"/>
            <w:vAlign w:val="center"/>
          </w:tcPr>
          <w:p>
            <w:pPr>
              <w:spacing w:after="20" w:before="20" w:line="252" w:lineRule="auto"/>
            </w:pPr>
            <w:r/>
            <w:r>
              <w:rPr>
                <w:rFonts w:ascii="Arial" w:hAnsi="Arial"/>
                <w:b w:val="0"/>
                <w:i w:val="0"/>
                <w:sz w:val="16"/>
              </w:rPr>
              <w:t>Garis pelaporan independen; pengunduran diri dari keputusan (</w:t>
            </w:r>
            <w:r>
              <w:rPr>
                <w:rFonts w:ascii="Arial" w:hAnsi="Arial"/>
                <w:b w:val="0"/>
                <w:i/>
                <w:sz w:val="16"/>
              </w:rPr>
              <w:t>recusal</w:t>
            </w:r>
            <w:r>
              <w:rPr>
                <w:rFonts w:ascii="Arial" w:hAnsi="Arial"/>
                <w:b w:val="0"/>
                <w:i w:val="0"/>
                <w:sz w:val="16"/>
              </w:rPr>
              <w:t>)</w:t>
            </w:r>
          </w:p>
        </w:tc>
      </w:tr>
      <w:tr>
        <w:trPr>
          <w:cantSplit/>
        </w:trPr>
        <w:tc>
          <w:tcPr>
            <w:tcW w:type="dxa" w:w="2941"/>
            <w:shd w:val="clear" w:color="auto" w:fill="E6ECFD"/>
            <w:vAlign w:val="center"/>
          </w:tcPr>
          <w:p>
            <w:pPr>
              <w:spacing w:after="20" w:before="20" w:line="252" w:lineRule="auto"/>
            </w:pPr>
            <w:r/>
            <w:r>
              <w:rPr>
                <w:rFonts w:ascii="Arial" w:hAnsi="Arial"/>
                <w:b/>
                <w:i w:val="0"/>
                <w:sz w:val="16"/>
              </w:rPr>
              <w:t>Transisi organisasi tidak tertib</w:t>
            </w:r>
          </w:p>
        </w:tc>
        <w:tc>
          <w:tcPr>
            <w:tcW w:type="dxa" w:w="2941"/>
            <w:shd w:val="clear" w:color="auto" w:fill="E6ECFD"/>
            <w:vAlign w:val="center"/>
          </w:tcPr>
          <w:p>
            <w:pPr>
              <w:spacing w:after="20" w:before="20" w:line="252" w:lineRule="auto"/>
            </w:pPr>
            <w:r/>
            <w:r>
              <w:rPr>
                <w:rFonts w:ascii="Arial" w:hAnsi="Arial"/>
                <w:b w:val="0"/>
                <w:i w:val="0"/>
                <w:sz w:val="16"/>
              </w:rPr>
              <w:t>Arsip, kontrak, dan kewenangan hilang</w:t>
            </w:r>
          </w:p>
        </w:tc>
        <w:tc>
          <w:tcPr>
            <w:tcW w:type="dxa" w:w="3529"/>
            <w:shd w:val="clear" w:color="auto" w:fill="E6ECFD"/>
            <w:vAlign w:val="center"/>
          </w:tcPr>
          <w:p>
            <w:pPr>
              <w:spacing w:after="20" w:before="20" w:line="252" w:lineRule="auto"/>
            </w:pPr>
            <w:r/>
            <w:r>
              <w:rPr>
                <w:rFonts w:ascii="Arial" w:hAnsi="Arial"/>
                <w:b w:val="0"/>
                <w:i w:val="0"/>
                <w:sz w:val="16"/>
              </w:rPr>
              <w:t>Daftar kewenangan, arsip, kontrak, aset, dan kewajiban yang berpindah</w:t>
            </w:r>
          </w:p>
        </w:tc>
      </w:tr>
    </w:tbl>
    <w:p>
      <w:pPr>
        <w:spacing w:after="160"/>
      </w:pPr>
      <w:r>
        <w:rPr>
          <w:rFonts w:ascii="Arial" w:hAnsi="Arial"/>
          <w:b w:val="0"/>
          <w:i/>
          <w:color w:val="051C5C"/>
          <w:sz w:val="17"/>
        </w:rPr>
        <w:t>Sumber: [K §12, §15; EVAL §17]; diperluas penyusun.</w:t>
      </w:r>
    </w:p>
    <w:p>
      <w:pPr>
        <w:jc w:val="both"/>
      </w:pPr>
      <w:r>
        <w:rPr>
          <w:rFonts w:ascii="Arial" w:hAnsi="Arial"/>
          <w:b w:val="0"/>
          <w:i w:val="0"/>
        </w:rPr>
        <w:t>Faktor keberhasilan yang paling menentukan, menurut penyusun, ada tiga. Pertama, Kepala Badan Pelaksana memiliki keputusan portofolio dan menegakkan disiplin gerbang. Kedua, register direkonsiliasi sebelum alat canggih dipasang. Ketiga, pembiayaan, pesanan, dan insentif benar-benar mengikuti gerbang. Faktor lain: pemisahan pengusul dari penilai, baseline yang dibekukan, investasi pada kompetensi, keterbukaan tentang kelas bukti dan NR, serta evaluasi P6 yang diumpankan ke estimasi.</w:t>
      </w:r>
    </w:p>
    <w:p>
      <w:pPr>
        <w:jc w:val="both"/>
      </w:pPr>
      <w:r>
        <w:rPr>
          <w:rFonts w:ascii="Arial" w:hAnsi="Arial"/>
          <w:b w:val="0"/>
          <w:i w:val="0"/>
        </w:rPr>
        <w:t>Tanda peringatan dini: jumlah rapat bertambah tanpa keputusan; waktu keputusan tidak membaik setelah dua triwulan; perubahan lingkup dan biaya terjadi tanpa permintaan perubahan; direktur proyek tidak dikenali dalam dokumen; angka yang sama berbeda antarlaporan; perbedaan pendapat risiko tidak pernah tercatat; dan pesanan pemasok naik lebih cepat daripada jumlah pemasok yang lolos gerbang. Tiap tanda perlu pemicu dan tindakan yang ditetapkan pada piagam unit.</w:t>
      </w:r>
    </w:p>
    <w:p>
      <w:pPr>
        <w:pStyle w:val="Heading2"/>
      </w:pPr>
      <w:r>
        <w:t>17.2  Kesimpulan</w:t>
      </w:r>
    </w:p>
    <w:p>
      <w:pPr>
        <w:pStyle w:val="ListNumber"/>
        <w:numPr>
          <w:ilvl w:val="0"/>
          <w:numId w:val="12"/>
        </w:numPr>
        <w:spacing w:after="40"/>
      </w:pPr>
      <w:r>
        <w:rPr>
          <w:rFonts w:ascii="Arial" w:hAnsi="Arial"/>
          <w:b/>
          <w:i w:val="0"/>
        </w:rPr>
        <w:t>Dokumen sumber memuat unsur-unsur manajemen proyek, tetapi belum menyatukannya.</w:t>
      </w:r>
      <w:r>
        <w:rPr>
          <w:rFonts w:ascii="Arial" w:hAnsi="Arial"/>
          <w:b w:val="0"/>
          <w:i w:val="0"/>
        </w:rPr>
        <w:t xml:space="preserve"> Gerbang, RASCI, rantai biaya EPC, register risiko, dan scorecard ada, sedangkan register terverifikasi, baseline, dan sistem pemersatu belum tampak.</w:t>
      </w:r>
    </w:p>
    <w:p>
      <w:pPr>
        <w:pStyle w:val="ListNumber"/>
        <w:numPr>
          <w:ilvl w:val="0"/>
          <w:numId w:val="12"/>
        </w:numPr>
        <w:spacing w:after="40"/>
      </w:pPr>
      <w:r>
        <w:rPr>
          <w:rFonts w:ascii="Arial" w:hAnsi="Arial"/>
          <w:b/>
          <w:i w:val="0"/>
        </w:rPr>
        <w:t>Kesenjangan terbesar terletak pada portofolio.</w:t>
      </w:r>
      <w:r>
        <w:rPr>
          <w:rFonts w:ascii="Arial" w:hAnsi="Arial"/>
          <w:b w:val="0"/>
          <w:i w:val="0"/>
        </w:rPr>
        <w:t xml:space="preserve"> Hanya 18 dari 40 slot bernama dan dua total berbeda Rp18,93 triliun.</w:t>
      </w:r>
    </w:p>
    <w:p>
      <w:pPr>
        <w:pStyle w:val="ListNumber"/>
        <w:numPr>
          <w:ilvl w:val="0"/>
          <w:numId w:val="12"/>
        </w:numPr>
        <w:spacing w:after="40"/>
      </w:pPr>
      <w:r>
        <w:rPr>
          <w:rFonts w:ascii="Arial" w:hAnsi="Arial"/>
          <w:b/>
          <w:i w:val="0"/>
        </w:rPr>
        <w:t>Prinsip yang paling berulang adalah uang dan volume mengikuti bukti kesiapan,</w:t>
      </w:r>
      <w:r>
        <w:rPr>
          <w:rFonts w:ascii="Arial" w:hAnsi="Arial"/>
          <w:b w:val="0"/>
          <w:i w:val="0"/>
        </w:rPr>
        <w:t xml:space="preserve"> dengan risiko kuota sebagai ancaman utama.</w:t>
      </w:r>
    </w:p>
    <w:p>
      <w:pPr>
        <w:pStyle w:val="ListNumber"/>
        <w:numPr>
          <w:ilvl w:val="0"/>
          <w:numId w:val="12"/>
        </w:numPr>
        <w:spacing w:after="40"/>
      </w:pPr>
      <w:r>
        <w:rPr>
          <w:rFonts w:ascii="Arial" w:hAnsi="Arial"/>
          <w:b/>
          <w:i w:val="0"/>
        </w:rPr>
        <w:t>Tekanan BUMN Karya dapat dibaca sebagai masalah pengendalian proyek dan insentif,</w:t>
      </w:r>
      <w:r>
        <w:rPr>
          <w:rFonts w:ascii="Arial" w:hAnsi="Arial"/>
          <w:b w:val="0"/>
          <w:i w:val="0"/>
        </w:rPr>
        <w:t xml:space="preserve"> dengan catatan bahwa angka kerugian belum teraudit dan pembacaan ini adalah tafsir penyusun.</w:t>
      </w:r>
    </w:p>
    <w:p>
      <w:pPr>
        <w:pStyle w:val="ListNumber"/>
        <w:numPr>
          <w:ilvl w:val="0"/>
          <w:numId w:val="12"/>
        </w:numPr>
        <w:spacing w:after="120"/>
      </w:pPr>
      <w:r>
        <w:rPr>
          <w:rFonts w:ascii="Arial" w:hAnsi="Arial"/>
          <w:b/>
          <w:i w:val="0"/>
        </w:rPr>
        <w:t>AI dapat membantu bila proses dan data siap,</w:t>
      </w:r>
      <w:r>
        <w:rPr>
          <w:rFonts w:ascii="Arial" w:hAnsi="Arial"/>
          <w:b w:val="0"/>
          <w:i w:val="0"/>
        </w:rPr>
        <w:t xml:space="preserve"> sementara manusia tetap memutuskan.</w:t>
      </w:r>
    </w:p>
    <w:p>
      <w:pPr>
        <w:pStyle w:val="Heading2"/>
      </w:pPr>
      <w:r>
        <w:t>17.3  Rekomendasi</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30</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Dua belas rekomendasi yang diusulkan untuk dipertimbangkan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Dua belas rekomendasi yang diusulkan untuk dipertimbangkan"/>
      </w:tblPr>
      <w:tblGrid>
        <w:gridCol w:w="2353"/>
        <w:gridCol w:w="2353"/>
        <w:gridCol w:w="2353"/>
        <w:gridCol w:w="2353"/>
      </w:tblGrid>
      <w:tr>
        <w:trPr>
          <w:cantSplit/>
          <w:tblHeader/>
        </w:trPr>
        <w:tc>
          <w:tcPr>
            <w:tcW w:type="dxa" w:w="490"/>
            <w:shd w:val="clear" w:color="auto" w:fill="2251FF"/>
            <w:vAlign w:val="center"/>
          </w:tcPr>
          <w:p>
            <w:pPr>
              <w:spacing w:after="20" w:before="20" w:line="252" w:lineRule="auto"/>
            </w:pPr>
            <w:r/>
            <w:r>
              <w:rPr>
                <w:rFonts w:ascii="Arial" w:hAnsi="Arial"/>
                <w:b/>
                <w:i w:val="0"/>
                <w:color w:val="FFFFFF"/>
                <w:sz w:val="17"/>
              </w:rPr>
              <w:t>No.</w:t>
            </w:r>
          </w:p>
        </w:tc>
        <w:tc>
          <w:tcPr>
            <w:tcW w:type="dxa" w:w="5098"/>
            <w:shd w:val="clear" w:color="auto" w:fill="2251FF"/>
            <w:vAlign w:val="center"/>
          </w:tcPr>
          <w:p>
            <w:pPr>
              <w:spacing w:after="20" w:before="20" w:line="252" w:lineRule="auto"/>
            </w:pPr>
            <w:r/>
            <w:r>
              <w:rPr>
                <w:rFonts w:ascii="Arial" w:hAnsi="Arial"/>
                <w:b/>
                <w:i w:val="0"/>
                <w:color w:val="FFFFFF"/>
                <w:sz w:val="17"/>
              </w:rPr>
              <w:t>Rekomendasi</w:t>
            </w:r>
          </w:p>
        </w:tc>
        <w:tc>
          <w:tcPr>
            <w:tcW w:type="dxa" w:w="2353"/>
            <w:shd w:val="clear" w:color="auto" w:fill="2251FF"/>
            <w:vAlign w:val="center"/>
          </w:tcPr>
          <w:p>
            <w:pPr>
              <w:spacing w:after="20" w:before="20" w:line="252" w:lineRule="auto"/>
            </w:pPr>
            <w:r/>
            <w:r>
              <w:rPr>
                <w:rFonts w:ascii="Arial" w:hAnsi="Arial"/>
                <w:b/>
                <w:i w:val="0"/>
                <w:color w:val="FFFFFF"/>
                <w:sz w:val="17"/>
              </w:rPr>
              <w:t>Pemilik (usulan)</w:t>
            </w:r>
          </w:p>
        </w:tc>
        <w:tc>
          <w:tcPr>
            <w:tcW w:type="dxa" w:w="1470"/>
            <w:shd w:val="clear" w:color="auto" w:fill="2251FF"/>
            <w:vAlign w:val="center"/>
          </w:tcPr>
          <w:p>
            <w:pPr>
              <w:spacing w:after="20" w:before="20" w:line="252" w:lineRule="auto"/>
            </w:pPr>
            <w:r/>
            <w:r>
              <w:rPr>
                <w:rFonts w:ascii="Arial" w:hAnsi="Arial"/>
                <w:b/>
                <w:i w:val="0"/>
                <w:color w:val="FFFFFF"/>
                <w:sz w:val="17"/>
              </w:rPr>
              <w:t>Waktu</w:t>
            </w:r>
          </w:p>
        </w:tc>
      </w:tr>
      <w:tr>
        <w:trPr>
          <w:cantSplit/>
        </w:trPr>
        <w:tc>
          <w:tcPr>
            <w:tcW w:type="dxa" w:w="490"/>
            <w:vAlign w:val="center"/>
          </w:tcPr>
          <w:p>
            <w:pPr>
              <w:spacing w:after="20" w:before="20" w:line="252" w:lineRule="auto"/>
            </w:pPr>
            <w:r/>
            <w:r>
              <w:rPr>
                <w:rFonts w:ascii="Arial" w:hAnsi="Arial"/>
                <w:b/>
                <w:i w:val="0"/>
                <w:sz w:val="17"/>
              </w:rPr>
              <w:t>1</w:t>
            </w:r>
          </w:p>
        </w:tc>
        <w:tc>
          <w:tcPr>
            <w:tcW w:type="dxa" w:w="5098"/>
            <w:vAlign w:val="center"/>
          </w:tcPr>
          <w:p>
            <w:pPr>
              <w:spacing w:after="20" w:before="20" w:line="252" w:lineRule="auto"/>
            </w:pPr>
            <w:r/>
            <w:r>
              <w:rPr>
                <w:rFonts w:ascii="Arial" w:hAnsi="Arial"/>
                <w:b w:val="0"/>
                <w:i w:val="0"/>
                <w:sz w:val="17"/>
              </w:rPr>
              <w:t>Menetapkan kebijakan manajemen proyek Danantara dan standar minimum (Bab 16)</w:t>
            </w:r>
          </w:p>
        </w:tc>
        <w:tc>
          <w:tcPr>
            <w:tcW w:type="dxa" w:w="2353"/>
            <w:vAlign w:val="center"/>
          </w:tcPr>
          <w:p>
            <w:pPr>
              <w:spacing w:after="20" w:before="20" w:line="252" w:lineRule="auto"/>
            </w:pPr>
            <w:r/>
            <w:r>
              <w:rPr>
                <w:rFonts w:ascii="Arial" w:hAnsi="Arial"/>
                <w:b w:val="0"/>
                <w:i w:val="0"/>
                <w:sz w:val="17"/>
              </w:rPr>
              <w:t>Kepala Badan Pelaksana</w:t>
            </w:r>
          </w:p>
        </w:tc>
        <w:tc>
          <w:tcPr>
            <w:tcW w:type="dxa" w:w="1470"/>
            <w:vAlign w:val="center"/>
          </w:tcPr>
          <w:p>
            <w:pPr>
              <w:spacing w:after="20" w:before="20" w:line="252" w:lineRule="auto"/>
            </w:pPr>
            <w:r/>
            <w:r>
              <w:rPr>
                <w:rFonts w:ascii="Arial" w:hAnsi="Arial"/>
                <w:b w:val="0"/>
                <w:i w:val="0"/>
                <w:sz w:val="17"/>
              </w:rPr>
              <w:t>Hari 0–45</w:t>
            </w:r>
          </w:p>
        </w:tc>
      </w:tr>
      <w:tr>
        <w:trPr>
          <w:cantSplit/>
        </w:trPr>
        <w:tc>
          <w:tcPr>
            <w:tcW w:type="dxa" w:w="490"/>
            <w:shd w:val="clear" w:color="auto" w:fill="E6ECFD"/>
            <w:vAlign w:val="center"/>
          </w:tcPr>
          <w:p>
            <w:pPr>
              <w:spacing w:after="20" w:before="20" w:line="252" w:lineRule="auto"/>
            </w:pPr>
            <w:r/>
            <w:r>
              <w:rPr>
                <w:rFonts w:ascii="Arial" w:hAnsi="Arial"/>
                <w:b/>
                <w:i w:val="0"/>
                <w:sz w:val="17"/>
              </w:rPr>
              <w:t>2</w:t>
            </w:r>
          </w:p>
        </w:tc>
        <w:tc>
          <w:tcPr>
            <w:tcW w:type="dxa" w:w="5098"/>
            <w:shd w:val="clear" w:color="auto" w:fill="E6ECFD"/>
            <w:vAlign w:val="center"/>
          </w:tcPr>
          <w:p>
            <w:pPr>
              <w:spacing w:after="20" w:before="20" w:line="252" w:lineRule="auto"/>
            </w:pPr>
            <w:r/>
            <w:r>
              <w:rPr>
                <w:rFonts w:ascii="Arial" w:hAnsi="Arial"/>
                <w:b w:val="0"/>
                <w:i w:val="0"/>
                <w:sz w:val="17"/>
              </w:rPr>
              <w:t>Mengesahkan register 40 slot yang direkonsiliasi sebagai penyebut tunggal; memisahkan slot tanpa identitas dari portofolio keputusan</w:t>
            </w:r>
          </w:p>
        </w:tc>
        <w:tc>
          <w:tcPr>
            <w:tcW w:type="dxa" w:w="2353"/>
            <w:shd w:val="clear" w:color="auto" w:fill="E6ECFD"/>
            <w:vAlign w:val="center"/>
          </w:tcPr>
          <w:p>
            <w:pPr>
              <w:spacing w:after="20" w:before="20" w:line="252" w:lineRule="auto"/>
            </w:pPr>
            <w:r/>
            <w:r>
              <w:rPr>
                <w:rFonts w:ascii="Arial" w:hAnsi="Arial"/>
                <w:b w:val="0"/>
                <w:i w:val="0"/>
                <w:sz w:val="17"/>
              </w:rPr>
              <w:t>Kepala; CFO sementara; DIM, DAM, DDMF</w:t>
            </w:r>
          </w:p>
        </w:tc>
        <w:tc>
          <w:tcPr>
            <w:tcW w:type="dxa" w:w="1470"/>
            <w:shd w:val="clear" w:color="auto" w:fill="E6ECFD"/>
            <w:vAlign w:val="center"/>
          </w:tcPr>
          <w:p>
            <w:pPr>
              <w:spacing w:after="20" w:before="20" w:line="252" w:lineRule="auto"/>
            </w:pPr>
            <w:r/>
            <w:r>
              <w:rPr>
                <w:rFonts w:ascii="Arial" w:hAnsi="Arial"/>
                <w:b w:val="0"/>
                <w:i w:val="0"/>
                <w:sz w:val="17"/>
              </w:rPr>
              <w:t>Hari 45</w:t>
            </w:r>
          </w:p>
        </w:tc>
      </w:tr>
      <w:tr>
        <w:trPr>
          <w:cantSplit/>
        </w:trPr>
        <w:tc>
          <w:tcPr>
            <w:tcW w:type="dxa" w:w="490"/>
            <w:vAlign w:val="center"/>
          </w:tcPr>
          <w:p>
            <w:pPr>
              <w:spacing w:after="20" w:before="20" w:line="252" w:lineRule="auto"/>
            </w:pPr>
            <w:r/>
            <w:r>
              <w:rPr>
                <w:rFonts w:ascii="Arial" w:hAnsi="Arial"/>
                <w:b/>
                <w:i w:val="0"/>
                <w:sz w:val="17"/>
              </w:rPr>
              <w:t>3</w:t>
            </w:r>
          </w:p>
        </w:tc>
        <w:tc>
          <w:tcPr>
            <w:tcW w:type="dxa" w:w="5098"/>
            <w:vAlign w:val="center"/>
          </w:tcPr>
          <w:p>
            <w:pPr>
              <w:spacing w:after="20" w:before="20" w:line="252" w:lineRule="auto"/>
            </w:pPr>
            <w:r/>
            <w:r>
              <w:rPr>
                <w:rFonts w:ascii="Arial" w:hAnsi="Arial"/>
                <w:b w:val="0"/>
                <w:i w:val="0"/>
                <w:sz w:val="17"/>
              </w:rPr>
              <w:t>Menunjuk sponsor, direktur proyek, dan organ sah untuk setiap proyek sebelum gerbang pertama</w:t>
            </w:r>
          </w:p>
        </w:tc>
        <w:tc>
          <w:tcPr>
            <w:tcW w:type="dxa" w:w="2353"/>
            <w:vAlign w:val="center"/>
          </w:tcPr>
          <w:p>
            <w:pPr>
              <w:spacing w:after="20" w:before="20" w:line="252" w:lineRule="auto"/>
            </w:pPr>
            <w:r/>
            <w:r>
              <w:rPr>
                <w:rFonts w:ascii="Arial" w:hAnsi="Arial"/>
                <w:b w:val="0"/>
                <w:i w:val="0"/>
                <w:sz w:val="17"/>
              </w:rPr>
              <w:t>Kepala; sponsor korporasi</w:t>
            </w:r>
          </w:p>
        </w:tc>
        <w:tc>
          <w:tcPr>
            <w:tcW w:type="dxa" w:w="1470"/>
            <w:vAlign w:val="center"/>
          </w:tcPr>
          <w:p>
            <w:pPr>
              <w:spacing w:after="20" w:before="20" w:line="252" w:lineRule="auto"/>
            </w:pPr>
            <w:r/>
            <w:r>
              <w:rPr>
                <w:rFonts w:ascii="Arial" w:hAnsi="Arial"/>
                <w:b w:val="0"/>
                <w:i w:val="0"/>
                <w:sz w:val="17"/>
              </w:rPr>
              <w:t>Hari 45</w:t>
            </w:r>
          </w:p>
        </w:tc>
      </w:tr>
      <w:tr>
        <w:trPr>
          <w:cantSplit/>
        </w:trPr>
        <w:tc>
          <w:tcPr>
            <w:tcW w:type="dxa" w:w="490"/>
            <w:shd w:val="clear" w:color="auto" w:fill="E6ECFD"/>
            <w:vAlign w:val="center"/>
          </w:tcPr>
          <w:p>
            <w:pPr>
              <w:spacing w:after="20" w:before="20" w:line="252" w:lineRule="auto"/>
            </w:pPr>
            <w:r/>
            <w:r>
              <w:rPr>
                <w:rFonts w:ascii="Arial" w:hAnsi="Arial"/>
                <w:b/>
                <w:i w:val="0"/>
                <w:sz w:val="17"/>
              </w:rPr>
              <w:t>4</w:t>
            </w:r>
          </w:p>
        </w:tc>
        <w:tc>
          <w:tcPr>
            <w:tcW w:type="dxa" w:w="5098"/>
            <w:shd w:val="clear" w:color="auto" w:fill="E6ECFD"/>
            <w:vAlign w:val="center"/>
          </w:tcPr>
          <w:p>
            <w:pPr>
              <w:spacing w:after="20" w:before="20" w:line="252" w:lineRule="auto"/>
            </w:pPr>
            <w:r/>
            <w:r>
              <w:rPr>
                <w:rFonts w:ascii="Arial" w:hAnsi="Arial"/>
                <w:b w:val="0"/>
                <w:i w:val="0"/>
                <w:sz w:val="17"/>
              </w:rPr>
              <w:t>Membentuk unit Industri Strategis dengan piagam terbatas dan uji 90 hari berkriteria terukur</w:t>
            </w:r>
          </w:p>
        </w:tc>
        <w:tc>
          <w:tcPr>
            <w:tcW w:type="dxa" w:w="2353"/>
            <w:shd w:val="clear" w:color="auto" w:fill="E6ECFD"/>
            <w:vAlign w:val="center"/>
          </w:tcPr>
          <w:p>
            <w:pPr>
              <w:spacing w:after="20" w:before="20" w:line="252" w:lineRule="auto"/>
            </w:pPr>
            <w:r/>
            <w:r>
              <w:rPr>
                <w:rFonts w:ascii="Arial" w:hAnsi="Arial"/>
                <w:b w:val="0"/>
                <w:i w:val="0"/>
                <w:sz w:val="17"/>
              </w:rPr>
              <w:t>Kepala</w:t>
            </w:r>
          </w:p>
        </w:tc>
        <w:tc>
          <w:tcPr>
            <w:tcW w:type="dxa" w:w="1470"/>
            <w:shd w:val="clear" w:color="auto" w:fill="E6ECFD"/>
            <w:vAlign w:val="center"/>
          </w:tcPr>
          <w:p>
            <w:pPr>
              <w:spacing w:after="20" w:before="20" w:line="252" w:lineRule="auto"/>
            </w:pPr>
            <w:r/>
            <w:r>
              <w:rPr>
                <w:rFonts w:ascii="Arial" w:hAnsi="Arial"/>
                <w:b w:val="0"/>
                <w:i w:val="0"/>
                <w:sz w:val="17"/>
              </w:rPr>
              <w:t>Hari 0–90</w:t>
            </w:r>
          </w:p>
        </w:tc>
      </w:tr>
      <w:tr>
        <w:trPr>
          <w:cantSplit/>
        </w:trPr>
        <w:tc>
          <w:tcPr>
            <w:tcW w:type="dxa" w:w="490"/>
            <w:vAlign w:val="center"/>
          </w:tcPr>
          <w:p>
            <w:pPr>
              <w:spacing w:after="20" w:before="20" w:line="252" w:lineRule="auto"/>
            </w:pPr>
            <w:r/>
            <w:r>
              <w:rPr>
                <w:rFonts w:ascii="Arial" w:hAnsi="Arial"/>
                <w:b/>
                <w:i w:val="0"/>
                <w:sz w:val="17"/>
              </w:rPr>
              <w:t>5</w:t>
            </w:r>
          </w:p>
        </w:tc>
        <w:tc>
          <w:tcPr>
            <w:tcW w:type="dxa" w:w="5098"/>
            <w:vAlign w:val="center"/>
          </w:tcPr>
          <w:p>
            <w:pPr>
              <w:spacing w:after="20" w:before="20" w:line="252" w:lineRule="auto"/>
            </w:pPr>
            <w:r/>
            <w:r>
              <w:rPr>
                <w:rFonts w:ascii="Arial" w:hAnsi="Arial"/>
                <w:b w:val="0"/>
                <w:i w:val="0"/>
                <w:sz w:val="17"/>
              </w:rPr>
              <w:t>Membekukan baseline pada P4; mewajibkan estimasi kelas 3 dan kontingensi berbasis risiko pada P3</w:t>
            </w:r>
          </w:p>
        </w:tc>
        <w:tc>
          <w:tcPr>
            <w:tcW w:type="dxa" w:w="2353"/>
            <w:vAlign w:val="center"/>
          </w:tcPr>
          <w:p>
            <w:pPr>
              <w:spacing w:after="20" w:before="20" w:line="252" w:lineRule="auto"/>
            </w:pPr>
            <w:r/>
            <w:r>
              <w:rPr>
                <w:rFonts w:ascii="Arial" w:hAnsi="Arial"/>
                <w:b w:val="0"/>
                <w:i w:val="0"/>
                <w:sz w:val="17"/>
              </w:rPr>
              <w:t>Unit; CFO proyek; MD Rekayasa</w:t>
            </w:r>
          </w:p>
        </w:tc>
        <w:tc>
          <w:tcPr>
            <w:tcW w:type="dxa" w:w="1470"/>
            <w:vAlign w:val="center"/>
          </w:tcPr>
          <w:p>
            <w:pPr>
              <w:spacing w:after="20" w:before="20" w:line="252" w:lineRule="auto"/>
            </w:pPr>
            <w:r/>
            <w:r>
              <w:rPr>
                <w:rFonts w:ascii="Arial" w:hAnsi="Arial"/>
                <w:b w:val="0"/>
                <w:i w:val="0"/>
                <w:sz w:val="17"/>
              </w:rPr>
              <w:t>Mulai Hari 60</w:t>
            </w:r>
          </w:p>
        </w:tc>
      </w:tr>
      <w:tr>
        <w:trPr>
          <w:cantSplit/>
        </w:trPr>
        <w:tc>
          <w:tcPr>
            <w:tcW w:type="dxa" w:w="490"/>
            <w:shd w:val="clear" w:color="auto" w:fill="E6ECFD"/>
            <w:vAlign w:val="center"/>
          </w:tcPr>
          <w:p>
            <w:pPr>
              <w:spacing w:after="20" w:before="20" w:line="252" w:lineRule="auto"/>
            </w:pPr>
            <w:r/>
            <w:r>
              <w:rPr>
                <w:rFonts w:ascii="Arial" w:hAnsi="Arial"/>
                <w:b/>
                <w:i w:val="0"/>
                <w:sz w:val="17"/>
              </w:rPr>
              <w:t>6</w:t>
            </w:r>
          </w:p>
        </w:tc>
        <w:tc>
          <w:tcPr>
            <w:tcW w:type="dxa" w:w="5098"/>
            <w:shd w:val="clear" w:color="auto" w:fill="E6ECFD"/>
            <w:vAlign w:val="center"/>
          </w:tcPr>
          <w:p>
            <w:pPr>
              <w:spacing w:after="20" w:before="20" w:line="252" w:lineRule="auto"/>
            </w:pPr>
            <w:r/>
            <w:r>
              <w:rPr>
                <w:rFonts w:ascii="Arial" w:hAnsi="Arial"/>
                <w:b w:val="0"/>
                <w:i w:val="0"/>
                <w:sz w:val="17"/>
              </w:rPr>
              <w:t>Mewajibkan rantai biaya EPC (WBS × PBS, tiga pemeriksaan PR, pencocokan tiga arah, EVM) pada proyek di bawah kendali Danantara</w:t>
            </w:r>
          </w:p>
        </w:tc>
        <w:tc>
          <w:tcPr>
            <w:tcW w:type="dxa" w:w="2353"/>
            <w:shd w:val="clear" w:color="auto" w:fill="E6ECFD"/>
            <w:vAlign w:val="center"/>
          </w:tcPr>
          <w:p>
            <w:pPr>
              <w:spacing w:after="20" w:before="20" w:line="252" w:lineRule="auto"/>
            </w:pPr>
            <w:r/>
            <w:r>
              <w:rPr>
                <w:rFonts w:ascii="Arial" w:hAnsi="Arial"/>
                <w:b w:val="0"/>
                <w:i w:val="0"/>
                <w:sz w:val="17"/>
              </w:rPr>
              <w:t>COO/DAM; direktur proyek</w:t>
            </w:r>
          </w:p>
        </w:tc>
        <w:tc>
          <w:tcPr>
            <w:tcW w:type="dxa" w:w="1470"/>
            <w:shd w:val="clear" w:color="auto" w:fill="E6ECFD"/>
            <w:vAlign w:val="center"/>
          </w:tcPr>
          <w:p>
            <w:pPr>
              <w:spacing w:after="20" w:before="20" w:line="252" w:lineRule="auto"/>
            </w:pPr>
            <w:r/>
            <w:r>
              <w:rPr>
                <w:rFonts w:ascii="Arial" w:hAnsi="Arial"/>
                <w:b w:val="0"/>
                <w:i w:val="0"/>
                <w:sz w:val="17"/>
              </w:rPr>
              <w:t>Bulan 4–12</w:t>
            </w:r>
          </w:p>
        </w:tc>
      </w:tr>
      <w:tr>
        <w:trPr>
          <w:cantSplit/>
        </w:trPr>
        <w:tc>
          <w:tcPr>
            <w:tcW w:type="dxa" w:w="490"/>
            <w:vAlign w:val="center"/>
          </w:tcPr>
          <w:p>
            <w:pPr>
              <w:spacing w:after="20" w:before="20" w:line="252" w:lineRule="auto"/>
            </w:pPr>
            <w:r/>
            <w:r>
              <w:rPr>
                <w:rFonts w:ascii="Arial" w:hAnsi="Arial"/>
                <w:b/>
                <w:i w:val="0"/>
                <w:sz w:val="17"/>
              </w:rPr>
              <w:t>7</w:t>
            </w:r>
          </w:p>
        </w:tc>
        <w:tc>
          <w:tcPr>
            <w:tcW w:type="dxa" w:w="5098"/>
            <w:vAlign w:val="center"/>
          </w:tcPr>
          <w:p>
            <w:pPr>
              <w:spacing w:after="20" w:before="20" w:line="252" w:lineRule="auto"/>
            </w:pPr>
            <w:r/>
            <w:r>
              <w:rPr>
                <w:rFonts w:ascii="Arial" w:hAnsi="Arial"/>
                <w:b w:val="0"/>
                <w:i w:val="0"/>
                <w:sz w:val="17"/>
              </w:rPr>
              <w:t>Menerapkan gerbang pemasok DOCK-UP pada pengadaan proyek jangkar dengan uji coba satu integrator dan 20–30 UKM</w:t>
            </w:r>
          </w:p>
        </w:tc>
        <w:tc>
          <w:tcPr>
            <w:tcW w:type="dxa" w:w="2353"/>
            <w:vAlign w:val="center"/>
          </w:tcPr>
          <w:p>
            <w:pPr>
              <w:spacing w:after="20" w:before="20" w:line="252" w:lineRule="auto"/>
            </w:pPr>
            <w:r/>
            <w:r>
              <w:rPr>
                <w:rFonts w:ascii="Arial" w:hAnsi="Arial"/>
                <w:b w:val="0"/>
                <w:i w:val="0"/>
                <w:sz w:val="17"/>
              </w:rPr>
              <w:t>KKIP; integrator; unit</w:t>
            </w:r>
          </w:p>
        </w:tc>
        <w:tc>
          <w:tcPr>
            <w:tcW w:type="dxa" w:w="1470"/>
            <w:vAlign w:val="center"/>
          </w:tcPr>
          <w:p>
            <w:pPr>
              <w:spacing w:after="20" w:before="20" w:line="252" w:lineRule="auto"/>
            </w:pPr>
            <w:r/>
            <w:r>
              <w:rPr>
                <w:rFonts w:ascii="Arial" w:hAnsi="Arial"/>
                <w:b w:val="0"/>
                <w:i w:val="0"/>
                <w:sz w:val="17"/>
              </w:rPr>
              <w:t>Hari 60; uji coba bulan 4</w:t>
            </w:r>
          </w:p>
        </w:tc>
      </w:tr>
      <w:tr>
        <w:trPr>
          <w:cantSplit/>
        </w:trPr>
        <w:tc>
          <w:tcPr>
            <w:tcW w:type="dxa" w:w="490"/>
            <w:shd w:val="clear" w:color="auto" w:fill="E6ECFD"/>
            <w:vAlign w:val="center"/>
          </w:tcPr>
          <w:p>
            <w:pPr>
              <w:spacing w:after="20" w:before="20" w:line="252" w:lineRule="auto"/>
            </w:pPr>
            <w:r/>
            <w:r>
              <w:rPr>
                <w:rFonts w:ascii="Arial" w:hAnsi="Arial"/>
                <w:b/>
                <w:i w:val="0"/>
                <w:sz w:val="17"/>
              </w:rPr>
              <w:t>8</w:t>
            </w:r>
          </w:p>
        </w:tc>
        <w:tc>
          <w:tcPr>
            <w:tcW w:type="dxa" w:w="5098"/>
            <w:shd w:val="clear" w:color="auto" w:fill="E6ECFD"/>
            <w:vAlign w:val="center"/>
          </w:tcPr>
          <w:p>
            <w:pPr>
              <w:spacing w:after="20" w:before="20" w:line="252" w:lineRule="auto"/>
            </w:pPr>
            <w:r/>
            <w:r>
              <w:rPr>
                <w:rFonts w:ascii="Arial" w:hAnsi="Arial"/>
                <w:b w:val="0"/>
                <w:i w:val="0"/>
                <w:sz w:val="17"/>
              </w:rPr>
              <w:t>Menjalankan diagnostik BUMN Karya dan disiplin penawaran; memisahkan aset warisan setelah diagnostik</w:t>
            </w:r>
          </w:p>
        </w:tc>
        <w:tc>
          <w:tcPr>
            <w:tcW w:type="dxa" w:w="2353"/>
            <w:shd w:val="clear" w:color="auto" w:fill="E6ECFD"/>
            <w:vAlign w:val="center"/>
          </w:tcPr>
          <w:p>
            <w:pPr>
              <w:spacing w:after="20" w:before="20" w:line="252" w:lineRule="auto"/>
            </w:pPr>
            <w:r/>
            <w:r>
              <w:rPr>
                <w:rFonts w:ascii="Arial" w:hAnsi="Arial"/>
                <w:b w:val="0"/>
                <w:i w:val="0"/>
                <w:sz w:val="17"/>
              </w:rPr>
              <w:t>COO/DAM</w:t>
            </w:r>
          </w:p>
        </w:tc>
        <w:tc>
          <w:tcPr>
            <w:tcW w:type="dxa" w:w="1470"/>
            <w:shd w:val="clear" w:color="auto" w:fill="E6ECFD"/>
            <w:vAlign w:val="center"/>
          </w:tcPr>
          <w:p>
            <w:pPr>
              <w:spacing w:after="20" w:before="20" w:line="252" w:lineRule="auto"/>
            </w:pPr>
            <w:r/>
            <w:r>
              <w:rPr>
                <w:rFonts w:ascii="Arial" w:hAnsi="Arial"/>
                <w:b w:val="0"/>
                <w:i w:val="0"/>
                <w:sz w:val="17"/>
              </w:rPr>
              <w:t>Hari 30–90</w:t>
            </w:r>
          </w:p>
        </w:tc>
      </w:tr>
      <w:tr>
        <w:trPr>
          <w:cantSplit/>
        </w:trPr>
        <w:tc>
          <w:tcPr>
            <w:tcW w:type="dxa" w:w="490"/>
            <w:vAlign w:val="center"/>
          </w:tcPr>
          <w:p>
            <w:pPr>
              <w:spacing w:after="20" w:before="20" w:line="252" w:lineRule="auto"/>
            </w:pPr>
            <w:r/>
            <w:r>
              <w:rPr>
                <w:rFonts w:ascii="Arial" w:hAnsi="Arial"/>
                <w:b/>
                <w:i w:val="0"/>
                <w:sz w:val="17"/>
              </w:rPr>
              <w:t>9</w:t>
            </w:r>
          </w:p>
        </w:tc>
        <w:tc>
          <w:tcPr>
            <w:tcW w:type="dxa" w:w="5098"/>
            <w:vAlign w:val="center"/>
          </w:tcPr>
          <w:p>
            <w:pPr>
              <w:spacing w:after="20" w:before="20" w:line="252" w:lineRule="auto"/>
            </w:pPr>
            <w:r/>
            <w:r>
              <w:rPr>
                <w:rFonts w:ascii="Arial" w:hAnsi="Arial"/>
                <w:b w:val="0"/>
                <w:i w:val="0"/>
                <w:sz w:val="17"/>
              </w:rPr>
              <w:t>Meluncurkan MVP menara kendali AI dengan enam agen dan integrasi ERP baca-saja; mengukur manfaat bersih</w:t>
            </w:r>
          </w:p>
        </w:tc>
        <w:tc>
          <w:tcPr>
            <w:tcW w:type="dxa" w:w="2353"/>
            <w:vAlign w:val="center"/>
          </w:tcPr>
          <w:p>
            <w:pPr>
              <w:spacing w:after="20" w:before="20" w:line="252" w:lineRule="auto"/>
            </w:pPr>
            <w:r/>
            <w:r>
              <w:rPr>
                <w:rFonts w:ascii="Arial" w:hAnsi="Arial"/>
                <w:b w:val="0"/>
                <w:i w:val="0"/>
                <w:sz w:val="17"/>
              </w:rPr>
              <w:t>CTO; COO/DAM; BUMN sponsor</w:t>
            </w:r>
          </w:p>
        </w:tc>
        <w:tc>
          <w:tcPr>
            <w:tcW w:type="dxa" w:w="1470"/>
            <w:vAlign w:val="center"/>
          </w:tcPr>
          <w:p>
            <w:pPr>
              <w:spacing w:after="20" w:before="20" w:line="252" w:lineRule="auto"/>
            </w:pPr>
            <w:r/>
            <w:r>
              <w:rPr>
                <w:rFonts w:ascii="Arial" w:hAnsi="Arial"/>
                <w:b w:val="0"/>
                <w:i w:val="0"/>
                <w:sz w:val="17"/>
              </w:rPr>
              <w:t>Mulai Hari 30</w:t>
            </w:r>
          </w:p>
        </w:tc>
      </w:tr>
      <w:tr>
        <w:trPr>
          <w:cantSplit/>
        </w:trPr>
        <w:tc>
          <w:tcPr>
            <w:tcW w:type="dxa" w:w="490"/>
            <w:shd w:val="clear" w:color="auto" w:fill="E6ECFD"/>
            <w:vAlign w:val="center"/>
          </w:tcPr>
          <w:p>
            <w:pPr>
              <w:spacing w:after="20" w:before="20" w:line="252" w:lineRule="auto"/>
            </w:pPr>
            <w:r/>
            <w:r>
              <w:rPr>
                <w:rFonts w:ascii="Arial" w:hAnsi="Arial"/>
                <w:b/>
                <w:i w:val="0"/>
                <w:sz w:val="17"/>
              </w:rPr>
              <w:t>10</w:t>
            </w:r>
          </w:p>
        </w:tc>
        <w:tc>
          <w:tcPr>
            <w:tcW w:type="dxa" w:w="5098"/>
            <w:shd w:val="clear" w:color="auto" w:fill="E6ECFD"/>
            <w:vAlign w:val="center"/>
          </w:tcPr>
          <w:p>
            <w:pPr>
              <w:spacing w:after="20" w:before="20" w:line="252" w:lineRule="auto"/>
            </w:pPr>
            <w:r/>
            <w:r>
              <w:rPr>
                <w:rFonts w:ascii="Arial" w:hAnsi="Arial"/>
                <w:b w:val="0"/>
                <w:i w:val="0"/>
                <w:sz w:val="17"/>
              </w:rPr>
              <w:t>Menetapkan tiga scorecard, kelas bukti, aturan NR, dan pelaporan lima tahap modal</w:t>
            </w:r>
          </w:p>
        </w:tc>
        <w:tc>
          <w:tcPr>
            <w:tcW w:type="dxa" w:w="2353"/>
            <w:shd w:val="clear" w:color="auto" w:fill="E6ECFD"/>
            <w:vAlign w:val="center"/>
          </w:tcPr>
          <w:p>
            <w:pPr>
              <w:spacing w:after="20" w:before="20" w:line="252" w:lineRule="auto"/>
            </w:pPr>
            <w:r/>
            <w:r>
              <w:rPr>
                <w:rFonts w:ascii="Arial" w:hAnsi="Arial"/>
                <w:b w:val="0"/>
                <w:i w:val="0"/>
                <w:sz w:val="17"/>
              </w:rPr>
              <w:t>Dewan atas usulan Kepala</w:t>
            </w:r>
          </w:p>
        </w:tc>
        <w:tc>
          <w:tcPr>
            <w:tcW w:type="dxa" w:w="1470"/>
            <w:shd w:val="clear" w:color="auto" w:fill="E6ECFD"/>
            <w:vAlign w:val="center"/>
          </w:tcPr>
          <w:p>
            <w:pPr>
              <w:spacing w:after="20" w:before="20" w:line="252" w:lineRule="auto"/>
            </w:pPr>
            <w:r/>
            <w:r>
              <w:rPr>
                <w:rFonts w:ascii="Arial" w:hAnsi="Arial"/>
                <w:b w:val="0"/>
                <w:i w:val="0"/>
                <w:sz w:val="17"/>
              </w:rPr>
              <w:t>Hari 90</w:t>
            </w:r>
          </w:p>
        </w:tc>
      </w:tr>
      <w:tr>
        <w:trPr>
          <w:cantSplit/>
        </w:trPr>
        <w:tc>
          <w:tcPr>
            <w:tcW w:type="dxa" w:w="490"/>
            <w:vAlign w:val="center"/>
          </w:tcPr>
          <w:p>
            <w:pPr>
              <w:spacing w:after="20" w:before="20" w:line="252" w:lineRule="auto"/>
            </w:pPr>
            <w:r/>
            <w:r>
              <w:rPr>
                <w:rFonts w:ascii="Arial" w:hAnsi="Arial"/>
                <w:b/>
                <w:i w:val="0"/>
                <w:sz w:val="17"/>
              </w:rPr>
              <w:t>11</w:t>
            </w:r>
          </w:p>
        </w:tc>
        <w:tc>
          <w:tcPr>
            <w:tcW w:type="dxa" w:w="5098"/>
            <w:vAlign w:val="center"/>
          </w:tcPr>
          <w:p>
            <w:pPr>
              <w:spacing w:after="20" w:before="20" w:line="252" w:lineRule="auto"/>
            </w:pPr>
            <w:r/>
            <w:r>
              <w:rPr>
                <w:rFonts w:ascii="Arial" w:hAnsi="Arial"/>
                <w:b w:val="0"/>
                <w:i w:val="0"/>
                <w:sz w:val="17"/>
              </w:rPr>
              <w:t>Mewajibkan kasus bisnis memuat dampak PDB, pekerjaan, impor, inflasi daerah, dan ICOR dengan kelas bukti</w:t>
            </w:r>
          </w:p>
        </w:tc>
        <w:tc>
          <w:tcPr>
            <w:tcW w:type="dxa" w:w="2353"/>
            <w:vAlign w:val="center"/>
          </w:tcPr>
          <w:p>
            <w:pPr>
              <w:spacing w:after="20" w:before="20" w:line="252" w:lineRule="auto"/>
            </w:pPr>
            <w:r/>
            <w:r>
              <w:rPr>
                <w:rFonts w:ascii="Arial" w:hAnsi="Arial"/>
                <w:b w:val="0"/>
                <w:i w:val="0"/>
                <w:sz w:val="17"/>
              </w:rPr>
              <w:t>Komite investasi; DDMF</w:t>
            </w:r>
          </w:p>
        </w:tc>
        <w:tc>
          <w:tcPr>
            <w:tcW w:type="dxa" w:w="1470"/>
            <w:vAlign w:val="center"/>
          </w:tcPr>
          <w:p>
            <w:pPr>
              <w:spacing w:after="20" w:before="20" w:line="252" w:lineRule="auto"/>
            </w:pPr>
            <w:r/>
            <w:r>
              <w:rPr>
                <w:rFonts w:ascii="Arial" w:hAnsi="Arial"/>
                <w:b w:val="0"/>
                <w:i w:val="0"/>
                <w:sz w:val="17"/>
              </w:rPr>
              <w:t>Hari 90</w:t>
            </w:r>
          </w:p>
        </w:tc>
      </w:tr>
      <w:tr>
        <w:trPr>
          <w:cantSplit/>
        </w:trPr>
        <w:tc>
          <w:tcPr>
            <w:tcW w:type="dxa" w:w="490"/>
            <w:shd w:val="clear" w:color="auto" w:fill="E6ECFD"/>
            <w:vAlign w:val="center"/>
          </w:tcPr>
          <w:p>
            <w:pPr>
              <w:spacing w:after="20" w:before="20" w:line="252" w:lineRule="auto"/>
            </w:pPr>
            <w:r/>
            <w:r>
              <w:rPr>
                <w:rFonts w:ascii="Arial" w:hAnsi="Arial"/>
                <w:b/>
                <w:i w:val="0"/>
                <w:sz w:val="17"/>
              </w:rPr>
              <w:t>12</w:t>
            </w:r>
          </w:p>
        </w:tc>
        <w:tc>
          <w:tcPr>
            <w:tcW w:type="dxa" w:w="5098"/>
            <w:shd w:val="clear" w:color="auto" w:fill="E6ECFD"/>
            <w:vAlign w:val="center"/>
          </w:tcPr>
          <w:p>
            <w:pPr>
              <w:spacing w:after="20" w:before="20" w:line="252" w:lineRule="auto"/>
            </w:pPr>
            <w:r/>
            <w:r>
              <w:rPr>
                <w:rFonts w:ascii="Arial" w:hAnsi="Arial"/>
                <w:b w:val="0"/>
                <w:i w:val="0"/>
                <w:sz w:val="17"/>
              </w:rPr>
              <w:t>Membangun kapabilitas: sertifikasi kompetensi, pelatihan, insentif selaras, dan evaluasi pascaproyek (P6)</w:t>
            </w:r>
          </w:p>
        </w:tc>
        <w:tc>
          <w:tcPr>
            <w:tcW w:type="dxa" w:w="2353"/>
            <w:shd w:val="clear" w:color="auto" w:fill="E6ECFD"/>
            <w:vAlign w:val="center"/>
          </w:tcPr>
          <w:p>
            <w:pPr>
              <w:spacing w:after="20" w:before="20" w:line="252" w:lineRule="auto"/>
            </w:pPr>
            <w:r/>
            <w:r>
              <w:rPr>
                <w:rFonts w:ascii="Arial" w:hAnsi="Arial"/>
                <w:b w:val="0"/>
                <w:i w:val="0"/>
                <w:sz w:val="17"/>
              </w:rPr>
              <w:t>Unit; SDM; sponsor</w:t>
            </w:r>
          </w:p>
        </w:tc>
        <w:tc>
          <w:tcPr>
            <w:tcW w:type="dxa" w:w="1470"/>
            <w:shd w:val="clear" w:color="auto" w:fill="E6ECFD"/>
            <w:vAlign w:val="center"/>
          </w:tcPr>
          <w:p>
            <w:pPr>
              <w:spacing w:after="20" w:before="20" w:line="252" w:lineRule="auto"/>
            </w:pPr>
            <w:r/>
            <w:r>
              <w:rPr>
                <w:rFonts w:ascii="Arial" w:hAnsi="Arial"/>
                <w:b w:val="0"/>
                <w:i w:val="0"/>
                <w:sz w:val="17"/>
              </w:rPr>
              <w:t>Bulan 6–24</w:t>
            </w:r>
          </w:p>
        </w:tc>
      </w:tr>
    </w:tbl>
    <w:p>
      <w:pPr>
        <w:spacing w:after="40"/>
      </w:pPr>
    </w:p>
    <w:p>
      <w:pPr>
        <w:pStyle w:val="Heading2"/>
      </w:pPr>
      <w:r>
        <w:t>17.4  Keterbatasan dan pekerjaan lanjutan</w:t>
      </w:r>
    </w:p>
    <w:p>
      <w:pPr>
        <w:pStyle w:val="ListBullet"/>
        <w:spacing w:after="40"/>
      </w:pPr>
      <w:r>
        <w:rPr>
          <w:rFonts w:ascii="Arial" w:hAnsi="Arial"/>
          <w:b w:val="0"/>
          <w:i w:val="0"/>
        </w:rPr>
        <w:t>Makalah ini tidak menguji praktik internal Danantara; ia membaca dokumen kerja berstatus draf.</w:t>
      </w:r>
    </w:p>
    <w:p>
      <w:pPr>
        <w:pStyle w:val="ListBullet"/>
        <w:spacing w:after="40"/>
      </w:pPr>
      <w:r>
        <w:rPr>
          <w:rFonts w:ascii="Arial" w:hAnsi="Arial"/>
          <w:b w:val="0"/>
          <w:i w:val="0"/>
        </w:rPr>
        <w:t>Dokumen sumber tidak memuat anggaran Rp untuk NITO, uji coba DOCK-UP, atau platform AI; kasus bisnis perlu disusun.</w:t>
      </w:r>
    </w:p>
    <w:p>
      <w:pPr>
        <w:pStyle w:val="ListBullet"/>
        <w:spacing w:after="40"/>
      </w:pPr>
      <w:r>
        <w:rPr>
          <w:rFonts w:ascii="Arial" w:hAnsi="Arial"/>
          <w:b w:val="0"/>
          <w:i w:val="0"/>
        </w:rPr>
        <w:t>Metode jalur kritis, prosedur EVM, dan prosedur perubahan tidak ada pada dokumen sumber; bagian itu diisi dari teori dan alur kerja EPC.</w:t>
      </w:r>
    </w:p>
    <w:p>
      <w:pPr>
        <w:pStyle w:val="ListBullet"/>
        <w:spacing w:after="40"/>
      </w:pPr>
      <w:r>
        <w:rPr>
          <w:rFonts w:ascii="Arial" w:hAnsi="Arial"/>
          <w:b w:val="0"/>
          <w:i w:val="0"/>
        </w:rPr>
        <w:t>Hipotesis rekonsiliasi dua register (Rp1.486,5 triliun) memerlukan konfirmasi pemilik data.</w:t>
      </w:r>
    </w:p>
    <w:p>
      <w:pPr>
        <w:pStyle w:val="ListBullet"/>
        <w:spacing w:after="120"/>
      </w:pPr>
      <w:r>
        <w:rPr>
          <w:rFonts w:ascii="Arial" w:hAnsi="Arial"/>
          <w:b w:val="0"/>
          <w:i w:val="0"/>
        </w:rPr>
        <w:t>Ambang klasifikasi risiko, model kematangan, dan pemeringkatan pengaruh pemangku kepentingan adalah usulan untuk didiskusikan.</w:t>
      </w:r>
    </w:p>
    <w:p>
      <w:pPr>
        <w:pStyle w:val="Heading2"/>
      </w:pPr>
      <w:r>
        <w:t>17.5  Penutup</w:t>
      </w:r>
    </w:p>
    <w:p>
      <w:pPr>
        <w:jc w:val="both"/>
      </w:pPr>
      <w:r>
        <w:rPr>
          <w:rFonts w:ascii="Arial" w:hAnsi="Arial"/>
          <w:b w:val="0"/>
          <w:i w:val="0"/>
        </w:rPr>
        <w:t>Makalah ini berargumen bahwa agenda industri Danantara bergantung pada kemampuan menjawab empat pertanyaan untuk setiap proyek: siapa yang bertanggung jawab, berdasarkan bukti apa, kapan dana dicairkan, dan bagaimana hasil diukur. DPMS diusulkan sebagai cara menjawabnya melalui uji 90 hari dengan kriteria yang disepakati sebelumnya.</w:t>
      </w:r>
    </w:p>
    <w:p>
      <w:pPr>
        <w:pStyle w:val="Heading1"/>
      </w:pPr>
      <w:bookmarkStart w:id="19" w:name="_Toc019"/>
      <w:r>
        <w:t>Lampiran A  Glosarium</w:t>
      </w:r>
      <w:bookmarkEnd w:id="19"/>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Glosarium istilah</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Glosarium istilah"/>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i w:val="0"/>
                <w:color w:val="FFFFFF"/>
                <w:sz w:val="17"/>
              </w:rPr>
              <w:t>Istilah</w:t>
            </w:r>
          </w:p>
        </w:tc>
        <w:tc>
          <w:tcPr>
            <w:tcW w:type="dxa" w:w="7254"/>
            <w:shd w:val="clear" w:color="auto" w:fill="2251FF"/>
            <w:vAlign w:val="center"/>
          </w:tcPr>
          <w:p>
            <w:pPr>
              <w:spacing w:after="20" w:before="20" w:line="252" w:lineRule="auto"/>
            </w:pPr>
            <w:r/>
            <w:r>
              <w:rPr>
                <w:rFonts w:ascii="Arial" w:hAnsi="Arial"/>
                <w:b/>
                <w:i w:val="0"/>
                <w:color w:val="FFFFFF"/>
                <w:sz w:val="17"/>
              </w:rPr>
              <w:t>Arti</w:t>
            </w:r>
          </w:p>
        </w:tc>
      </w:tr>
      <w:tr>
        <w:trPr>
          <w:cantSplit/>
        </w:trPr>
        <w:tc>
          <w:tcPr>
            <w:tcW w:type="dxa" w:w="2157"/>
            <w:vAlign w:val="center"/>
          </w:tcPr>
          <w:p>
            <w:pPr>
              <w:spacing w:after="20" w:before="20" w:line="252" w:lineRule="auto"/>
            </w:pPr>
            <w:r/>
            <w:r>
              <w:rPr>
                <w:rFonts w:ascii="Arial" w:hAnsi="Arial"/>
                <w:b/>
                <w:i w:val="0"/>
                <w:sz w:val="17"/>
              </w:rPr>
              <w:t>AACE</w:t>
            </w:r>
          </w:p>
        </w:tc>
        <w:tc>
          <w:tcPr>
            <w:tcW w:type="dxa" w:w="7254"/>
            <w:vAlign w:val="center"/>
          </w:tcPr>
          <w:p>
            <w:pPr>
              <w:spacing w:after="20" w:before="20" w:line="252" w:lineRule="auto"/>
            </w:pPr>
            <w:r/>
            <w:r>
              <w:rPr>
                <w:rFonts w:ascii="Arial" w:hAnsi="Arial"/>
                <w:b w:val="0"/>
                <w:i w:val="0"/>
                <w:sz w:val="17"/>
              </w:rPr>
              <w:t>Association for the Advancement of Cost Engineering International; sumber klasifikasi estimasi biaya.</w:t>
            </w:r>
          </w:p>
        </w:tc>
      </w:tr>
      <w:tr>
        <w:trPr>
          <w:cantSplit/>
        </w:trPr>
        <w:tc>
          <w:tcPr>
            <w:tcW w:type="dxa" w:w="2157"/>
            <w:shd w:val="clear" w:color="auto" w:fill="E6ECFD"/>
            <w:vAlign w:val="center"/>
          </w:tcPr>
          <w:p>
            <w:pPr>
              <w:spacing w:after="20" w:before="20" w:line="252" w:lineRule="auto"/>
            </w:pPr>
            <w:r/>
            <w:r>
              <w:rPr>
                <w:rFonts w:ascii="Arial" w:hAnsi="Arial"/>
                <w:b/>
                <w:i w:val="0"/>
                <w:sz w:val="17"/>
              </w:rPr>
              <w:t>AC (ACWP)</w:t>
            </w:r>
          </w:p>
        </w:tc>
        <w:tc>
          <w:tcPr>
            <w:tcW w:type="dxa" w:w="7254"/>
            <w:shd w:val="clear" w:color="auto" w:fill="E6ECFD"/>
            <w:vAlign w:val="center"/>
          </w:tcPr>
          <w:p>
            <w:pPr>
              <w:spacing w:after="20" w:before="20" w:line="252" w:lineRule="auto"/>
            </w:pPr>
            <w:r/>
            <w:r>
              <w:rPr>
                <w:rFonts w:ascii="Arial" w:hAnsi="Arial"/>
                <w:b w:val="0"/>
                <w:i w:val="0"/>
                <w:sz w:val="17"/>
              </w:rPr>
              <w:t>Actual cost: biaya aktual pekerjaan yang telah dilaksanakan.</w:t>
            </w:r>
          </w:p>
        </w:tc>
      </w:tr>
      <w:tr>
        <w:trPr>
          <w:cantSplit/>
        </w:trPr>
        <w:tc>
          <w:tcPr>
            <w:tcW w:type="dxa" w:w="2157"/>
            <w:vAlign w:val="center"/>
          </w:tcPr>
          <w:p>
            <w:pPr>
              <w:spacing w:after="20" w:before="20" w:line="252" w:lineRule="auto"/>
            </w:pPr>
            <w:r/>
            <w:r>
              <w:rPr>
                <w:rFonts w:ascii="Arial" w:hAnsi="Arial"/>
                <w:b/>
                <w:i w:val="0"/>
                <w:sz w:val="17"/>
              </w:rPr>
              <w:t>AP / AR</w:t>
            </w:r>
          </w:p>
        </w:tc>
        <w:tc>
          <w:tcPr>
            <w:tcW w:type="dxa" w:w="7254"/>
            <w:vAlign w:val="center"/>
          </w:tcPr>
          <w:p>
            <w:pPr>
              <w:spacing w:after="20" w:before="20" w:line="252" w:lineRule="auto"/>
            </w:pPr>
            <w:r/>
            <w:r>
              <w:rPr>
                <w:rFonts w:ascii="Arial" w:hAnsi="Arial"/>
                <w:b w:val="0"/>
                <w:i w:val="0"/>
                <w:sz w:val="17"/>
              </w:rPr>
              <w:t>Accounts payable (utang usaha) / accounts receivable (piutang usaha).</w:t>
            </w:r>
          </w:p>
        </w:tc>
      </w:tr>
      <w:tr>
        <w:trPr>
          <w:cantSplit/>
        </w:trPr>
        <w:tc>
          <w:tcPr>
            <w:tcW w:type="dxa" w:w="2157"/>
            <w:shd w:val="clear" w:color="auto" w:fill="E6ECFD"/>
            <w:vAlign w:val="center"/>
          </w:tcPr>
          <w:p>
            <w:pPr>
              <w:spacing w:after="20" w:before="20" w:line="252" w:lineRule="auto"/>
            </w:pPr>
            <w:r/>
            <w:r>
              <w:rPr>
                <w:rFonts w:ascii="Arial" w:hAnsi="Arial"/>
                <w:b/>
                <w:i w:val="0"/>
                <w:sz w:val="17"/>
              </w:rPr>
              <w:t>BAC</w:t>
            </w:r>
          </w:p>
        </w:tc>
        <w:tc>
          <w:tcPr>
            <w:tcW w:type="dxa" w:w="7254"/>
            <w:shd w:val="clear" w:color="auto" w:fill="E6ECFD"/>
            <w:vAlign w:val="center"/>
          </w:tcPr>
          <w:p>
            <w:pPr>
              <w:spacing w:after="20" w:before="20" w:line="252" w:lineRule="auto"/>
            </w:pPr>
            <w:r/>
            <w:r>
              <w:rPr>
                <w:rFonts w:ascii="Arial" w:hAnsi="Arial"/>
                <w:b w:val="0"/>
                <w:i w:val="0"/>
                <w:sz w:val="17"/>
              </w:rPr>
              <w:t>Budget at completion: total anggaran proyek.</w:t>
            </w:r>
          </w:p>
        </w:tc>
      </w:tr>
      <w:tr>
        <w:trPr>
          <w:cantSplit/>
        </w:trPr>
        <w:tc>
          <w:tcPr>
            <w:tcW w:type="dxa" w:w="2157"/>
            <w:vAlign w:val="center"/>
          </w:tcPr>
          <w:p>
            <w:pPr>
              <w:spacing w:after="20" w:before="20" w:line="252" w:lineRule="auto"/>
            </w:pPr>
            <w:r/>
            <w:r>
              <w:rPr>
                <w:rFonts w:ascii="Arial" w:hAnsi="Arial"/>
                <w:b/>
                <w:i w:val="0"/>
                <w:sz w:val="17"/>
              </w:rPr>
              <w:t>BIM / CDE</w:t>
            </w:r>
          </w:p>
        </w:tc>
        <w:tc>
          <w:tcPr>
            <w:tcW w:type="dxa" w:w="7254"/>
            <w:vAlign w:val="center"/>
          </w:tcPr>
          <w:p>
            <w:pPr>
              <w:spacing w:after="20" w:before="20" w:line="252" w:lineRule="auto"/>
            </w:pPr>
            <w:r/>
            <w:r>
              <w:rPr>
                <w:rFonts w:ascii="Arial" w:hAnsi="Arial"/>
                <w:b w:val="0"/>
                <w:i w:val="0"/>
                <w:sz w:val="17"/>
              </w:rPr>
              <w:t>Building information modelling / common data environment.</w:t>
            </w:r>
          </w:p>
        </w:tc>
      </w:tr>
      <w:tr>
        <w:trPr>
          <w:cantSplit/>
        </w:trPr>
        <w:tc>
          <w:tcPr>
            <w:tcW w:type="dxa" w:w="2157"/>
            <w:shd w:val="clear" w:color="auto" w:fill="E6ECFD"/>
            <w:vAlign w:val="center"/>
          </w:tcPr>
          <w:p>
            <w:pPr>
              <w:spacing w:after="20" w:before="20" w:line="252" w:lineRule="auto"/>
            </w:pPr>
            <w:r/>
            <w:r>
              <w:rPr>
                <w:rFonts w:ascii="Arial" w:hAnsi="Arial"/>
                <w:b/>
                <w:i w:val="0"/>
                <w:sz w:val="17"/>
              </w:rPr>
              <w:t>BKI</w:t>
            </w:r>
          </w:p>
        </w:tc>
        <w:tc>
          <w:tcPr>
            <w:tcW w:type="dxa" w:w="7254"/>
            <w:shd w:val="clear" w:color="auto" w:fill="E6ECFD"/>
            <w:vAlign w:val="center"/>
          </w:tcPr>
          <w:p>
            <w:pPr>
              <w:spacing w:after="20" w:before="20" w:line="252" w:lineRule="auto"/>
            </w:pPr>
            <w:r/>
            <w:r>
              <w:rPr>
                <w:rFonts w:ascii="Arial" w:hAnsi="Arial"/>
                <w:b w:val="0"/>
                <w:i w:val="0"/>
                <w:sz w:val="17"/>
              </w:rPr>
              <w:t>Biro Klasifikasi Indonesia; badan klasifikasi dan surveyor.</w:t>
            </w:r>
          </w:p>
        </w:tc>
      </w:tr>
      <w:tr>
        <w:trPr>
          <w:cantSplit/>
        </w:trPr>
        <w:tc>
          <w:tcPr>
            <w:tcW w:type="dxa" w:w="2157"/>
            <w:vAlign w:val="center"/>
          </w:tcPr>
          <w:p>
            <w:pPr>
              <w:spacing w:after="20" w:before="20" w:line="252" w:lineRule="auto"/>
            </w:pPr>
            <w:r/>
            <w:r>
              <w:rPr>
                <w:rFonts w:ascii="Arial" w:hAnsi="Arial"/>
                <w:b/>
                <w:i w:val="0"/>
                <w:sz w:val="17"/>
              </w:rPr>
              <w:t>CBS / OBS</w:t>
            </w:r>
          </w:p>
        </w:tc>
        <w:tc>
          <w:tcPr>
            <w:tcW w:type="dxa" w:w="7254"/>
            <w:vAlign w:val="center"/>
          </w:tcPr>
          <w:p>
            <w:pPr>
              <w:spacing w:after="20" w:before="20" w:line="252" w:lineRule="auto"/>
            </w:pPr>
            <w:r/>
            <w:r>
              <w:rPr>
                <w:rFonts w:ascii="Arial" w:hAnsi="Arial"/>
                <w:b w:val="0"/>
                <w:i w:val="0"/>
                <w:sz w:val="17"/>
              </w:rPr>
              <w:t>Cost / organization breakdown structure.</w:t>
            </w:r>
          </w:p>
        </w:tc>
      </w:tr>
      <w:tr>
        <w:trPr>
          <w:cantSplit/>
        </w:trPr>
        <w:tc>
          <w:tcPr>
            <w:tcW w:type="dxa" w:w="2157"/>
            <w:shd w:val="clear" w:color="auto" w:fill="E6ECFD"/>
            <w:vAlign w:val="center"/>
          </w:tcPr>
          <w:p>
            <w:pPr>
              <w:spacing w:after="20" w:before="20" w:line="252" w:lineRule="auto"/>
            </w:pPr>
            <w:r/>
            <w:r>
              <w:rPr>
                <w:rFonts w:ascii="Arial" w:hAnsi="Arial"/>
                <w:b/>
                <w:i w:val="0"/>
                <w:sz w:val="17"/>
              </w:rPr>
              <w:t>Control account</w:t>
            </w:r>
          </w:p>
        </w:tc>
        <w:tc>
          <w:tcPr>
            <w:tcW w:type="dxa" w:w="7254"/>
            <w:shd w:val="clear" w:color="auto" w:fill="E6ECFD"/>
            <w:vAlign w:val="center"/>
          </w:tcPr>
          <w:p>
            <w:pPr>
              <w:spacing w:after="20" w:before="20" w:line="252" w:lineRule="auto"/>
            </w:pPr>
            <w:r/>
            <w:r>
              <w:rPr>
                <w:rFonts w:ascii="Arial" w:hAnsi="Arial"/>
                <w:b w:val="0"/>
                <w:i w:val="0"/>
                <w:sz w:val="17"/>
              </w:rPr>
              <w:t>Akun kendali: perpotongan WBS dan OBS tempat anggaran, jadwal, dan kemajuan dikelola.</w:t>
            </w:r>
          </w:p>
        </w:tc>
      </w:tr>
      <w:tr>
        <w:trPr>
          <w:cantSplit/>
        </w:trPr>
        <w:tc>
          <w:tcPr>
            <w:tcW w:type="dxa" w:w="2157"/>
            <w:vAlign w:val="center"/>
          </w:tcPr>
          <w:p>
            <w:pPr>
              <w:spacing w:after="20" w:before="20" w:line="252" w:lineRule="auto"/>
            </w:pPr>
            <w:r/>
            <w:r>
              <w:rPr>
                <w:rFonts w:ascii="Arial" w:hAnsi="Arial"/>
                <w:b/>
                <w:i w:val="0"/>
                <w:sz w:val="17"/>
              </w:rPr>
              <w:t>CPI / SPI</w:t>
            </w:r>
          </w:p>
        </w:tc>
        <w:tc>
          <w:tcPr>
            <w:tcW w:type="dxa" w:w="7254"/>
            <w:vAlign w:val="center"/>
          </w:tcPr>
          <w:p>
            <w:pPr>
              <w:spacing w:after="20" w:before="20" w:line="252" w:lineRule="auto"/>
            </w:pPr>
            <w:r/>
            <w:r>
              <w:rPr>
                <w:rFonts w:ascii="Arial" w:hAnsi="Arial"/>
                <w:b w:val="0"/>
                <w:i w:val="0"/>
                <w:sz w:val="17"/>
              </w:rPr>
              <w:t>Cost / schedule performance index = EV/AC dan EV/PV.</w:t>
            </w:r>
          </w:p>
        </w:tc>
      </w:tr>
      <w:tr>
        <w:trPr>
          <w:cantSplit/>
        </w:trPr>
        <w:tc>
          <w:tcPr>
            <w:tcW w:type="dxa" w:w="2157"/>
            <w:shd w:val="clear" w:color="auto" w:fill="E6ECFD"/>
            <w:vAlign w:val="center"/>
          </w:tcPr>
          <w:p>
            <w:pPr>
              <w:spacing w:after="20" w:before="20" w:line="252" w:lineRule="auto"/>
            </w:pPr>
            <w:r/>
            <w:r>
              <w:rPr>
                <w:rFonts w:ascii="Arial" w:hAnsi="Arial"/>
                <w:b/>
                <w:i w:val="0"/>
                <w:sz w:val="17"/>
              </w:rPr>
              <w:t>CPM</w:t>
            </w:r>
          </w:p>
        </w:tc>
        <w:tc>
          <w:tcPr>
            <w:tcW w:type="dxa" w:w="7254"/>
            <w:shd w:val="clear" w:color="auto" w:fill="E6ECFD"/>
            <w:vAlign w:val="center"/>
          </w:tcPr>
          <w:p>
            <w:pPr>
              <w:spacing w:after="20" w:before="20" w:line="252" w:lineRule="auto"/>
            </w:pPr>
            <w:r/>
            <w:r>
              <w:rPr>
                <w:rFonts w:ascii="Arial" w:hAnsi="Arial"/>
                <w:b w:val="0"/>
                <w:i w:val="0"/>
                <w:sz w:val="17"/>
              </w:rPr>
              <w:t>Critical path method: metode jalur kritis.</w:t>
            </w:r>
          </w:p>
        </w:tc>
      </w:tr>
      <w:tr>
        <w:trPr>
          <w:cantSplit/>
        </w:trPr>
        <w:tc>
          <w:tcPr>
            <w:tcW w:type="dxa" w:w="2157"/>
            <w:vAlign w:val="center"/>
          </w:tcPr>
          <w:p>
            <w:pPr>
              <w:spacing w:after="20" w:before="20" w:line="252" w:lineRule="auto"/>
            </w:pPr>
            <w:r/>
            <w:r>
              <w:rPr>
                <w:rFonts w:ascii="Arial" w:hAnsi="Arial"/>
                <w:b/>
                <w:i w:val="0"/>
                <w:sz w:val="17"/>
              </w:rPr>
              <w:t>DAM / DIM / DDMF</w:t>
            </w:r>
          </w:p>
        </w:tc>
        <w:tc>
          <w:tcPr>
            <w:tcW w:type="dxa" w:w="7254"/>
            <w:vAlign w:val="center"/>
          </w:tcPr>
          <w:p>
            <w:pPr>
              <w:spacing w:after="20" w:before="20" w:line="252" w:lineRule="auto"/>
            </w:pPr>
            <w:r/>
            <w:r>
              <w:rPr>
                <w:rFonts w:ascii="Arial" w:hAnsi="Arial"/>
                <w:b w:val="0"/>
                <w:i w:val="0"/>
                <w:sz w:val="17"/>
              </w:rPr>
              <w:t>Danantara Asset Management / Investment Management / Development Management (Mandate) Fund; ekspansi DDMF berbeda antarsumber.</w:t>
            </w:r>
          </w:p>
        </w:tc>
      </w:tr>
      <w:tr>
        <w:trPr>
          <w:cantSplit/>
        </w:trPr>
        <w:tc>
          <w:tcPr>
            <w:tcW w:type="dxa" w:w="2157"/>
            <w:shd w:val="clear" w:color="auto" w:fill="E6ECFD"/>
            <w:vAlign w:val="center"/>
          </w:tcPr>
          <w:p>
            <w:pPr>
              <w:spacing w:after="20" w:before="20" w:line="252" w:lineRule="auto"/>
            </w:pPr>
            <w:r/>
            <w:r>
              <w:rPr>
                <w:rFonts w:ascii="Arial" w:hAnsi="Arial"/>
                <w:b/>
                <w:i w:val="0"/>
                <w:sz w:val="17"/>
              </w:rPr>
              <w:t>DOCK-UP</w:t>
            </w:r>
          </w:p>
        </w:tc>
        <w:tc>
          <w:tcPr>
            <w:tcW w:type="dxa" w:w="7254"/>
            <w:shd w:val="clear" w:color="auto" w:fill="E6ECFD"/>
            <w:vAlign w:val="center"/>
          </w:tcPr>
          <w:p>
            <w:pPr>
              <w:spacing w:after="20" w:before="20" w:line="252" w:lineRule="auto"/>
            </w:pPr>
            <w:r/>
            <w:r>
              <w:rPr>
                <w:rFonts w:ascii="Arial" w:hAnsi="Arial"/>
                <w:b w:val="0"/>
                <w:i w:val="0"/>
                <w:sz w:val="17"/>
              </w:rPr>
              <w:t>Develop, Off-taker, Certification, Upgrading: skema pembangunan pemasok yang bergerbang (versi dokumen platform: Development, Offtaker, Certified, Upgrading).</w:t>
            </w:r>
          </w:p>
        </w:tc>
      </w:tr>
      <w:tr>
        <w:trPr>
          <w:cantSplit/>
        </w:trPr>
        <w:tc>
          <w:tcPr>
            <w:tcW w:type="dxa" w:w="2157"/>
            <w:vAlign w:val="center"/>
          </w:tcPr>
          <w:p>
            <w:pPr>
              <w:spacing w:after="20" w:before="20" w:line="252" w:lineRule="auto"/>
            </w:pPr>
            <w:r/>
            <w:r>
              <w:rPr>
                <w:rFonts w:ascii="Arial" w:hAnsi="Arial"/>
                <w:b/>
                <w:i w:val="0"/>
                <w:sz w:val="17"/>
              </w:rPr>
              <w:t>DSO</w:t>
            </w:r>
          </w:p>
        </w:tc>
        <w:tc>
          <w:tcPr>
            <w:tcW w:type="dxa" w:w="7254"/>
            <w:vAlign w:val="center"/>
          </w:tcPr>
          <w:p>
            <w:pPr>
              <w:spacing w:after="20" w:before="20" w:line="252" w:lineRule="auto"/>
            </w:pPr>
            <w:r/>
            <w:r>
              <w:rPr>
                <w:rFonts w:ascii="Arial" w:hAnsi="Arial"/>
                <w:b w:val="0"/>
                <w:i w:val="0"/>
                <w:sz w:val="17"/>
              </w:rPr>
              <w:t>Days sales outstanding: umur piutang.</w:t>
            </w:r>
          </w:p>
        </w:tc>
      </w:tr>
      <w:tr>
        <w:trPr>
          <w:cantSplit/>
        </w:trPr>
        <w:tc>
          <w:tcPr>
            <w:tcW w:type="dxa" w:w="2157"/>
            <w:shd w:val="clear" w:color="auto" w:fill="E6ECFD"/>
            <w:vAlign w:val="center"/>
          </w:tcPr>
          <w:p>
            <w:pPr>
              <w:spacing w:after="20" w:before="20" w:line="252" w:lineRule="auto"/>
            </w:pPr>
            <w:r/>
            <w:r>
              <w:rPr>
                <w:rFonts w:ascii="Arial" w:hAnsi="Arial"/>
                <w:b/>
                <w:i w:val="0"/>
                <w:sz w:val="17"/>
              </w:rPr>
              <w:t>DVA</w:t>
            </w:r>
          </w:p>
        </w:tc>
        <w:tc>
          <w:tcPr>
            <w:tcW w:type="dxa" w:w="7254"/>
            <w:shd w:val="clear" w:color="auto" w:fill="E6ECFD"/>
            <w:vAlign w:val="center"/>
          </w:tcPr>
          <w:p>
            <w:pPr>
              <w:spacing w:after="20" w:before="20" w:line="252" w:lineRule="auto"/>
            </w:pPr>
            <w:r/>
            <w:r>
              <w:rPr>
                <w:rFonts w:ascii="Arial" w:hAnsi="Arial"/>
                <w:b w:val="0"/>
                <w:i w:val="0"/>
                <w:sz w:val="17"/>
              </w:rPr>
              <w:t>Domestic value added: nilai tambah dalam negeri.</w:t>
            </w:r>
          </w:p>
        </w:tc>
      </w:tr>
      <w:tr>
        <w:trPr>
          <w:cantSplit/>
        </w:trPr>
        <w:tc>
          <w:tcPr>
            <w:tcW w:type="dxa" w:w="2157"/>
            <w:vAlign w:val="center"/>
          </w:tcPr>
          <w:p>
            <w:pPr>
              <w:spacing w:after="20" w:before="20" w:line="252" w:lineRule="auto"/>
            </w:pPr>
            <w:r/>
            <w:r>
              <w:rPr>
                <w:rFonts w:ascii="Arial" w:hAnsi="Arial"/>
                <w:b/>
                <w:i w:val="0"/>
                <w:sz w:val="17"/>
              </w:rPr>
              <w:t>EAC / ETC / VAC / TCPI</w:t>
            </w:r>
          </w:p>
        </w:tc>
        <w:tc>
          <w:tcPr>
            <w:tcW w:type="dxa" w:w="7254"/>
            <w:vAlign w:val="center"/>
          </w:tcPr>
          <w:p>
            <w:pPr>
              <w:spacing w:after="20" w:before="20" w:line="252" w:lineRule="auto"/>
            </w:pPr>
            <w:r/>
            <w:r>
              <w:rPr>
                <w:rFonts w:ascii="Arial" w:hAnsi="Arial"/>
                <w:b w:val="0"/>
                <w:i w:val="0"/>
                <w:sz w:val="17"/>
              </w:rPr>
              <w:t>Estimate at completion / to complete / variance at completion / to-complete performance index.</w:t>
            </w:r>
          </w:p>
        </w:tc>
      </w:tr>
      <w:tr>
        <w:trPr>
          <w:cantSplit/>
        </w:trPr>
        <w:tc>
          <w:tcPr>
            <w:tcW w:type="dxa" w:w="2157"/>
            <w:shd w:val="clear" w:color="auto" w:fill="E6ECFD"/>
            <w:vAlign w:val="center"/>
          </w:tcPr>
          <w:p>
            <w:pPr>
              <w:spacing w:after="20" w:before="20" w:line="252" w:lineRule="auto"/>
            </w:pPr>
            <w:r/>
            <w:r>
              <w:rPr>
                <w:rFonts w:ascii="Arial" w:hAnsi="Arial"/>
                <w:b/>
                <w:i w:val="0"/>
                <w:sz w:val="17"/>
              </w:rPr>
              <w:t>ENPV / EIRR</w:t>
            </w:r>
          </w:p>
        </w:tc>
        <w:tc>
          <w:tcPr>
            <w:tcW w:type="dxa" w:w="7254"/>
            <w:shd w:val="clear" w:color="auto" w:fill="E6ECFD"/>
            <w:vAlign w:val="center"/>
          </w:tcPr>
          <w:p>
            <w:pPr>
              <w:spacing w:after="20" w:before="20" w:line="252" w:lineRule="auto"/>
            </w:pPr>
            <w:r/>
            <w:r>
              <w:rPr>
                <w:rFonts w:ascii="Arial" w:hAnsi="Arial"/>
                <w:b w:val="0"/>
                <w:i w:val="0"/>
                <w:sz w:val="17"/>
              </w:rPr>
              <w:t>NPV dan IRR ekonomi, yang memasukkan manfaat dan biaya eksternal.</w:t>
            </w:r>
          </w:p>
        </w:tc>
      </w:tr>
      <w:tr>
        <w:trPr>
          <w:cantSplit/>
        </w:trPr>
        <w:tc>
          <w:tcPr>
            <w:tcW w:type="dxa" w:w="2157"/>
            <w:vAlign w:val="center"/>
          </w:tcPr>
          <w:p>
            <w:pPr>
              <w:spacing w:after="20" w:before="20" w:line="252" w:lineRule="auto"/>
            </w:pPr>
            <w:r/>
            <w:r>
              <w:rPr>
                <w:rFonts w:ascii="Arial" w:hAnsi="Arial"/>
                <w:b/>
                <w:i w:val="0"/>
                <w:sz w:val="17"/>
              </w:rPr>
              <w:t>EPC / EPCM</w:t>
            </w:r>
          </w:p>
        </w:tc>
        <w:tc>
          <w:tcPr>
            <w:tcW w:type="dxa" w:w="7254"/>
            <w:vAlign w:val="center"/>
          </w:tcPr>
          <w:p>
            <w:pPr>
              <w:spacing w:after="20" w:before="20" w:line="252" w:lineRule="auto"/>
            </w:pPr>
            <w:r/>
            <w:r>
              <w:rPr>
                <w:rFonts w:ascii="Arial" w:hAnsi="Arial"/>
                <w:b w:val="0"/>
                <w:i w:val="0"/>
                <w:sz w:val="17"/>
              </w:rPr>
              <w:t>Engineering, procurement, construction / EPC management.</w:t>
            </w:r>
          </w:p>
        </w:tc>
      </w:tr>
      <w:tr>
        <w:trPr>
          <w:cantSplit/>
        </w:trPr>
        <w:tc>
          <w:tcPr>
            <w:tcW w:type="dxa" w:w="2157"/>
            <w:shd w:val="clear" w:color="auto" w:fill="E6ECFD"/>
            <w:vAlign w:val="center"/>
          </w:tcPr>
          <w:p>
            <w:pPr>
              <w:spacing w:after="20" w:before="20" w:line="252" w:lineRule="auto"/>
            </w:pPr>
            <w:r/>
            <w:r>
              <w:rPr>
                <w:rFonts w:ascii="Arial" w:hAnsi="Arial"/>
                <w:b/>
                <w:i w:val="0"/>
                <w:sz w:val="17"/>
              </w:rPr>
              <w:t>EV (BCWP)</w:t>
            </w:r>
          </w:p>
        </w:tc>
        <w:tc>
          <w:tcPr>
            <w:tcW w:type="dxa" w:w="7254"/>
            <w:shd w:val="clear" w:color="auto" w:fill="E6ECFD"/>
            <w:vAlign w:val="center"/>
          </w:tcPr>
          <w:p>
            <w:pPr>
              <w:spacing w:after="20" w:before="20" w:line="252" w:lineRule="auto"/>
            </w:pPr>
            <w:r/>
            <w:r>
              <w:rPr>
                <w:rFonts w:ascii="Arial" w:hAnsi="Arial"/>
                <w:b w:val="0"/>
                <w:i w:val="0"/>
                <w:sz w:val="17"/>
              </w:rPr>
              <w:t>Earned value: anggaran dikalikan persen kemajuan fisik.</w:t>
            </w:r>
          </w:p>
        </w:tc>
      </w:tr>
      <w:tr>
        <w:trPr>
          <w:cantSplit/>
        </w:trPr>
        <w:tc>
          <w:tcPr>
            <w:tcW w:type="dxa" w:w="2157"/>
            <w:vAlign w:val="center"/>
          </w:tcPr>
          <w:p>
            <w:pPr>
              <w:spacing w:after="20" w:before="20" w:line="252" w:lineRule="auto"/>
            </w:pPr>
            <w:r/>
            <w:r>
              <w:rPr>
                <w:rFonts w:ascii="Arial" w:hAnsi="Arial"/>
                <w:b/>
                <w:i w:val="0"/>
                <w:sz w:val="17"/>
              </w:rPr>
              <w:t>FEL / FEED / FID</w:t>
            </w:r>
          </w:p>
        </w:tc>
        <w:tc>
          <w:tcPr>
            <w:tcW w:type="dxa" w:w="7254"/>
            <w:vAlign w:val="center"/>
          </w:tcPr>
          <w:p>
            <w:pPr>
              <w:spacing w:after="20" w:before="20" w:line="252" w:lineRule="auto"/>
            </w:pPr>
            <w:r/>
            <w:r>
              <w:rPr>
                <w:rFonts w:ascii="Arial" w:hAnsi="Arial"/>
                <w:b w:val="0"/>
                <w:i w:val="0"/>
                <w:sz w:val="17"/>
              </w:rPr>
              <w:t>Front-end loading / front-end engineering design / final investment decision.</w:t>
            </w:r>
          </w:p>
        </w:tc>
      </w:tr>
      <w:tr>
        <w:trPr>
          <w:cantSplit/>
        </w:trPr>
        <w:tc>
          <w:tcPr>
            <w:tcW w:type="dxa" w:w="2157"/>
            <w:shd w:val="clear" w:color="auto" w:fill="E6ECFD"/>
            <w:vAlign w:val="center"/>
          </w:tcPr>
          <w:p>
            <w:pPr>
              <w:spacing w:after="20" w:before="20" w:line="252" w:lineRule="auto"/>
            </w:pPr>
            <w:r/>
            <w:r>
              <w:rPr>
                <w:rFonts w:ascii="Arial" w:hAnsi="Arial"/>
                <w:b/>
                <w:i w:val="0"/>
                <w:sz w:val="17"/>
              </w:rPr>
              <w:t>FNPV / FIRR</w:t>
            </w:r>
          </w:p>
        </w:tc>
        <w:tc>
          <w:tcPr>
            <w:tcW w:type="dxa" w:w="7254"/>
            <w:shd w:val="clear" w:color="auto" w:fill="E6ECFD"/>
            <w:vAlign w:val="center"/>
          </w:tcPr>
          <w:p>
            <w:pPr>
              <w:spacing w:after="20" w:before="20" w:line="252" w:lineRule="auto"/>
            </w:pPr>
            <w:r/>
            <w:r>
              <w:rPr>
                <w:rFonts w:ascii="Arial" w:hAnsi="Arial"/>
                <w:b w:val="0"/>
                <w:i w:val="0"/>
                <w:sz w:val="17"/>
              </w:rPr>
              <w:t>NPV dan IRR finansial.</w:t>
            </w:r>
          </w:p>
        </w:tc>
      </w:tr>
      <w:tr>
        <w:trPr>
          <w:cantSplit/>
        </w:trPr>
        <w:tc>
          <w:tcPr>
            <w:tcW w:type="dxa" w:w="2157"/>
            <w:vAlign w:val="center"/>
          </w:tcPr>
          <w:p>
            <w:pPr>
              <w:spacing w:after="20" w:before="20" w:line="252" w:lineRule="auto"/>
            </w:pPr>
            <w:r/>
            <w:r>
              <w:rPr>
                <w:rFonts w:ascii="Arial" w:hAnsi="Arial"/>
                <w:b/>
                <w:i w:val="0"/>
                <w:sz w:val="17"/>
              </w:rPr>
              <w:t>Gerbang (gate)</w:t>
            </w:r>
          </w:p>
        </w:tc>
        <w:tc>
          <w:tcPr>
            <w:tcW w:type="dxa" w:w="7254"/>
            <w:vAlign w:val="center"/>
          </w:tcPr>
          <w:p>
            <w:pPr>
              <w:spacing w:after="20" w:before="20" w:line="252" w:lineRule="auto"/>
            </w:pPr>
            <w:r/>
            <w:r>
              <w:rPr>
                <w:rFonts w:ascii="Arial" w:hAnsi="Arial"/>
                <w:b w:val="0"/>
                <w:i w:val="0"/>
                <w:sz w:val="17"/>
              </w:rPr>
              <w:t>Titik keputusan formal untuk melanjutkan, memperbaiki, menunda, atau menghentikan tahap pekerjaan.</w:t>
            </w:r>
          </w:p>
        </w:tc>
      </w:tr>
      <w:tr>
        <w:trPr>
          <w:cantSplit/>
        </w:trPr>
        <w:tc>
          <w:tcPr>
            <w:tcW w:type="dxa" w:w="2157"/>
            <w:shd w:val="clear" w:color="auto" w:fill="E6ECFD"/>
            <w:vAlign w:val="center"/>
          </w:tcPr>
          <w:p>
            <w:pPr>
              <w:spacing w:after="20" w:before="20" w:line="252" w:lineRule="auto"/>
            </w:pPr>
            <w:r/>
            <w:r>
              <w:rPr>
                <w:rFonts w:ascii="Arial" w:hAnsi="Arial"/>
                <w:b/>
                <w:i w:val="0"/>
                <w:sz w:val="17"/>
              </w:rPr>
              <w:t>HKI</w:t>
            </w:r>
          </w:p>
        </w:tc>
        <w:tc>
          <w:tcPr>
            <w:tcW w:type="dxa" w:w="7254"/>
            <w:shd w:val="clear" w:color="auto" w:fill="E6ECFD"/>
            <w:vAlign w:val="center"/>
          </w:tcPr>
          <w:p>
            <w:pPr>
              <w:spacing w:after="20" w:before="20" w:line="252" w:lineRule="auto"/>
            </w:pPr>
            <w:r/>
            <w:r>
              <w:rPr>
                <w:rFonts w:ascii="Arial" w:hAnsi="Arial"/>
                <w:b w:val="0"/>
                <w:i w:val="0"/>
                <w:sz w:val="17"/>
              </w:rPr>
              <w:t>Hak kekayaan intelektual.</w:t>
            </w:r>
          </w:p>
        </w:tc>
      </w:tr>
      <w:tr>
        <w:trPr>
          <w:cantSplit/>
        </w:trPr>
        <w:tc>
          <w:tcPr>
            <w:tcW w:type="dxa" w:w="2157"/>
            <w:vAlign w:val="center"/>
          </w:tcPr>
          <w:p>
            <w:pPr>
              <w:spacing w:after="20" w:before="20" w:line="252" w:lineRule="auto"/>
            </w:pPr>
            <w:r/>
            <w:r>
              <w:rPr>
                <w:rFonts w:ascii="Arial" w:hAnsi="Arial"/>
                <w:b/>
                <w:i w:val="0"/>
                <w:sz w:val="17"/>
              </w:rPr>
              <w:t>ICOR</w:t>
            </w:r>
          </w:p>
        </w:tc>
        <w:tc>
          <w:tcPr>
            <w:tcW w:type="dxa" w:w="7254"/>
            <w:vAlign w:val="center"/>
          </w:tcPr>
          <w:p>
            <w:pPr>
              <w:spacing w:after="20" w:before="20" w:line="252" w:lineRule="auto"/>
            </w:pPr>
            <w:r/>
            <w:r>
              <w:rPr>
                <w:rFonts w:ascii="Arial" w:hAnsi="Arial"/>
                <w:b w:val="0"/>
                <w:i w:val="0"/>
                <w:sz w:val="17"/>
              </w:rPr>
              <w:t>Incremental capital-output ratio: modal tambahan per unit output tambahan.</w:t>
            </w:r>
          </w:p>
        </w:tc>
      </w:tr>
      <w:tr>
        <w:trPr>
          <w:cantSplit/>
        </w:trPr>
        <w:tc>
          <w:tcPr>
            <w:tcW w:type="dxa" w:w="2157"/>
            <w:shd w:val="clear" w:color="auto" w:fill="E6ECFD"/>
            <w:vAlign w:val="center"/>
          </w:tcPr>
          <w:p>
            <w:pPr>
              <w:spacing w:after="20" w:before="20" w:line="252" w:lineRule="auto"/>
            </w:pPr>
            <w:r/>
            <w:r>
              <w:rPr>
                <w:rFonts w:ascii="Arial" w:hAnsi="Arial"/>
                <w:b/>
                <w:i w:val="0"/>
                <w:sz w:val="17"/>
              </w:rPr>
              <w:t>ITP / FAT / SAT</w:t>
            </w:r>
          </w:p>
        </w:tc>
        <w:tc>
          <w:tcPr>
            <w:tcW w:type="dxa" w:w="7254"/>
            <w:shd w:val="clear" w:color="auto" w:fill="E6ECFD"/>
            <w:vAlign w:val="center"/>
          </w:tcPr>
          <w:p>
            <w:pPr>
              <w:spacing w:after="20" w:before="20" w:line="252" w:lineRule="auto"/>
            </w:pPr>
            <w:r/>
            <w:r>
              <w:rPr>
                <w:rFonts w:ascii="Arial" w:hAnsi="Arial"/>
                <w:b w:val="0"/>
                <w:i w:val="0"/>
                <w:sz w:val="17"/>
              </w:rPr>
              <w:t>Inspection and test plan / factory acceptance test / site acceptance test.</w:t>
            </w:r>
          </w:p>
        </w:tc>
      </w:tr>
      <w:tr>
        <w:trPr>
          <w:cantSplit/>
        </w:trPr>
        <w:tc>
          <w:tcPr>
            <w:tcW w:type="dxa" w:w="2157"/>
            <w:vAlign w:val="center"/>
          </w:tcPr>
          <w:p>
            <w:pPr>
              <w:spacing w:after="20" w:before="20" w:line="252" w:lineRule="auto"/>
            </w:pPr>
            <w:r/>
            <w:r>
              <w:rPr>
                <w:rFonts w:ascii="Arial" w:hAnsi="Arial"/>
                <w:b/>
                <w:i w:val="0"/>
                <w:sz w:val="17"/>
              </w:rPr>
              <w:t>KKIP</w:t>
            </w:r>
          </w:p>
        </w:tc>
        <w:tc>
          <w:tcPr>
            <w:tcW w:type="dxa" w:w="7254"/>
            <w:vAlign w:val="center"/>
          </w:tcPr>
          <w:p>
            <w:pPr>
              <w:spacing w:after="20" w:before="20" w:line="252" w:lineRule="auto"/>
            </w:pPr>
            <w:r/>
            <w:r>
              <w:rPr>
                <w:rFonts w:ascii="Arial" w:hAnsi="Arial"/>
                <w:b w:val="0"/>
                <w:i w:val="0"/>
                <w:sz w:val="17"/>
              </w:rPr>
              <w:t>Komite Kebijakan Industri Pertahanan.</w:t>
            </w:r>
          </w:p>
        </w:tc>
      </w:tr>
      <w:tr>
        <w:trPr>
          <w:cantSplit/>
        </w:trPr>
        <w:tc>
          <w:tcPr>
            <w:tcW w:type="dxa" w:w="2157"/>
            <w:shd w:val="clear" w:color="auto" w:fill="E6ECFD"/>
            <w:vAlign w:val="center"/>
          </w:tcPr>
          <w:p>
            <w:pPr>
              <w:spacing w:after="20" w:before="20" w:line="252" w:lineRule="auto"/>
            </w:pPr>
            <w:r/>
            <w:r>
              <w:rPr>
                <w:rFonts w:ascii="Arial" w:hAnsi="Arial"/>
                <w:b/>
                <w:i w:val="0"/>
                <w:sz w:val="17"/>
              </w:rPr>
              <w:t>KPI</w:t>
            </w:r>
          </w:p>
        </w:tc>
        <w:tc>
          <w:tcPr>
            <w:tcW w:type="dxa" w:w="7254"/>
            <w:shd w:val="clear" w:color="auto" w:fill="E6ECFD"/>
            <w:vAlign w:val="center"/>
          </w:tcPr>
          <w:p>
            <w:pPr>
              <w:spacing w:after="20" w:before="20" w:line="252" w:lineRule="auto"/>
            </w:pPr>
            <w:r/>
            <w:r>
              <w:rPr>
                <w:rFonts w:ascii="Arial" w:hAnsi="Arial"/>
                <w:b w:val="0"/>
                <w:i w:val="0"/>
                <w:sz w:val="17"/>
              </w:rPr>
              <w:t>Key performance indicator.</w:t>
            </w:r>
          </w:p>
        </w:tc>
      </w:tr>
      <w:tr>
        <w:trPr>
          <w:cantSplit/>
        </w:trPr>
        <w:tc>
          <w:tcPr>
            <w:tcW w:type="dxa" w:w="2157"/>
            <w:vAlign w:val="center"/>
          </w:tcPr>
          <w:p>
            <w:pPr>
              <w:spacing w:after="20" w:before="20" w:line="252" w:lineRule="auto"/>
            </w:pPr>
            <w:r/>
            <w:r>
              <w:rPr>
                <w:rFonts w:ascii="Arial" w:hAnsi="Arial"/>
                <w:b/>
                <w:i w:val="0"/>
                <w:sz w:val="17"/>
              </w:rPr>
              <w:t>MRL / TRL</w:t>
            </w:r>
          </w:p>
        </w:tc>
        <w:tc>
          <w:tcPr>
            <w:tcW w:type="dxa" w:w="7254"/>
            <w:vAlign w:val="center"/>
          </w:tcPr>
          <w:p>
            <w:pPr>
              <w:spacing w:after="20" w:before="20" w:line="252" w:lineRule="auto"/>
            </w:pPr>
            <w:r/>
            <w:r>
              <w:rPr>
                <w:rFonts w:ascii="Arial" w:hAnsi="Arial"/>
                <w:b w:val="0"/>
                <w:i w:val="0"/>
                <w:sz w:val="17"/>
              </w:rPr>
              <w:t>Manufacturing / technology readiness level; MRL menjawab "dapatkah dibuat setiap saat?", TRL "apakah berfungsi?".</w:t>
            </w:r>
          </w:p>
        </w:tc>
      </w:tr>
      <w:tr>
        <w:trPr>
          <w:cantSplit/>
        </w:trPr>
        <w:tc>
          <w:tcPr>
            <w:tcW w:type="dxa" w:w="2157"/>
            <w:shd w:val="clear" w:color="auto" w:fill="E6ECFD"/>
            <w:vAlign w:val="center"/>
          </w:tcPr>
          <w:p>
            <w:pPr>
              <w:spacing w:after="20" w:before="20" w:line="252" w:lineRule="auto"/>
            </w:pPr>
            <w:r/>
            <w:r>
              <w:rPr>
                <w:rFonts w:ascii="Arial" w:hAnsi="Arial"/>
                <w:b/>
                <w:i w:val="0"/>
                <w:sz w:val="17"/>
              </w:rPr>
              <w:t>MTO</w:t>
            </w:r>
          </w:p>
        </w:tc>
        <w:tc>
          <w:tcPr>
            <w:tcW w:type="dxa" w:w="7254"/>
            <w:shd w:val="clear" w:color="auto" w:fill="E6ECFD"/>
            <w:vAlign w:val="center"/>
          </w:tcPr>
          <w:p>
            <w:pPr>
              <w:spacing w:after="20" w:before="20" w:line="252" w:lineRule="auto"/>
            </w:pPr>
            <w:r/>
            <w:r>
              <w:rPr>
                <w:rFonts w:ascii="Arial" w:hAnsi="Arial"/>
                <w:b w:val="0"/>
                <w:i w:val="0"/>
                <w:sz w:val="17"/>
              </w:rPr>
              <w:t>Material take-off: daftar kuantitas material per butir PBS.</w:t>
            </w:r>
          </w:p>
        </w:tc>
      </w:tr>
      <w:tr>
        <w:trPr>
          <w:cantSplit/>
        </w:trPr>
        <w:tc>
          <w:tcPr>
            <w:tcW w:type="dxa" w:w="2157"/>
            <w:vAlign w:val="center"/>
          </w:tcPr>
          <w:p>
            <w:pPr>
              <w:spacing w:after="20" w:before="20" w:line="252" w:lineRule="auto"/>
            </w:pPr>
            <w:r/>
            <w:r>
              <w:rPr>
                <w:rFonts w:ascii="Arial" w:hAnsi="Arial"/>
                <w:b/>
                <w:i w:val="0"/>
                <w:sz w:val="17"/>
              </w:rPr>
              <w:t>NITO</w:t>
            </w:r>
          </w:p>
        </w:tc>
        <w:tc>
          <w:tcPr>
            <w:tcW w:type="dxa" w:w="7254"/>
            <w:vAlign w:val="center"/>
          </w:tcPr>
          <w:p>
            <w:pPr>
              <w:spacing w:after="20" w:before="20" w:line="252" w:lineRule="auto"/>
            </w:pPr>
            <w:r/>
            <w:r>
              <w:rPr>
                <w:rFonts w:ascii="Arial" w:hAnsi="Arial"/>
                <w:b w:val="0"/>
                <w:i w:val="0"/>
                <w:sz w:val="17"/>
              </w:rPr>
              <w:t>National Industrial Transformation Office; diterapkan sebagai unit Industri Strategis dan Pelaksanaan Proyek.</w:t>
            </w:r>
          </w:p>
        </w:tc>
      </w:tr>
      <w:tr>
        <w:trPr>
          <w:cantSplit/>
        </w:trPr>
        <w:tc>
          <w:tcPr>
            <w:tcW w:type="dxa" w:w="2157"/>
            <w:shd w:val="clear" w:color="auto" w:fill="E6ECFD"/>
            <w:vAlign w:val="center"/>
          </w:tcPr>
          <w:p>
            <w:pPr>
              <w:spacing w:after="20" w:before="20" w:line="252" w:lineRule="auto"/>
            </w:pPr>
            <w:r/>
            <w:r>
              <w:rPr>
                <w:rFonts w:ascii="Arial" w:hAnsi="Arial"/>
                <w:b/>
                <w:i w:val="0"/>
                <w:sz w:val="17"/>
              </w:rPr>
              <w:t>NR</w:t>
            </w:r>
          </w:p>
        </w:tc>
        <w:tc>
          <w:tcPr>
            <w:tcW w:type="dxa" w:w="7254"/>
            <w:shd w:val="clear" w:color="auto" w:fill="E6ECFD"/>
            <w:vAlign w:val="center"/>
          </w:tcPr>
          <w:p>
            <w:pPr>
              <w:spacing w:after="20" w:before="20" w:line="252" w:lineRule="auto"/>
            </w:pPr>
            <w:r/>
            <w:r>
              <w:rPr>
                <w:rFonts w:ascii="Arial" w:hAnsi="Arial"/>
                <w:b w:val="0"/>
                <w:i w:val="0"/>
                <w:sz w:val="17"/>
              </w:rPr>
              <w:t>Tidak dapat dinilai; berbeda dari nol dan dari kegagalan.</w:t>
            </w:r>
          </w:p>
        </w:tc>
      </w:tr>
      <w:tr>
        <w:trPr>
          <w:cantSplit/>
        </w:trPr>
        <w:tc>
          <w:tcPr>
            <w:tcW w:type="dxa" w:w="2157"/>
            <w:vAlign w:val="center"/>
          </w:tcPr>
          <w:p>
            <w:pPr>
              <w:spacing w:after="20" w:before="20" w:line="252" w:lineRule="auto"/>
            </w:pPr>
            <w:r/>
            <w:r>
              <w:rPr>
                <w:rFonts w:ascii="Arial" w:hAnsi="Arial"/>
                <w:b/>
                <w:i w:val="0"/>
                <w:sz w:val="17"/>
              </w:rPr>
              <w:t>NRF</w:t>
            </w:r>
          </w:p>
        </w:tc>
        <w:tc>
          <w:tcPr>
            <w:tcW w:type="dxa" w:w="7254"/>
            <w:vAlign w:val="center"/>
          </w:tcPr>
          <w:p>
            <w:pPr>
              <w:spacing w:after="20" w:before="20" w:line="252" w:lineRule="auto"/>
            </w:pPr>
            <w:r/>
            <w:r>
              <w:rPr>
                <w:rFonts w:ascii="Arial" w:hAnsi="Arial"/>
                <w:b w:val="0"/>
                <w:i w:val="0"/>
                <w:sz w:val="17"/>
              </w:rPr>
              <w:t>Natural Resource Fund / Dana Sumber Daya Alam.</w:t>
            </w:r>
          </w:p>
        </w:tc>
      </w:tr>
      <w:tr>
        <w:trPr>
          <w:cantSplit/>
        </w:trPr>
        <w:tc>
          <w:tcPr>
            <w:tcW w:type="dxa" w:w="2157"/>
            <w:shd w:val="clear" w:color="auto" w:fill="E6ECFD"/>
            <w:vAlign w:val="center"/>
          </w:tcPr>
          <w:p>
            <w:pPr>
              <w:spacing w:after="20" w:before="20" w:line="252" w:lineRule="auto"/>
            </w:pPr>
            <w:r/>
            <w:r>
              <w:rPr>
                <w:rFonts w:ascii="Arial" w:hAnsi="Arial"/>
                <w:b/>
                <w:i w:val="0"/>
                <w:sz w:val="17"/>
              </w:rPr>
              <w:t>PBS / WBS</w:t>
            </w:r>
          </w:p>
        </w:tc>
        <w:tc>
          <w:tcPr>
            <w:tcW w:type="dxa" w:w="7254"/>
            <w:shd w:val="clear" w:color="auto" w:fill="E6ECFD"/>
            <w:vAlign w:val="center"/>
          </w:tcPr>
          <w:p>
            <w:pPr>
              <w:spacing w:after="20" w:before="20" w:line="252" w:lineRule="auto"/>
            </w:pPr>
            <w:r/>
            <w:r>
              <w:rPr>
                <w:rFonts w:ascii="Arial" w:hAnsi="Arial"/>
                <w:b w:val="0"/>
                <w:i w:val="0"/>
                <w:sz w:val="17"/>
              </w:rPr>
              <w:t>Product / work breakdown structure.</w:t>
            </w:r>
          </w:p>
        </w:tc>
      </w:tr>
      <w:tr>
        <w:trPr>
          <w:cantSplit/>
        </w:trPr>
        <w:tc>
          <w:tcPr>
            <w:tcW w:type="dxa" w:w="2157"/>
            <w:vAlign w:val="center"/>
          </w:tcPr>
          <w:p>
            <w:pPr>
              <w:spacing w:after="20" w:before="20" w:line="252" w:lineRule="auto"/>
            </w:pPr>
            <w:r/>
            <w:r>
              <w:rPr>
                <w:rFonts w:ascii="Arial" w:hAnsi="Arial"/>
                <w:b/>
                <w:i w:val="0"/>
                <w:sz w:val="17"/>
              </w:rPr>
              <w:t>PDRI</w:t>
            </w:r>
          </w:p>
        </w:tc>
        <w:tc>
          <w:tcPr>
            <w:tcW w:type="dxa" w:w="7254"/>
            <w:vAlign w:val="center"/>
          </w:tcPr>
          <w:p>
            <w:pPr>
              <w:spacing w:after="20" w:before="20" w:line="252" w:lineRule="auto"/>
            </w:pPr>
            <w:r/>
            <w:r>
              <w:rPr>
                <w:rFonts w:ascii="Arial" w:hAnsi="Arial"/>
                <w:b w:val="0"/>
                <w:i w:val="0"/>
                <w:sz w:val="17"/>
              </w:rPr>
              <w:t>Project Definition Rating Index (CII).</w:t>
            </w:r>
          </w:p>
        </w:tc>
      </w:tr>
      <w:tr>
        <w:trPr>
          <w:cantSplit/>
        </w:trPr>
        <w:tc>
          <w:tcPr>
            <w:tcW w:type="dxa" w:w="2157"/>
            <w:shd w:val="clear" w:color="auto" w:fill="E6ECFD"/>
            <w:vAlign w:val="center"/>
          </w:tcPr>
          <w:p>
            <w:pPr>
              <w:spacing w:after="20" w:before="20" w:line="252" w:lineRule="auto"/>
            </w:pPr>
            <w:r/>
            <w:r>
              <w:rPr>
                <w:rFonts w:ascii="Arial" w:hAnsi="Arial"/>
                <w:b/>
                <w:i w:val="0"/>
                <w:sz w:val="17"/>
              </w:rPr>
              <w:t>PERT</w:t>
            </w:r>
          </w:p>
        </w:tc>
        <w:tc>
          <w:tcPr>
            <w:tcW w:type="dxa" w:w="7254"/>
            <w:shd w:val="clear" w:color="auto" w:fill="E6ECFD"/>
            <w:vAlign w:val="center"/>
          </w:tcPr>
          <w:p>
            <w:pPr>
              <w:spacing w:after="20" w:before="20" w:line="252" w:lineRule="auto"/>
            </w:pPr>
            <w:r/>
            <w:r>
              <w:rPr>
                <w:rFonts w:ascii="Arial" w:hAnsi="Arial"/>
                <w:b w:val="0"/>
                <w:i w:val="0"/>
                <w:sz w:val="17"/>
              </w:rPr>
              <w:t>Program evaluation and review technique: estimasi tiga titik.</w:t>
            </w:r>
          </w:p>
        </w:tc>
      </w:tr>
      <w:tr>
        <w:trPr>
          <w:cantSplit/>
        </w:trPr>
        <w:tc>
          <w:tcPr>
            <w:tcW w:type="dxa" w:w="2157"/>
            <w:vAlign w:val="center"/>
          </w:tcPr>
          <w:p>
            <w:pPr>
              <w:spacing w:after="20" w:before="20" w:line="252" w:lineRule="auto"/>
            </w:pPr>
            <w:r/>
            <w:r>
              <w:rPr>
                <w:rFonts w:ascii="Arial" w:hAnsi="Arial"/>
                <w:b/>
                <w:i w:val="0"/>
                <w:sz w:val="17"/>
              </w:rPr>
              <w:t>PMO</w:t>
            </w:r>
          </w:p>
        </w:tc>
        <w:tc>
          <w:tcPr>
            <w:tcW w:type="dxa" w:w="7254"/>
            <w:vAlign w:val="center"/>
          </w:tcPr>
          <w:p>
            <w:pPr>
              <w:spacing w:after="20" w:before="20" w:line="252" w:lineRule="auto"/>
            </w:pPr>
            <w:r/>
            <w:r>
              <w:rPr>
                <w:rFonts w:ascii="Arial" w:hAnsi="Arial"/>
                <w:b w:val="0"/>
                <w:i w:val="0"/>
                <w:sz w:val="17"/>
              </w:rPr>
              <w:t>Project management office: kantor manajemen proyek.</w:t>
            </w:r>
          </w:p>
        </w:tc>
      </w:tr>
      <w:tr>
        <w:trPr>
          <w:cantSplit/>
        </w:trPr>
        <w:tc>
          <w:tcPr>
            <w:tcW w:type="dxa" w:w="2157"/>
            <w:shd w:val="clear" w:color="auto" w:fill="E6ECFD"/>
            <w:vAlign w:val="center"/>
          </w:tcPr>
          <w:p>
            <w:pPr>
              <w:spacing w:after="20" w:before="20" w:line="252" w:lineRule="auto"/>
            </w:pPr>
            <w:r/>
            <w:r>
              <w:rPr>
                <w:rFonts w:ascii="Arial" w:hAnsi="Arial"/>
                <w:b/>
                <w:i w:val="0"/>
                <w:sz w:val="17"/>
              </w:rPr>
              <w:t>PR / PO / GR</w:t>
            </w:r>
          </w:p>
        </w:tc>
        <w:tc>
          <w:tcPr>
            <w:tcW w:type="dxa" w:w="7254"/>
            <w:shd w:val="clear" w:color="auto" w:fill="E6ECFD"/>
            <w:vAlign w:val="center"/>
          </w:tcPr>
          <w:p>
            <w:pPr>
              <w:spacing w:after="20" w:before="20" w:line="252" w:lineRule="auto"/>
            </w:pPr>
            <w:r/>
            <w:r>
              <w:rPr>
                <w:rFonts w:ascii="Arial" w:hAnsi="Arial"/>
                <w:b w:val="0"/>
                <w:i w:val="0"/>
                <w:sz w:val="17"/>
              </w:rPr>
              <w:t>Purchase requisition / purchase order / goods receipt.</w:t>
            </w:r>
          </w:p>
        </w:tc>
      </w:tr>
      <w:tr>
        <w:trPr>
          <w:cantSplit/>
        </w:trPr>
        <w:tc>
          <w:tcPr>
            <w:tcW w:type="dxa" w:w="2157"/>
            <w:vAlign w:val="center"/>
          </w:tcPr>
          <w:p>
            <w:pPr>
              <w:spacing w:after="20" w:before="20" w:line="252" w:lineRule="auto"/>
            </w:pPr>
            <w:r/>
            <w:r>
              <w:rPr>
                <w:rFonts w:ascii="Arial" w:hAnsi="Arial"/>
                <w:b/>
                <w:i w:val="0"/>
                <w:sz w:val="17"/>
              </w:rPr>
              <w:t>PV (BCWS)</w:t>
            </w:r>
          </w:p>
        </w:tc>
        <w:tc>
          <w:tcPr>
            <w:tcW w:type="dxa" w:w="7254"/>
            <w:vAlign w:val="center"/>
          </w:tcPr>
          <w:p>
            <w:pPr>
              <w:spacing w:after="20" w:before="20" w:line="252" w:lineRule="auto"/>
            </w:pPr>
            <w:r/>
            <w:r>
              <w:rPr>
                <w:rFonts w:ascii="Arial" w:hAnsi="Arial"/>
                <w:b w:val="0"/>
                <w:i w:val="0"/>
                <w:sz w:val="17"/>
              </w:rPr>
              <w:t>Planned value: nilai terencana.</w:t>
            </w:r>
          </w:p>
        </w:tc>
      </w:tr>
      <w:tr>
        <w:trPr>
          <w:cantSplit/>
        </w:trPr>
        <w:tc>
          <w:tcPr>
            <w:tcW w:type="dxa" w:w="2157"/>
            <w:shd w:val="clear" w:color="auto" w:fill="E6ECFD"/>
            <w:vAlign w:val="center"/>
          </w:tcPr>
          <w:p>
            <w:pPr>
              <w:spacing w:after="20" w:before="20" w:line="252" w:lineRule="auto"/>
            </w:pPr>
            <w:r/>
            <w:r>
              <w:rPr>
                <w:rFonts w:ascii="Arial" w:hAnsi="Arial"/>
                <w:b/>
                <w:i w:val="0"/>
                <w:sz w:val="17"/>
              </w:rPr>
              <w:t>RASCI</w:t>
            </w:r>
          </w:p>
        </w:tc>
        <w:tc>
          <w:tcPr>
            <w:tcW w:type="dxa" w:w="7254"/>
            <w:shd w:val="clear" w:color="auto" w:fill="E6ECFD"/>
            <w:vAlign w:val="center"/>
          </w:tcPr>
          <w:p>
            <w:pPr>
              <w:spacing w:after="20" w:before="20" w:line="252" w:lineRule="auto"/>
            </w:pPr>
            <w:r/>
            <w:r>
              <w:rPr>
                <w:rFonts w:ascii="Arial" w:hAnsi="Arial"/>
                <w:b w:val="0"/>
                <w:i w:val="0"/>
                <w:sz w:val="17"/>
              </w:rPr>
              <w:t>Responsible, Accountable, Support, Consulted, Informed.</w:t>
            </w:r>
          </w:p>
        </w:tc>
      </w:tr>
      <w:tr>
        <w:trPr>
          <w:cantSplit/>
        </w:trPr>
        <w:tc>
          <w:tcPr>
            <w:tcW w:type="dxa" w:w="2157"/>
            <w:vAlign w:val="center"/>
          </w:tcPr>
          <w:p>
            <w:pPr>
              <w:spacing w:after="20" w:before="20" w:line="252" w:lineRule="auto"/>
            </w:pPr>
            <w:r/>
            <w:r>
              <w:rPr>
                <w:rFonts w:ascii="Arial" w:hAnsi="Arial"/>
                <w:b/>
                <w:i w:val="0"/>
                <w:sz w:val="17"/>
              </w:rPr>
              <w:t>SPV</w:t>
            </w:r>
          </w:p>
        </w:tc>
        <w:tc>
          <w:tcPr>
            <w:tcW w:type="dxa" w:w="7254"/>
            <w:vAlign w:val="center"/>
          </w:tcPr>
          <w:p>
            <w:pPr>
              <w:spacing w:after="20" w:before="20" w:line="252" w:lineRule="auto"/>
            </w:pPr>
            <w:r/>
            <w:r>
              <w:rPr>
                <w:rFonts w:ascii="Arial" w:hAnsi="Arial"/>
                <w:b w:val="0"/>
                <w:i w:val="0"/>
                <w:sz w:val="17"/>
              </w:rPr>
              <w:t>Special purpose vehicle: perusahaan proyek berbadan hukum tersendiri.</w:t>
            </w:r>
          </w:p>
        </w:tc>
      </w:tr>
      <w:tr>
        <w:trPr>
          <w:cantSplit/>
        </w:trPr>
        <w:tc>
          <w:tcPr>
            <w:tcW w:type="dxa" w:w="2157"/>
            <w:shd w:val="clear" w:color="auto" w:fill="E6ECFD"/>
            <w:vAlign w:val="center"/>
          </w:tcPr>
          <w:p>
            <w:pPr>
              <w:spacing w:after="20" w:before="20" w:line="252" w:lineRule="auto"/>
            </w:pPr>
            <w:r/>
            <w:r>
              <w:rPr>
                <w:rFonts w:ascii="Arial" w:hAnsi="Arial"/>
                <w:b/>
                <w:i w:val="0"/>
                <w:sz w:val="17"/>
              </w:rPr>
              <w:t>TKDN</w:t>
            </w:r>
          </w:p>
        </w:tc>
        <w:tc>
          <w:tcPr>
            <w:tcW w:type="dxa" w:w="7254"/>
            <w:shd w:val="clear" w:color="auto" w:fill="E6ECFD"/>
            <w:vAlign w:val="center"/>
          </w:tcPr>
          <w:p>
            <w:pPr>
              <w:spacing w:after="20" w:before="20" w:line="252" w:lineRule="auto"/>
            </w:pPr>
            <w:r/>
            <w:r>
              <w:rPr>
                <w:rFonts w:ascii="Arial" w:hAnsi="Arial"/>
                <w:b w:val="0"/>
                <w:i w:val="0"/>
                <w:sz w:val="17"/>
              </w:rPr>
              <w:t>Tingkat komponen dalam negeri.</w:t>
            </w:r>
          </w:p>
        </w:tc>
      </w:tr>
      <w:tr>
        <w:trPr>
          <w:cantSplit/>
        </w:trPr>
        <w:tc>
          <w:tcPr>
            <w:tcW w:type="dxa" w:w="2157"/>
            <w:vAlign w:val="center"/>
          </w:tcPr>
          <w:p>
            <w:pPr>
              <w:spacing w:after="20" w:before="20" w:line="252" w:lineRule="auto"/>
            </w:pPr>
            <w:r/>
            <w:r>
              <w:rPr>
                <w:rFonts w:ascii="Arial" w:hAnsi="Arial"/>
                <w:b/>
                <w:i w:val="0"/>
                <w:sz w:val="17"/>
              </w:rPr>
              <w:t>TPDM / PPDM / PIM</w:t>
            </w:r>
          </w:p>
        </w:tc>
        <w:tc>
          <w:tcPr>
            <w:tcW w:type="dxa" w:w="7254"/>
            <w:vAlign w:val="center"/>
          </w:tcPr>
          <w:p>
            <w:pPr>
              <w:spacing w:after="20" w:before="20" w:line="252" w:lineRule="auto"/>
            </w:pPr>
            <w:r/>
            <w:r>
              <w:rPr>
                <w:rFonts w:ascii="Arial" w:hAnsi="Arial"/>
                <w:b w:val="0"/>
                <w:i w:val="0"/>
                <w:sz w:val="17"/>
              </w:rPr>
              <w:t>Mobilisasi swasta langsung pada pembiayaan awal / pada pembiayaan berikutnya / mobilisasi tidak langsung (metodologi MDB).</w:t>
            </w:r>
          </w:p>
        </w:tc>
      </w:tr>
      <w:tr>
        <w:trPr>
          <w:cantSplit/>
        </w:trPr>
        <w:tc>
          <w:tcPr>
            <w:tcW w:type="dxa" w:w="2157"/>
            <w:shd w:val="clear" w:color="auto" w:fill="E6ECFD"/>
            <w:vAlign w:val="center"/>
          </w:tcPr>
          <w:p>
            <w:pPr>
              <w:spacing w:after="20" w:before="20" w:line="252" w:lineRule="auto"/>
            </w:pPr>
            <w:r/>
            <w:r>
              <w:rPr>
                <w:rFonts w:ascii="Arial" w:hAnsi="Arial"/>
                <w:b/>
                <w:i w:val="0"/>
                <w:sz w:val="17"/>
              </w:rPr>
              <w:t>UKM / UMKM</w:t>
            </w:r>
          </w:p>
        </w:tc>
        <w:tc>
          <w:tcPr>
            <w:tcW w:type="dxa" w:w="7254"/>
            <w:shd w:val="clear" w:color="auto" w:fill="E6ECFD"/>
            <w:vAlign w:val="center"/>
          </w:tcPr>
          <w:p>
            <w:pPr>
              <w:spacing w:after="20" w:before="20" w:line="252" w:lineRule="auto"/>
            </w:pPr>
            <w:r/>
            <w:r>
              <w:rPr>
                <w:rFonts w:ascii="Arial" w:hAnsi="Arial"/>
                <w:b w:val="0"/>
                <w:i w:val="0"/>
                <w:sz w:val="17"/>
              </w:rPr>
              <w:t>Usaha (mikro,) kecil, dan menengah.</w:t>
            </w:r>
          </w:p>
        </w:tc>
      </w:tr>
      <w:tr>
        <w:trPr>
          <w:cantSplit/>
        </w:trPr>
        <w:tc>
          <w:tcPr>
            <w:tcW w:type="dxa" w:w="2157"/>
            <w:vAlign w:val="center"/>
          </w:tcPr>
          <w:p>
            <w:pPr>
              <w:spacing w:after="20" w:before="20" w:line="252" w:lineRule="auto"/>
            </w:pPr>
            <w:r/>
            <w:r>
              <w:rPr>
                <w:rFonts w:ascii="Arial" w:hAnsi="Arial"/>
                <w:b/>
                <w:i w:val="0"/>
                <w:sz w:val="17"/>
              </w:rPr>
              <w:t>VO</w:t>
            </w:r>
          </w:p>
        </w:tc>
        <w:tc>
          <w:tcPr>
            <w:tcW w:type="dxa" w:w="7254"/>
            <w:vAlign w:val="center"/>
          </w:tcPr>
          <w:p>
            <w:pPr>
              <w:spacing w:after="20" w:before="20" w:line="252" w:lineRule="auto"/>
            </w:pPr>
            <w:r/>
            <w:r>
              <w:rPr>
                <w:rFonts w:ascii="Arial" w:hAnsi="Arial"/>
                <w:b w:val="0"/>
                <w:i w:val="0"/>
                <w:sz w:val="17"/>
              </w:rPr>
              <w:t>Variation order: perubahan lingkup yang disetujui pemberi kerja.</w:t>
            </w:r>
          </w:p>
        </w:tc>
      </w:tr>
      <w:tr>
        <w:trPr>
          <w:cantSplit/>
        </w:trPr>
        <w:tc>
          <w:tcPr>
            <w:tcW w:type="dxa" w:w="2157"/>
            <w:shd w:val="clear" w:color="auto" w:fill="E6ECFD"/>
            <w:vAlign w:val="center"/>
          </w:tcPr>
          <w:p>
            <w:pPr>
              <w:spacing w:after="20" w:before="20" w:line="252" w:lineRule="auto"/>
            </w:pPr>
            <w:r/>
            <w:r>
              <w:rPr>
                <w:rFonts w:ascii="Arial" w:hAnsi="Arial"/>
                <w:b/>
                <w:i w:val="0"/>
                <w:sz w:val="17"/>
              </w:rPr>
              <w:t>CP</w:t>
            </w:r>
          </w:p>
        </w:tc>
        <w:tc>
          <w:tcPr>
            <w:tcW w:type="dxa" w:w="7254"/>
            <w:shd w:val="clear" w:color="auto" w:fill="E6ECFD"/>
            <w:vAlign w:val="center"/>
          </w:tcPr>
          <w:p>
            <w:pPr>
              <w:spacing w:after="20" w:before="20" w:line="252" w:lineRule="auto"/>
            </w:pPr>
            <w:r/>
            <w:r>
              <w:rPr>
                <w:rFonts w:ascii="Arial" w:hAnsi="Arial"/>
                <w:b w:val="0"/>
                <w:i w:val="0"/>
                <w:sz w:val="17"/>
              </w:rPr>
              <w:t>Conditions precedent: syarat pendahuluan sebelum penarikan dana.</w:t>
            </w:r>
          </w:p>
        </w:tc>
      </w:tr>
      <w:tr>
        <w:trPr>
          <w:cantSplit/>
        </w:trPr>
        <w:tc>
          <w:tcPr>
            <w:tcW w:type="dxa" w:w="2157"/>
            <w:vAlign w:val="center"/>
          </w:tcPr>
          <w:p>
            <w:pPr>
              <w:spacing w:after="20" w:before="20" w:line="252" w:lineRule="auto"/>
            </w:pPr>
            <w:r/>
            <w:r>
              <w:rPr>
                <w:rFonts w:ascii="Arial" w:hAnsi="Arial"/>
                <w:b/>
                <w:i w:val="0"/>
                <w:sz w:val="17"/>
              </w:rPr>
              <w:t>GPU</w:t>
            </w:r>
          </w:p>
        </w:tc>
        <w:tc>
          <w:tcPr>
            <w:tcW w:type="dxa" w:w="7254"/>
            <w:vAlign w:val="center"/>
          </w:tcPr>
          <w:p>
            <w:pPr>
              <w:spacing w:after="20" w:before="20" w:line="252" w:lineRule="auto"/>
            </w:pPr>
            <w:r/>
            <w:r>
              <w:rPr>
                <w:rFonts w:ascii="Arial" w:hAnsi="Arial"/>
                <w:b w:val="0"/>
                <w:i w:val="0"/>
                <w:sz w:val="17"/>
              </w:rPr>
              <w:t>Graphics processing unit; perangkat komputasi untuk model AI.</w:t>
            </w:r>
          </w:p>
        </w:tc>
      </w:tr>
      <w:tr>
        <w:trPr>
          <w:cantSplit/>
        </w:trPr>
        <w:tc>
          <w:tcPr>
            <w:tcW w:type="dxa" w:w="2157"/>
            <w:shd w:val="clear" w:color="auto" w:fill="E6ECFD"/>
            <w:vAlign w:val="center"/>
          </w:tcPr>
          <w:p>
            <w:pPr>
              <w:spacing w:after="20" w:before="20" w:line="252" w:lineRule="auto"/>
            </w:pPr>
            <w:r/>
            <w:r>
              <w:rPr>
                <w:rFonts w:ascii="Arial" w:hAnsi="Arial"/>
                <w:b/>
                <w:i w:val="0"/>
                <w:sz w:val="17"/>
              </w:rPr>
              <w:t>LD</w:t>
            </w:r>
          </w:p>
        </w:tc>
        <w:tc>
          <w:tcPr>
            <w:tcW w:type="dxa" w:w="7254"/>
            <w:shd w:val="clear" w:color="auto" w:fill="E6ECFD"/>
            <w:vAlign w:val="center"/>
          </w:tcPr>
          <w:p>
            <w:pPr>
              <w:spacing w:after="20" w:before="20" w:line="252" w:lineRule="auto"/>
            </w:pPr>
            <w:r/>
            <w:r>
              <w:rPr>
                <w:rFonts w:ascii="Arial" w:hAnsi="Arial"/>
                <w:b w:val="0"/>
                <w:i w:val="0"/>
                <w:sz w:val="17"/>
              </w:rPr>
              <w:t>Liquidated damages: denda keterlambatan yang disepakati dalam kontrak.</w:t>
            </w:r>
          </w:p>
        </w:tc>
      </w:tr>
      <w:tr>
        <w:trPr>
          <w:cantSplit/>
        </w:trPr>
        <w:tc>
          <w:tcPr>
            <w:tcW w:type="dxa" w:w="2157"/>
            <w:vAlign w:val="center"/>
          </w:tcPr>
          <w:p>
            <w:pPr>
              <w:spacing w:after="20" w:before="20" w:line="252" w:lineRule="auto"/>
            </w:pPr>
            <w:r/>
            <w:r>
              <w:rPr>
                <w:rFonts w:ascii="Arial" w:hAnsi="Arial"/>
                <w:b/>
                <w:i w:val="0"/>
                <w:sz w:val="17"/>
              </w:rPr>
              <w:t>MD</w:t>
            </w:r>
          </w:p>
        </w:tc>
        <w:tc>
          <w:tcPr>
            <w:tcW w:type="dxa" w:w="7254"/>
            <w:vAlign w:val="center"/>
          </w:tcPr>
          <w:p>
            <w:pPr>
              <w:spacing w:after="20" w:before="20" w:line="252" w:lineRule="auto"/>
            </w:pPr>
            <w:r/>
            <w:r>
              <w:rPr>
                <w:rFonts w:ascii="Arial" w:hAnsi="Arial"/>
                <w:b w:val="0"/>
                <w:i w:val="0"/>
                <w:sz w:val="17"/>
              </w:rPr>
              <w:t>Managing Director pada unit Industri Strategis.</w:t>
            </w:r>
          </w:p>
        </w:tc>
      </w:tr>
      <w:tr>
        <w:trPr>
          <w:cantSplit/>
        </w:trPr>
        <w:tc>
          <w:tcPr>
            <w:tcW w:type="dxa" w:w="2157"/>
            <w:shd w:val="clear" w:color="auto" w:fill="E6ECFD"/>
            <w:vAlign w:val="center"/>
          </w:tcPr>
          <w:p>
            <w:pPr>
              <w:spacing w:after="20" w:before="20" w:line="252" w:lineRule="auto"/>
            </w:pPr>
            <w:r/>
            <w:r>
              <w:rPr>
                <w:rFonts w:ascii="Arial" w:hAnsi="Arial"/>
                <w:b/>
                <w:i w:val="0"/>
                <w:sz w:val="17"/>
              </w:rPr>
              <w:t>MVP</w:t>
            </w:r>
          </w:p>
        </w:tc>
        <w:tc>
          <w:tcPr>
            <w:tcW w:type="dxa" w:w="7254"/>
            <w:shd w:val="clear" w:color="auto" w:fill="E6ECFD"/>
            <w:vAlign w:val="center"/>
          </w:tcPr>
          <w:p>
            <w:pPr>
              <w:spacing w:after="20" w:before="20" w:line="252" w:lineRule="auto"/>
            </w:pPr>
            <w:r/>
            <w:r>
              <w:rPr>
                <w:rFonts w:ascii="Arial" w:hAnsi="Arial"/>
                <w:b w:val="0"/>
                <w:i w:val="0"/>
                <w:sz w:val="17"/>
              </w:rPr>
              <w:t>Minimum viable product: produk awal AI yang diuji pada 2–3 proyek (hanya dipakai untuk AI).</w:t>
            </w:r>
          </w:p>
        </w:tc>
      </w:tr>
      <w:tr>
        <w:trPr>
          <w:cantSplit/>
        </w:trPr>
        <w:tc>
          <w:tcPr>
            <w:tcW w:type="dxa" w:w="2157"/>
            <w:vAlign w:val="center"/>
          </w:tcPr>
          <w:p>
            <w:pPr>
              <w:spacing w:after="20" w:before="20" w:line="252" w:lineRule="auto"/>
            </w:pPr>
            <w:r/>
            <w:r>
              <w:rPr>
                <w:rFonts w:ascii="Arial" w:hAnsi="Arial"/>
                <w:b/>
                <w:i w:val="0"/>
                <w:sz w:val="17"/>
              </w:rPr>
              <w:t>ORAT</w:t>
            </w:r>
          </w:p>
        </w:tc>
        <w:tc>
          <w:tcPr>
            <w:tcW w:type="dxa" w:w="7254"/>
            <w:vAlign w:val="center"/>
          </w:tcPr>
          <w:p>
            <w:pPr>
              <w:spacing w:after="20" w:before="20" w:line="252" w:lineRule="auto"/>
            </w:pPr>
            <w:r/>
            <w:r>
              <w:rPr>
                <w:rFonts w:ascii="Arial" w:hAnsi="Arial"/>
                <w:b w:val="0"/>
                <w:i w:val="0"/>
                <w:sz w:val="17"/>
              </w:rPr>
              <w:t>Operational readiness and assurance testing: kesiapan operasi setelah serah terima.</w:t>
            </w:r>
          </w:p>
        </w:tc>
      </w:tr>
      <w:tr>
        <w:trPr>
          <w:cantSplit/>
        </w:trPr>
        <w:tc>
          <w:tcPr>
            <w:tcW w:type="dxa" w:w="2157"/>
            <w:shd w:val="clear" w:color="auto" w:fill="E6ECFD"/>
            <w:vAlign w:val="center"/>
          </w:tcPr>
          <w:p>
            <w:pPr>
              <w:spacing w:after="20" w:before="20" w:line="252" w:lineRule="auto"/>
            </w:pPr>
            <w:r/>
            <w:r>
              <w:rPr>
                <w:rFonts w:ascii="Arial" w:hAnsi="Arial"/>
                <w:b/>
                <w:i w:val="0"/>
                <w:sz w:val="17"/>
              </w:rPr>
              <w:t>PPA</w:t>
            </w:r>
          </w:p>
        </w:tc>
        <w:tc>
          <w:tcPr>
            <w:tcW w:type="dxa" w:w="7254"/>
            <w:shd w:val="clear" w:color="auto" w:fill="E6ECFD"/>
            <w:vAlign w:val="center"/>
          </w:tcPr>
          <w:p>
            <w:pPr>
              <w:spacing w:after="20" w:before="20" w:line="252" w:lineRule="auto"/>
            </w:pPr>
            <w:r/>
            <w:r>
              <w:rPr>
                <w:rFonts w:ascii="Arial" w:hAnsi="Arial"/>
                <w:b w:val="0"/>
                <w:i w:val="0"/>
                <w:sz w:val="17"/>
              </w:rPr>
              <w:t>Power purchase agreement: perjanjian jual beli listrik.</w:t>
            </w:r>
          </w:p>
        </w:tc>
      </w:tr>
      <w:tr>
        <w:trPr>
          <w:cantSplit/>
        </w:trPr>
        <w:tc>
          <w:tcPr>
            <w:tcW w:type="dxa" w:w="2157"/>
            <w:vAlign w:val="center"/>
          </w:tcPr>
          <w:p>
            <w:pPr>
              <w:spacing w:after="20" w:before="20" w:line="252" w:lineRule="auto"/>
            </w:pPr>
            <w:r/>
            <w:r>
              <w:rPr>
                <w:rFonts w:ascii="Arial" w:hAnsi="Arial"/>
                <w:b/>
                <w:i w:val="0"/>
                <w:sz w:val="17"/>
              </w:rPr>
              <w:t>PSEL</w:t>
            </w:r>
          </w:p>
        </w:tc>
        <w:tc>
          <w:tcPr>
            <w:tcW w:type="dxa" w:w="7254"/>
            <w:vAlign w:val="center"/>
          </w:tcPr>
          <w:p>
            <w:pPr>
              <w:spacing w:after="20" w:before="20" w:line="252" w:lineRule="auto"/>
            </w:pPr>
            <w:r/>
            <w:r>
              <w:rPr>
                <w:rFonts w:ascii="Arial" w:hAnsi="Arial"/>
                <w:b w:val="0"/>
                <w:i w:val="0"/>
                <w:sz w:val="17"/>
              </w:rPr>
              <w:t>Pengolahan sampah menjadi energi.</w:t>
            </w:r>
          </w:p>
        </w:tc>
      </w:tr>
      <w:tr>
        <w:trPr>
          <w:cantSplit/>
        </w:trPr>
        <w:tc>
          <w:tcPr>
            <w:tcW w:type="dxa" w:w="2157"/>
            <w:shd w:val="clear" w:color="auto" w:fill="E6ECFD"/>
            <w:vAlign w:val="center"/>
          </w:tcPr>
          <w:p>
            <w:pPr>
              <w:spacing w:after="20" w:before="20" w:line="252" w:lineRule="auto"/>
            </w:pPr>
            <w:r/>
            <w:r>
              <w:rPr>
                <w:rFonts w:ascii="Arial" w:hAnsi="Arial"/>
                <w:b/>
                <w:i w:val="0"/>
                <w:sz w:val="17"/>
              </w:rPr>
              <w:t>RKAP</w:t>
            </w:r>
          </w:p>
        </w:tc>
        <w:tc>
          <w:tcPr>
            <w:tcW w:type="dxa" w:w="7254"/>
            <w:shd w:val="clear" w:color="auto" w:fill="E6ECFD"/>
            <w:vAlign w:val="center"/>
          </w:tcPr>
          <w:p>
            <w:pPr>
              <w:spacing w:after="20" w:before="20" w:line="252" w:lineRule="auto"/>
            </w:pPr>
            <w:r/>
            <w:r>
              <w:rPr>
                <w:rFonts w:ascii="Arial" w:hAnsi="Arial"/>
                <w:b w:val="0"/>
                <w:i w:val="0"/>
                <w:sz w:val="17"/>
              </w:rPr>
              <w:t>Rencana kerja dan anggaran perusahaan.</w:t>
            </w:r>
          </w:p>
        </w:tc>
      </w:tr>
      <w:tr>
        <w:trPr>
          <w:cantSplit/>
        </w:trPr>
        <w:tc>
          <w:tcPr>
            <w:tcW w:type="dxa" w:w="2157"/>
            <w:vAlign w:val="center"/>
          </w:tcPr>
          <w:p>
            <w:pPr>
              <w:spacing w:after="20" w:before="20" w:line="252" w:lineRule="auto"/>
            </w:pPr>
            <w:r/>
            <w:r>
              <w:rPr>
                <w:rFonts w:ascii="Arial" w:hAnsi="Arial"/>
                <w:b/>
                <w:i w:val="0"/>
                <w:sz w:val="17"/>
              </w:rPr>
              <w:t>UAT</w:t>
            </w:r>
          </w:p>
        </w:tc>
        <w:tc>
          <w:tcPr>
            <w:tcW w:type="dxa" w:w="7254"/>
            <w:vAlign w:val="center"/>
          </w:tcPr>
          <w:p>
            <w:pPr>
              <w:spacing w:after="20" w:before="20" w:line="252" w:lineRule="auto"/>
            </w:pPr>
            <w:r/>
            <w:r>
              <w:rPr>
                <w:rFonts w:ascii="Arial" w:hAnsi="Arial"/>
                <w:b w:val="0"/>
                <w:i w:val="0"/>
                <w:sz w:val="17"/>
              </w:rPr>
              <w:t>User acceptance test: uji penerimaan pengguna.</w:t>
            </w:r>
          </w:p>
        </w:tc>
      </w:tr>
      <w:tr>
        <w:trPr>
          <w:cantSplit/>
        </w:trPr>
        <w:tc>
          <w:tcPr>
            <w:tcW w:type="dxa" w:w="2157"/>
            <w:shd w:val="clear" w:color="auto" w:fill="E6ECFD"/>
            <w:vAlign w:val="center"/>
          </w:tcPr>
          <w:p>
            <w:pPr>
              <w:spacing w:after="20" w:before="20" w:line="252" w:lineRule="auto"/>
            </w:pPr>
            <w:r/>
            <w:r>
              <w:rPr>
                <w:rFonts w:ascii="Arial" w:hAnsi="Arial"/>
                <w:b/>
                <w:i w:val="0"/>
                <w:sz w:val="17"/>
              </w:rPr>
              <w:t>VGF</w:t>
            </w:r>
          </w:p>
        </w:tc>
        <w:tc>
          <w:tcPr>
            <w:tcW w:type="dxa" w:w="7254"/>
            <w:shd w:val="clear" w:color="auto" w:fill="E6ECFD"/>
            <w:vAlign w:val="center"/>
          </w:tcPr>
          <w:p>
            <w:pPr>
              <w:spacing w:after="20" w:before="20" w:line="252" w:lineRule="auto"/>
            </w:pPr>
            <w:r/>
            <w:r>
              <w:rPr>
                <w:rFonts w:ascii="Arial" w:hAnsi="Arial"/>
                <w:b w:val="0"/>
                <w:i w:val="0"/>
                <w:sz w:val="17"/>
              </w:rPr>
              <w:t>Viability gap funding: hibah kesenjangan kelayakan.</w:t>
            </w:r>
          </w:p>
        </w:tc>
      </w:tr>
      <w:tr>
        <w:trPr>
          <w:cantSplit/>
        </w:trPr>
        <w:tc>
          <w:tcPr>
            <w:tcW w:type="dxa" w:w="2157"/>
            <w:vAlign w:val="center"/>
          </w:tcPr>
          <w:p>
            <w:pPr>
              <w:spacing w:after="20" w:before="20" w:line="252" w:lineRule="auto"/>
            </w:pPr>
            <w:r/>
            <w:r>
              <w:rPr>
                <w:rFonts w:ascii="Arial" w:hAnsi="Arial"/>
                <w:b/>
                <w:i w:val="0"/>
                <w:sz w:val="17"/>
              </w:rPr>
              <w:t>WtE</w:t>
            </w:r>
          </w:p>
        </w:tc>
        <w:tc>
          <w:tcPr>
            <w:tcW w:type="dxa" w:w="7254"/>
            <w:vAlign w:val="center"/>
          </w:tcPr>
          <w:p>
            <w:pPr>
              <w:spacing w:after="20" w:before="20" w:line="252" w:lineRule="auto"/>
            </w:pPr>
            <w:r/>
            <w:r>
              <w:rPr>
                <w:rFonts w:ascii="Arial" w:hAnsi="Arial"/>
                <w:b w:val="0"/>
                <w:i w:val="0"/>
                <w:sz w:val="17"/>
              </w:rPr>
              <w:t>Waste-to-energy; padanan PSEL.</w:t>
            </w:r>
          </w:p>
        </w:tc>
      </w:tr>
    </w:tbl>
    <w:p>
      <w:pPr>
        <w:spacing w:after="40"/>
      </w:pPr>
    </w:p>
    <w:p>
      <w:pPr>
        <w:pStyle w:val="Heading1"/>
      </w:pPr>
      <w:bookmarkStart w:id="20" w:name="_Toc020"/>
      <w:r>
        <w:t>Lampiran B  Templat dasar</w:t>
      </w:r>
      <w:bookmarkEnd w:id="20"/>
    </w:p>
    <w:p>
      <w:pPr>
        <w:jc w:val="both"/>
      </w:pPr>
      <w:r>
        <w:rPr>
          <w:rFonts w:ascii="Arial" w:hAnsi="Arial"/>
          <w:b w:val="0"/>
          <w:i w:val="0"/>
        </w:rPr>
        <w:t>Templat berikut adalah titik awal. Setiap templat diadaptasi pada kebijakan manajemen proyek Danantara dan diisi menurut gerbang.</w:t>
      </w:r>
    </w:p>
    <w:p>
      <w:pPr>
        <w:pStyle w:val="Heading2"/>
      </w:pPr>
      <w:r>
        <w:t>B.1  Piagam proyek</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Isi minimum piagam proyek</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Isi minimum piagam proyek"/>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i w:val="0"/>
                <w:color w:val="FFFFFF"/>
                <w:sz w:val="17"/>
              </w:rPr>
              <w:t>Bagian</w:t>
            </w:r>
          </w:p>
        </w:tc>
        <w:tc>
          <w:tcPr>
            <w:tcW w:type="dxa" w:w="7254"/>
            <w:shd w:val="clear" w:color="auto" w:fill="2251FF"/>
            <w:vAlign w:val="center"/>
          </w:tcPr>
          <w:p>
            <w:pPr>
              <w:spacing w:after="20" w:before="20" w:line="252" w:lineRule="auto"/>
            </w:pPr>
            <w:r/>
            <w:r>
              <w:rPr>
                <w:rFonts w:ascii="Arial" w:hAnsi="Arial"/>
                <w:b/>
                <w:i w:val="0"/>
                <w:color w:val="FFFFFF"/>
                <w:sz w:val="17"/>
              </w:rPr>
              <w:t>Isi</w:t>
            </w:r>
          </w:p>
        </w:tc>
      </w:tr>
      <w:tr>
        <w:trPr>
          <w:cantSplit/>
        </w:trPr>
        <w:tc>
          <w:tcPr>
            <w:tcW w:type="dxa" w:w="2157"/>
            <w:vAlign w:val="center"/>
          </w:tcPr>
          <w:p>
            <w:pPr>
              <w:spacing w:after="20" w:before="20" w:line="252" w:lineRule="auto"/>
            </w:pPr>
            <w:r/>
            <w:r>
              <w:rPr>
                <w:rFonts w:ascii="Arial" w:hAnsi="Arial"/>
                <w:b/>
                <w:i w:val="0"/>
                <w:sz w:val="17"/>
              </w:rPr>
              <w:t>Identitas</w:t>
            </w:r>
          </w:p>
        </w:tc>
        <w:tc>
          <w:tcPr>
            <w:tcW w:type="dxa" w:w="7254"/>
            <w:vAlign w:val="center"/>
          </w:tcPr>
          <w:p>
            <w:pPr>
              <w:spacing w:after="20" w:before="20" w:line="252" w:lineRule="auto"/>
            </w:pPr>
            <w:r/>
            <w:r>
              <w:rPr>
                <w:rFonts w:ascii="Arial" w:hAnsi="Arial"/>
                <w:b w:val="0"/>
                <w:i w:val="0"/>
                <w:sz w:val="17"/>
              </w:rPr>
              <w:t>ID proyek (tunggal), nama, klaster, lokasi, SPV, sponsor, project director, organ perusahaan yang sah</w:t>
            </w:r>
          </w:p>
        </w:tc>
      </w:tr>
      <w:tr>
        <w:trPr>
          <w:cantSplit/>
        </w:trPr>
        <w:tc>
          <w:tcPr>
            <w:tcW w:type="dxa" w:w="2157"/>
            <w:shd w:val="clear" w:color="auto" w:fill="E6ECFD"/>
            <w:vAlign w:val="center"/>
          </w:tcPr>
          <w:p>
            <w:pPr>
              <w:spacing w:after="20" w:before="20" w:line="252" w:lineRule="auto"/>
            </w:pPr>
            <w:r/>
            <w:r>
              <w:rPr>
                <w:rFonts w:ascii="Arial" w:hAnsi="Arial"/>
                <w:b/>
                <w:i w:val="0"/>
                <w:sz w:val="17"/>
              </w:rPr>
              <w:t>Tujuan dan manfaat</w:t>
            </w:r>
          </w:p>
        </w:tc>
        <w:tc>
          <w:tcPr>
            <w:tcW w:type="dxa" w:w="7254"/>
            <w:shd w:val="clear" w:color="auto" w:fill="E6ECFD"/>
            <w:vAlign w:val="center"/>
          </w:tcPr>
          <w:p>
            <w:pPr>
              <w:spacing w:after="20" w:before="20" w:line="252" w:lineRule="auto"/>
            </w:pPr>
            <w:r/>
            <w:r>
              <w:rPr>
                <w:rFonts w:ascii="Arial" w:hAnsi="Arial"/>
                <w:b w:val="0"/>
                <w:i w:val="0"/>
                <w:sz w:val="17"/>
              </w:rPr>
              <w:t>Masalah yang dipecahkan; manfaat terukur dengan pemilik dan baseline; hubungan dengan portofolio dan strategi</w:t>
            </w:r>
          </w:p>
        </w:tc>
      </w:tr>
      <w:tr>
        <w:trPr>
          <w:cantSplit/>
        </w:trPr>
        <w:tc>
          <w:tcPr>
            <w:tcW w:type="dxa" w:w="2157"/>
            <w:vAlign w:val="center"/>
          </w:tcPr>
          <w:p>
            <w:pPr>
              <w:spacing w:after="20" w:before="20" w:line="252" w:lineRule="auto"/>
            </w:pPr>
            <w:r/>
            <w:r>
              <w:rPr>
                <w:rFonts w:ascii="Arial" w:hAnsi="Arial"/>
                <w:b/>
                <w:i w:val="0"/>
                <w:sz w:val="17"/>
              </w:rPr>
              <w:t>Lingkup</w:t>
            </w:r>
          </w:p>
        </w:tc>
        <w:tc>
          <w:tcPr>
            <w:tcW w:type="dxa" w:w="7254"/>
            <w:vAlign w:val="center"/>
          </w:tcPr>
          <w:p>
            <w:pPr>
              <w:spacing w:after="20" w:before="20" w:line="252" w:lineRule="auto"/>
            </w:pPr>
            <w:r/>
            <w:r>
              <w:rPr>
                <w:rFonts w:ascii="Arial" w:hAnsi="Arial"/>
                <w:b w:val="0"/>
                <w:i w:val="0"/>
                <w:sz w:val="17"/>
              </w:rPr>
              <w:t>Batas, keluaran utama, pengecualian, antarmuka; PBS tingkat 1–2</w:t>
            </w:r>
          </w:p>
        </w:tc>
      </w:tr>
      <w:tr>
        <w:trPr>
          <w:cantSplit/>
        </w:trPr>
        <w:tc>
          <w:tcPr>
            <w:tcW w:type="dxa" w:w="2157"/>
            <w:shd w:val="clear" w:color="auto" w:fill="E6ECFD"/>
            <w:vAlign w:val="center"/>
          </w:tcPr>
          <w:p>
            <w:pPr>
              <w:spacing w:after="20" w:before="20" w:line="252" w:lineRule="auto"/>
            </w:pPr>
            <w:r/>
            <w:r>
              <w:rPr>
                <w:rFonts w:ascii="Arial" w:hAnsi="Arial"/>
                <w:b/>
                <w:i w:val="0"/>
                <w:sz w:val="17"/>
              </w:rPr>
              <w:t>Biaya dan pendanaan</w:t>
            </w:r>
          </w:p>
        </w:tc>
        <w:tc>
          <w:tcPr>
            <w:tcW w:type="dxa" w:w="7254"/>
            <w:shd w:val="clear" w:color="auto" w:fill="E6ECFD"/>
            <w:vAlign w:val="center"/>
          </w:tcPr>
          <w:p>
            <w:pPr>
              <w:spacing w:after="20" w:before="20" w:line="252" w:lineRule="auto"/>
            </w:pPr>
            <w:r/>
            <w:r>
              <w:rPr>
                <w:rFonts w:ascii="Arial" w:hAnsi="Arial"/>
                <w:b w:val="0"/>
                <w:i w:val="0"/>
                <w:sz w:val="17"/>
              </w:rPr>
              <w:t>Estimasi dengan kelas dan basis; kontingensi; sumber dana dan status; porsi Danantara</w:t>
            </w:r>
          </w:p>
        </w:tc>
      </w:tr>
      <w:tr>
        <w:trPr>
          <w:cantSplit/>
        </w:trPr>
        <w:tc>
          <w:tcPr>
            <w:tcW w:type="dxa" w:w="2157"/>
            <w:vAlign w:val="center"/>
          </w:tcPr>
          <w:p>
            <w:pPr>
              <w:spacing w:after="20" w:before="20" w:line="252" w:lineRule="auto"/>
            </w:pPr>
            <w:r/>
            <w:r>
              <w:rPr>
                <w:rFonts w:ascii="Arial" w:hAnsi="Arial"/>
                <w:b/>
                <w:i w:val="0"/>
                <w:sz w:val="17"/>
              </w:rPr>
              <w:t>Jadwal</w:t>
            </w:r>
          </w:p>
        </w:tc>
        <w:tc>
          <w:tcPr>
            <w:tcW w:type="dxa" w:w="7254"/>
            <w:vAlign w:val="center"/>
          </w:tcPr>
          <w:p>
            <w:pPr>
              <w:spacing w:after="20" w:before="20" w:line="252" w:lineRule="auto"/>
            </w:pPr>
            <w:r/>
            <w:r>
              <w:rPr>
                <w:rFonts w:ascii="Arial" w:hAnsi="Arial"/>
                <w:b w:val="0"/>
                <w:i w:val="0"/>
                <w:sz w:val="17"/>
              </w:rPr>
              <w:t>Tonggak utama, item lead time panjang, ketergantungan perizinan dan lahan</w:t>
            </w:r>
          </w:p>
        </w:tc>
      </w:tr>
      <w:tr>
        <w:trPr>
          <w:cantSplit/>
        </w:trPr>
        <w:tc>
          <w:tcPr>
            <w:tcW w:type="dxa" w:w="2157"/>
            <w:shd w:val="clear" w:color="auto" w:fill="E6ECFD"/>
            <w:vAlign w:val="center"/>
          </w:tcPr>
          <w:p>
            <w:pPr>
              <w:spacing w:after="20" w:before="20" w:line="252" w:lineRule="auto"/>
            </w:pPr>
            <w:r/>
            <w:r>
              <w:rPr>
                <w:rFonts w:ascii="Arial" w:hAnsi="Arial"/>
                <w:b/>
                <w:i w:val="0"/>
                <w:sz w:val="17"/>
              </w:rPr>
              <w:t>Risiko dan asumsi</w:t>
            </w:r>
          </w:p>
        </w:tc>
        <w:tc>
          <w:tcPr>
            <w:tcW w:type="dxa" w:w="7254"/>
            <w:shd w:val="clear" w:color="auto" w:fill="E6ECFD"/>
            <w:vAlign w:val="center"/>
          </w:tcPr>
          <w:p>
            <w:pPr>
              <w:spacing w:after="20" w:before="20" w:line="252" w:lineRule="auto"/>
            </w:pPr>
            <w:r/>
            <w:r>
              <w:rPr>
                <w:rFonts w:ascii="Arial" w:hAnsi="Arial"/>
                <w:b w:val="0"/>
                <w:i w:val="0"/>
                <w:sz w:val="17"/>
              </w:rPr>
              <w:t>Sepuluh risiko teratas; asumsi kritis; kendala</w:t>
            </w:r>
          </w:p>
        </w:tc>
      </w:tr>
      <w:tr>
        <w:trPr>
          <w:cantSplit/>
        </w:trPr>
        <w:tc>
          <w:tcPr>
            <w:tcW w:type="dxa" w:w="2157"/>
            <w:vAlign w:val="center"/>
          </w:tcPr>
          <w:p>
            <w:pPr>
              <w:spacing w:after="20" w:before="20" w:line="252" w:lineRule="auto"/>
            </w:pPr>
            <w:r/>
            <w:r>
              <w:rPr>
                <w:rFonts w:ascii="Arial" w:hAnsi="Arial"/>
                <w:b/>
                <w:i w:val="0"/>
                <w:sz w:val="17"/>
              </w:rPr>
              <w:t>Pemangku kepentingan</w:t>
            </w:r>
          </w:p>
        </w:tc>
        <w:tc>
          <w:tcPr>
            <w:tcW w:type="dxa" w:w="7254"/>
            <w:vAlign w:val="center"/>
          </w:tcPr>
          <w:p>
            <w:pPr>
              <w:spacing w:after="20" w:before="20" w:line="252" w:lineRule="auto"/>
            </w:pPr>
            <w:r/>
            <w:r>
              <w:rPr>
                <w:rFonts w:ascii="Arial" w:hAnsi="Arial"/>
                <w:b w:val="0"/>
                <w:i w:val="0"/>
                <w:sz w:val="17"/>
              </w:rPr>
              <w:t>Daftar dan strategi pelibatan</w:t>
            </w:r>
          </w:p>
        </w:tc>
      </w:tr>
      <w:tr>
        <w:trPr>
          <w:cantSplit/>
        </w:trPr>
        <w:tc>
          <w:tcPr>
            <w:tcW w:type="dxa" w:w="2157"/>
            <w:shd w:val="clear" w:color="auto" w:fill="E6ECFD"/>
            <w:vAlign w:val="center"/>
          </w:tcPr>
          <w:p>
            <w:pPr>
              <w:spacing w:after="20" w:before="20" w:line="252" w:lineRule="auto"/>
            </w:pPr>
            <w:r/>
            <w:r>
              <w:rPr>
                <w:rFonts w:ascii="Arial" w:hAnsi="Arial"/>
                <w:b/>
                <w:i w:val="0"/>
                <w:sz w:val="17"/>
              </w:rPr>
              <w:t>Tata kelola</w:t>
            </w:r>
          </w:p>
        </w:tc>
        <w:tc>
          <w:tcPr>
            <w:tcW w:type="dxa" w:w="7254"/>
            <w:shd w:val="clear" w:color="auto" w:fill="E6ECFD"/>
            <w:vAlign w:val="center"/>
          </w:tcPr>
          <w:p>
            <w:pPr>
              <w:spacing w:after="20" w:before="20" w:line="252" w:lineRule="auto"/>
            </w:pPr>
            <w:r/>
            <w:r>
              <w:rPr>
                <w:rFonts w:ascii="Arial" w:hAnsi="Arial"/>
                <w:b w:val="0"/>
                <w:i w:val="0"/>
                <w:sz w:val="17"/>
              </w:rPr>
              <w:t>Gerbang, kewenangan, batas toleransi (biaya, waktu, lingkup), pelaporan</w:t>
            </w:r>
          </w:p>
        </w:tc>
      </w:tr>
      <w:tr>
        <w:trPr>
          <w:cantSplit/>
        </w:trPr>
        <w:tc>
          <w:tcPr>
            <w:tcW w:type="dxa" w:w="2157"/>
            <w:vAlign w:val="center"/>
          </w:tcPr>
          <w:p>
            <w:pPr>
              <w:spacing w:after="20" w:before="20" w:line="252" w:lineRule="auto"/>
            </w:pPr>
            <w:r/>
            <w:r>
              <w:rPr>
                <w:rFonts w:ascii="Arial" w:hAnsi="Arial"/>
                <w:b/>
                <w:i w:val="0"/>
                <w:sz w:val="17"/>
              </w:rPr>
              <w:t>Lokalisasi</w:t>
            </w:r>
          </w:p>
        </w:tc>
        <w:tc>
          <w:tcPr>
            <w:tcW w:type="dxa" w:w="7254"/>
            <w:vAlign w:val="center"/>
          </w:tcPr>
          <w:p>
            <w:pPr>
              <w:spacing w:after="20" w:before="20" w:line="252" w:lineRule="auto"/>
            </w:pPr>
            <w:r/>
            <w:r>
              <w:rPr>
                <w:rFonts w:ascii="Arial" w:hAnsi="Arial"/>
                <w:b w:val="0"/>
                <w:i w:val="0"/>
                <w:sz w:val="17"/>
              </w:rPr>
              <w:t>Paket yang dapat dilokalisasi; calon pemasok; target gerbang S</w:t>
            </w:r>
          </w:p>
        </w:tc>
      </w:tr>
      <w:tr>
        <w:trPr>
          <w:cantSplit/>
        </w:trPr>
        <w:tc>
          <w:tcPr>
            <w:tcW w:type="dxa" w:w="2157"/>
            <w:shd w:val="clear" w:color="auto" w:fill="E6ECFD"/>
            <w:vAlign w:val="center"/>
          </w:tcPr>
          <w:p>
            <w:pPr>
              <w:spacing w:after="20" w:before="20" w:line="252" w:lineRule="auto"/>
            </w:pPr>
            <w:r/>
            <w:r>
              <w:rPr>
                <w:rFonts w:ascii="Arial" w:hAnsi="Arial"/>
                <w:b/>
                <w:i w:val="0"/>
                <w:sz w:val="17"/>
              </w:rPr>
              <w:t>Persetujuan</w:t>
            </w:r>
          </w:p>
        </w:tc>
        <w:tc>
          <w:tcPr>
            <w:tcW w:type="dxa" w:w="7254"/>
            <w:shd w:val="clear" w:color="auto" w:fill="E6ECFD"/>
            <w:vAlign w:val="center"/>
          </w:tcPr>
          <w:p>
            <w:pPr>
              <w:spacing w:after="20" w:before="20" w:line="252" w:lineRule="auto"/>
            </w:pPr>
            <w:r/>
            <w:r>
              <w:rPr>
                <w:rFonts w:ascii="Arial" w:hAnsi="Arial"/>
                <w:b w:val="0"/>
                <w:i w:val="0"/>
                <w:sz w:val="17"/>
              </w:rPr>
              <w:t>Tanda tangan sponsor, organ sah; tanggal; versi</w:t>
            </w:r>
          </w:p>
        </w:tc>
      </w:tr>
    </w:tbl>
    <w:p>
      <w:pPr>
        <w:spacing w:after="40"/>
      </w:pPr>
    </w:p>
    <w:p>
      <w:pPr>
        <w:pStyle w:val="Heading2"/>
      </w:pPr>
      <w:r>
        <w:t>B.2  Register risiko</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33</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Kolom register risiko dan contoh baris</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Kolom register risiko dan contoh baris"/>
      </w:tblPr>
      <w:tblGrid>
        <w:gridCol w:w="3137"/>
        <w:gridCol w:w="3137"/>
        <w:gridCol w:w="3137"/>
      </w:tblGrid>
      <w:tr>
        <w:trPr>
          <w:cantSplit/>
          <w:tblHeader/>
        </w:trPr>
        <w:tc>
          <w:tcPr>
            <w:tcW w:type="dxa" w:w="1961"/>
            <w:shd w:val="clear" w:color="auto" w:fill="2251FF"/>
            <w:vAlign w:val="center"/>
          </w:tcPr>
          <w:p>
            <w:pPr>
              <w:spacing w:after="20" w:before="20" w:line="252" w:lineRule="auto"/>
            </w:pPr>
            <w:r/>
            <w:r>
              <w:rPr>
                <w:rFonts w:ascii="Arial" w:hAnsi="Arial"/>
                <w:b/>
                <w:i w:val="0"/>
                <w:color w:val="FFFFFF"/>
                <w:sz w:val="17"/>
              </w:rPr>
              <w:t>Kolom</w:t>
            </w:r>
          </w:p>
        </w:tc>
        <w:tc>
          <w:tcPr>
            <w:tcW w:type="dxa" w:w="3921"/>
            <w:shd w:val="clear" w:color="auto" w:fill="2251FF"/>
            <w:vAlign w:val="center"/>
          </w:tcPr>
          <w:p>
            <w:pPr>
              <w:spacing w:after="20" w:before="20" w:line="252" w:lineRule="auto"/>
            </w:pPr>
            <w:r/>
            <w:r>
              <w:rPr>
                <w:rFonts w:ascii="Arial" w:hAnsi="Arial"/>
                <w:b/>
                <w:i w:val="0"/>
                <w:color w:val="FFFFFF"/>
                <w:sz w:val="17"/>
              </w:rPr>
              <w:t>Isi</w:t>
            </w:r>
          </w:p>
        </w:tc>
        <w:tc>
          <w:tcPr>
            <w:tcW w:type="dxa" w:w="3529"/>
            <w:shd w:val="clear" w:color="auto" w:fill="2251FF"/>
            <w:vAlign w:val="center"/>
          </w:tcPr>
          <w:p>
            <w:pPr>
              <w:spacing w:after="20" w:before="20" w:line="252" w:lineRule="auto"/>
            </w:pPr>
            <w:r/>
            <w:r>
              <w:rPr>
                <w:rFonts w:ascii="Arial" w:hAnsi="Arial"/>
                <w:b/>
                <w:i w:val="0"/>
                <w:color w:val="FFFFFF"/>
                <w:sz w:val="17"/>
              </w:rPr>
              <w:t>Contoh</w:t>
            </w:r>
          </w:p>
        </w:tc>
      </w:tr>
      <w:tr>
        <w:trPr>
          <w:cantSplit/>
        </w:trPr>
        <w:tc>
          <w:tcPr>
            <w:tcW w:type="dxa" w:w="1961"/>
            <w:vAlign w:val="center"/>
          </w:tcPr>
          <w:p>
            <w:pPr>
              <w:spacing w:after="20" w:before="20" w:line="252" w:lineRule="auto"/>
            </w:pPr>
            <w:r/>
            <w:r>
              <w:rPr>
                <w:rFonts w:ascii="Arial" w:hAnsi="Arial"/>
                <w:b/>
                <w:i w:val="0"/>
                <w:sz w:val="17"/>
              </w:rPr>
              <w:t>ID</w:t>
            </w:r>
          </w:p>
        </w:tc>
        <w:tc>
          <w:tcPr>
            <w:tcW w:type="dxa" w:w="3921"/>
            <w:vAlign w:val="center"/>
          </w:tcPr>
          <w:p>
            <w:pPr>
              <w:spacing w:after="20" w:before="20" w:line="252" w:lineRule="auto"/>
            </w:pPr>
            <w:r/>
            <w:r>
              <w:rPr>
                <w:rFonts w:ascii="Arial" w:hAnsi="Arial"/>
                <w:b w:val="0"/>
                <w:i w:val="0"/>
                <w:sz w:val="17"/>
              </w:rPr>
              <w:t>Nomor unik</w:t>
            </w:r>
          </w:p>
        </w:tc>
        <w:tc>
          <w:tcPr>
            <w:tcW w:type="dxa" w:w="3529"/>
            <w:vAlign w:val="center"/>
          </w:tcPr>
          <w:p>
            <w:pPr>
              <w:spacing w:after="20" w:before="20" w:line="252" w:lineRule="auto"/>
            </w:pPr>
            <w:r/>
            <w:r>
              <w:rPr>
                <w:rFonts w:ascii="Arial" w:hAnsi="Arial"/>
                <w:b w:val="0"/>
                <w:i w:val="0"/>
                <w:sz w:val="17"/>
              </w:rPr>
              <w:t>R-014</w:t>
            </w:r>
          </w:p>
        </w:tc>
      </w:tr>
      <w:tr>
        <w:trPr>
          <w:cantSplit/>
        </w:trPr>
        <w:tc>
          <w:tcPr>
            <w:tcW w:type="dxa" w:w="1961"/>
            <w:shd w:val="clear" w:color="auto" w:fill="E6ECFD"/>
            <w:vAlign w:val="center"/>
          </w:tcPr>
          <w:p>
            <w:pPr>
              <w:spacing w:after="20" w:before="20" w:line="252" w:lineRule="auto"/>
            </w:pPr>
            <w:r/>
            <w:r>
              <w:rPr>
                <w:rFonts w:ascii="Arial" w:hAnsi="Arial"/>
                <w:b/>
                <w:i w:val="0"/>
                <w:sz w:val="17"/>
              </w:rPr>
              <w:t>Pernyataan risiko</w:t>
            </w:r>
          </w:p>
        </w:tc>
        <w:tc>
          <w:tcPr>
            <w:tcW w:type="dxa" w:w="3921"/>
            <w:shd w:val="clear" w:color="auto" w:fill="E6ECFD"/>
            <w:vAlign w:val="center"/>
          </w:tcPr>
          <w:p>
            <w:pPr>
              <w:spacing w:after="20" w:before="20" w:line="252" w:lineRule="auto"/>
            </w:pPr>
            <w:r/>
            <w:r>
              <w:rPr>
                <w:rFonts w:ascii="Arial" w:hAnsi="Arial"/>
                <w:b w:val="0"/>
                <w:i w:val="0"/>
                <w:sz w:val="17"/>
              </w:rPr>
              <w:t>Penyebab → peristiwa → akibat</w:t>
            </w:r>
          </w:p>
        </w:tc>
        <w:tc>
          <w:tcPr>
            <w:tcW w:type="dxa" w:w="3529"/>
            <w:shd w:val="clear" w:color="auto" w:fill="E6ECFD"/>
            <w:vAlign w:val="center"/>
          </w:tcPr>
          <w:p>
            <w:pPr>
              <w:spacing w:after="20" w:before="20" w:line="252" w:lineRule="auto"/>
            </w:pPr>
            <w:r/>
            <w:r>
              <w:rPr>
                <w:rFonts w:ascii="Arial" w:hAnsi="Arial"/>
                <w:b w:val="0"/>
                <w:i w:val="0"/>
                <w:sz w:val="17"/>
              </w:rPr>
              <w:t>Karena lead time baja kelas maritim 24 minggu, kedatangan terlambat, memundurkan peletakan lunas</w:t>
            </w:r>
          </w:p>
        </w:tc>
      </w:tr>
      <w:tr>
        <w:trPr>
          <w:cantSplit/>
        </w:trPr>
        <w:tc>
          <w:tcPr>
            <w:tcW w:type="dxa" w:w="1961"/>
            <w:vAlign w:val="center"/>
          </w:tcPr>
          <w:p>
            <w:pPr>
              <w:spacing w:after="20" w:before="20" w:line="252" w:lineRule="auto"/>
            </w:pPr>
            <w:r/>
            <w:r>
              <w:rPr>
                <w:rFonts w:ascii="Arial" w:hAnsi="Arial"/>
                <w:b/>
                <w:i w:val="0"/>
                <w:sz w:val="17"/>
              </w:rPr>
              <w:t>Kategori</w:t>
            </w:r>
          </w:p>
        </w:tc>
        <w:tc>
          <w:tcPr>
            <w:tcW w:type="dxa" w:w="3921"/>
            <w:vAlign w:val="center"/>
          </w:tcPr>
          <w:p>
            <w:pPr>
              <w:spacing w:after="20" w:before="20" w:line="252" w:lineRule="auto"/>
            </w:pPr>
            <w:r/>
            <w:r>
              <w:rPr>
                <w:rFonts w:ascii="Arial" w:hAnsi="Arial"/>
                <w:b w:val="0"/>
                <w:i w:val="0"/>
                <w:sz w:val="17"/>
              </w:rPr>
              <w:t>Teknis, biaya, jadwal, kontrak, pasokan, pembiayaan, hukum, K3</w:t>
            </w:r>
          </w:p>
        </w:tc>
        <w:tc>
          <w:tcPr>
            <w:tcW w:type="dxa" w:w="3529"/>
            <w:vAlign w:val="center"/>
          </w:tcPr>
          <w:p>
            <w:pPr>
              <w:spacing w:after="20" w:before="20" w:line="252" w:lineRule="auto"/>
            </w:pPr>
            <w:r/>
            <w:r>
              <w:rPr>
                <w:rFonts w:ascii="Arial" w:hAnsi="Arial"/>
                <w:b w:val="0"/>
                <w:i w:val="0"/>
                <w:sz w:val="17"/>
              </w:rPr>
              <w:t>Pasokan</w:t>
            </w:r>
          </w:p>
        </w:tc>
      </w:tr>
      <w:tr>
        <w:trPr>
          <w:cantSplit/>
        </w:trPr>
        <w:tc>
          <w:tcPr>
            <w:tcW w:type="dxa" w:w="1961"/>
            <w:shd w:val="clear" w:color="auto" w:fill="E6ECFD"/>
            <w:vAlign w:val="center"/>
          </w:tcPr>
          <w:p>
            <w:pPr>
              <w:spacing w:after="20" w:before="20" w:line="252" w:lineRule="auto"/>
            </w:pPr>
            <w:r/>
            <w:r>
              <w:rPr>
                <w:rFonts w:ascii="Arial" w:hAnsi="Arial"/>
                <w:b/>
                <w:i w:val="0"/>
                <w:sz w:val="17"/>
              </w:rPr>
              <w:t>Probabilitas / dampak</w:t>
            </w:r>
          </w:p>
        </w:tc>
        <w:tc>
          <w:tcPr>
            <w:tcW w:type="dxa" w:w="3921"/>
            <w:shd w:val="clear" w:color="auto" w:fill="E6ECFD"/>
            <w:vAlign w:val="center"/>
          </w:tcPr>
          <w:p>
            <w:pPr>
              <w:spacing w:after="20" w:before="20" w:line="252" w:lineRule="auto"/>
            </w:pPr>
            <w:r/>
            <w:r>
              <w:rPr>
                <w:rFonts w:ascii="Arial" w:hAnsi="Arial"/>
                <w:b w:val="0"/>
                <w:i w:val="0"/>
                <w:sz w:val="17"/>
              </w:rPr>
              <w:t>Skala 1–5; dampak biaya (Rp) dan waktu (minggu)</w:t>
            </w:r>
          </w:p>
        </w:tc>
        <w:tc>
          <w:tcPr>
            <w:tcW w:type="dxa" w:w="3529"/>
            <w:shd w:val="clear" w:color="auto" w:fill="E6ECFD"/>
            <w:vAlign w:val="center"/>
          </w:tcPr>
          <w:p>
            <w:pPr>
              <w:spacing w:after="20" w:before="20" w:line="252" w:lineRule="auto"/>
            </w:pPr>
            <w:r/>
            <w:r>
              <w:rPr>
                <w:rFonts w:ascii="Arial" w:hAnsi="Arial"/>
                <w:b w:val="0"/>
                <w:i w:val="0"/>
                <w:sz w:val="17"/>
              </w:rPr>
              <w:t>3 / 4; Rp6 miliar; 8 minggu</w:t>
            </w:r>
          </w:p>
        </w:tc>
      </w:tr>
      <w:tr>
        <w:trPr>
          <w:cantSplit/>
        </w:trPr>
        <w:tc>
          <w:tcPr>
            <w:tcW w:type="dxa" w:w="1961"/>
            <w:vAlign w:val="center"/>
          </w:tcPr>
          <w:p>
            <w:pPr>
              <w:spacing w:after="20" w:before="20" w:line="252" w:lineRule="auto"/>
            </w:pPr>
            <w:r/>
            <w:r>
              <w:rPr>
                <w:rFonts w:ascii="Arial" w:hAnsi="Arial"/>
                <w:b/>
                <w:i w:val="0"/>
                <w:sz w:val="17"/>
              </w:rPr>
              <w:t>Pemilik</w:t>
            </w:r>
          </w:p>
        </w:tc>
        <w:tc>
          <w:tcPr>
            <w:tcW w:type="dxa" w:w="3921"/>
            <w:vAlign w:val="center"/>
          </w:tcPr>
          <w:p>
            <w:pPr>
              <w:spacing w:after="20" w:before="20" w:line="252" w:lineRule="auto"/>
            </w:pPr>
            <w:r/>
            <w:r>
              <w:rPr>
                <w:rFonts w:ascii="Arial" w:hAnsi="Arial"/>
                <w:b w:val="0"/>
                <w:i w:val="0"/>
                <w:sz w:val="17"/>
              </w:rPr>
              <w:t>Satu orang</w:t>
            </w:r>
          </w:p>
        </w:tc>
        <w:tc>
          <w:tcPr>
            <w:tcW w:type="dxa" w:w="3529"/>
            <w:vAlign w:val="center"/>
          </w:tcPr>
          <w:p>
            <w:pPr>
              <w:spacing w:after="20" w:before="20" w:line="252" w:lineRule="auto"/>
            </w:pPr>
            <w:r/>
            <w:r>
              <w:rPr>
                <w:rFonts w:ascii="Arial" w:hAnsi="Arial"/>
                <w:b w:val="0"/>
                <w:i w:val="0"/>
                <w:sz w:val="17"/>
              </w:rPr>
              <w:t>Kepala pengadaan</w:t>
            </w:r>
          </w:p>
        </w:tc>
      </w:tr>
      <w:tr>
        <w:trPr>
          <w:cantSplit/>
        </w:trPr>
        <w:tc>
          <w:tcPr>
            <w:tcW w:type="dxa" w:w="1961"/>
            <w:shd w:val="clear" w:color="auto" w:fill="E6ECFD"/>
            <w:vAlign w:val="center"/>
          </w:tcPr>
          <w:p>
            <w:pPr>
              <w:spacing w:after="20" w:before="20" w:line="252" w:lineRule="auto"/>
            </w:pPr>
            <w:r/>
            <w:r>
              <w:rPr>
                <w:rFonts w:ascii="Arial" w:hAnsi="Arial"/>
                <w:b/>
                <w:i w:val="0"/>
                <w:sz w:val="17"/>
              </w:rPr>
              <w:t>Respons dan tenggat</w:t>
            </w:r>
          </w:p>
        </w:tc>
        <w:tc>
          <w:tcPr>
            <w:tcW w:type="dxa" w:w="3921"/>
            <w:shd w:val="clear" w:color="auto" w:fill="E6ECFD"/>
            <w:vAlign w:val="center"/>
          </w:tcPr>
          <w:p>
            <w:pPr>
              <w:spacing w:after="20" w:before="20" w:line="252" w:lineRule="auto"/>
            </w:pPr>
            <w:r/>
            <w:r>
              <w:rPr>
                <w:rFonts w:ascii="Arial" w:hAnsi="Arial"/>
                <w:b w:val="0"/>
                <w:i w:val="0"/>
                <w:sz w:val="17"/>
              </w:rPr>
              <w:t>Hindari, transfer, mitigasi, terima; tindakan konkret</w:t>
            </w:r>
          </w:p>
        </w:tc>
        <w:tc>
          <w:tcPr>
            <w:tcW w:type="dxa" w:w="3529"/>
            <w:shd w:val="clear" w:color="auto" w:fill="E6ECFD"/>
            <w:vAlign w:val="center"/>
          </w:tcPr>
          <w:p>
            <w:pPr>
              <w:spacing w:after="20" w:before="20" w:line="252" w:lineRule="auto"/>
            </w:pPr>
            <w:r/>
            <w:r>
              <w:rPr>
                <w:rFonts w:ascii="Arial" w:hAnsi="Arial"/>
                <w:b w:val="0"/>
                <w:i w:val="0"/>
                <w:sz w:val="17"/>
              </w:rPr>
              <w:t>Kontrak kerangka dengan penyedia kedua; PO sebelum tenggat</w:t>
            </w:r>
          </w:p>
        </w:tc>
      </w:tr>
      <w:tr>
        <w:trPr>
          <w:cantSplit/>
        </w:trPr>
        <w:tc>
          <w:tcPr>
            <w:tcW w:type="dxa" w:w="1961"/>
            <w:vAlign w:val="center"/>
          </w:tcPr>
          <w:p>
            <w:pPr>
              <w:spacing w:after="20" w:before="20" w:line="252" w:lineRule="auto"/>
            </w:pPr>
            <w:r/>
            <w:r>
              <w:rPr>
                <w:rFonts w:ascii="Arial" w:hAnsi="Arial"/>
                <w:b/>
                <w:i w:val="0"/>
                <w:sz w:val="17"/>
              </w:rPr>
              <w:t>Indikator pemicu</w:t>
            </w:r>
          </w:p>
        </w:tc>
        <w:tc>
          <w:tcPr>
            <w:tcW w:type="dxa" w:w="3921"/>
            <w:vAlign w:val="center"/>
          </w:tcPr>
          <w:p>
            <w:pPr>
              <w:spacing w:after="20" w:before="20" w:line="252" w:lineRule="auto"/>
            </w:pPr>
            <w:r/>
            <w:r>
              <w:rPr>
                <w:rFonts w:ascii="Arial" w:hAnsi="Arial"/>
                <w:b w:val="0"/>
                <w:i w:val="0"/>
                <w:sz w:val="17"/>
              </w:rPr>
              <w:t>Sinyal dini</w:t>
            </w:r>
          </w:p>
        </w:tc>
        <w:tc>
          <w:tcPr>
            <w:tcW w:type="dxa" w:w="3529"/>
            <w:vAlign w:val="center"/>
          </w:tcPr>
          <w:p>
            <w:pPr>
              <w:spacing w:after="20" w:before="20" w:line="252" w:lineRule="auto"/>
            </w:pPr>
            <w:r/>
            <w:r>
              <w:rPr>
                <w:rFonts w:ascii="Arial" w:hAnsi="Arial"/>
                <w:b w:val="0"/>
                <w:i w:val="0"/>
                <w:sz w:val="17"/>
              </w:rPr>
              <w:t>Konfirmasi pabrik belum diterima 4 minggu sebelum PO</w:t>
            </w:r>
          </w:p>
        </w:tc>
      </w:tr>
      <w:tr>
        <w:trPr>
          <w:cantSplit/>
        </w:trPr>
        <w:tc>
          <w:tcPr>
            <w:tcW w:type="dxa" w:w="1961"/>
            <w:shd w:val="clear" w:color="auto" w:fill="E6ECFD"/>
            <w:vAlign w:val="center"/>
          </w:tcPr>
          <w:p>
            <w:pPr>
              <w:spacing w:after="20" w:before="20" w:line="252" w:lineRule="auto"/>
            </w:pPr>
            <w:r/>
            <w:r>
              <w:rPr>
                <w:rFonts w:ascii="Arial" w:hAnsi="Arial"/>
                <w:b/>
                <w:i w:val="0"/>
                <w:sz w:val="17"/>
              </w:rPr>
              <w:t>Risiko residual dan kontingensi</w:t>
            </w:r>
          </w:p>
        </w:tc>
        <w:tc>
          <w:tcPr>
            <w:tcW w:type="dxa" w:w="3921"/>
            <w:shd w:val="clear" w:color="auto" w:fill="E6ECFD"/>
            <w:vAlign w:val="center"/>
          </w:tcPr>
          <w:p>
            <w:pPr>
              <w:spacing w:after="20" w:before="20" w:line="252" w:lineRule="auto"/>
            </w:pPr>
            <w:r/>
            <w:r>
              <w:rPr>
                <w:rFonts w:ascii="Arial" w:hAnsi="Arial"/>
                <w:b w:val="0"/>
                <w:i w:val="0"/>
                <w:sz w:val="17"/>
              </w:rPr>
              <w:t>Setelah respons; tautan ke log kontingensi</w:t>
            </w:r>
          </w:p>
        </w:tc>
        <w:tc>
          <w:tcPr>
            <w:tcW w:type="dxa" w:w="3529"/>
            <w:shd w:val="clear" w:color="auto" w:fill="E6ECFD"/>
            <w:vAlign w:val="center"/>
          </w:tcPr>
          <w:p>
            <w:pPr>
              <w:spacing w:after="20" w:before="20" w:line="252" w:lineRule="auto"/>
            </w:pPr>
            <w:r/>
            <w:r>
              <w:rPr>
                <w:rFonts w:ascii="Arial" w:hAnsi="Arial"/>
                <w:b w:val="0"/>
                <w:i w:val="0"/>
                <w:sz w:val="17"/>
              </w:rPr>
              <w:t>Rendah; kontingensi Rp1 miliar</w:t>
            </w:r>
          </w:p>
        </w:tc>
      </w:tr>
      <w:tr>
        <w:trPr>
          <w:cantSplit/>
        </w:trPr>
        <w:tc>
          <w:tcPr>
            <w:tcW w:type="dxa" w:w="1961"/>
            <w:vAlign w:val="center"/>
          </w:tcPr>
          <w:p>
            <w:pPr>
              <w:spacing w:after="20" w:before="20" w:line="252" w:lineRule="auto"/>
            </w:pPr>
            <w:r/>
            <w:r>
              <w:rPr>
                <w:rFonts w:ascii="Arial" w:hAnsi="Arial"/>
                <w:b/>
                <w:i w:val="0"/>
                <w:sz w:val="17"/>
              </w:rPr>
              <w:t>Status</w:t>
            </w:r>
          </w:p>
        </w:tc>
        <w:tc>
          <w:tcPr>
            <w:tcW w:type="dxa" w:w="3921"/>
            <w:vAlign w:val="center"/>
          </w:tcPr>
          <w:p>
            <w:pPr>
              <w:spacing w:after="20" w:before="20" w:line="252" w:lineRule="auto"/>
            </w:pPr>
            <w:r/>
            <w:r>
              <w:rPr>
                <w:rFonts w:ascii="Arial" w:hAnsi="Arial"/>
                <w:b w:val="0"/>
                <w:i w:val="0"/>
                <w:sz w:val="17"/>
              </w:rPr>
              <w:t>Terbuka, dipantau, ditutup</w:t>
            </w:r>
          </w:p>
        </w:tc>
        <w:tc>
          <w:tcPr>
            <w:tcW w:type="dxa" w:w="3529"/>
            <w:vAlign w:val="center"/>
          </w:tcPr>
          <w:p>
            <w:pPr>
              <w:spacing w:after="20" w:before="20" w:line="252" w:lineRule="auto"/>
            </w:pPr>
            <w:r/>
            <w:r>
              <w:rPr>
                <w:rFonts w:ascii="Arial" w:hAnsi="Arial"/>
                <w:b w:val="0"/>
                <w:i w:val="0"/>
                <w:sz w:val="17"/>
              </w:rPr>
              <w:t>Terbuka</w:t>
            </w:r>
          </w:p>
        </w:tc>
      </w:tr>
    </w:tbl>
    <w:p>
      <w:pPr>
        <w:spacing w:after="40"/>
      </w:pPr>
    </w:p>
    <w:p>
      <w:pPr>
        <w:pStyle w:val="Heading2"/>
      </w:pPr>
      <w:r>
        <w:t>B.3  Permintaan perubahan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34</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Isi permintaan perubahan</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Isi permintaan perubahan"/>
      </w:tblPr>
      <w:tblGrid>
        <w:gridCol w:w="4706"/>
        <w:gridCol w:w="4706"/>
      </w:tblGrid>
      <w:tr>
        <w:trPr>
          <w:cantSplit/>
          <w:tblHeader/>
        </w:trPr>
        <w:tc>
          <w:tcPr>
            <w:tcW w:type="dxa" w:w="2157"/>
            <w:shd w:val="clear" w:color="auto" w:fill="2251FF"/>
            <w:vAlign w:val="center"/>
          </w:tcPr>
          <w:p>
            <w:pPr>
              <w:spacing w:after="20" w:before="20" w:line="252" w:lineRule="auto"/>
            </w:pPr>
            <w:r/>
            <w:r>
              <w:rPr>
                <w:rFonts w:ascii="Arial" w:hAnsi="Arial"/>
                <w:b/>
                <w:i w:val="0"/>
                <w:color w:val="FFFFFF"/>
                <w:sz w:val="17"/>
              </w:rPr>
              <w:t>Bagian</w:t>
            </w:r>
          </w:p>
        </w:tc>
        <w:tc>
          <w:tcPr>
            <w:tcW w:type="dxa" w:w="7254"/>
            <w:shd w:val="clear" w:color="auto" w:fill="2251FF"/>
            <w:vAlign w:val="center"/>
          </w:tcPr>
          <w:p>
            <w:pPr>
              <w:spacing w:after="20" w:before="20" w:line="252" w:lineRule="auto"/>
            </w:pPr>
            <w:r/>
            <w:r>
              <w:rPr>
                <w:rFonts w:ascii="Arial" w:hAnsi="Arial"/>
                <w:b/>
                <w:i w:val="0"/>
                <w:color w:val="FFFFFF"/>
                <w:sz w:val="17"/>
              </w:rPr>
              <w:t>Isi</w:t>
            </w:r>
          </w:p>
        </w:tc>
      </w:tr>
      <w:tr>
        <w:trPr>
          <w:cantSplit/>
        </w:trPr>
        <w:tc>
          <w:tcPr>
            <w:tcW w:type="dxa" w:w="2157"/>
            <w:vAlign w:val="center"/>
          </w:tcPr>
          <w:p>
            <w:pPr>
              <w:spacing w:after="20" w:before="20" w:line="252" w:lineRule="auto"/>
            </w:pPr>
            <w:r/>
            <w:r>
              <w:rPr>
                <w:rFonts w:ascii="Arial" w:hAnsi="Arial"/>
                <w:b/>
                <w:i w:val="0"/>
                <w:sz w:val="17"/>
              </w:rPr>
              <w:t>Identifikasi</w:t>
            </w:r>
          </w:p>
        </w:tc>
        <w:tc>
          <w:tcPr>
            <w:tcW w:type="dxa" w:w="7254"/>
            <w:vAlign w:val="center"/>
          </w:tcPr>
          <w:p>
            <w:pPr>
              <w:spacing w:after="20" w:before="20" w:line="252" w:lineRule="auto"/>
            </w:pPr>
            <w:r/>
            <w:r>
              <w:rPr>
                <w:rFonts w:ascii="Arial" w:hAnsi="Arial"/>
                <w:b w:val="0"/>
                <w:i w:val="0"/>
                <w:sz w:val="17"/>
              </w:rPr>
              <w:t>ID perubahan (VO/trend), proyek, pemrakarsa, tanggal, WBS dan PBS terdampak</w:t>
            </w:r>
          </w:p>
        </w:tc>
      </w:tr>
      <w:tr>
        <w:trPr>
          <w:cantSplit/>
        </w:trPr>
        <w:tc>
          <w:tcPr>
            <w:tcW w:type="dxa" w:w="2157"/>
            <w:shd w:val="clear" w:color="auto" w:fill="E6ECFD"/>
            <w:vAlign w:val="center"/>
          </w:tcPr>
          <w:p>
            <w:pPr>
              <w:spacing w:after="20" w:before="20" w:line="252" w:lineRule="auto"/>
            </w:pPr>
            <w:r/>
            <w:r>
              <w:rPr>
                <w:rFonts w:ascii="Arial" w:hAnsi="Arial"/>
                <w:b/>
                <w:i w:val="0"/>
                <w:sz w:val="17"/>
              </w:rPr>
              <w:t>Uraian dan alasan</w:t>
            </w:r>
          </w:p>
        </w:tc>
        <w:tc>
          <w:tcPr>
            <w:tcW w:type="dxa" w:w="7254"/>
            <w:shd w:val="clear" w:color="auto" w:fill="E6ECFD"/>
            <w:vAlign w:val="center"/>
          </w:tcPr>
          <w:p>
            <w:pPr>
              <w:spacing w:after="20" w:before="20" w:line="252" w:lineRule="auto"/>
            </w:pPr>
            <w:r/>
            <w:r>
              <w:rPr>
                <w:rFonts w:ascii="Arial" w:hAnsi="Arial"/>
                <w:b w:val="0"/>
                <w:i w:val="0"/>
                <w:sz w:val="17"/>
              </w:rPr>
              <w:t>Perubahan yang diminta; penyebab (pemberi kerja, internal, hukum, lapangan)</w:t>
            </w:r>
          </w:p>
        </w:tc>
      </w:tr>
      <w:tr>
        <w:trPr>
          <w:cantSplit/>
        </w:trPr>
        <w:tc>
          <w:tcPr>
            <w:tcW w:type="dxa" w:w="2157"/>
            <w:vAlign w:val="center"/>
          </w:tcPr>
          <w:p>
            <w:pPr>
              <w:spacing w:after="20" w:before="20" w:line="252" w:lineRule="auto"/>
            </w:pPr>
            <w:r/>
            <w:r>
              <w:rPr>
                <w:rFonts w:ascii="Arial" w:hAnsi="Arial"/>
                <w:b/>
                <w:i w:val="0"/>
                <w:sz w:val="17"/>
              </w:rPr>
              <w:t>Dampak</w:t>
            </w:r>
          </w:p>
        </w:tc>
        <w:tc>
          <w:tcPr>
            <w:tcW w:type="dxa" w:w="7254"/>
            <w:vAlign w:val="center"/>
          </w:tcPr>
          <w:p>
            <w:pPr>
              <w:spacing w:after="20" w:before="20" w:line="252" w:lineRule="auto"/>
            </w:pPr>
            <w:r/>
            <w:r>
              <w:rPr>
                <w:rFonts w:ascii="Arial" w:hAnsi="Arial"/>
                <w:b w:val="0"/>
                <w:i w:val="0"/>
                <w:sz w:val="17"/>
              </w:rPr>
              <w:t>Lingkup, biaya (Rp), jadwal (hari, jalur kritis), mutu, K3, risiko, kontrak</w:t>
            </w:r>
          </w:p>
        </w:tc>
      </w:tr>
      <w:tr>
        <w:trPr>
          <w:cantSplit/>
        </w:trPr>
        <w:tc>
          <w:tcPr>
            <w:tcW w:type="dxa" w:w="2157"/>
            <w:shd w:val="clear" w:color="auto" w:fill="E6ECFD"/>
            <w:vAlign w:val="center"/>
          </w:tcPr>
          <w:p>
            <w:pPr>
              <w:spacing w:after="20" w:before="20" w:line="252" w:lineRule="auto"/>
            </w:pPr>
            <w:r/>
            <w:r>
              <w:rPr>
                <w:rFonts w:ascii="Arial" w:hAnsi="Arial"/>
                <w:b/>
                <w:i w:val="0"/>
                <w:sz w:val="17"/>
              </w:rPr>
              <w:t>Opsi</w:t>
            </w:r>
          </w:p>
        </w:tc>
        <w:tc>
          <w:tcPr>
            <w:tcW w:type="dxa" w:w="7254"/>
            <w:shd w:val="clear" w:color="auto" w:fill="E6ECFD"/>
            <w:vAlign w:val="center"/>
          </w:tcPr>
          <w:p>
            <w:pPr>
              <w:spacing w:after="20" w:before="20" w:line="252" w:lineRule="auto"/>
            </w:pPr>
            <w:r/>
            <w:r>
              <w:rPr>
                <w:rFonts w:ascii="Arial" w:hAnsi="Arial"/>
                <w:b w:val="0"/>
                <w:i w:val="0"/>
                <w:sz w:val="17"/>
              </w:rPr>
              <w:t>Alternatif dan konsekuensinya, termasuk tidak berubah</w:t>
            </w:r>
          </w:p>
        </w:tc>
      </w:tr>
      <w:tr>
        <w:trPr>
          <w:cantSplit/>
        </w:trPr>
        <w:tc>
          <w:tcPr>
            <w:tcW w:type="dxa" w:w="2157"/>
            <w:vAlign w:val="center"/>
          </w:tcPr>
          <w:p>
            <w:pPr>
              <w:spacing w:after="20" w:before="20" w:line="252" w:lineRule="auto"/>
            </w:pPr>
            <w:r/>
            <w:r>
              <w:rPr>
                <w:rFonts w:ascii="Arial" w:hAnsi="Arial"/>
                <w:b/>
                <w:i w:val="0"/>
                <w:sz w:val="17"/>
              </w:rPr>
              <w:t>Sumber pendanaan</w:t>
            </w:r>
          </w:p>
        </w:tc>
        <w:tc>
          <w:tcPr>
            <w:tcW w:type="dxa" w:w="7254"/>
            <w:vAlign w:val="center"/>
          </w:tcPr>
          <w:p>
            <w:pPr>
              <w:spacing w:after="20" w:before="20" w:line="252" w:lineRule="auto"/>
            </w:pPr>
            <w:r/>
            <w:r>
              <w:rPr>
                <w:rFonts w:ascii="Arial" w:hAnsi="Arial"/>
                <w:b w:val="0"/>
                <w:i w:val="0"/>
                <w:sz w:val="17"/>
              </w:rPr>
              <w:t>Transfer anggaran, penarikan kontingensi, pendapatan tambahan (VO)</w:t>
            </w:r>
          </w:p>
        </w:tc>
      </w:tr>
      <w:tr>
        <w:trPr>
          <w:cantSplit/>
        </w:trPr>
        <w:tc>
          <w:tcPr>
            <w:tcW w:type="dxa" w:w="2157"/>
            <w:shd w:val="clear" w:color="auto" w:fill="E6ECFD"/>
            <w:vAlign w:val="center"/>
          </w:tcPr>
          <w:p>
            <w:pPr>
              <w:spacing w:after="20" w:before="20" w:line="252" w:lineRule="auto"/>
            </w:pPr>
            <w:r/>
            <w:r>
              <w:rPr>
                <w:rFonts w:ascii="Arial" w:hAnsi="Arial"/>
                <w:b/>
                <w:i w:val="0"/>
                <w:sz w:val="17"/>
              </w:rPr>
              <w:t>Persetujuan</w:t>
            </w:r>
          </w:p>
        </w:tc>
        <w:tc>
          <w:tcPr>
            <w:tcW w:type="dxa" w:w="7254"/>
            <w:shd w:val="clear" w:color="auto" w:fill="E6ECFD"/>
            <w:vAlign w:val="center"/>
          </w:tcPr>
          <w:p>
            <w:pPr>
              <w:spacing w:after="20" w:before="20" w:line="252" w:lineRule="auto"/>
            </w:pPr>
            <w:r/>
            <w:r>
              <w:rPr>
                <w:rFonts w:ascii="Arial" w:hAnsi="Arial"/>
                <w:b w:val="0"/>
                <w:i w:val="0"/>
                <w:sz w:val="17"/>
              </w:rPr>
              <w:t>Organ sah sesuai matriks; pendapat Risiko dan Hukum; tanggal</w:t>
            </w:r>
          </w:p>
        </w:tc>
      </w:tr>
      <w:tr>
        <w:trPr>
          <w:cantSplit/>
        </w:trPr>
        <w:tc>
          <w:tcPr>
            <w:tcW w:type="dxa" w:w="2157"/>
            <w:vAlign w:val="center"/>
          </w:tcPr>
          <w:p>
            <w:pPr>
              <w:spacing w:after="20" w:before="20" w:line="252" w:lineRule="auto"/>
            </w:pPr>
            <w:r/>
            <w:r>
              <w:rPr>
                <w:rFonts w:ascii="Arial" w:hAnsi="Arial"/>
                <w:b/>
                <w:i w:val="0"/>
                <w:sz w:val="17"/>
              </w:rPr>
              <w:t>Tindak lanjut</w:t>
            </w:r>
          </w:p>
        </w:tc>
        <w:tc>
          <w:tcPr>
            <w:tcW w:type="dxa" w:w="7254"/>
            <w:vAlign w:val="center"/>
          </w:tcPr>
          <w:p>
            <w:pPr>
              <w:spacing w:after="20" w:before="20" w:line="252" w:lineRule="auto"/>
            </w:pPr>
            <w:r/>
            <w:r>
              <w:rPr>
                <w:rFonts w:ascii="Arial" w:hAnsi="Arial"/>
                <w:b w:val="0"/>
                <w:i w:val="0"/>
                <w:sz w:val="17"/>
              </w:rPr>
              <w:t>Pembaruan baseline; penerbitan perintah kerja; penagihan</w:t>
            </w:r>
          </w:p>
        </w:tc>
      </w:tr>
    </w:tbl>
    <w:p>
      <w:pPr>
        <w:spacing w:after="40"/>
      </w:pPr>
    </w:p>
    <w:p>
      <w:pPr>
        <w:pStyle w:val="Heading2"/>
      </w:pPr>
      <w:r>
        <w:t>B.4  Daftar periksa tinjauan gerbang</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35</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Daftar periksa umum</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Daftar periksa umum"/>
      </w:tblPr>
      <w:tblGrid>
        <w:gridCol w:w="3137"/>
        <w:gridCol w:w="3137"/>
        <w:gridCol w:w="3137"/>
      </w:tblGrid>
      <w:tr>
        <w:trPr>
          <w:cantSplit/>
          <w:tblHeader/>
        </w:trPr>
        <w:tc>
          <w:tcPr>
            <w:tcW w:type="dxa" w:w="5294"/>
            <w:shd w:val="clear" w:color="auto" w:fill="2251FF"/>
            <w:vAlign w:val="center"/>
          </w:tcPr>
          <w:p>
            <w:pPr>
              <w:spacing w:after="20" w:before="20" w:line="252" w:lineRule="auto"/>
            </w:pPr>
            <w:r/>
            <w:r>
              <w:rPr>
                <w:rFonts w:ascii="Arial" w:hAnsi="Arial"/>
                <w:b/>
                <w:i w:val="0"/>
                <w:color w:val="FFFFFF"/>
                <w:sz w:val="17"/>
              </w:rPr>
              <w:t>Pertanyaan</w:t>
            </w:r>
          </w:p>
        </w:tc>
        <w:tc>
          <w:tcPr>
            <w:tcW w:type="dxa" w:w="1372"/>
            <w:shd w:val="clear" w:color="auto" w:fill="2251FF"/>
            <w:vAlign w:val="center"/>
          </w:tcPr>
          <w:p>
            <w:pPr>
              <w:spacing w:after="20" w:before="20" w:line="252" w:lineRule="auto"/>
            </w:pPr>
            <w:r/>
            <w:r>
              <w:rPr>
                <w:rFonts w:ascii="Arial" w:hAnsi="Arial"/>
                <w:b/>
                <w:i w:val="0"/>
                <w:color w:val="FFFFFF"/>
                <w:sz w:val="17"/>
              </w:rPr>
              <w:t>Ya / Tidak / NR</w:t>
            </w:r>
          </w:p>
        </w:tc>
        <w:tc>
          <w:tcPr>
            <w:tcW w:type="dxa" w:w="2745"/>
            <w:shd w:val="clear" w:color="auto" w:fill="2251FF"/>
            <w:vAlign w:val="center"/>
          </w:tcPr>
          <w:p>
            <w:pPr>
              <w:spacing w:after="20" w:before="20" w:line="252" w:lineRule="auto"/>
            </w:pPr>
            <w:r/>
            <w:r>
              <w:rPr>
                <w:rFonts w:ascii="Arial" w:hAnsi="Arial"/>
                <w:b/>
                <w:i w:val="0"/>
                <w:color w:val="FFFFFF"/>
                <w:sz w:val="17"/>
              </w:rPr>
              <w:t>Bukti dan catatan</w:t>
            </w:r>
          </w:p>
        </w:tc>
      </w:tr>
      <w:tr>
        <w:trPr>
          <w:cantSplit/>
        </w:trPr>
        <w:tc>
          <w:tcPr>
            <w:tcW w:type="dxa" w:w="5294"/>
            <w:vAlign w:val="center"/>
          </w:tcPr>
          <w:p>
            <w:pPr>
              <w:spacing w:after="20" w:before="20" w:line="252" w:lineRule="auto"/>
            </w:pPr>
            <w:r/>
            <w:r>
              <w:rPr>
                <w:rFonts w:ascii="Arial" w:hAnsi="Arial"/>
                <w:b/>
                <w:i w:val="0"/>
                <w:sz w:val="17"/>
              </w:rPr>
              <w:t>Apakah mandat, sponsor, project director, dan organ sah terkonfirmasi?</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i w:val="0"/>
                <w:sz w:val="17"/>
              </w:rPr>
              <w:t>Apakah dua kasus (finansial dan nasional) tersedia dan diuji independen?</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i w:val="0"/>
                <w:sz w:val="17"/>
              </w:rPr>
              <w:t>Apakah estimasi memenuhi kelas yang dipersyaratkan dengan kontingensi berbasis risiko?</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i w:val="0"/>
                <w:sz w:val="17"/>
              </w:rPr>
              <w:t>Apakah jadwal dasar mencakup jalur kritis, lead time panjang, perizinan, dan lahan?</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i w:val="0"/>
                <w:sz w:val="17"/>
              </w:rPr>
              <w:t>Apakah risiko utama memiliki pemilik, respons, dan kontingensi?</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i w:val="0"/>
                <w:sz w:val="17"/>
              </w:rPr>
              <w:t>Apakah struktur pendanaan dan syarat pendahuluan jelas?</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i w:val="0"/>
                <w:sz w:val="17"/>
              </w:rPr>
              <w:t>Apakah rencana lokalisasi dan peta pemasok tersedia, terkait gerbang S?</w:t>
            </w:r>
          </w:p>
        </w:tc>
        <w:tc>
          <w:tcPr>
            <w:tcW w:type="dxa" w:w="1372"/>
            <w:vAlign w:val="center"/>
          </w:tcPr>
          <w:p>
            <w:pPr>
              <w:spacing w:after="20" w:before="20" w:line="252" w:lineRule="auto"/>
            </w:pPr>
            <w:r/>
          </w:p>
        </w:tc>
        <w:tc>
          <w:tcPr>
            <w:tcW w:type="dxa" w:w="2745"/>
            <w:vAlign w:val="center"/>
          </w:tcPr>
          <w:p>
            <w:pPr>
              <w:spacing w:after="20" w:before="20" w:line="252" w:lineRule="auto"/>
            </w:pPr>
            <w:r/>
          </w:p>
        </w:tc>
      </w:tr>
      <w:tr>
        <w:trPr>
          <w:cantSplit/>
        </w:trPr>
        <w:tc>
          <w:tcPr>
            <w:tcW w:type="dxa" w:w="5294"/>
            <w:shd w:val="clear" w:color="auto" w:fill="E6ECFD"/>
            <w:vAlign w:val="center"/>
          </w:tcPr>
          <w:p>
            <w:pPr>
              <w:spacing w:after="20" w:before="20" w:line="252" w:lineRule="auto"/>
            </w:pPr>
            <w:r/>
            <w:r>
              <w:rPr>
                <w:rFonts w:ascii="Arial" w:hAnsi="Arial"/>
                <w:b/>
                <w:i w:val="0"/>
                <w:sz w:val="17"/>
              </w:rPr>
              <w:t>Apakah opini risiko dan hukum independen dan perbedaan pendapat tercatat?</w:t>
            </w:r>
          </w:p>
        </w:tc>
        <w:tc>
          <w:tcPr>
            <w:tcW w:type="dxa" w:w="1372"/>
            <w:shd w:val="clear" w:color="auto" w:fill="E6ECFD"/>
            <w:vAlign w:val="center"/>
          </w:tcPr>
          <w:p>
            <w:pPr>
              <w:spacing w:after="20" w:before="20" w:line="252" w:lineRule="auto"/>
            </w:pPr>
            <w:r/>
          </w:p>
        </w:tc>
        <w:tc>
          <w:tcPr>
            <w:tcW w:type="dxa" w:w="2745"/>
            <w:shd w:val="clear" w:color="auto" w:fill="E6ECFD"/>
            <w:vAlign w:val="center"/>
          </w:tcPr>
          <w:p>
            <w:pPr>
              <w:spacing w:after="20" w:before="20" w:line="252" w:lineRule="auto"/>
            </w:pPr>
            <w:r/>
          </w:p>
        </w:tc>
      </w:tr>
      <w:tr>
        <w:trPr>
          <w:cantSplit/>
        </w:trPr>
        <w:tc>
          <w:tcPr>
            <w:tcW w:type="dxa" w:w="5294"/>
            <w:vAlign w:val="center"/>
          </w:tcPr>
          <w:p>
            <w:pPr>
              <w:spacing w:after="20" w:before="20" w:line="252" w:lineRule="auto"/>
            </w:pPr>
            <w:r/>
            <w:r>
              <w:rPr>
                <w:rFonts w:ascii="Arial" w:hAnsi="Arial"/>
                <w:b/>
                <w:i w:val="0"/>
                <w:sz w:val="17"/>
              </w:rPr>
              <w:t>Keputusan: lanjut / lanjut dengan syarat / tahan / hentikan</w:t>
            </w:r>
          </w:p>
        </w:tc>
        <w:tc>
          <w:tcPr>
            <w:tcW w:type="dxa" w:w="1372"/>
            <w:vAlign w:val="center"/>
          </w:tcPr>
          <w:p>
            <w:pPr>
              <w:spacing w:after="20" w:before="20" w:line="252" w:lineRule="auto"/>
            </w:pPr>
            <w:r/>
          </w:p>
        </w:tc>
        <w:tc>
          <w:tcPr>
            <w:tcW w:type="dxa" w:w="2745"/>
            <w:vAlign w:val="center"/>
          </w:tcPr>
          <w:p>
            <w:pPr>
              <w:spacing w:after="20" w:before="20" w:line="252" w:lineRule="auto"/>
            </w:pPr>
            <w:r/>
          </w:p>
        </w:tc>
      </w:tr>
    </w:tbl>
    <w:p>
      <w:pPr>
        <w:spacing w:after="40"/>
      </w:pPr>
    </w:p>
    <w:p>
      <w:pPr>
        <w:pStyle w:val="Heading2"/>
      </w:pPr>
      <w:r>
        <w:t>B.5  Kerangka laporan bulanan proyek</w:t>
      </w:r>
    </w:p>
    <w:p>
      <w:pPr>
        <w:pStyle w:val="ListBullet"/>
        <w:spacing w:after="40"/>
      </w:pPr>
      <w:r>
        <w:rPr>
          <w:rFonts w:ascii="Arial" w:hAnsi="Arial"/>
          <w:b w:val="0"/>
          <w:i w:val="0"/>
        </w:rPr>
        <w:t>Ringkasan eksekutif dan status RAG (Hijau, Kuning, Merah, Hitam).</w:t>
      </w:r>
    </w:p>
    <w:p>
      <w:pPr>
        <w:pStyle w:val="ListBullet"/>
        <w:spacing w:after="40"/>
      </w:pPr>
      <w:r>
        <w:rPr>
          <w:rFonts w:ascii="Arial" w:hAnsi="Arial"/>
          <w:b w:val="0"/>
          <w:i w:val="0"/>
        </w:rPr>
        <w:t>Kemajuan: fisik (persen berbobot), jadwal (SPI, jalur kritis, tonggak), item lead time panjang.</w:t>
      </w:r>
    </w:p>
    <w:p>
      <w:pPr>
        <w:pStyle w:val="ListBullet"/>
        <w:spacing w:after="40"/>
      </w:pPr>
      <w:r>
        <w:rPr>
          <w:rFonts w:ascii="Arial" w:hAnsi="Arial"/>
          <w:b w:val="0"/>
          <w:i w:val="0"/>
        </w:rPr>
        <w:t>Biaya: anggaran asli, perubahan disetujui, anggaran berjalan, komitmen, aktual, ETC, EAC, varians, CPI.</w:t>
      </w:r>
    </w:p>
    <w:p>
      <w:pPr>
        <w:pStyle w:val="ListBullet"/>
        <w:spacing w:after="40"/>
      </w:pPr>
      <w:r>
        <w:rPr>
          <w:rFonts w:ascii="Arial" w:hAnsi="Arial"/>
          <w:b w:val="0"/>
          <w:i w:val="0"/>
        </w:rPr>
        <w:t>Kas: tagihan, penerimaan, piutang jatuh tempo, pekerjaan belum ditagih, DSO, prakiraan arus kas.</w:t>
      </w:r>
    </w:p>
    <w:p>
      <w:pPr>
        <w:pStyle w:val="ListBullet"/>
        <w:spacing w:after="40"/>
      </w:pPr>
      <w:r>
        <w:rPr>
          <w:rFonts w:ascii="Arial" w:hAnsi="Arial"/>
          <w:b w:val="0"/>
          <w:i w:val="0"/>
        </w:rPr>
        <w:t>Perubahan dan klaim: VO diajukan dan disetujui; tren; klaim terbuka; kontingensi dan cadangan.</w:t>
      </w:r>
    </w:p>
    <w:p>
      <w:pPr>
        <w:pStyle w:val="ListBullet"/>
        <w:spacing w:after="40"/>
      </w:pPr>
      <w:r>
        <w:rPr>
          <w:rFonts w:ascii="Arial" w:hAnsi="Arial"/>
          <w:b w:val="0"/>
          <w:i w:val="0"/>
        </w:rPr>
        <w:t>Risiko: lima risiko teratas, perubahan sejak bulan lalu, tindakan dan tenggat.</w:t>
      </w:r>
    </w:p>
    <w:p>
      <w:pPr>
        <w:pStyle w:val="ListBullet"/>
        <w:spacing w:after="40"/>
      </w:pPr>
      <w:r>
        <w:rPr>
          <w:rFonts w:ascii="Arial" w:hAnsi="Arial"/>
          <w:b w:val="0"/>
          <w:i w:val="0"/>
        </w:rPr>
        <w:t>Mutu dan K3: NCR terbuka, hasil inspeksi, insiden, kegiatan perbaikan.</w:t>
      </w:r>
    </w:p>
    <w:p>
      <w:pPr>
        <w:pStyle w:val="ListBullet"/>
        <w:spacing w:after="40"/>
      </w:pPr>
      <w:r>
        <w:rPr>
          <w:rFonts w:ascii="Arial" w:hAnsi="Arial"/>
          <w:b w:val="0"/>
          <w:i w:val="0"/>
        </w:rPr>
        <w:t>Pengadaan dan pemasok: status PO, kinerja pemasok, kemajuan gerbang S.</w:t>
      </w:r>
    </w:p>
    <w:p>
      <w:pPr>
        <w:pStyle w:val="ListBullet"/>
        <w:spacing w:after="40"/>
      </w:pPr>
      <w:r>
        <w:rPr>
          <w:rFonts w:ascii="Arial" w:hAnsi="Arial"/>
          <w:b w:val="0"/>
          <w:i w:val="0"/>
        </w:rPr>
        <w:t>Pemangku kepentingan dan keputusan yang diminta; hambatan dan umur hambatan.</w:t>
      </w:r>
    </w:p>
    <w:p>
      <w:pPr>
        <w:pStyle w:val="ListBullet"/>
        <w:spacing w:after="120"/>
      </w:pPr>
      <w:r>
        <w:rPr>
          <w:rFonts w:ascii="Arial" w:hAnsi="Arial"/>
          <w:b w:val="0"/>
          <w:i w:val="0"/>
        </w:rPr>
        <w:t>Kelas bukti dan catatan data (NR).</w:t>
      </w:r>
    </w:p>
    <w:p>
      <w:pPr>
        <w:pStyle w:val="Heading1"/>
      </w:pPr>
      <w:bookmarkStart w:id="21" w:name="_Toc021"/>
      <w:r>
        <w:t>Lampiran C  Rumus dan perhitungan</w:t>
      </w:r>
      <w:bookmarkEnd w:id="21"/>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36</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Kumpulan rumus</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Kumpulan rumus"/>
      </w:tblPr>
      <w:tblGrid>
        <w:gridCol w:w="3137"/>
        <w:gridCol w:w="3137"/>
        <w:gridCol w:w="3137"/>
      </w:tblGrid>
      <w:tr>
        <w:trPr>
          <w:cantSplit/>
          <w:tblHeader/>
        </w:trPr>
        <w:tc>
          <w:tcPr>
            <w:tcW w:type="dxa" w:w="1694"/>
            <w:shd w:val="clear" w:color="auto" w:fill="2251FF"/>
            <w:vAlign w:val="center"/>
          </w:tcPr>
          <w:p>
            <w:pPr>
              <w:spacing w:after="20" w:before="20" w:line="252" w:lineRule="auto"/>
            </w:pPr>
            <w:r/>
            <w:r>
              <w:rPr>
                <w:rFonts w:ascii="Arial" w:hAnsi="Arial"/>
                <w:b/>
                <w:i w:val="0"/>
                <w:color w:val="FFFFFF"/>
                <w:sz w:val="16"/>
              </w:rPr>
              <w:t>Topik</w:t>
            </w:r>
          </w:p>
        </w:tc>
        <w:tc>
          <w:tcPr>
            <w:tcW w:type="dxa" w:w="5647"/>
            <w:shd w:val="clear" w:color="auto" w:fill="2251FF"/>
            <w:vAlign w:val="center"/>
          </w:tcPr>
          <w:p>
            <w:pPr>
              <w:spacing w:after="20" w:before="20" w:line="252" w:lineRule="auto"/>
            </w:pPr>
            <w:r/>
            <w:r>
              <w:rPr>
                <w:rFonts w:ascii="Arial" w:hAnsi="Arial"/>
                <w:b/>
                <w:i w:val="0"/>
                <w:color w:val="FFFFFF"/>
                <w:sz w:val="16"/>
              </w:rPr>
              <w:t>Rumus</w:t>
            </w:r>
          </w:p>
        </w:tc>
        <w:tc>
          <w:tcPr>
            <w:tcW w:type="dxa" w:w="2070"/>
            <w:shd w:val="clear" w:color="auto" w:fill="2251FF"/>
            <w:vAlign w:val="center"/>
          </w:tcPr>
          <w:p>
            <w:pPr>
              <w:spacing w:after="20" w:before="20" w:line="252" w:lineRule="auto"/>
            </w:pPr>
            <w:r/>
            <w:r>
              <w:rPr>
                <w:rFonts w:ascii="Arial" w:hAnsi="Arial"/>
                <w:b/>
                <w:i w:val="0"/>
                <w:color w:val="FFFFFF"/>
                <w:sz w:val="16"/>
              </w:rPr>
              <w:t>Catatan</w:t>
            </w:r>
          </w:p>
        </w:tc>
      </w:tr>
      <w:tr>
        <w:trPr>
          <w:cantSplit/>
        </w:trPr>
        <w:tc>
          <w:tcPr>
            <w:tcW w:type="dxa" w:w="1694"/>
            <w:vAlign w:val="center"/>
          </w:tcPr>
          <w:p>
            <w:pPr>
              <w:spacing w:after="20" w:before="20" w:line="252" w:lineRule="auto"/>
            </w:pPr>
            <w:r/>
            <w:r>
              <w:rPr>
                <w:rFonts w:ascii="Arial" w:hAnsi="Arial"/>
                <w:b/>
                <w:i w:val="0"/>
                <w:sz w:val="16"/>
              </w:rPr>
              <w:t>EVM</w:t>
            </w:r>
          </w:p>
        </w:tc>
        <w:tc>
          <w:tcPr>
            <w:tcW w:type="dxa" w:w="5647"/>
            <w:vAlign w:val="center"/>
          </w:tcPr>
          <w:p>
            <w:pPr>
              <w:spacing w:after="20" w:before="20" w:line="252" w:lineRule="auto"/>
            </w:pPr>
            <w:r/>
            <w:r>
              <w:rPr>
                <w:rFonts w:ascii="Arial" w:hAnsi="Arial"/>
                <w:b w:val="0"/>
                <w:i w:val="0"/>
                <w:sz w:val="16"/>
              </w:rPr>
              <w:t>CV = EV − AC; SV = EV − PV; CPI = EV/AC; SPI = EV/PV; EAC = BAC/CPI atau AC + (BAC − EV)/CPI; ETC = EAC − AC; VAC = BAC − EAC; TCPI = (BAC − EV)/(BAC − AC)</w:t>
            </w:r>
          </w:p>
        </w:tc>
        <w:tc>
          <w:tcPr>
            <w:tcW w:type="dxa" w:w="2070"/>
            <w:vAlign w:val="center"/>
          </w:tcPr>
          <w:p>
            <w:pPr>
              <w:spacing w:after="20" w:before="20" w:line="252" w:lineRule="auto"/>
            </w:pPr>
            <w:r/>
            <w:r>
              <w:rPr>
                <w:rFonts w:ascii="Arial" w:hAnsi="Arial"/>
                <w:b w:val="0"/>
                <w:i w:val="0"/>
                <w:sz w:val="16"/>
              </w:rPr>
              <w:t>Bab 6</w:t>
            </w:r>
          </w:p>
        </w:tc>
      </w:tr>
      <w:tr>
        <w:trPr>
          <w:cantSplit/>
        </w:trPr>
        <w:tc>
          <w:tcPr>
            <w:tcW w:type="dxa" w:w="1694"/>
            <w:shd w:val="clear" w:color="auto" w:fill="E6ECFD"/>
            <w:vAlign w:val="center"/>
          </w:tcPr>
          <w:p>
            <w:pPr>
              <w:spacing w:after="20" w:before="20" w:line="252" w:lineRule="auto"/>
            </w:pPr>
            <w:r/>
            <w:r>
              <w:rPr>
                <w:rFonts w:ascii="Arial" w:hAnsi="Arial"/>
                <w:b/>
                <w:i w:val="0"/>
                <w:sz w:val="16"/>
              </w:rPr>
              <w:t>PERT</w:t>
            </w:r>
          </w:p>
        </w:tc>
        <w:tc>
          <w:tcPr>
            <w:tcW w:type="dxa" w:w="5647"/>
            <w:shd w:val="clear" w:color="auto" w:fill="E6ECFD"/>
            <w:vAlign w:val="center"/>
          </w:tcPr>
          <w:p>
            <w:pPr>
              <w:spacing w:after="20" w:before="20" w:line="252" w:lineRule="auto"/>
            </w:pPr>
            <w:r/>
            <w:r>
              <w:rPr>
                <w:rFonts w:ascii="Arial" w:hAnsi="Arial"/>
                <w:b w:val="0"/>
                <w:i w:val="0"/>
                <w:sz w:val="16"/>
              </w:rPr>
              <w:t>t = (o + 4m + p)/6; σ = (p − o)/6; σ total = √(Σσ²) pada jalur kritis</w:t>
            </w:r>
          </w:p>
        </w:tc>
        <w:tc>
          <w:tcPr>
            <w:tcW w:type="dxa" w:w="2070"/>
            <w:shd w:val="clear" w:color="auto" w:fill="E6ECFD"/>
            <w:vAlign w:val="center"/>
          </w:tcPr>
          <w:p>
            <w:pPr>
              <w:spacing w:after="20" w:before="20" w:line="252" w:lineRule="auto"/>
            </w:pPr>
            <w:r/>
            <w:r>
              <w:rPr>
                <w:rFonts w:ascii="Arial" w:hAnsi="Arial"/>
                <w:b w:val="0"/>
                <w:i w:val="0"/>
                <w:sz w:val="16"/>
              </w:rPr>
              <w:t>Bab 5; contoh B: o=8, m=10, p=18 → t=11, σ=1,67</w:t>
            </w:r>
          </w:p>
        </w:tc>
      </w:tr>
      <w:tr>
        <w:trPr>
          <w:cantSplit/>
        </w:trPr>
        <w:tc>
          <w:tcPr>
            <w:tcW w:type="dxa" w:w="1694"/>
            <w:vAlign w:val="center"/>
          </w:tcPr>
          <w:p>
            <w:pPr>
              <w:spacing w:after="20" w:before="20" w:line="252" w:lineRule="auto"/>
            </w:pPr>
            <w:r/>
            <w:r>
              <w:rPr>
                <w:rFonts w:ascii="Arial" w:hAnsi="Arial"/>
                <w:b/>
                <w:i w:val="0"/>
                <w:sz w:val="16"/>
              </w:rPr>
              <w:t>Float</w:t>
            </w:r>
          </w:p>
        </w:tc>
        <w:tc>
          <w:tcPr>
            <w:tcW w:type="dxa" w:w="5647"/>
            <w:vAlign w:val="center"/>
          </w:tcPr>
          <w:p>
            <w:pPr>
              <w:spacing w:after="20" w:before="20" w:line="252" w:lineRule="auto"/>
            </w:pPr>
            <w:r/>
            <w:r>
              <w:rPr>
                <w:rFonts w:ascii="Arial" w:hAnsi="Arial"/>
                <w:b w:val="0"/>
                <w:i w:val="0"/>
                <w:sz w:val="16"/>
              </w:rPr>
              <w:t>Float total = LS − ES = LF − EF</w:t>
            </w:r>
          </w:p>
        </w:tc>
        <w:tc>
          <w:tcPr>
            <w:tcW w:type="dxa" w:w="2070"/>
            <w:vAlign w:val="center"/>
          </w:tcPr>
          <w:p>
            <w:pPr>
              <w:spacing w:after="20" w:before="20" w:line="252" w:lineRule="auto"/>
            </w:pPr>
            <w:r/>
            <w:r>
              <w:rPr>
                <w:rFonts w:ascii="Arial" w:hAnsi="Arial"/>
                <w:b w:val="0"/>
                <w:i w:val="0"/>
                <w:sz w:val="16"/>
              </w:rPr>
              <w:t>Bab 5</w:t>
            </w:r>
          </w:p>
        </w:tc>
      </w:tr>
      <w:tr>
        <w:trPr>
          <w:cantSplit/>
        </w:trPr>
        <w:tc>
          <w:tcPr>
            <w:tcW w:type="dxa" w:w="1694"/>
            <w:shd w:val="clear" w:color="auto" w:fill="E6ECFD"/>
            <w:vAlign w:val="center"/>
          </w:tcPr>
          <w:p>
            <w:pPr>
              <w:spacing w:after="20" w:before="20" w:line="252" w:lineRule="auto"/>
            </w:pPr>
            <w:r/>
            <w:r>
              <w:rPr>
                <w:rFonts w:ascii="Arial" w:hAnsi="Arial"/>
                <w:b/>
                <w:i w:val="0"/>
                <w:sz w:val="16"/>
              </w:rPr>
              <w:t>EMV</w:t>
            </w:r>
          </w:p>
        </w:tc>
        <w:tc>
          <w:tcPr>
            <w:tcW w:type="dxa" w:w="5647"/>
            <w:shd w:val="clear" w:color="auto" w:fill="E6ECFD"/>
            <w:vAlign w:val="center"/>
          </w:tcPr>
          <w:p>
            <w:pPr>
              <w:spacing w:after="20" w:before="20" w:line="252" w:lineRule="auto"/>
            </w:pPr>
            <w:r/>
            <w:r>
              <w:rPr>
                <w:rFonts w:ascii="Arial" w:hAnsi="Arial"/>
                <w:b w:val="0"/>
                <w:i w:val="0"/>
                <w:sz w:val="16"/>
              </w:rPr>
              <w:t>EMV = Probabilitas × Dampak; Σ EMV sebagai dasar awal kontingensi</w:t>
            </w:r>
          </w:p>
        </w:tc>
        <w:tc>
          <w:tcPr>
            <w:tcW w:type="dxa" w:w="2070"/>
            <w:shd w:val="clear" w:color="auto" w:fill="E6ECFD"/>
            <w:vAlign w:val="center"/>
          </w:tcPr>
          <w:p>
            <w:pPr>
              <w:spacing w:after="20" w:before="20" w:line="252" w:lineRule="auto"/>
            </w:pPr>
            <w:r/>
            <w:r>
              <w:rPr>
                <w:rFonts w:ascii="Arial" w:hAnsi="Arial"/>
                <w:b w:val="0"/>
                <w:i w:val="0"/>
                <w:sz w:val="16"/>
              </w:rPr>
              <w:t>Bab 7</w:t>
            </w:r>
          </w:p>
        </w:tc>
      </w:tr>
      <w:tr>
        <w:trPr>
          <w:cantSplit/>
        </w:trPr>
        <w:tc>
          <w:tcPr>
            <w:tcW w:type="dxa" w:w="1694"/>
            <w:vAlign w:val="center"/>
          </w:tcPr>
          <w:p>
            <w:pPr>
              <w:spacing w:after="20" w:before="20" w:line="252" w:lineRule="auto"/>
            </w:pPr>
            <w:r/>
            <w:r>
              <w:rPr>
                <w:rFonts w:ascii="Arial" w:hAnsi="Arial"/>
                <w:b/>
                <w:i w:val="0"/>
                <w:sz w:val="16"/>
              </w:rPr>
              <w:t>NPV dan IRR</w:t>
            </w:r>
          </w:p>
        </w:tc>
        <w:tc>
          <w:tcPr>
            <w:tcW w:type="dxa" w:w="5647"/>
            <w:vAlign w:val="center"/>
          </w:tcPr>
          <w:p>
            <w:pPr>
              <w:spacing w:after="20" w:before="20" w:line="252" w:lineRule="auto"/>
            </w:pPr>
            <w:r/>
            <w:r>
              <w:rPr>
                <w:rFonts w:ascii="Arial" w:hAnsi="Arial"/>
                <w:b w:val="0"/>
                <w:i w:val="0"/>
                <w:sz w:val="16"/>
              </w:rPr>
              <w:t>NPV = Σ CFt/(1+r)^t; IRR adalah r yang membuat NPV = 0; anuitas 10 tahun: 5,6502 (12%), 6,4177 (9%)</w:t>
            </w:r>
          </w:p>
        </w:tc>
        <w:tc>
          <w:tcPr>
            <w:tcW w:type="dxa" w:w="2070"/>
            <w:vAlign w:val="center"/>
          </w:tcPr>
          <w:p>
            <w:pPr>
              <w:spacing w:after="20" w:before="20" w:line="252" w:lineRule="auto"/>
            </w:pPr>
            <w:r/>
            <w:r>
              <w:rPr>
                <w:rFonts w:ascii="Arial" w:hAnsi="Arial"/>
                <w:b w:val="0"/>
                <w:i w:val="0"/>
                <w:sz w:val="16"/>
              </w:rPr>
              <w:t>Bab 4: −100 + 15 × 5,6502 = −15,25; −100 + 21 × 6,4177 = 34,77</w:t>
            </w:r>
          </w:p>
        </w:tc>
      </w:tr>
      <w:tr>
        <w:trPr>
          <w:cantSplit/>
        </w:trPr>
        <w:tc>
          <w:tcPr>
            <w:tcW w:type="dxa" w:w="1694"/>
            <w:shd w:val="clear" w:color="auto" w:fill="E6ECFD"/>
            <w:vAlign w:val="center"/>
          </w:tcPr>
          <w:p>
            <w:pPr>
              <w:spacing w:after="20" w:before="20" w:line="252" w:lineRule="auto"/>
            </w:pPr>
            <w:r/>
            <w:r>
              <w:rPr>
                <w:rFonts w:ascii="Arial" w:hAnsi="Arial"/>
                <w:b/>
                <w:i w:val="0"/>
                <w:sz w:val="16"/>
              </w:rPr>
              <w:t>DSCR / LLCR</w:t>
            </w:r>
          </w:p>
        </w:tc>
        <w:tc>
          <w:tcPr>
            <w:tcW w:type="dxa" w:w="5647"/>
            <w:shd w:val="clear" w:color="auto" w:fill="E6ECFD"/>
            <w:vAlign w:val="center"/>
          </w:tcPr>
          <w:p>
            <w:pPr>
              <w:spacing w:after="20" w:before="20" w:line="252" w:lineRule="auto"/>
            </w:pPr>
            <w:r/>
            <w:r>
              <w:rPr>
                <w:rFonts w:ascii="Arial" w:hAnsi="Arial"/>
                <w:b w:val="0"/>
                <w:i w:val="0"/>
                <w:sz w:val="16"/>
              </w:rPr>
              <w:t>DSCR = CFADS / (pokok + bunga); LLCR = NPV(CFADS selama umur pinjaman) / saldo utang</w:t>
            </w:r>
          </w:p>
        </w:tc>
        <w:tc>
          <w:tcPr>
            <w:tcW w:type="dxa" w:w="2070"/>
            <w:shd w:val="clear" w:color="auto" w:fill="E6ECFD"/>
            <w:vAlign w:val="center"/>
          </w:tcPr>
          <w:p>
            <w:pPr>
              <w:spacing w:after="20" w:before="20" w:line="252" w:lineRule="auto"/>
            </w:pPr>
            <w:r/>
            <w:r>
              <w:rPr>
                <w:rFonts w:ascii="Arial" w:hAnsi="Arial"/>
                <w:b w:val="0"/>
                <w:i w:val="0"/>
                <w:sz w:val="16"/>
              </w:rPr>
              <w:t>Bab 11</w:t>
            </w:r>
          </w:p>
        </w:tc>
      </w:tr>
      <w:tr>
        <w:trPr>
          <w:cantSplit/>
        </w:trPr>
        <w:tc>
          <w:tcPr>
            <w:tcW w:type="dxa" w:w="1694"/>
            <w:vAlign w:val="center"/>
          </w:tcPr>
          <w:p>
            <w:pPr>
              <w:spacing w:after="20" w:before="20" w:line="252" w:lineRule="auto"/>
            </w:pPr>
            <w:r/>
            <w:r>
              <w:rPr>
                <w:rFonts w:ascii="Arial" w:hAnsi="Arial"/>
                <w:b/>
                <w:i w:val="0"/>
                <w:sz w:val="16"/>
              </w:rPr>
              <w:t>Kurva belajar</w:t>
            </w:r>
          </w:p>
        </w:tc>
        <w:tc>
          <w:tcPr>
            <w:tcW w:type="dxa" w:w="5647"/>
            <w:vAlign w:val="center"/>
          </w:tcPr>
          <w:p>
            <w:pPr>
              <w:spacing w:after="20" w:before="20" w:line="252" w:lineRule="auto"/>
            </w:pPr>
            <w:r/>
            <w:r>
              <w:rPr>
                <w:rFonts w:ascii="Arial" w:hAnsi="Arial"/>
                <w:b w:val="0"/>
                <w:i w:val="0"/>
                <w:sz w:val="16"/>
              </w:rPr>
              <w:t>Biaya per unit ke-2n = biaya ke-n × 0,85 (kurva 85%); indeks 100, 85, 72, 61, 52 pada 1×, 2×, 4×, 8×, 16×; paritas bila harga lokal 1,4× impor tercapai pada 0,85^n = 0,714 → n ≈ 2,07 → ≈ 4,2× volume</w:t>
            </w:r>
          </w:p>
        </w:tc>
        <w:tc>
          <w:tcPr>
            <w:tcW w:type="dxa" w:w="2070"/>
            <w:vAlign w:val="center"/>
          </w:tcPr>
          <w:p>
            <w:pPr>
              <w:spacing w:after="20" w:before="20" w:line="252" w:lineRule="auto"/>
            </w:pPr>
            <w:r/>
            <w:r>
              <w:rPr>
                <w:rFonts w:ascii="Arial" w:hAnsi="Arial"/>
                <w:b w:val="0"/>
                <w:i w:val="0"/>
                <w:sz w:val="16"/>
              </w:rPr>
              <w:t>Bab 8</w:t>
            </w:r>
          </w:p>
        </w:tc>
      </w:tr>
      <w:tr>
        <w:trPr>
          <w:cantSplit/>
        </w:trPr>
        <w:tc>
          <w:tcPr>
            <w:tcW w:type="dxa" w:w="1694"/>
            <w:shd w:val="clear" w:color="auto" w:fill="E6ECFD"/>
            <w:vAlign w:val="center"/>
          </w:tcPr>
          <w:p>
            <w:pPr>
              <w:spacing w:after="20" w:before="20" w:line="252" w:lineRule="auto"/>
            </w:pPr>
            <w:r/>
            <w:r>
              <w:rPr>
                <w:rFonts w:ascii="Arial" w:hAnsi="Arial"/>
                <w:b/>
                <w:i w:val="0"/>
                <w:sz w:val="16"/>
              </w:rPr>
              <w:t>Pertumbuhan dan ICOR</w:t>
            </w:r>
          </w:p>
        </w:tc>
        <w:tc>
          <w:tcPr>
            <w:tcW w:type="dxa" w:w="5647"/>
            <w:shd w:val="clear" w:color="auto" w:fill="E6ECFD"/>
            <w:vAlign w:val="center"/>
          </w:tcPr>
          <w:p>
            <w:pPr>
              <w:spacing w:after="20" w:before="20" w:line="252" w:lineRule="auto"/>
            </w:pPr>
            <w:r/>
            <w:r>
              <w:rPr>
                <w:rFonts w:ascii="Arial" w:hAnsi="Arial"/>
                <w:b w:val="0"/>
                <w:i w:val="0"/>
                <w:sz w:val="16"/>
              </w:rPr>
              <w:t>g ≈ (I/Y) / ICOR; 28,77% / 5,63 = 5,11%; 33,5% / 4,2 ≈ 8,0%; investasi diperlukan = 8 × ICOR</w:t>
            </w:r>
          </w:p>
        </w:tc>
        <w:tc>
          <w:tcPr>
            <w:tcW w:type="dxa" w:w="2070"/>
            <w:shd w:val="clear" w:color="auto" w:fill="E6ECFD"/>
            <w:vAlign w:val="center"/>
          </w:tcPr>
          <w:p>
            <w:pPr>
              <w:spacing w:after="20" w:before="20" w:line="252" w:lineRule="auto"/>
            </w:pPr>
            <w:r/>
            <w:r>
              <w:rPr>
                <w:rFonts w:ascii="Arial" w:hAnsi="Arial"/>
                <w:b w:val="0"/>
                <w:i w:val="0"/>
                <w:sz w:val="16"/>
              </w:rPr>
              <w:t>Bab 12</w:t>
            </w:r>
          </w:p>
        </w:tc>
      </w:tr>
      <w:tr>
        <w:trPr>
          <w:cantSplit/>
        </w:trPr>
        <w:tc>
          <w:tcPr>
            <w:tcW w:type="dxa" w:w="1694"/>
            <w:vAlign w:val="center"/>
          </w:tcPr>
          <w:p>
            <w:pPr>
              <w:spacing w:after="20" w:before="20" w:line="252" w:lineRule="auto"/>
            </w:pPr>
            <w:r/>
            <w:r>
              <w:rPr>
                <w:rFonts w:ascii="Arial" w:hAnsi="Arial"/>
                <w:b/>
                <w:i w:val="0"/>
                <w:sz w:val="16"/>
              </w:rPr>
              <w:t>Pelepasan kas dari DSO</w:t>
            </w:r>
          </w:p>
        </w:tc>
        <w:tc>
          <w:tcPr>
            <w:tcW w:type="dxa" w:w="5647"/>
            <w:vAlign w:val="center"/>
          </w:tcPr>
          <w:p>
            <w:pPr>
              <w:spacing w:after="20" w:before="20" w:line="252" w:lineRule="auto"/>
            </w:pPr>
            <w:r/>
            <w:r>
              <w:rPr>
                <w:rFonts w:ascii="Arial" w:hAnsi="Arial"/>
                <w:b w:val="0"/>
                <w:i w:val="0"/>
                <w:sz w:val="16"/>
              </w:rPr>
              <w:t>Kas = Pendapatan × Δ hari / 365; manfaat = kas × biaya modal; 20.000 × 10/365 = 548 miliar; × 10% = 55 miliar</w:t>
            </w:r>
          </w:p>
        </w:tc>
        <w:tc>
          <w:tcPr>
            <w:tcW w:type="dxa" w:w="2070"/>
            <w:vAlign w:val="center"/>
          </w:tcPr>
          <w:p>
            <w:pPr>
              <w:spacing w:after="20" w:before="20" w:line="252" w:lineRule="auto"/>
            </w:pPr>
            <w:r/>
            <w:r>
              <w:rPr>
                <w:rFonts w:ascii="Arial" w:hAnsi="Arial"/>
                <w:b w:val="0"/>
                <w:i w:val="0"/>
                <w:sz w:val="16"/>
              </w:rPr>
              <w:t>Bab 14</w:t>
            </w:r>
          </w:p>
        </w:tc>
      </w:tr>
      <w:tr>
        <w:trPr>
          <w:cantSplit/>
        </w:trPr>
        <w:tc>
          <w:tcPr>
            <w:tcW w:type="dxa" w:w="1694"/>
            <w:shd w:val="clear" w:color="auto" w:fill="E6ECFD"/>
            <w:vAlign w:val="center"/>
          </w:tcPr>
          <w:p>
            <w:pPr>
              <w:spacing w:after="20" w:before="20" w:line="252" w:lineRule="auto"/>
            </w:pPr>
            <w:r/>
            <w:r>
              <w:rPr>
                <w:rFonts w:ascii="Arial" w:hAnsi="Arial"/>
                <w:b/>
                <w:i w:val="0"/>
                <w:sz w:val="16"/>
              </w:rPr>
              <w:t>Imbal hasil PAL-SUB-1</w:t>
            </w:r>
          </w:p>
        </w:tc>
        <w:tc>
          <w:tcPr>
            <w:tcW w:type="dxa" w:w="5647"/>
            <w:shd w:val="clear" w:color="auto" w:fill="E6ECFD"/>
            <w:vAlign w:val="center"/>
          </w:tcPr>
          <w:p>
            <w:pPr>
              <w:spacing w:after="20" w:before="20" w:line="252" w:lineRule="auto"/>
            </w:pPr>
            <w:r/>
            <w:r>
              <w:rPr>
                <w:rFonts w:ascii="Arial" w:hAnsi="Arial"/>
                <w:b w:val="0"/>
                <w:i w:val="0"/>
                <w:sz w:val="16"/>
              </w:rPr>
              <w:t>Imbal hasil = Pokok × bps/10.000 × hari/365 = 150 × 0,07 × 720/365 = US$20,7 juta (dibulatkan menjadi US$21 juta pada sumber)</w:t>
            </w:r>
          </w:p>
        </w:tc>
        <w:tc>
          <w:tcPr>
            <w:tcW w:type="dxa" w:w="2070"/>
            <w:shd w:val="clear" w:color="auto" w:fill="E6ECFD"/>
            <w:vAlign w:val="center"/>
          </w:tcPr>
          <w:p>
            <w:pPr>
              <w:spacing w:after="20" w:before="20" w:line="252" w:lineRule="auto"/>
            </w:pPr>
            <w:r/>
            <w:r>
              <w:rPr>
                <w:rFonts w:ascii="Arial" w:hAnsi="Arial"/>
                <w:b w:val="0"/>
                <w:i w:val="0"/>
                <w:sz w:val="16"/>
              </w:rPr>
              <w:t>Bab 8</w:t>
            </w:r>
          </w:p>
        </w:tc>
      </w:tr>
      <w:tr>
        <w:trPr>
          <w:cantSplit/>
        </w:trPr>
        <w:tc>
          <w:tcPr>
            <w:tcW w:type="dxa" w:w="1694"/>
            <w:vAlign w:val="center"/>
          </w:tcPr>
          <w:p>
            <w:pPr>
              <w:spacing w:after="20" w:before="20" w:line="252" w:lineRule="auto"/>
            </w:pPr>
            <w:r/>
            <w:r>
              <w:rPr>
                <w:rFonts w:ascii="Arial" w:hAnsi="Arial"/>
                <w:b/>
                <w:i w:val="0"/>
                <w:sz w:val="16"/>
              </w:rPr>
              <w:t>Model pekerjaan</w:t>
            </w:r>
          </w:p>
        </w:tc>
        <w:tc>
          <w:tcPr>
            <w:tcW w:type="dxa" w:w="5647"/>
            <w:vAlign w:val="center"/>
          </w:tcPr>
          <w:p>
            <w:pPr>
              <w:spacing w:after="20" w:before="20" w:line="252" w:lineRule="auto"/>
            </w:pPr>
            <w:r/>
            <w:r>
              <w:rPr>
                <w:rFonts w:ascii="Arial" w:hAnsi="Arial"/>
                <w:b w:val="0"/>
                <w:i w:val="0"/>
                <w:sz w:val="16"/>
              </w:rPr>
              <w:t>Tahun-kerja per Rp1 T = koefisien ERIA × 1.000 / faktor harga (1,2987) × uplift; induksi = 35% × (langsung + tidak langsung); pekerjaan tetap tidak langsung dan induksi = 1,43 × langsung</w:t>
            </w:r>
          </w:p>
        </w:tc>
        <w:tc>
          <w:tcPr>
            <w:tcW w:type="dxa" w:w="2070"/>
            <w:vAlign w:val="center"/>
          </w:tcPr>
          <w:p>
            <w:pPr>
              <w:spacing w:after="20" w:before="20" w:line="252" w:lineRule="auto"/>
            </w:pPr>
            <w:r/>
            <w:r>
              <w:rPr>
                <w:rFonts w:ascii="Arial" w:hAnsi="Arial"/>
                <w:b w:val="0"/>
                <w:i w:val="0"/>
                <w:sz w:val="16"/>
              </w:rPr>
              <w:t>Bab 12 [K §5.7; EMP]</w:t>
            </w:r>
          </w:p>
        </w:tc>
      </w:tr>
    </w:tbl>
    <w:p>
      <w:pPr>
        <w:spacing w:after="40"/>
      </w:pPr>
    </w:p>
    <w:p>
      <w:pPr>
        <w:pStyle w:val="Heading2"/>
      </w:pPr>
      <w:r>
        <w:t>C.1  Skenario pertumbuhan 8% pada 2029 (ilustratif)</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37</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Tiga skenario menuju pertumbuhan 8%</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Tiga skenario menuju pertumbuhan 8%"/>
      </w:tblPr>
      <w:tblGrid>
        <w:gridCol w:w="2353"/>
        <w:gridCol w:w="2353"/>
        <w:gridCol w:w="2353"/>
        <w:gridCol w:w="2353"/>
      </w:tblGrid>
      <w:tr>
        <w:trPr>
          <w:cantSplit/>
          <w:tblHeader/>
        </w:trPr>
        <w:tc>
          <w:tcPr>
            <w:tcW w:type="dxa" w:w="2881"/>
            <w:shd w:val="clear" w:color="auto" w:fill="2251FF"/>
            <w:vAlign w:val="center"/>
          </w:tcPr>
          <w:p>
            <w:pPr>
              <w:spacing w:after="20" w:before="20" w:line="252" w:lineRule="auto"/>
            </w:pPr>
            <w:r/>
          </w:p>
        </w:tc>
        <w:tc>
          <w:tcPr>
            <w:tcW w:type="dxa" w:w="2113"/>
            <w:shd w:val="clear" w:color="auto" w:fill="2251FF"/>
            <w:vAlign w:val="center"/>
          </w:tcPr>
          <w:p>
            <w:pPr>
              <w:spacing w:after="20" w:before="20" w:line="252" w:lineRule="auto"/>
            </w:pPr>
            <w:r/>
            <w:r>
              <w:rPr>
                <w:rFonts w:ascii="Arial" w:hAnsi="Arial"/>
                <w:b/>
                <w:i w:val="0"/>
                <w:color w:val="FFFFFF"/>
                <w:sz w:val="17"/>
              </w:rPr>
              <w:t>S1 Efisiensi lebih dulu</w:t>
            </w:r>
          </w:p>
        </w:tc>
        <w:tc>
          <w:tcPr>
            <w:tcW w:type="dxa" w:w="2113"/>
            <w:shd w:val="clear" w:color="auto" w:fill="2251FF"/>
            <w:vAlign w:val="center"/>
          </w:tcPr>
          <w:p>
            <w:pPr>
              <w:spacing w:after="20" w:before="20" w:line="252" w:lineRule="auto"/>
            </w:pPr>
            <w:r/>
            <w:r>
              <w:rPr>
                <w:rFonts w:ascii="Arial" w:hAnsi="Arial"/>
                <w:b/>
                <w:i w:val="0"/>
                <w:color w:val="FFFFFF"/>
                <w:sz w:val="17"/>
              </w:rPr>
              <w:t>S2 Dorongan besar</w:t>
            </w:r>
          </w:p>
        </w:tc>
        <w:tc>
          <w:tcPr>
            <w:tcW w:type="dxa" w:w="2305"/>
            <w:shd w:val="clear" w:color="auto" w:fill="2251FF"/>
            <w:vAlign w:val="center"/>
          </w:tcPr>
          <w:p>
            <w:pPr>
              <w:spacing w:after="20" w:before="20" w:line="252" w:lineRule="auto"/>
            </w:pPr>
            <w:r/>
            <w:r>
              <w:rPr>
                <w:rFonts w:ascii="Arial" w:hAnsi="Arial"/>
                <w:b/>
                <w:i w:val="0"/>
                <w:color w:val="FFFFFF"/>
                <w:sz w:val="17"/>
              </w:rPr>
              <w:t>S3 Lompatan industri dan ekspor</w:t>
            </w:r>
          </w:p>
        </w:tc>
      </w:tr>
      <w:tr>
        <w:trPr>
          <w:cantSplit/>
        </w:trPr>
        <w:tc>
          <w:tcPr>
            <w:tcW w:type="dxa" w:w="2881"/>
            <w:vAlign w:val="center"/>
          </w:tcPr>
          <w:p>
            <w:pPr>
              <w:spacing w:after="20" w:before="20" w:line="252" w:lineRule="auto"/>
            </w:pPr>
            <w:r/>
            <w:r>
              <w:rPr>
                <w:rFonts w:ascii="Arial" w:hAnsi="Arial"/>
                <w:b/>
                <w:i w:val="0"/>
                <w:sz w:val="17"/>
              </w:rPr>
              <w:t>Investasi, % PDB (2029); ICOR</w:t>
            </w:r>
          </w:p>
        </w:tc>
        <w:tc>
          <w:tcPr>
            <w:tcW w:type="dxa" w:w="2113"/>
            <w:vAlign w:val="center"/>
          </w:tcPr>
          <w:p>
            <w:pPr>
              <w:spacing w:after="20" w:before="20" w:line="252" w:lineRule="auto"/>
            </w:pPr>
            <w:r/>
            <w:r>
              <w:rPr>
                <w:rFonts w:ascii="Arial" w:hAnsi="Arial"/>
                <w:b w:val="0"/>
                <w:i w:val="0"/>
                <w:sz w:val="17"/>
              </w:rPr>
              <w:t>31,5; 3,95</w:t>
            </w:r>
          </w:p>
        </w:tc>
        <w:tc>
          <w:tcPr>
            <w:tcW w:type="dxa" w:w="2113"/>
            <w:vAlign w:val="center"/>
          </w:tcPr>
          <w:p>
            <w:pPr>
              <w:spacing w:after="20" w:before="20" w:line="252" w:lineRule="auto"/>
            </w:pPr>
            <w:r/>
            <w:r>
              <w:rPr>
                <w:rFonts w:ascii="Arial" w:hAnsi="Arial"/>
                <w:b w:val="0"/>
                <w:i w:val="0"/>
                <w:sz w:val="17"/>
              </w:rPr>
              <w:t>38,5; 4,8</w:t>
            </w:r>
          </w:p>
        </w:tc>
        <w:tc>
          <w:tcPr>
            <w:tcW w:type="dxa" w:w="2305"/>
            <w:vAlign w:val="center"/>
          </w:tcPr>
          <w:p>
            <w:pPr>
              <w:spacing w:after="20" w:before="20" w:line="252" w:lineRule="auto"/>
            </w:pPr>
            <w:r/>
            <w:r>
              <w:rPr>
                <w:rFonts w:ascii="Arial" w:hAnsi="Arial"/>
                <w:b w:val="0"/>
                <w:i w:val="0"/>
                <w:sz w:val="17"/>
              </w:rPr>
              <w:t>34,5; 4,3</w:t>
            </w:r>
          </w:p>
        </w:tc>
      </w:tr>
      <w:tr>
        <w:trPr>
          <w:cantSplit/>
        </w:trPr>
        <w:tc>
          <w:tcPr>
            <w:tcW w:type="dxa" w:w="2881"/>
            <w:shd w:val="clear" w:color="auto" w:fill="E6ECFD"/>
            <w:vAlign w:val="center"/>
          </w:tcPr>
          <w:p>
            <w:pPr>
              <w:spacing w:after="20" w:before="20" w:line="252" w:lineRule="auto"/>
            </w:pPr>
            <w:r/>
            <w:r>
              <w:rPr>
                <w:rFonts w:ascii="Arial" w:hAnsi="Arial"/>
                <w:b/>
                <w:i w:val="0"/>
                <w:sz w:val="17"/>
              </w:rPr>
              <w:t>Tambahan investasi per tahun (2029)</w:t>
            </w:r>
          </w:p>
        </w:tc>
        <w:tc>
          <w:tcPr>
            <w:tcW w:type="dxa" w:w="2113"/>
            <w:shd w:val="clear" w:color="auto" w:fill="E6ECFD"/>
            <w:vAlign w:val="center"/>
          </w:tcPr>
          <w:p>
            <w:pPr>
              <w:spacing w:after="20" w:before="20" w:line="252" w:lineRule="auto"/>
            </w:pPr>
            <w:r/>
            <w:r>
              <w:rPr>
                <w:rFonts w:ascii="Arial" w:hAnsi="Arial"/>
                <w:b w:val="0"/>
                <w:i w:val="0"/>
                <w:sz w:val="17"/>
              </w:rPr>
              <w:t>Rp834 T (US$47 miliar)</w:t>
            </w:r>
          </w:p>
        </w:tc>
        <w:tc>
          <w:tcPr>
            <w:tcW w:type="dxa" w:w="2113"/>
            <w:shd w:val="clear" w:color="auto" w:fill="E6ECFD"/>
            <w:vAlign w:val="center"/>
          </w:tcPr>
          <w:p>
            <w:pPr>
              <w:spacing w:after="20" w:before="20" w:line="252" w:lineRule="auto"/>
            </w:pPr>
            <w:r/>
            <w:r>
              <w:rPr>
                <w:rFonts w:ascii="Arial" w:hAnsi="Arial"/>
                <w:b w:val="0"/>
                <w:i w:val="0"/>
                <w:sz w:val="17"/>
              </w:rPr>
              <w:t>Rp3.058 T (US$172 miliar)</w:t>
            </w:r>
          </w:p>
        </w:tc>
        <w:tc>
          <w:tcPr>
            <w:tcW w:type="dxa" w:w="2305"/>
            <w:shd w:val="clear" w:color="auto" w:fill="E6ECFD"/>
            <w:vAlign w:val="center"/>
          </w:tcPr>
          <w:p>
            <w:pPr>
              <w:spacing w:after="20" w:before="20" w:line="252" w:lineRule="auto"/>
            </w:pPr>
            <w:r/>
            <w:r>
              <w:rPr>
                <w:rFonts w:ascii="Arial" w:hAnsi="Arial"/>
                <w:b w:val="0"/>
                <w:i w:val="0"/>
                <w:sz w:val="17"/>
              </w:rPr>
              <w:t>Rp1.765 T (US$99 miliar)</w:t>
            </w:r>
          </w:p>
        </w:tc>
      </w:tr>
      <w:tr>
        <w:trPr>
          <w:cantSplit/>
        </w:trPr>
        <w:tc>
          <w:tcPr>
            <w:tcW w:type="dxa" w:w="2881"/>
            <w:vAlign w:val="center"/>
          </w:tcPr>
          <w:p>
            <w:pPr>
              <w:spacing w:after="20" w:before="20" w:line="252" w:lineRule="auto"/>
            </w:pPr>
            <w:r/>
            <w:r>
              <w:rPr>
                <w:rFonts w:ascii="Arial" w:hAnsi="Arial"/>
                <w:b/>
                <w:i w:val="0"/>
                <w:sz w:val="17"/>
              </w:rPr>
              <w:t>Transaksi berjalan 2029</w:t>
            </w:r>
          </w:p>
        </w:tc>
        <w:tc>
          <w:tcPr>
            <w:tcW w:type="dxa" w:w="2113"/>
            <w:vAlign w:val="center"/>
          </w:tcPr>
          <w:p>
            <w:pPr>
              <w:spacing w:after="20" w:before="20" w:line="252" w:lineRule="auto"/>
            </w:pPr>
            <w:r/>
            <w:r>
              <w:rPr>
                <w:rFonts w:ascii="Arial" w:hAnsi="Arial"/>
                <w:b w:val="0"/>
                <w:i w:val="0"/>
                <w:sz w:val="17"/>
              </w:rPr>
              <w:t>−1,3% PDB</w:t>
            </w:r>
          </w:p>
        </w:tc>
        <w:tc>
          <w:tcPr>
            <w:tcW w:type="dxa" w:w="2113"/>
            <w:vAlign w:val="center"/>
          </w:tcPr>
          <w:p>
            <w:pPr>
              <w:spacing w:after="20" w:before="20" w:line="252" w:lineRule="auto"/>
            </w:pPr>
            <w:r/>
            <w:r>
              <w:rPr>
                <w:rFonts w:ascii="Arial" w:hAnsi="Arial"/>
                <w:b w:val="0"/>
                <w:i w:val="0"/>
                <w:sz w:val="17"/>
              </w:rPr>
              <w:t>−3,8% PDB</w:t>
            </w:r>
          </w:p>
        </w:tc>
        <w:tc>
          <w:tcPr>
            <w:tcW w:type="dxa" w:w="2305"/>
            <w:vAlign w:val="center"/>
          </w:tcPr>
          <w:p>
            <w:pPr>
              <w:spacing w:after="20" w:before="20" w:line="252" w:lineRule="auto"/>
            </w:pPr>
            <w:r/>
            <w:r>
              <w:rPr>
                <w:rFonts w:ascii="Arial" w:hAnsi="Arial"/>
                <w:b w:val="0"/>
                <w:i w:val="0"/>
                <w:sz w:val="17"/>
              </w:rPr>
              <w:t>−1,8% PDB</w:t>
            </w:r>
          </w:p>
        </w:tc>
      </w:tr>
      <w:tr>
        <w:trPr>
          <w:cantSplit/>
        </w:trPr>
        <w:tc>
          <w:tcPr>
            <w:tcW w:type="dxa" w:w="2881"/>
            <w:shd w:val="clear" w:color="auto" w:fill="E6ECFD"/>
            <w:vAlign w:val="center"/>
          </w:tcPr>
          <w:p>
            <w:pPr>
              <w:spacing w:after="20" w:before="20" w:line="252" w:lineRule="auto"/>
            </w:pPr>
            <w:r/>
            <w:r>
              <w:rPr>
                <w:rFonts w:ascii="Arial" w:hAnsi="Arial"/>
                <w:b/>
                <w:i w:val="0"/>
                <w:sz w:val="17"/>
              </w:rPr>
              <w:t>Asumsi terberat; risiko utama</w:t>
            </w:r>
          </w:p>
        </w:tc>
        <w:tc>
          <w:tcPr>
            <w:tcW w:type="dxa" w:w="2113"/>
            <w:shd w:val="clear" w:color="auto" w:fill="E6ECFD"/>
            <w:vAlign w:val="center"/>
          </w:tcPr>
          <w:p>
            <w:pPr>
              <w:spacing w:after="20" w:before="20" w:line="252" w:lineRule="auto"/>
            </w:pPr>
            <w:r/>
            <w:r>
              <w:rPr>
                <w:rFonts w:ascii="Arial" w:hAnsi="Arial"/>
                <w:b w:val="0"/>
                <w:i w:val="0"/>
                <w:sz w:val="17"/>
              </w:rPr>
              <w:t>ICOR 3,95 dalam empat tahun; politik reformasi</w:t>
            </w:r>
          </w:p>
        </w:tc>
        <w:tc>
          <w:tcPr>
            <w:tcW w:type="dxa" w:w="2113"/>
            <w:shd w:val="clear" w:color="auto" w:fill="E6ECFD"/>
            <w:vAlign w:val="center"/>
          </w:tcPr>
          <w:p>
            <w:pPr>
              <w:spacing w:after="20" w:before="20" w:line="252" w:lineRule="auto"/>
            </w:pPr>
            <w:r/>
            <w:r>
              <w:rPr>
                <w:rFonts w:ascii="Arial" w:hAnsi="Arial"/>
                <w:b w:val="0"/>
                <w:i w:val="0"/>
                <w:sz w:val="17"/>
              </w:rPr>
              <w:t>Investasi tumbuh 15% per tahun; neraca pembayaran</w:t>
            </w:r>
          </w:p>
        </w:tc>
        <w:tc>
          <w:tcPr>
            <w:tcW w:type="dxa" w:w="2305"/>
            <w:shd w:val="clear" w:color="auto" w:fill="E6ECFD"/>
            <w:vAlign w:val="center"/>
          </w:tcPr>
          <w:p>
            <w:pPr>
              <w:spacing w:after="20" w:before="20" w:line="252" w:lineRule="auto"/>
            </w:pPr>
            <w:r/>
            <w:r>
              <w:rPr>
                <w:rFonts w:ascii="Arial" w:hAnsi="Arial"/>
                <w:b w:val="0"/>
                <w:i w:val="0"/>
                <w:sz w:val="17"/>
              </w:rPr>
              <w:t>Industri pengolahan tumbuh 11,5% per tahun; pasar global</w:t>
            </w:r>
          </w:p>
        </w:tc>
      </w:tr>
    </w:tbl>
    <w:p>
      <w:pPr>
        <w:spacing w:after="160"/>
      </w:pPr>
      <w:r>
        <w:rPr>
          <w:rFonts w:ascii="Arial" w:hAnsi="Arial"/>
          <w:b w:val="0"/>
          <w:i/>
          <w:color w:val="051C5C"/>
          <w:sz w:val="17"/>
        </w:rPr>
        <w:t>Sumber: [K §5.7]; skenario ilustratif, bukan proyeksi; tidak ada yang mencapai 8% hanya dengan sumber daya alam.</w:t>
      </w:r>
    </w:p>
    <w:p>
      <w:pPr>
        <w:pStyle w:val="Heading2"/>
      </w:pPr>
      <w:r>
        <w:t>C.2  Rekonsiliasi angka yang dihitung ulang</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38</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Perhitungan yang dapat diulang</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Perhitungan yang dapat diulang"/>
      </w:tblPr>
      <w:tblGrid>
        <w:gridCol w:w="3137"/>
        <w:gridCol w:w="3137"/>
        <w:gridCol w:w="3137"/>
      </w:tblGrid>
      <w:tr>
        <w:trPr>
          <w:cantSplit/>
          <w:tblHeader/>
        </w:trPr>
        <w:tc>
          <w:tcPr>
            <w:tcW w:type="dxa" w:w="3333"/>
            <w:shd w:val="clear" w:color="auto" w:fill="2251FF"/>
            <w:vAlign w:val="center"/>
          </w:tcPr>
          <w:p>
            <w:pPr>
              <w:spacing w:after="20" w:before="20" w:line="252" w:lineRule="auto"/>
            </w:pPr>
            <w:r/>
            <w:r>
              <w:rPr>
                <w:rFonts w:ascii="Arial" w:hAnsi="Arial"/>
                <w:b/>
                <w:i w:val="0"/>
                <w:color w:val="FFFFFF"/>
                <w:sz w:val="17"/>
              </w:rPr>
              <w:t>Butir</w:t>
            </w:r>
          </w:p>
        </w:tc>
        <w:tc>
          <w:tcPr>
            <w:tcW w:type="dxa" w:w="3725"/>
            <w:shd w:val="clear" w:color="auto" w:fill="2251FF"/>
            <w:vAlign w:val="center"/>
          </w:tcPr>
          <w:p>
            <w:pPr>
              <w:spacing w:after="20" w:before="20" w:line="252" w:lineRule="auto"/>
            </w:pPr>
            <w:r/>
            <w:r>
              <w:rPr>
                <w:rFonts w:ascii="Arial" w:hAnsi="Arial"/>
                <w:b/>
                <w:i w:val="0"/>
                <w:color w:val="FFFFFF"/>
                <w:sz w:val="17"/>
              </w:rPr>
              <w:t>Perhitungan</w:t>
            </w:r>
          </w:p>
        </w:tc>
        <w:tc>
          <w:tcPr>
            <w:tcW w:type="dxa" w:w="2353"/>
            <w:shd w:val="clear" w:color="auto" w:fill="2251FF"/>
            <w:vAlign w:val="center"/>
          </w:tcPr>
          <w:p>
            <w:pPr>
              <w:spacing w:after="20" w:before="20" w:line="252" w:lineRule="auto"/>
            </w:pPr>
            <w:r/>
            <w:r>
              <w:rPr>
                <w:rFonts w:ascii="Arial" w:hAnsi="Arial"/>
                <w:b/>
                <w:i w:val="0"/>
                <w:color w:val="FFFFFF"/>
                <w:sz w:val="17"/>
              </w:rPr>
              <w:t>Hasil</w:t>
            </w:r>
          </w:p>
        </w:tc>
      </w:tr>
      <w:tr>
        <w:trPr>
          <w:cantSplit/>
        </w:trPr>
        <w:tc>
          <w:tcPr>
            <w:tcW w:type="dxa" w:w="3333"/>
            <w:vAlign w:val="center"/>
          </w:tcPr>
          <w:p>
            <w:pPr>
              <w:spacing w:after="20" w:before="20" w:line="252" w:lineRule="auto"/>
            </w:pPr>
            <w:r/>
            <w:r>
              <w:rPr>
                <w:rFonts w:ascii="Arial" w:hAnsi="Arial"/>
                <w:b/>
                <w:i w:val="0"/>
                <w:sz w:val="17"/>
              </w:rPr>
              <w:t>Kerugian empat BUMN Karya</w:t>
            </w:r>
          </w:p>
        </w:tc>
        <w:tc>
          <w:tcPr>
            <w:tcW w:type="dxa" w:w="3725"/>
            <w:vAlign w:val="center"/>
          </w:tcPr>
          <w:p>
            <w:pPr>
              <w:spacing w:after="20" w:before="20" w:line="252" w:lineRule="auto"/>
            </w:pPr>
            <w:r/>
            <w:r>
              <w:rPr>
                <w:rFonts w:ascii="Arial" w:hAnsi="Arial"/>
                <w:b w:val="0"/>
                <w:i w:val="0"/>
                <w:sz w:val="17"/>
              </w:rPr>
              <w:t>10,14 + 8,0 + 5,4 + 4,48</w:t>
            </w:r>
          </w:p>
        </w:tc>
        <w:tc>
          <w:tcPr>
            <w:tcW w:type="dxa" w:w="2353"/>
            <w:vAlign w:val="center"/>
          </w:tcPr>
          <w:p>
            <w:pPr>
              <w:spacing w:after="20" w:before="20" w:line="252" w:lineRule="auto"/>
            </w:pPr>
            <w:r/>
            <w:r>
              <w:rPr>
                <w:rFonts w:ascii="Arial" w:hAnsi="Arial"/>
                <w:b w:val="0"/>
                <w:i w:val="0"/>
                <w:sz w:val="17"/>
              </w:rPr>
              <w:t>Rp28,02 T (≈ Rp28 T)</w:t>
            </w:r>
          </w:p>
        </w:tc>
      </w:tr>
      <w:tr>
        <w:trPr>
          <w:cantSplit/>
        </w:trPr>
        <w:tc>
          <w:tcPr>
            <w:tcW w:type="dxa" w:w="3333"/>
            <w:shd w:val="clear" w:color="auto" w:fill="E6ECFD"/>
            <w:vAlign w:val="center"/>
          </w:tcPr>
          <w:p>
            <w:pPr>
              <w:spacing w:after="20" w:before="20" w:line="252" w:lineRule="auto"/>
            </w:pPr>
            <w:r/>
            <w:r>
              <w:rPr>
                <w:rFonts w:ascii="Arial" w:hAnsi="Arial"/>
                <w:b/>
                <w:i w:val="0"/>
                <w:sz w:val="17"/>
              </w:rPr>
              <w:t>Penurunan anggaran infrastruktur</w:t>
            </w:r>
          </w:p>
        </w:tc>
        <w:tc>
          <w:tcPr>
            <w:tcW w:type="dxa" w:w="3725"/>
            <w:shd w:val="clear" w:color="auto" w:fill="E6ECFD"/>
            <w:vAlign w:val="center"/>
          </w:tcPr>
          <w:p>
            <w:pPr>
              <w:spacing w:after="20" w:before="20" w:line="252" w:lineRule="auto"/>
            </w:pPr>
            <w:r/>
            <w:r>
              <w:rPr>
                <w:rFonts w:ascii="Arial" w:hAnsi="Arial"/>
                <w:b w:val="0"/>
                <w:i w:val="0"/>
                <w:sz w:val="17"/>
              </w:rPr>
              <w:t>61,38 / 110,95 − 1</w:t>
            </w:r>
          </w:p>
        </w:tc>
        <w:tc>
          <w:tcPr>
            <w:tcW w:type="dxa" w:w="2353"/>
            <w:shd w:val="clear" w:color="auto" w:fill="E6ECFD"/>
            <w:vAlign w:val="center"/>
          </w:tcPr>
          <w:p>
            <w:pPr>
              <w:spacing w:after="20" w:before="20" w:line="252" w:lineRule="auto"/>
            </w:pPr>
            <w:r/>
            <w:r>
              <w:rPr>
                <w:rFonts w:ascii="Arial" w:hAnsi="Arial"/>
                <w:b w:val="0"/>
                <w:i w:val="0"/>
                <w:sz w:val="17"/>
              </w:rPr>
              <w:t>−44,7% (≈ 45%)</w:t>
            </w:r>
          </w:p>
        </w:tc>
      </w:tr>
      <w:tr>
        <w:trPr>
          <w:cantSplit/>
        </w:trPr>
        <w:tc>
          <w:tcPr>
            <w:tcW w:type="dxa" w:w="3333"/>
            <w:vAlign w:val="center"/>
          </w:tcPr>
          <w:p>
            <w:pPr>
              <w:spacing w:after="20" w:before="20" w:line="252" w:lineRule="auto"/>
            </w:pPr>
            <w:r/>
            <w:r>
              <w:rPr>
                <w:rFonts w:ascii="Arial" w:hAnsi="Arial"/>
                <w:b/>
                <w:i w:val="0"/>
                <w:sz w:val="17"/>
              </w:rPr>
              <w:t>Selisih total portofolio</w:t>
            </w:r>
          </w:p>
        </w:tc>
        <w:tc>
          <w:tcPr>
            <w:tcW w:type="dxa" w:w="3725"/>
            <w:vAlign w:val="center"/>
          </w:tcPr>
          <w:p>
            <w:pPr>
              <w:spacing w:after="20" w:before="20" w:line="252" w:lineRule="auto"/>
            </w:pPr>
            <w:r/>
            <w:r>
              <w:rPr>
                <w:rFonts w:ascii="Arial" w:hAnsi="Arial"/>
                <w:b w:val="0"/>
                <w:i w:val="0"/>
                <w:sz w:val="17"/>
              </w:rPr>
              <w:t>2.091,46 − 2.072,53</w:t>
            </w:r>
          </w:p>
        </w:tc>
        <w:tc>
          <w:tcPr>
            <w:tcW w:type="dxa" w:w="2353"/>
            <w:vAlign w:val="center"/>
          </w:tcPr>
          <w:p>
            <w:pPr>
              <w:spacing w:after="20" w:before="20" w:line="252" w:lineRule="auto"/>
            </w:pPr>
            <w:r/>
            <w:r>
              <w:rPr>
                <w:rFonts w:ascii="Arial" w:hAnsi="Arial"/>
                <w:b w:val="0"/>
                <w:i w:val="0"/>
                <w:sz w:val="17"/>
              </w:rPr>
              <w:t>Rp18,93 T</w:t>
            </w:r>
          </w:p>
        </w:tc>
      </w:tr>
      <w:tr>
        <w:trPr>
          <w:cantSplit/>
        </w:trPr>
        <w:tc>
          <w:tcPr>
            <w:tcW w:type="dxa" w:w="3333"/>
            <w:shd w:val="clear" w:color="auto" w:fill="E6ECFD"/>
            <w:vAlign w:val="center"/>
          </w:tcPr>
          <w:p>
            <w:pPr>
              <w:spacing w:after="20" w:before="20" w:line="252" w:lineRule="auto"/>
            </w:pPr>
            <w:r/>
            <w:r>
              <w:rPr>
                <w:rFonts w:ascii="Arial" w:hAnsi="Arial"/>
                <w:b/>
                <w:i w:val="0"/>
                <w:sz w:val="17"/>
              </w:rPr>
              <w:t>Slot bernama terhadap headline</w:t>
            </w:r>
          </w:p>
        </w:tc>
        <w:tc>
          <w:tcPr>
            <w:tcW w:type="dxa" w:w="3725"/>
            <w:shd w:val="clear" w:color="auto" w:fill="E6ECFD"/>
            <w:vAlign w:val="center"/>
          </w:tcPr>
          <w:p>
            <w:pPr>
              <w:spacing w:after="20" w:before="20" w:line="252" w:lineRule="auto"/>
            </w:pPr>
            <w:r/>
            <w:r>
              <w:rPr>
                <w:rFonts w:ascii="Arial" w:hAnsi="Arial"/>
                <w:b w:val="0"/>
                <w:i w:val="0"/>
                <w:sz w:val="17"/>
              </w:rPr>
              <w:t>604,97 / 2.091,46</w:t>
            </w:r>
          </w:p>
        </w:tc>
        <w:tc>
          <w:tcPr>
            <w:tcW w:type="dxa" w:w="2353"/>
            <w:shd w:val="clear" w:color="auto" w:fill="E6ECFD"/>
            <w:vAlign w:val="center"/>
          </w:tcPr>
          <w:p>
            <w:pPr>
              <w:spacing w:after="20" w:before="20" w:line="252" w:lineRule="auto"/>
            </w:pPr>
            <w:r/>
            <w:r>
              <w:rPr>
                <w:rFonts w:ascii="Arial" w:hAnsi="Arial"/>
                <w:b w:val="0"/>
                <w:i w:val="0"/>
                <w:sz w:val="17"/>
              </w:rPr>
              <w:t>28,9%</w:t>
            </w:r>
          </w:p>
        </w:tc>
      </w:tr>
      <w:tr>
        <w:trPr>
          <w:cantSplit/>
        </w:trPr>
        <w:tc>
          <w:tcPr>
            <w:tcW w:type="dxa" w:w="3333"/>
            <w:vAlign w:val="center"/>
          </w:tcPr>
          <w:p>
            <w:pPr>
              <w:spacing w:after="20" w:before="20" w:line="252" w:lineRule="auto"/>
            </w:pPr>
            <w:r/>
            <w:r>
              <w:rPr>
                <w:rFonts w:ascii="Arial" w:hAnsi="Arial"/>
                <w:b/>
                <w:i w:val="0"/>
                <w:sz w:val="17"/>
              </w:rPr>
              <w:t>Residual terhadap RKAP</w:t>
            </w:r>
          </w:p>
        </w:tc>
        <w:tc>
          <w:tcPr>
            <w:tcW w:type="dxa" w:w="3725"/>
            <w:vAlign w:val="center"/>
          </w:tcPr>
          <w:p>
            <w:pPr>
              <w:spacing w:after="20" w:before="20" w:line="252" w:lineRule="auto"/>
            </w:pPr>
            <w:r/>
            <w:r>
              <w:rPr>
                <w:rFonts w:ascii="Arial" w:hAnsi="Arial"/>
                <w:b w:val="0"/>
                <w:i w:val="0"/>
                <w:sz w:val="17"/>
              </w:rPr>
              <w:t>2.091,46 − 604,97</w:t>
            </w:r>
          </w:p>
        </w:tc>
        <w:tc>
          <w:tcPr>
            <w:tcW w:type="dxa" w:w="2353"/>
            <w:vAlign w:val="center"/>
          </w:tcPr>
          <w:p>
            <w:pPr>
              <w:spacing w:after="20" w:before="20" w:line="252" w:lineRule="auto"/>
            </w:pPr>
            <w:r/>
            <w:r>
              <w:rPr>
                <w:rFonts w:ascii="Arial" w:hAnsi="Arial"/>
                <w:b w:val="0"/>
                <w:i w:val="0"/>
                <w:sz w:val="17"/>
              </w:rPr>
              <w:t>Rp1.486,49 T (≈ Rp1.486,5 T; hipotesis)</w:t>
            </w:r>
          </w:p>
        </w:tc>
      </w:tr>
      <w:tr>
        <w:trPr>
          <w:cantSplit/>
        </w:trPr>
        <w:tc>
          <w:tcPr>
            <w:tcW w:type="dxa" w:w="3333"/>
            <w:shd w:val="clear" w:color="auto" w:fill="E6ECFD"/>
            <w:vAlign w:val="center"/>
          </w:tcPr>
          <w:p>
            <w:pPr>
              <w:spacing w:after="20" w:before="20" w:line="252" w:lineRule="auto"/>
            </w:pPr>
            <w:r/>
            <w:r>
              <w:rPr>
                <w:rFonts w:ascii="Arial" w:hAnsi="Arial"/>
                <w:b/>
                <w:i w:val="0"/>
                <w:sz w:val="17"/>
              </w:rPr>
              <w:t>PLTS 100 GW</w:t>
            </w:r>
          </w:p>
        </w:tc>
        <w:tc>
          <w:tcPr>
            <w:tcW w:type="dxa" w:w="3725"/>
            <w:shd w:val="clear" w:color="auto" w:fill="E6ECFD"/>
            <w:vAlign w:val="center"/>
          </w:tcPr>
          <w:p>
            <w:pPr>
              <w:spacing w:after="20" w:before="20" w:line="252" w:lineRule="auto"/>
            </w:pPr>
            <w:r/>
            <w:r>
              <w:rPr>
                <w:rFonts w:ascii="Arial" w:hAnsi="Arial"/>
                <w:b w:val="0"/>
                <w:i w:val="0"/>
                <w:sz w:val="17"/>
              </w:rPr>
              <w:t>1.130 / 231,4</w:t>
            </w:r>
          </w:p>
        </w:tc>
        <w:tc>
          <w:tcPr>
            <w:tcW w:type="dxa" w:w="2353"/>
            <w:shd w:val="clear" w:color="auto" w:fill="E6ECFD"/>
            <w:vAlign w:val="center"/>
          </w:tcPr>
          <w:p>
            <w:pPr>
              <w:spacing w:after="20" w:before="20" w:line="252" w:lineRule="auto"/>
            </w:pPr>
            <w:r/>
            <w:r>
              <w:rPr>
                <w:rFonts w:ascii="Arial" w:hAnsi="Arial"/>
                <w:b w:val="0"/>
                <w:i w:val="0"/>
                <w:sz w:val="17"/>
              </w:rPr>
              <w:t>4,88×</w:t>
            </w:r>
          </w:p>
        </w:tc>
      </w:tr>
      <w:tr>
        <w:trPr>
          <w:cantSplit/>
        </w:trPr>
        <w:tc>
          <w:tcPr>
            <w:tcW w:type="dxa" w:w="3333"/>
            <w:vAlign w:val="center"/>
          </w:tcPr>
          <w:p>
            <w:pPr>
              <w:spacing w:after="20" w:before="20" w:line="252" w:lineRule="auto"/>
            </w:pPr>
            <w:r/>
            <w:r>
              <w:rPr>
                <w:rFonts w:ascii="Arial" w:hAnsi="Arial"/>
                <w:b/>
                <w:i w:val="0"/>
                <w:sz w:val="17"/>
              </w:rPr>
              <w:t>Total tranche PAL</w:t>
            </w:r>
          </w:p>
        </w:tc>
        <w:tc>
          <w:tcPr>
            <w:tcW w:type="dxa" w:w="3725"/>
            <w:vAlign w:val="center"/>
          </w:tcPr>
          <w:p>
            <w:pPr>
              <w:spacing w:after="20" w:before="20" w:line="252" w:lineRule="auto"/>
            </w:pPr>
            <w:r/>
            <w:r>
              <w:rPr>
                <w:rFonts w:ascii="Arial" w:hAnsi="Arial"/>
                <w:b w:val="0"/>
                <w:i w:val="0"/>
                <w:sz w:val="17"/>
              </w:rPr>
              <w:t>40 + 45 + 40 + 25</w:t>
            </w:r>
          </w:p>
        </w:tc>
        <w:tc>
          <w:tcPr>
            <w:tcW w:type="dxa" w:w="2353"/>
            <w:vAlign w:val="center"/>
          </w:tcPr>
          <w:p>
            <w:pPr>
              <w:spacing w:after="20" w:before="20" w:line="252" w:lineRule="auto"/>
            </w:pPr>
            <w:r/>
            <w:r>
              <w:rPr>
                <w:rFonts w:ascii="Arial" w:hAnsi="Arial"/>
                <w:b w:val="0"/>
                <w:i w:val="0"/>
                <w:sz w:val="17"/>
              </w:rPr>
              <w:t>US$150 juta</w:t>
            </w:r>
          </w:p>
        </w:tc>
      </w:tr>
      <w:tr>
        <w:trPr>
          <w:cantSplit/>
        </w:trPr>
        <w:tc>
          <w:tcPr>
            <w:tcW w:type="dxa" w:w="3333"/>
            <w:shd w:val="clear" w:color="auto" w:fill="E6ECFD"/>
            <w:vAlign w:val="center"/>
          </w:tcPr>
          <w:p>
            <w:pPr>
              <w:spacing w:after="20" w:before="20" w:line="252" w:lineRule="auto"/>
            </w:pPr>
            <w:r/>
            <w:r>
              <w:rPr>
                <w:rFonts w:ascii="Arial" w:hAnsi="Arial"/>
                <w:b/>
                <w:i w:val="0"/>
                <w:sz w:val="17"/>
              </w:rPr>
              <w:t>Dua kanal baru</w:t>
            </w:r>
          </w:p>
        </w:tc>
        <w:tc>
          <w:tcPr>
            <w:tcW w:type="dxa" w:w="3725"/>
            <w:shd w:val="clear" w:color="auto" w:fill="E6ECFD"/>
            <w:vAlign w:val="center"/>
          </w:tcPr>
          <w:p>
            <w:pPr>
              <w:spacing w:after="20" w:before="20" w:line="252" w:lineRule="auto"/>
            </w:pPr>
            <w:r/>
            <w:r>
              <w:rPr>
                <w:rFonts w:ascii="Arial" w:hAnsi="Arial"/>
                <w:b w:val="0"/>
                <w:i w:val="0"/>
                <w:sz w:val="17"/>
              </w:rPr>
              <w:t>(118 + 24) / 2.091</w:t>
            </w:r>
          </w:p>
        </w:tc>
        <w:tc>
          <w:tcPr>
            <w:tcW w:type="dxa" w:w="2353"/>
            <w:shd w:val="clear" w:color="auto" w:fill="E6ECFD"/>
            <w:vAlign w:val="center"/>
          </w:tcPr>
          <w:p>
            <w:pPr>
              <w:spacing w:after="20" w:before="20" w:line="252" w:lineRule="auto"/>
            </w:pPr>
            <w:r/>
            <w:r>
              <w:rPr>
                <w:rFonts w:ascii="Arial" w:hAnsi="Arial"/>
                <w:b w:val="0"/>
                <w:i w:val="0"/>
                <w:sz w:val="17"/>
              </w:rPr>
              <w:t>6,8%</w:t>
            </w:r>
          </w:p>
        </w:tc>
      </w:tr>
    </w:tbl>
    <w:p>
      <w:pPr>
        <w:spacing w:after="40"/>
      </w:pPr>
    </w:p>
    <w:p>
      <w:pPr>
        <w:pStyle w:val="Heading1"/>
      </w:pPr>
      <w:bookmarkStart w:id="22" w:name="_Toc022"/>
      <w:r>
        <w:t>Lampiran D  Matriks RASCI untuk 24 aktivitas inti (ringkas)</w:t>
      </w:r>
      <w:bookmarkEnd w:id="22"/>
    </w:p>
    <w:p>
      <w:pPr>
        <w:jc w:val="both"/>
      </w:pPr>
      <w:r>
        <w:rPr>
          <w:rFonts w:ascii="Arial" w:hAnsi="Arial"/>
          <w:b w:val="0"/>
          <w:i w:val="0"/>
          <w:sz w:val="19"/>
        </w:rPr>
        <w:t>Matriks ini ringkasan dari rancangan Kajian: tepat satu A pada setiap baris. Kode peran: KP Kepala Badan Pelaksana; SI Pimpinan Industri Strategis pada BPI; PD MD Portofolio dan Project Delivery; ID MD Pengembangan Industri Strategis; EN MD Rekayasa dan Pelaksanaan; SP sponsor korporasi; PJ project director; CO COO/DAM; CI CIO/DIM; CT CTO; DD DDMF; RS fungsi risiko independen; LC Hukum dan Kepatuhan; FI Keuangan; IA Audit Internal; DW Dewan Pengawas; PR Presiden; OG organ perusahaan yang sah. Rincian R, S, C, dan I per baris ada pada sumber [EVAL §14–15].</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39</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Aktivitas inti dan pemilik akuntabel (A)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Aktivitas inti dan pemilik akuntabel (A)"/>
      </w:tblPr>
      <w:tblGrid>
        <w:gridCol w:w="3137"/>
        <w:gridCol w:w="3137"/>
        <w:gridCol w:w="3137"/>
      </w:tblGrid>
      <w:tr>
        <w:trPr>
          <w:cantSplit/>
          <w:tblHeader/>
        </w:trPr>
        <w:tc>
          <w:tcPr>
            <w:tcW w:type="dxa" w:w="980"/>
            <w:shd w:val="clear" w:color="auto" w:fill="2251FF"/>
            <w:vAlign w:val="center"/>
          </w:tcPr>
          <w:p>
            <w:pPr>
              <w:spacing w:after="20" w:before="20" w:line="252" w:lineRule="auto"/>
            </w:pPr>
            <w:r/>
            <w:r>
              <w:rPr>
                <w:rFonts w:ascii="Arial" w:hAnsi="Arial"/>
                <w:b/>
                <w:i w:val="0"/>
                <w:color w:val="FFFFFF"/>
                <w:sz w:val="17"/>
              </w:rPr>
              <w:t>Kode</w:t>
            </w:r>
          </w:p>
        </w:tc>
        <w:tc>
          <w:tcPr>
            <w:tcW w:type="dxa" w:w="5882"/>
            <w:shd w:val="clear" w:color="auto" w:fill="2251FF"/>
            <w:vAlign w:val="center"/>
          </w:tcPr>
          <w:p>
            <w:pPr>
              <w:spacing w:after="20" w:before="20" w:line="252" w:lineRule="auto"/>
            </w:pPr>
            <w:r/>
            <w:r>
              <w:rPr>
                <w:rFonts w:ascii="Arial" w:hAnsi="Arial"/>
                <w:b/>
                <w:i w:val="0"/>
                <w:color w:val="FFFFFF"/>
                <w:sz w:val="17"/>
              </w:rPr>
              <w:t>Aktivitas</w:t>
            </w:r>
          </w:p>
        </w:tc>
        <w:tc>
          <w:tcPr>
            <w:tcW w:type="dxa" w:w="2549"/>
            <w:shd w:val="clear" w:color="auto" w:fill="2251FF"/>
            <w:vAlign w:val="center"/>
          </w:tcPr>
          <w:p>
            <w:pPr>
              <w:spacing w:after="20" w:before="20" w:line="252" w:lineRule="auto"/>
            </w:pPr>
            <w:r/>
            <w:r>
              <w:rPr>
                <w:rFonts w:ascii="Arial" w:hAnsi="Arial"/>
                <w:b/>
                <w:i w:val="0"/>
                <w:color w:val="FFFFFF"/>
                <w:sz w:val="17"/>
              </w:rPr>
              <w:t>A (dan R bila disebut)</w:t>
            </w:r>
          </w:p>
        </w:tc>
      </w:tr>
      <w:tr>
        <w:trPr>
          <w:cantSplit/>
        </w:trPr>
        <w:tc>
          <w:tcPr>
            <w:tcW w:type="dxa" w:w="980"/>
            <w:vAlign w:val="center"/>
          </w:tcPr>
          <w:p>
            <w:pPr>
              <w:spacing w:after="20" w:before="20" w:line="252" w:lineRule="auto"/>
            </w:pPr>
            <w:r/>
            <w:r>
              <w:rPr>
                <w:rFonts w:ascii="Arial" w:hAnsi="Arial"/>
                <w:b/>
                <w:i w:val="0"/>
                <w:sz w:val="17"/>
              </w:rPr>
              <w:t>S01</w:t>
            </w:r>
          </w:p>
        </w:tc>
        <w:tc>
          <w:tcPr>
            <w:tcW w:type="dxa" w:w="5882"/>
            <w:vAlign w:val="center"/>
          </w:tcPr>
          <w:p>
            <w:pPr>
              <w:spacing w:after="20" w:before="20" w:line="252" w:lineRule="auto"/>
            </w:pPr>
            <w:r/>
            <w:r>
              <w:rPr>
                <w:rFonts w:ascii="Arial" w:hAnsi="Arial"/>
                <w:b w:val="0"/>
                <w:i w:val="0"/>
                <w:sz w:val="17"/>
              </w:rPr>
              <w:t>Rekonsiliasi register 40 proyek</w:t>
            </w:r>
          </w:p>
        </w:tc>
        <w:tc>
          <w:tcPr>
            <w:tcW w:type="dxa" w:w="2549"/>
            <w:vAlign w:val="center"/>
          </w:tcPr>
          <w:p>
            <w:pPr>
              <w:spacing w:after="20" w:before="20" w:line="252" w:lineRule="auto"/>
            </w:pPr>
            <w:r/>
            <w:r>
              <w:rPr>
                <w:rFonts w:ascii="Arial" w:hAnsi="Arial"/>
                <w:b w:val="0"/>
                <w:i w:val="0"/>
                <w:sz w:val="17"/>
              </w:rPr>
              <w:t>PD</w:t>
            </w:r>
          </w:p>
        </w:tc>
      </w:tr>
      <w:tr>
        <w:trPr>
          <w:cantSplit/>
        </w:trPr>
        <w:tc>
          <w:tcPr>
            <w:tcW w:type="dxa" w:w="980"/>
            <w:shd w:val="clear" w:color="auto" w:fill="E6ECFD"/>
            <w:vAlign w:val="center"/>
          </w:tcPr>
          <w:p>
            <w:pPr>
              <w:spacing w:after="20" w:before="20" w:line="252" w:lineRule="auto"/>
            </w:pPr>
            <w:r/>
            <w:r>
              <w:rPr>
                <w:rFonts w:ascii="Arial" w:hAnsi="Arial"/>
                <w:b/>
                <w:i w:val="0"/>
                <w:sz w:val="17"/>
              </w:rPr>
              <w:t>S02</w:t>
            </w:r>
          </w:p>
        </w:tc>
        <w:tc>
          <w:tcPr>
            <w:tcW w:type="dxa" w:w="5882"/>
            <w:shd w:val="clear" w:color="auto" w:fill="E6ECFD"/>
            <w:vAlign w:val="center"/>
          </w:tcPr>
          <w:p>
            <w:pPr>
              <w:spacing w:after="20" w:before="20" w:line="252" w:lineRule="auto"/>
            </w:pPr>
            <w:r/>
            <w:r>
              <w:rPr>
                <w:rFonts w:ascii="Arial" w:hAnsi="Arial"/>
                <w:b w:val="0"/>
                <w:i w:val="0"/>
                <w:sz w:val="17"/>
              </w:rPr>
              <w:t>Peta industri dan prioritas</w:t>
            </w:r>
          </w:p>
        </w:tc>
        <w:tc>
          <w:tcPr>
            <w:tcW w:type="dxa" w:w="2549"/>
            <w:shd w:val="clear" w:color="auto" w:fill="E6ECFD"/>
            <w:vAlign w:val="center"/>
          </w:tcPr>
          <w:p>
            <w:pPr>
              <w:spacing w:after="20" w:before="20" w:line="252" w:lineRule="auto"/>
            </w:pPr>
            <w:r/>
            <w:r>
              <w:rPr>
                <w:rFonts w:ascii="Arial" w:hAnsi="Arial"/>
                <w:b w:val="0"/>
                <w:i w:val="0"/>
                <w:sz w:val="17"/>
              </w:rPr>
              <w:t>SI</w:t>
            </w:r>
          </w:p>
        </w:tc>
      </w:tr>
      <w:tr>
        <w:trPr>
          <w:cantSplit/>
        </w:trPr>
        <w:tc>
          <w:tcPr>
            <w:tcW w:type="dxa" w:w="980"/>
            <w:vAlign w:val="center"/>
          </w:tcPr>
          <w:p>
            <w:pPr>
              <w:spacing w:after="20" w:before="20" w:line="252" w:lineRule="auto"/>
            </w:pPr>
            <w:r/>
            <w:r>
              <w:rPr>
                <w:rFonts w:ascii="Arial" w:hAnsi="Arial"/>
                <w:b/>
                <w:i w:val="0"/>
                <w:sz w:val="17"/>
              </w:rPr>
              <w:t>S03</w:t>
            </w:r>
          </w:p>
        </w:tc>
        <w:tc>
          <w:tcPr>
            <w:tcW w:type="dxa" w:w="5882"/>
            <w:vAlign w:val="center"/>
          </w:tcPr>
          <w:p>
            <w:pPr>
              <w:spacing w:after="20" w:before="20" w:line="252" w:lineRule="auto"/>
            </w:pPr>
            <w:r/>
            <w:r>
              <w:rPr>
                <w:rFonts w:ascii="Arial" w:hAnsi="Arial"/>
                <w:b w:val="0"/>
                <w:i w:val="0"/>
                <w:sz w:val="17"/>
              </w:rPr>
              <w:t>Penetapan prioritas Badan</w:t>
            </w:r>
          </w:p>
        </w:tc>
        <w:tc>
          <w:tcPr>
            <w:tcW w:type="dxa" w:w="2549"/>
            <w:vAlign w:val="center"/>
          </w:tcPr>
          <w:p>
            <w:pPr>
              <w:spacing w:after="20" w:before="20" w:line="252" w:lineRule="auto"/>
            </w:pPr>
            <w:r/>
            <w:r>
              <w:rPr>
                <w:rFonts w:ascii="Arial" w:hAnsi="Arial"/>
                <w:b w:val="0"/>
                <w:i w:val="0"/>
                <w:sz w:val="17"/>
              </w:rPr>
              <w:t>KP</w:t>
            </w:r>
          </w:p>
        </w:tc>
      </w:tr>
      <w:tr>
        <w:trPr>
          <w:cantSplit/>
        </w:trPr>
        <w:tc>
          <w:tcPr>
            <w:tcW w:type="dxa" w:w="980"/>
            <w:shd w:val="clear" w:color="auto" w:fill="E6ECFD"/>
            <w:vAlign w:val="center"/>
          </w:tcPr>
          <w:p>
            <w:pPr>
              <w:spacing w:after="20" w:before="20" w:line="252" w:lineRule="auto"/>
            </w:pPr>
            <w:r/>
            <w:r>
              <w:rPr>
                <w:rFonts w:ascii="Arial" w:hAnsi="Arial"/>
                <w:b/>
                <w:i w:val="0"/>
                <w:sz w:val="17"/>
              </w:rPr>
              <w:t>S04</w:t>
            </w:r>
          </w:p>
        </w:tc>
        <w:tc>
          <w:tcPr>
            <w:tcW w:type="dxa" w:w="5882"/>
            <w:shd w:val="clear" w:color="auto" w:fill="E6ECFD"/>
            <w:vAlign w:val="center"/>
          </w:tcPr>
          <w:p>
            <w:pPr>
              <w:spacing w:after="20" w:before="20" w:line="252" w:lineRule="auto"/>
            </w:pPr>
            <w:r/>
            <w:r>
              <w:rPr>
                <w:rFonts w:ascii="Arial" w:hAnsi="Arial"/>
                <w:b w:val="0"/>
                <w:i w:val="0"/>
                <w:sz w:val="17"/>
              </w:rPr>
              <w:t>Paket kelayakan dan kesiapan proyek</w:t>
            </w:r>
          </w:p>
        </w:tc>
        <w:tc>
          <w:tcPr>
            <w:tcW w:type="dxa" w:w="2549"/>
            <w:shd w:val="clear" w:color="auto" w:fill="E6ECFD"/>
            <w:vAlign w:val="center"/>
          </w:tcPr>
          <w:p>
            <w:pPr>
              <w:spacing w:after="20" w:before="20" w:line="252" w:lineRule="auto"/>
            </w:pPr>
            <w:r/>
            <w:r>
              <w:rPr>
                <w:rFonts w:ascii="Arial" w:hAnsi="Arial"/>
                <w:b w:val="0"/>
                <w:i w:val="0"/>
                <w:sz w:val="17"/>
              </w:rPr>
              <w:t>SP (R: PJ, ID, EN)</w:t>
            </w:r>
          </w:p>
        </w:tc>
      </w:tr>
      <w:tr>
        <w:trPr>
          <w:cantSplit/>
        </w:trPr>
        <w:tc>
          <w:tcPr>
            <w:tcW w:type="dxa" w:w="980"/>
            <w:vAlign w:val="center"/>
          </w:tcPr>
          <w:p>
            <w:pPr>
              <w:spacing w:after="20" w:before="20" w:line="252" w:lineRule="auto"/>
            </w:pPr>
            <w:r/>
            <w:r>
              <w:rPr>
                <w:rFonts w:ascii="Arial" w:hAnsi="Arial"/>
                <w:b/>
                <w:i w:val="0"/>
                <w:sz w:val="17"/>
              </w:rPr>
              <w:t>S05</w:t>
            </w:r>
          </w:p>
        </w:tc>
        <w:tc>
          <w:tcPr>
            <w:tcW w:type="dxa" w:w="5882"/>
            <w:vAlign w:val="center"/>
          </w:tcPr>
          <w:p>
            <w:pPr>
              <w:spacing w:after="20" w:before="20" w:line="252" w:lineRule="auto"/>
            </w:pPr>
            <w:r/>
            <w:r>
              <w:rPr>
                <w:rFonts w:ascii="Arial" w:hAnsi="Arial"/>
                <w:b w:val="0"/>
                <w:i w:val="0"/>
                <w:sz w:val="17"/>
              </w:rPr>
              <w:t>Opini teknologi dan HKI</w:t>
            </w:r>
          </w:p>
        </w:tc>
        <w:tc>
          <w:tcPr>
            <w:tcW w:type="dxa" w:w="2549"/>
            <w:vAlign w:val="center"/>
          </w:tcPr>
          <w:p>
            <w:pPr>
              <w:spacing w:after="20" w:before="20" w:line="252" w:lineRule="auto"/>
            </w:pPr>
            <w:r/>
            <w:r>
              <w:rPr>
                <w:rFonts w:ascii="Arial" w:hAnsi="Arial"/>
                <w:b w:val="0"/>
                <w:i w:val="0"/>
                <w:sz w:val="17"/>
              </w:rPr>
              <w:t>CT</w:t>
            </w:r>
          </w:p>
        </w:tc>
      </w:tr>
      <w:tr>
        <w:trPr>
          <w:cantSplit/>
        </w:trPr>
        <w:tc>
          <w:tcPr>
            <w:tcW w:type="dxa" w:w="980"/>
            <w:shd w:val="clear" w:color="auto" w:fill="E6ECFD"/>
            <w:vAlign w:val="center"/>
          </w:tcPr>
          <w:p>
            <w:pPr>
              <w:spacing w:after="20" w:before="20" w:line="252" w:lineRule="auto"/>
            </w:pPr>
            <w:r/>
            <w:r>
              <w:rPr>
                <w:rFonts w:ascii="Arial" w:hAnsi="Arial"/>
                <w:b/>
                <w:i w:val="0"/>
                <w:sz w:val="17"/>
              </w:rPr>
              <w:t>S06</w:t>
            </w:r>
          </w:p>
        </w:tc>
        <w:tc>
          <w:tcPr>
            <w:tcW w:type="dxa" w:w="5882"/>
            <w:shd w:val="clear" w:color="auto" w:fill="E6ECFD"/>
            <w:vAlign w:val="center"/>
          </w:tcPr>
          <w:p>
            <w:pPr>
              <w:spacing w:after="20" w:before="20" w:line="252" w:lineRule="auto"/>
            </w:pPr>
            <w:r/>
            <w:r>
              <w:rPr>
                <w:rFonts w:ascii="Arial" w:hAnsi="Arial"/>
                <w:b w:val="0"/>
                <w:i w:val="0"/>
                <w:sz w:val="17"/>
              </w:rPr>
              <w:t>Opini risiko independen</w:t>
            </w:r>
          </w:p>
        </w:tc>
        <w:tc>
          <w:tcPr>
            <w:tcW w:type="dxa" w:w="2549"/>
            <w:shd w:val="clear" w:color="auto" w:fill="E6ECFD"/>
            <w:vAlign w:val="center"/>
          </w:tcPr>
          <w:p>
            <w:pPr>
              <w:spacing w:after="20" w:before="20" w:line="252" w:lineRule="auto"/>
            </w:pPr>
            <w:r/>
            <w:r>
              <w:rPr>
                <w:rFonts w:ascii="Arial" w:hAnsi="Arial"/>
                <w:b w:val="0"/>
                <w:i w:val="0"/>
                <w:sz w:val="17"/>
              </w:rPr>
              <w:t>RS</w:t>
            </w:r>
          </w:p>
        </w:tc>
      </w:tr>
      <w:tr>
        <w:trPr>
          <w:cantSplit/>
        </w:trPr>
        <w:tc>
          <w:tcPr>
            <w:tcW w:type="dxa" w:w="980"/>
            <w:vAlign w:val="center"/>
          </w:tcPr>
          <w:p>
            <w:pPr>
              <w:spacing w:after="20" w:before="20" w:line="252" w:lineRule="auto"/>
            </w:pPr>
            <w:r/>
            <w:r>
              <w:rPr>
                <w:rFonts w:ascii="Arial" w:hAnsi="Arial"/>
                <w:b/>
                <w:i w:val="0"/>
                <w:sz w:val="17"/>
              </w:rPr>
              <w:t>S07</w:t>
            </w:r>
          </w:p>
        </w:tc>
        <w:tc>
          <w:tcPr>
            <w:tcW w:type="dxa" w:w="5882"/>
            <w:vAlign w:val="center"/>
          </w:tcPr>
          <w:p>
            <w:pPr>
              <w:spacing w:after="20" w:before="20" w:line="252" w:lineRule="auto"/>
            </w:pPr>
            <w:r/>
            <w:r>
              <w:rPr>
                <w:rFonts w:ascii="Arial" w:hAnsi="Arial"/>
                <w:b w:val="0"/>
                <w:i w:val="0"/>
                <w:sz w:val="17"/>
              </w:rPr>
              <w:t>Opini hukum dan jalur otorisasi</w:t>
            </w:r>
          </w:p>
        </w:tc>
        <w:tc>
          <w:tcPr>
            <w:tcW w:type="dxa" w:w="2549"/>
            <w:vAlign w:val="center"/>
          </w:tcPr>
          <w:p>
            <w:pPr>
              <w:spacing w:after="20" w:before="20" w:line="252" w:lineRule="auto"/>
            </w:pPr>
            <w:r/>
            <w:r>
              <w:rPr>
                <w:rFonts w:ascii="Arial" w:hAnsi="Arial"/>
                <w:b w:val="0"/>
                <w:i w:val="0"/>
                <w:sz w:val="17"/>
              </w:rPr>
              <w:t>LC</w:t>
            </w:r>
          </w:p>
        </w:tc>
      </w:tr>
      <w:tr>
        <w:trPr>
          <w:cantSplit/>
        </w:trPr>
        <w:tc>
          <w:tcPr>
            <w:tcW w:type="dxa" w:w="980"/>
            <w:shd w:val="clear" w:color="auto" w:fill="E6ECFD"/>
            <w:vAlign w:val="center"/>
          </w:tcPr>
          <w:p>
            <w:pPr>
              <w:spacing w:after="20" w:before="20" w:line="252" w:lineRule="auto"/>
            </w:pPr>
            <w:r/>
            <w:r>
              <w:rPr>
                <w:rFonts w:ascii="Arial" w:hAnsi="Arial"/>
                <w:b/>
                <w:i w:val="0"/>
                <w:sz w:val="17"/>
              </w:rPr>
              <w:t>S08</w:t>
            </w:r>
          </w:p>
        </w:tc>
        <w:tc>
          <w:tcPr>
            <w:tcW w:type="dxa" w:w="5882"/>
            <w:shd w:val="clear" w:color="auto" w:fill="E6ECFD"/>
            <w:vAlign w:val="center"/>
          </w:tcPr>
          <w:p>
            <w:pPr>
              <w:spacing w:after="20" w:before="20" w:line="252" w:lineRule="auto"/>
            </w:pPr>
            <w:r/>
            <w:r>
              <w:rPr>
                <w:rFonts w:ascii="Arial" w:hAnsi="Arial"/>
                <w:b w:val="0"/>
                <w:i w:val="0"/>
                <w:sz w:val="17"/>
              </w:rPr>
              <w:t>Struktur pembiayaan</w:t>
            </w:r>
          </w:p>
        </w:tc>
        <w:tc>
          <w:tcPr>
            <w:tcW w:type="dxa" w:w="2549"/>
            <w:shd w:val="clear" w:color="auto" w:fill="E6ECFD"/>
            <w:vAlign w:val="center"/>
          </w:tcPr>
          <w:p>
            <w:pPr>
              <w:spacing w:after="20" w:before="20" w:line="252" w:lineRule="auto"/>
            </w:pPr>
            <w:r/>
            <w:r>
              <w:rPr>
                <w:rFonts w:ascii="Arial" w:hAnsi="Arial"/>
                <w:b w:val="0"/>
                <w:i w:val="0"/>
                <w:sz w:val="17"/>
              </w:rPr>
              <w:t>CI</w:t>
            </w:r>
          </w:p>
        </w:tc>
      </w:tr>
      <w:tr>
        <w:trPr>
          <w:cantSplit/>
        </w:trPr>
        <w:tc>
          <w:tcPr>
            <w:tcW w:type="dxa" w:w="980"/>
            <w:vAlign w:val="center"/>
          </w:tcPr>
          <w:p>
            <w:pPr>
              <w:spacing w:after="20" w:before="20" w:line="252" w:lineRule="auto"/>
            </w:pPr>
            <w:r/>
            <w:r>
              <w:rPr>
                <w:rFonts w:ascii="Arial" w:hAnsi="Arial"/>
                <w:b/>
                <w:i w:val="0"/>
                <w:sz w:val="17"/>
              </w:rPr>
              <w:t>S09</w:t>
            </w:r>
          </w:p>
        </w:tc>
        <w:tc>
          <w:tcPr>
            <w:tcW w:type="dxa" w:w="5882"/>
            <w:vAlign w:val="center"/>
          </w:tcPr>
          <w:p>
            <w:pPr>
              <w:spacing w:after="20" w:before="20" w:line="252" w:lineRule="auto"/>
            </w:pPr>
            <w:r/>
            <w:r>
              <w:rPr>
                <w:rFonts w:ascii="Arial" w:hAnsi="Arial"/>
                <w:b w:val="0"/>
                <w:i w:val="0"/>
                <w:sz w:val="17"/>
              </w:rPr>
              <w:t>Paket rekomendasi portofolio</w:t>
            </w:r>
          </w:p>
        </w:tc>
        <w:tc>
          <w:tcPr>
            <w:tcW w:type="dxa" w:w="2549"/>
            <w:vAlign w:val="center"/>
          </w:tcPr>
          <w:p>
            <w:pPr>
              <w:spacing w:after="20" w:before="20" w:line="252" w:lineRule="auto"/>
            </w:pPr>
            <w:r/>
            <w:r>
              <w:rPr>
                <w:rFonts w:ascii="Arial" w:hAnsi="Arial"/>
                <w:b w:val="0"/>
                <w:i w:val="0"/>
                <w:sz w:val="17"/>
              </w:rPr>
              <w:t>SI</w:t>
            </w:r>
          </w:p>
        </w:tc>
      </w:tr>
      <w:tr>
        <w:trPr>
          <w:cantSplit/>
        </w:trPr>
        <w:tc>
          <w:tcPr>
            <w:tcW w:type="dxa" w:w="980"/>
            <w:shd w:val="clear" w:color="auto" w:fill="E6ECFD"/>
            <w:vAlign w:val="center"/>
          </w:tcPr>
          <w:p>
            <w:pPr>
              <w:spacing w:after="20" w:before="20" w:line="252" w:lineRule="auto"/>
            </w:pPr>
            <w:r/>
            <w:r>
              <w:rPr>
                <w:rFonts w:ascii="Arial" w:hAnsi="Arial"/>
                <w:b/>
                <w:i w:val="0"/>
                <w:sz w:val="17"/>
              </w:rPr>
              <w:t>S10</w:t>
            </w:r>
          </w:p>
        </w:tc>
        <w:tc>
          <w:tcPr>
            <w:tcW w:type="dxa" w:w="5882"/>
            <w:shd w:val="clear" w:color="auto" w:fill="E6ECFD"/>
            <w:vAlign w:val="center"/>
          </w:tcPr>
          <w:p>
            <w:pPr>
              <w:spacing w:after="20" w:before="20" w:line="252" w:lineRule="auto"/>
            </w:pPr>
            <w:r/>
            <w:r>
              <w:rPr>
                <w:rFonts w:ascii="Arial" w:hAnsi="Arial"/>
                <w:b w:val="0"/>
                <w:i w:val="0"/>
                <w:sz w:val="17"/>
              </w:rPr>
              <w:t>Keputusan Badan Pelaksana</w:t>
            </w:r>
          </w:p>
        </w:tc>
        <w:tc>
          <w:tcPr>
            <w:tcW w:type="dxa" w:w="2549"/>
            <w:shd w:val="clear" w:color="auto" w:fill="E6ECFD"/>
            <w:vAlign w:val="center"/>
          </w:tcPr>
          <w:p>
            <w:pPr>
              <w:spacing w:after="20" w:before="20" w:line="252" w:lineRule="auto"/>
            </w:pPr>
            <w:r/>
            <w:r>
              <w:rPr>
                <w:rFonts w:ascii="Arial" w:hAnsi="Arial"/>
                <w:b w:val="0"/>
                <w:i w:val="0"/>
                <w:sz w:val="17"/>
              </w:rPr>
              <w:t>KP</w:t>
            </w:r>
          </w:p>
        </w:tc>
      </w:tr>
      <w:tr>
        <w:trPr>
          <w:cantSplit/>
        </w:trPr>
        <w:tc>
          <w:tcPr>
            <w:tcW w:type="dxa" w:w="980"/>
            <w:vAlign w:val="center"/>
          </w:tcPr>
          <w:p>
            <w:pPr>
              <w:spacing w:after="20" w:before="20" w:line="252" w:lineRule="auto"/>
            </w:pPr>
            <w:r/>
            <w:r>
              <w:rPr>
                <w:rFonts w:ascii="Arial" w:hAnsi="Arial"/>
                <w:b/>
                <w:i w:val="0"/>
                <w:sz w:val="17"/>
              </w:rPr>
              <w:t>S11</w:t>
            </w:r>
          </w:p>
        </w:tc>
        <w:tc>
          <w:tcPr>
            <w:tcW w:type="dxa" w:w="5882"/>
            <w:vAlign w:val="center"/>
          </w:tcPr>
          <w:p>
            <w:pPr>
              <w:spacing w:after="20" w:before="20" w:line="252" w:lineRule="auto"/>
            </w:pPr>
            <w:r/>
            <w:r>
              <w:rPr>
                <w:rFonts w:ascii="Arial" w:hAnsi="Arial"/>
                <w:b w:val="0"/>
                <w:i w:val="0"/>
                <w:sz w:val="17"/>
              </w:rPr>
              <w:t>Persetujuan Presiden (bila perlu)</w:t>
            </w:r>
          </w:p>
        </w:tc>
        <w:tc>
          <w:tcPr>
            <w:tcW w:type="dxa" w:w="2549"/>
            <w:vAlign w:val="center"/>
          </w:tcPr>
          <w:p>
            <w:pPr>
              <w:spacing w:after="20" w:before="20" w:line="252" w:lineRule="auto"/>
            </w:pPr>
            <w:r/>
            <w:r>
              <w:rPr>
                <w:rFonts w:ascii="Arial" w:hAnsi="Arial"/>
                <w:b w:val="0"/>
                <w:i w:val="0"/>
                <w:sz w:val="17"/>
              </w:rPr>
              <w:t>PR</w:t>
            </w:r>
          </w:p>
        </w:tc>
      </w:tr>
      <w:tr>
        <w:trPr>
          <w:cantSplit/>
        </w:trPr>
        <w:tc>
          <w:tcPr>
            <w:tcW w:type="dxa" w:w="980"/>
            <w:shd w:val="clear" w:color="auto" w:fill="E6ECFD"/>
            <w:vAlign w:val="center"/>
          </w:tcPr>
          <w:p>
            <w:pPr>
              <w:spacing w:after="20" w:before="20" w:line="252" w:lineRule="auto"/>
            </w:pPr>
            <w:r/>
            <w:r>
              <w:rPr>
                <w:rFonts w:ascii="Arial" w:hAnsi="Arial"/>
                <w:b/>
                <w:i w:val="0"/>
                <w:sz w:val="17"/>
              </w:rPr>
              <w:t>S12</w:t>
            </w:r>
          </w:p>
        </w:tc>
        <w:tc>
          <w:tcPr>
            <w:tcW w:type="dxa" w:w="5882"/>
            <w:shd w:val="clear" w:color="auto" w:fill="E6ECFD"/>
            <w:vAlign w:val="center"/>
          </w:tcPr>
          <w:p>
            <w:pPr>
              <w:spacing w:after="20" w:before="20" w:line="252" w:lineRule="auto"/>
            </w:pPr>
            <w:r/>
            <w:r>
              <w:rPr>
                <w:rFonts w:ascii="Arial" w:hAnsi="Arial"/>
                <w:b w:val="0"/>
                <w:i w:val="0"/>
                <w:sz w:val="17"/>
              </w:rPr>
              <w:t>Persetujuan Dewan Pengawas (bila perlu)</w:t>
            </w:r>
          </w:p>
        </w:tc>
        <w:tc>
          <w:tcPr>
            <w:tcW w:type="dxa" w:w="2549"/>
            <w:shd w:val="clear" w:color="auto" w:fill="E6ECFD"/>
            <w:vAlign w:val="center"/>
          </w:tcPr>
          <w:p>
            <w:pPr>
              <w:spacing w:after="20" w:before="20" w:line="252" w:lineRule="auto"/>
            </w:pPr>
            <w:r/>
            <w:r>
              <w:rPr>
                <w:rFonts w:ascii="Arial" w:hAnsi="Arial"/>
                <w:b w:val="0"/>
                <w:i w:val="0"/>
                <w:sz w:val="17"/>
              </w:rPr>
              <w:t>DW</w:t>
            </w:r>
          </w:p>
        </w:tc>
      </w:tr>
      <w:tr>
        <w:trPr>
          <w:cantSplit/>
        </w:trPr>
        <w:tc>
          <w:tcPr>
            <w:tcW w:type="dxa" w:w="980"/>
            <w:vAlign w:val="center"/>
          </w:tcPr>
          <w:p>
            <w:pPr>
              <w:spacing w:after="20" w:before="20" w:line="252" w:lineRule="auto"/>
            </w:pPr>
            <w:r/>
            <w:r>
              <w:rPr>
                <w:rFonts w:ascii="Arial" w:hAnsi="Arial"/>
                <w:b/>
                <w:i w:val="0"/>
                <w:sz w:val="17"/>
              </w:rPr>
              <w:t>S13</w:t>
            </w:r>
          </w:p>
        </w:tc>
        <w:tc>
          <w:tcPr>
            <w:tcW w:type="dxa" w:w="5882"/>
            <w:vAlign w:val="center"/>
          </w:tcPr>
          <w:p>
            <w:pPr>
              <w:spacing w:after="20" w:before="20" w:line="252" w:lineRule="auto"/>
            </w:pPr>
            <w:r/>
            <w:r>
              <w:rPr>
                <w:rFonts w:ascii="Arial" w:hAnsi="Arial"/>
                <w:b w:val="0"/>
                <w:i w:val="0"/>
                <w:sz w:val="17"/>
              </w:rPr>
              <w:t>Keputusan investasi perusahaan sesuai anggaran dasar</w:t>
            </w:r>
          </w:p>
        </w:tc>
        <w:tc>
          <w:tcPr>
            <w:tcW w:type="dxa" w:w="2549"/>
            <w:vAlign w:val="center"/>
          </w:tcPr>
          <w:p>
            <w:pPr>
              <w:spacing w:after="20" w:before="20" w:line="252" w:lineRule="auto"/>
            </w:pPr>
            <w:r/>
            <w:r>
              <w:rPr>
                <w:rFonts w:ascii="Arial" w:hAnsi="Arial"/>
                <w:b w:val="0"/>
                <w:i w:val="0"/>
                <w:sz w:val="17"/>
              </w:rPr>
              <w:t>OG</w:t>
            </w:r>
          </w:p>
        </w:tc>
      </w:tr>
      <w:tr>
        <w:trPr>
          <w:cantSplit/>
        </w:trPr>
        <w:tc>
          <w:tcPr>
            <w:tcW w:type="dxa" w:w="980"/>
            <w:shd w:val="clear" w:color="auto" w:fill="E6ECFD"/>
            <w:vAlign w:val="center"/>
          </w:tcPr>
          <w:p>
            <w:pPr>
              <w:spacing w:after="20" w:before="20" w:line="252" w:lineRule="auto"/>
            </w:pPr>
            <w:r/>
            <w:r>
              <w:rPr>
                <w:rFonts w:ascii="Arial" w:hAnsi="Arial"/>
                <w:b/>
                <w:i w:val="0"/>
                <w:sz w:val="17"/>
              </w:rPr>
              <w:t>S14</w:t>
            </w:r>
          </w:p>
        </w:tc>
        <w:tc>
          <w:tcPr>
            <w:tcW w:type="dxa" w:w="5882"/>
            <w:shd w:val="clear" w:color="auto" w:fill="E6ECFD"/>
            <w:vAlign w:val="center"/>
          </w:tcPr>
          <w:p>
            <w:pPr>
              <w:spacing w:after="20" w:before="20" w:line="252" w:lineRule="auto"/>
            </w:pPr>
            <w:r/>
            <w:r>
              <w:rPr>
                <w:rFonts w:ascii="Arial" w:hAnsi="Arial"/>
                <w:b w:val="0"/>
                <w:i w:val="0"/>
                <w:sz w:val="17"/>
              </w:rPr>
              <w:t>Efektivitas kontrak dan financial close</w:t>
            </w:r>
          </w:p>
        </w:tc>
        <w:tc>
          <w:tcPr>
            <w:tcW w:type="dxa" w:w="2549"/>
            <w:shd w:val="clear" w:color="auto" w:fill="E6ECFD"/>
            <w:vAlign w:val="center"/>
          </w:tcPr>
          <w:p>
            <w:pPr>
              <w:spacing w:after="20" w:before="20" w:line="252" w:lineRule="auto"/>
            </w:pPr>
            <w:r/>
            <w:r>
              <w:rPr>
                <w:rFonts w:ascii="Arial" w:hAnsi="Arial"/>
                <w:b w:val="0"/>
                <w:i w:val="0"/>
                <w:sz w:val="17"/>
              </w:rPr>
              <w:t>OG (R: SP, PJ)</w:t>
            </w:r>
          </w:p>
        </w:tc>
      </w:tr>
      <w:tr>
        <w:trPr>
          <w:cantSplit/>
        </w:trPr>
        <w:tc>
          <w:tcPr>
            <w:tcW w:type="dxa" w:w="980"/>
            <w:vAlign w:val="center"/>
          </w:tcPr>
          <w:p>
            <w:pPr>
              <w:spacing w:after="20" w:before="20" w:line="252" w:lineRule="auto"/>
            </w:pPr>
            <w:r/>
            <w:r>
              <w:rPr>
                <w:rFonts w:ascii="Arial" w:hAnsi="Arial"/>
                <w:b/>
                <w:i w:val="0"/>
                <w:sz w:val="17"/>
              </w:rPr>
              <w:t>S15</w:t>
            </w:r>
          </w:p>
        </w:tc>
        <w:tc>
          <w:tcPr>
            <w:tcW w:type="dxa" w:w="5882"/>
            <w:vAlign w:val="center"/>
          </w:tcPr>
          <w:p>
            <w:pPr>
              <w:spacing w:after="20" w:before="20" w:line="252" w:lineRule="auto"/>
            </w:pPr>
            <w:r/>
            <w:r>
              <w:rPr>
                <w:rFonts w:ascii="Arial" w:hAnsi="Arial"/>
                <w:b w:val="0"/>
                <w:i w:val="0"/>
                <w:sz w:val="17"/>
              </w:rPr>
              <w:t>Pelaksanaan konstruksi</w:t>
            </w:r>
          </w:p>
        </w:tc>
        <w:tc>
          <w:tcPr>
            <w:tcW w:type="dxa" w:w="2549"/>
            <w:vAlign w:val="center"/>
          </w:tcPr>
          <w:p>
            <w:pPr>
              <w:spacing w:after="20" w:before="20" w:line="252" w:lineRule="auto"/>
            </w:pPr>
            <w:r/>
            <w:r>
              <w:rPr>
                <w:rFonts w:ascii="Arial" w:hAnsi="Arial"/>
                <w:b w:val="0"/>
                <w:i w:val="0"/>
                <w:sz w:val="17"/>
              </w:rPr>
              <w:t>PJ (R: PJ, EN; S: PD)</w:t>
            </w:r>
          </w:p>
        </w:tc>
      </w:tr>
      <w:tr>
        <w:trPr>
          <w:cantSplit/>
        </w:trPr>
        <w:tc>
          <w:tcPr>
            <w:tcW w:type="dxa" w:w="980"/>
            <w:shd w:val="clear" w:color="auto" w:fill="E6ECFD"/>
            <w:vAlign w:val="center"/>
          </w:tcPr>
          <w:p>
            <w:pPr>
              <w:spacing w:after="20" w:before="20" w:line="252" w:lineRule="auto"/>
            </w:pPr>
            <w:r/>
            <w:r>
              <w:rPr>
                <w:rFonts w:ascii="Arial" w:hAnsi="Arial"/>
                <w:b/>
                <w:i w:val="0"/>
                <w:sz w:val="17"/>
              </w:rPr>
              <w:t>S16</w:t>
            </w:r>
          </w:p>
        </w:tc>
        <w:tc>
          <w:tcPr>
            <w:tcW w:type="dxa" w:w="5882"/>
            <w:shd w:val="clear" w:color="auto" w:fill="E6ECFD"/>
            <w:vAlign w:val="center"/>
          </w:tcPr>
          <w:p>
            <w:pPr>
              <w:spacing w:after="20" w:before="20" w:line="252" w:lineRule="auto"/>
            </w:pPr>
            <w:r/>
            <w:r>
              <w:rPr>
                <w:rFonts w:ascii="Arial" w:hAnsi="Arial"/>
                <w:b w:val="0"/>
                <w:i w:val="0"/>
                <w:sz w:val="17"/>
              </w:rPr>
              <w:t>Perubahan kontrak atau biaya material</w:t>
            </w:r>
          </w:p>
        </w:tc>
        <w:tc>
          <w:tcPr>
            <w:tcW w:type="dxa" w:w="2549"/>
            <w:shd w:val="clear" w:color="auto" w:fill="E6ECFD"/>
            <w:vAlign w:val="center"/>
          </w:tcPr>
          <w:p>
            <w:pPr>
              <w:spacing w:after="20" w:before="20" w:line="252" w:lineRule="auto"/>
            </w:pPr>
            <w:r/>
            <w:r>
              <w:rPr>
                <w:rFonts w:ascii="Arial" w:hAnsi="Arial"/>
                <w:b w:val="0"/>
                <w:i w:val="0"/>
                <w:sz w:val="17"/>
              </w:rPr>
              <w:t>OG (R: SP, PJ)</w:t>
            </w:r>
          </w:p>
        </w:tc>
      </w:tr>
      <w:tr>
        <w:trPr>
          <w:cantSplit/>
        </w:trPr>
        <w:tc>
          <w:tcPr>
            <w:tcW w:type="dxa" w:w="980"/>
            <w:vAlign w:val="center"/>
          </w:tcPr>
          <w:p>
            <w:pPr>
              <w:spacing w:after="20" w:before="20" w:line="252" w:lineRule="auto"/>
            </w:pPr>
            <w:r/>
            <w:r>
              <w:rPr>
                <w:rFonts w:ascii="Arial" w:hAnsi="Arial"/>
                <w:b/>
                <w:i w:val="0"/>
                <w:sz w:val="17"/>
              </w:rPr>
              <w:t>S17</w:t>
            </w:r>
          </w:p>
        </w:tc>
        <w:tc>
          <w:tcPr>
            <w:tcW w:type="dxa" w:w="5882"/>
            <w:vAlign w:val="center"/>
          </w:tcPr>
          <w:p>
            <w:pPr>
              <w:spacing w:after="20" w:before="20" w:line="252" w:lineRule="auto"/>
            </w:pPr>
            <w:r/>
            <w:r>
              <w:rPr>
                <w:rFonts w:ascii="Arial" w:hAnsi="Arial"/>
                <w:b w:val="0"/>
                <w:i w:val="0"/>
                <w:sz w:val="17"/>
              </w:rPr>
              <w:t>Penyelesaian masalah internal portofolio</w:t>
            </w:r>
          </w:p>
        </w:tc>
        <w:tc>
          <w:tcPr>
            <w:tcW w:type="dxa" w:w="2549"/>
            <w:vAlign w:val="center"/>
          </w:tcPr>
          <w:p>
            <w:pPr>
              <w:spacing w:after="20" w:before="20" w:line="252" w:lineRule="auto"/>
            </w:pPr>
            <w:r/>
            <w:r>
              <w:rPr>
                <w:rFonts w:ascii="Arial" w:hAnsi="Arial"/>
                <w:b w:val="0"/>
                <w:i w:val="0"/>
                <w:sz w:val="17"/>
              </w:rPr>
              <w:t>SI (R: PD)</w:t>
            </w:r>
          </w:p>
        </w:tc>
      </w:tr>
      <w:tr>
        <w:trPr>
          <w:cantSplit/>
        </w:trPr>
        <w:tc>
          <w:tcPr>
            <w:tcW w:type="dxa" w:w="980"/>
            <w:shd w:val="clear" w:color="auto" w:fill="E6ECFD"/>
            <w:vAlign w:val="center"/>
          </w:tcPr>
          <w:p>
            <w:pPr>
              <w:spacing w:after="20" w:before="20" w:line="252" w:lineRule="auto"/>
            </w:pPr>
            <w:r/>
            <w:r>
              <w:rPr>
                <w:rFonts w:ascii="Arial" w:hAnsi="Arial"/>
                <w:b/>
                <w:i w:val="0"/>
                <w:sz w:val="17"/>
              </w:rPr>
              <w:t>S18</w:t>
            </w:r>
          </w:p>
        </w:tc>
        <w:tc>
          <w:tcPr>
            <w:tcW w:type="dxa" w:w="5882"/>
            <w:shd w:val="clear" w:color="auto" w:fill="E6ECFD"/>
            <w:vAlign w:val="center"/>
          </w:tcPr>
          <w:p>
            <w:pPr>
              <w:spacing w:after="20" w:before="20" w:line="252" w:lineRule="auto"/>
            </w:pPr>
            <w:r/>
            <w:r>
              <w:rPr>
                <w:rFonts w:ascii="Arial" w:hAnsi="Arial"/>
                <w:b w:val="0"/>
                <w:i w:val="0"/>
                <w:sz w:val="17"/>
              </w:rPr>
              <w:t>Eskalasi lintas lembaga kepada forum yang sah</w:t>
            </w:r>
          </w:p>
        </w:tc>
        <w:tc>
          <w:tcPr>
            <w:tcW w:type="dxa" w:w="2549"/>
            <w:shd w:val="clear" w:color="auto" w:fill="E6ECFD"/>
            <w:vAlign w:val="center"/>
          </w:tcPr>
          <w:p>
            <w:pPr>
              <w:spacing w:after="20" w:before="20" w:line="252" w:lineRule="auto"/>
            </w:pPr>
            <w:r/>
            <w:r>
              <w:rPr>
                <w:rFonts w:ascii="Arial" w:hAnsi="Arial"/>
                <w:b w:val="0"/>
                <w:i w:val="0"/>
                <w:sz w:val="17"/>
              </w:rPr>
              <w:t>KP</w:t>
            </w:r>
          </w:p>
        </w:tc>
      </w:tr>
      <w:tr>
        <w:trPr>
          <w:cantSplit/>
        </w:trPr>
        <w:tc>
          <w:tcPr>
            <w:tcW w:type="dxa" w:w="980"/>
            <w:vAlign w:val="center"/>
          </w:tcPr>
          <w:p>
            <w:pPr>
              <w:spacing w:after="20" w:before="20" w:line="252" w:lineRule="auto"/>
            </w:pPr>
            <w:r/>
            <w:r>
              <w:rPr>
                <w:rFonts w:ascii="Arial" w:hAnsi="Arial"/>
                <w:b/>
                <w:i w:val="0"/>
                <w:sz w:val="17"/>
              </w:rPr>
              <w:t>S19</w:t>
            </w:r>
          </w:p>
        </w:tc>
        <w:tc>
          <w:tcPr>
            <w:tcW w:type="dxa" w:w="5882"/>
            <w:vAlign w:val="center"/>
          </w:tcPr>
          <w:p>
            <w:pPr>
              <w:spacing w:after="20" w:before="20" w:line="252" w:lineRule="auto"/>
            </w:pPr>
            <w:r/>
            <w:r>
              <w:rPr>
                <w:rFonts w:ascii="Arial" w:hAnsi="Arial"/>
                <w:b w:val="0"/>
                <w:i w:val="0"/>
                <w:sz w:val="17"/>
              </w:rPr>
              <w:t>Penerimaan komisioning</w:t>
            </w:r>
          </w:p>
        </w:tc>
        <w:tc>
          <w:tcPr>
            <w:tcW w:type="dxa" w:w="2549"/>
            <w:vAlign w:val="center"/>
          </w:tcPr>
          <w:p>
            <w:pPr>
              <w:spacing w:after="20" w:before="20" w:line="252" w:lineRule="auto"/>
            </w:pPr>
            <w:r/>
            <w:r>
              <w:rPr>
                <w:rFonts w:ascii="Arial" w:hAnsi="Arial"/>
                <w:b w:val="0"/>
                <w:i w:val="0"/>
                <w:sz w:val="17"/>
              </w:rPr>
              <w:t>OG</w:t>
            </w:r>
          </w:p>
        </w:tc>
      </w:tr>
      <w:tr>
        <w:trPr>
          <w:cantSplit/>
        </w:trPr>
        <w:tc>
          <w:tcPr>
            <w:tcW w:type="dxa" w:w="980"/>
            <w:shd w:val="clear" w:color="auto" w:fill="E6ECFD"/>
            <w:vAlign w:val="center"/>
          </w:tcPr>
          <w:p>
            <w:pPr>
              <w:spacing w:after="20" w:before="20" w:line="252" w:lineRule="auto"/>
            </w:pPr>
            <w:r/>
            <w:r>
              <w:rPr>
                <w:rFonts w:ascii="Arial" w:hAnsi="Arial"/>
                <w:b/>
                <w:i w:val="0"/>
                <w:sz w:val="17"/>
              </w:rPr>
              <w:t>S20</w:t>
            </w:r>
          </w:p>
        </w:tc>
        <w:tc>
          <w:tcPr>
            <w:tcW w:type="dxa" w:w="5882"/>
            <w:shd w:val="clear" w:color="auto" w:fill="E6ECFD"/>
            <w:vAlign w:val="center"/>
          </w:tcPr>
          <w:p>
            <w:pPr>
              <w:spacing w:after="20" w:before="20" w:line="252" w:lineRule="auto"/>
            </w:pPr>
            <w:r/>
            <w:r>
              <w:rPr>
                <w:rFonts w:ascii="Arial" w:hAnsi="Arial"/>
                <w:b w:val="0"/>
                <w:i w:val="0"/>
                <w:sz w:val="17"/>
              </w:rPr>
              <w:t>Operasi dan kinerja aset</w:t>
            </w:r>
          </w:p>
        </w:tc>
        <w:tc>
          <w:tcPr>
            <w:tcW w:type="dxa" w:w="2549"/>
            <w:shd w:val="clear" w:color="auto" w:fill="E6ECFD"/>
            <w:vAlign w:val="center"/>
          </w:tcPr>
          <w:p>
            <w:pPr>
              <w:spacing w:after="20" w:before="20" w:line="252" w:lineRule="auto"/>
            </w:pPr>
            <w:r/>
            <w:r>
              <w:rPr>
                <w:rFonts w:ascii="Arial" w:hAnsi="Arial"/>
                <w:b w:val="0"/>
                <w:i w:val="0"/>
                <w:sz w:val="17"/>
              </w:rPr>
              <w:t>SP</w:t>
            </w:r>
          </w:p>
        </w:tc>
      </w:tr>
      <w:tr>
        <w:trPr>
          <w:cantSplit/>
        </w:trPr>
        <w:tc>
          <w:tcPr>
            <w:tcW w:type="dxa" w:w="980"/>
            <w:vAlign w:val="center"/>
          </w:tcPr>
          <w:p>
            <w:pPr>
              <w:spacing w:after="20" w:before="20" w:line="252" w:lineRule="auto"/>
            </w:pPr>
            <w:r/>
            <w:r>
              <w:rPr>
                <w:rFonts w:ascii="Arial" w:hAnsi="Arial"/>
                <w:b/>
                <w:i w:val="0"/>
                <w:sz w:val="17"/>
              </w:rPr>
              <w:t>S21</w:t>
            </w:r>
          </w:p>
        </w:tc>
        <w:tc>
          <w:tcPr>
            <w:tcW w:type="dxa" w:w="5882"/>
            <w:vAlign w:val="center"/>
          </w:tcPr>
          <w:p>
            <w:pPr>
              <w:spacing w:after="20" w:before="20" w:line="252" w:lineRule="auto"/>
            </w:pPr>
            <w:r/>
            <w:r>
              <w:rPr>
                <w:rFonts w:ascii="Arial" w:hAnsi="Arial"/>
                <w:b w:val="0"/>
                <w:i w:val="0"/>
                <w:sz w:val="17"/>
              </w:rPr>
              <w:t>Konsolidasi manfaat dan hasil</w:t>
            </w:r>
          </w:p>
        </w:tc>
        <w:tc>
          <w:tcPr>
            <w:tcW w:type="dxa" w:w="2549"/>
            <w:vAlign w:val="center"/>
          </w:tcPr>
          <w:p>
            <w:pPr>
              <w:spacing w:after="20" w:before="20" w:line="252" w:lineRule="auto"/>
            </w:pPr>
            <w:r/>
            <w:r>
              <w:rPr>
                <w:rFonts w:ascii="Arial" w:hAnsi="Arial"/>
                <w:b w:val="0"/>
                <w:i w:val="0"/>
                <w:sz w:val="17"/>
              </w:rPr>
              <w:t>PD</w:t>
            </w:r>
          </w:p>
        </w:tc>
      </w:tr>
      <w:tr>
        <w:trPr>
          <w:cantSplit/>
        </w:trPr>
        <w:tc>
          <w:tcPr>
            <w:tcW w:type="dxa" w:w="980"/>
            <w:shd w:val="clear" w:color="auto" w:fill="E6ECFD"/>
            <w:vAlign w:val="center"/>
          </w:tcPr>
          <w:p>
            <w:pPr>
              <w:spacing w:after="20" w:before="20" w:line="252" w:lineRule="auto"/>
            </w:pPr>
            <w:r/>
            <w:r>
              <w:rPr>
                <w:rFonts w:ascii="Arial" w:hAnsi="Arial"/>
                <w:b/>
                <w:i w:val="0"/>
                <w:sz w:val="17"/>
              </w:rPr>
              <w:t>S22</w:t>
            </w:r>
          </w:p>
        </w:tc>
        <w:tc>
          <w:tcPr>
            <w:tcW w:type="dxa" w:w="5882"/>
            <w:shd w:val="clear" w:color="auto" w:fill="E6ECFD"/>
            <w:vAlign w:val="center"/>
          </w:tcPr>
          <w:p>
            <w:pPr>
              <w:spacing w:after="20" w:before="20" w:line="252" w:lineRule="auto"/>
            </w:pPr>
            <w:r/>
            <w:r>
              <w:rPr>
                <w:rFonts w:ascii="Arial" w:hAnsi="Arial"/>
                <w:b w:val="0"/>
                <w:i w:val="0"/>
                <w:sz w:val="17"/>
              </w:rPr>
              <w:t>Audit proses dan temuan independen</w:t>
            </w:r>
          </w:p>
        </w:tc>
        <w:tc>
          <w:tcPr>
            <w:tcW w:type="dxa" w:w="2549"/>
            <w:shd w:val="clear" w:color="auto" w:fill="E6ECFD"/>
            <w:vAlign w:val="center"/>
          </w:tcPr>
          <w:p>
            <w:pPr>
              <w:spacing w:after="20" w:before="20" w:line="252" w:lineRule="auto"/>
            </w:pPr>
            <w:r/>
            <w:r>
              <w:rPr>
                <w:rFonts w:ascii="Arial" w:hAnsi="Arial"/>
                <w:b w:val="0"/>
                <w:i w:val="0"/>
                <w:sz w:val="17"/>
              </w:rPr>
              <w:t>IA</w:t>
            </w:r>
          </w:p>
        </w:tc>
      </w:tr>
      <w:tr>
        <w:trPr>
          <w:cantSplit/>
        </w:trPr>
        <w:tc>
          <w:tcPr>
            <w:tcW w:type="dxa" w:w="980"/>
            <w:vAlign w:val="center"/>
          </w:tcPr>
          <w:p>
            <w:pPr>
              <w:spacing w:after="20" w:before="20" w:line="252" w:lineRule="auto"/>
            </w:pPr>
            <w:r/>
            <w:r>
              <w:rPr>
                <w:rFonts w:ascii="Arial" w:hAnsi="Arial"/>
                <w:b/>
                <w:i w:val="0"/>
                <w:sz w:val="17"/>
              </w:rPr>
              <w:t>S23</w:t>
            </w:r>
          </w:p>
        </w:tc>
        <w:tc>
          <w:tcPr>
            <w:tcW w:type="dxa" w:w="5882"/>
            <w:vAlign w:val="center"/>
          </w:tcPr>
          <w:p>
            <w:pPr>
              <w:spacing w:after="20" w:before="20" w:line="252" w:lineRule="auto"/>
            </w:pPr>
            <w:r/>
            <w:r>
              <w:rPr>
                <w:rFonts w:ascii="Arial" w:hAnsi="Arial"/>
                <w:b w:val="0"/>
                <w:i w:val="0"/>
                <w:sz w:val="17"/>
              </w:rPr>
              <w:t>Kajian usul penundaan, penghentian, atau keluar</w:t>
            </w:r>
          </w:p>
        </w:tc>
        <w:tc>
          <w:tcPr>
            <w:tcW w:type="dxa" w:w="2549"/>
            <w:vAlign w:val="center"/>
          </w:tcPr>
          <w:p>
            <w:pPr>
              <w:spacing w:after="20" w:before="20" w:line="252" w:lineRule="auto"/>
            </w:pPr>
            <w:r/>
            <w:r>
              <w:rPr>
                <w:rFonts w:ascii="Arial" w:hAnsi="Arial"/>
                <w:b w:val="0"/>
                <w:i w:val="0"/>
                <w:sz w:val="17"/>
              </w:rPr>
              <w:t>SI</w:t>
            </w:r>
          </w:p>
        </w:tc>
      </w:tr>
      <w:tr>
        <w:trPr>
          <w:cantSplit/>
        </w:trPr>
        <w:tc>
          <w:tcPr>
            <w:tcW w:type="dxa" w:w="980"/>
            <w:shd w:val="clear" w:color="auto" w:fill="E6ECFD"/>
            <w:vAlign w:val="center"/>
          </w:tcPr>
          <w:p>
            <w:pPr>
              <w:spacing w:after="20" w:before="20" w:line="252" w:lineRule="auto"/>
            </w:pPr>
            <w:r/>
            <w:r>
              <w:rPr>
                <w:rFonts w:ascii="Arial" w:hAnsi="Arial"/>
                <w:b/>
                <w:i w:val="0"/>
                <w:sz w:val="17"/>
              </w:rPr>
              <w:t>S24</w:t>
            </w:r>
          </w:p>
        </w:tc>
        <w:tc>
          <w:tcPr>
            <w:tcW w:type="dxa" w:w="5882"/>
            <w:shd w:val="clear" w:color="auto" w:fill="E6ECFD"/>
            <w:vAlign w:val="center"/>
          </w:tcPr>
          <w:p>
            <w:pPr>
              <w:spacing w:after="20" w:before="20" w:line="252" w:lineRule="auto"/>
            </w:pPr>
            <w:r/>
            <w:r>
              <w:rPr>
                <w:rFonts w:ascii="Arial" w:hAnsi="Arial"/>
                <w:b w:val="0"/>
                <w:i w:val="0"/>
                <w:sz w:val="17"/>
              </w:rPr>
              <w:t>Keputusan penghentian oleh perusahaan</w:t>
            </w:r>
          </w:p>
        </w:tc>
        <w:tc>
          <w:tcPr>
            <w:tcW w:type="dxa" w:w="2549"/>
            <w:shd w:val="clear" w:color="auto" w:fill="E6ECFD"/>
            <w:vAlign w:val="center"/>
          </w:tcPr>
          <w:p>
            <w:pPr>
              <w:spacing w:after="20" w:before="20" w:line="252" w:lineRule="auto"/>
            </w:pPr>
            <w:r/>
            <w:r>
              <w:rPr>
                <w:rFonts w:ascii="Arial" w:hAnsi="Arial"/>
                <w:b w:val="0"/>
                <w:i w:val="0"/>
                <w:sz w:val="17"/>
              </w:rPr>
              <w:t>OG</w:t>
            </w:r>
          </w:p>
        </w:tc>
      </w:tr>
    </w:tbl>
    <w:p>
      <w:pPr>
        <w:spacing w:after="40"/>
      </w:pPr>
    </w:p>
    <w:p>
      <w:pPr>
        <w:pStyle w:val="Heading1"/>
      </w:pPr>
      <w:bookmarkStart w:id="23" w:name="_Toc023"/>
      <w:r>
        <w:t>Lampiran E  Daftar sumber dan referensi</w:t>
      </w:r>
      <w:bookmarkEnd w:id="23"/>
    </w:p>
    <w:p>
      <w:pPr>
        <w:pStyle w:val="Heading2"/>
      </w:pPr>
      <w:r>
        <w:t>E.1  Dokumen sumber Danantara yang ditelaah</w:t>
      </w:r>
    </w:p>
    <w:p>
      <w:r>
        <w:rPr>
          <w:rFonts w:ascii="Arial" w:hAnsi="Arial"/>
          <w:b w:val="0"/>
          <w:i w:val="0"/>
          <w:sz w:val="19"/>
        </w:rPr>
        <w:t>Dokumen berikut dibaca untuk makalah ini. Kode pada kolom pertama dipakai pada rujukan di dalam teks; dokumen tanpa kode pada tabel kedua dibaca tetapi tidak dikutip langsung.</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40</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Dokumen sumber yang dikutip dan kodenya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Dokumen sumber yang dikutip dan kodenya"/>
      </w:tblPr>
      <w:tblGrid>
        <w:gridCol w:w="3137"/>
        <w:gridCol w:w="3137"/>
        <w:gridCol w:w="3137"/>
      </w:tblGrid>
      <w:tr>
        <w:trPr>
          <w:cantSplit/>
          <w:tblHeader/>
        </w:trPr>
        <w:tc>
          <w:tcPr>
            <w:tcW w:type="dxa" w:w="1344"/>
            <w:shd w:val="clear" w:color="auto" w:fill="2251FF"/>
            <w:vAlign w:val="center"/>
          </w:tcPr>
          <w:p>
            <w:pPr>
              <w:spacing w:after="20" w:before="20" w:line="252" w:lineRule="auto"/>
            </w:pPr>
            <w:r/>
            <w:r>
              <w:rPr>
                <w:rFonts w:ascii="Arial" w:hAnsi="Arial"/>
                <w:b/>
                <w:i w:val="0"/>
                <w:color w:val="FFFFFF"/>
                <w:sz w:val="16"/>
              </w:rPr>
              <w:t>Kode</w:t>
            </w:r>
          </w:p>
        </w:tc>
        <w:tc>
          <w:tcPr>
            <w:tcW w:type="dxa" w:w="4609"/>
            <w:shd w:val="clear" w:color="auto" w:fill="2251FF"/>
            <w:vAlign w:val="center"/>
          </w:tcPr>
          <w:p>
            <w:pPr>
              <w:spacing w:after="20" w:before="20" w:line="252" w:lineRule="auto"/>
            </w:pPr>
            <w:r/>
            <w:r>
              <w:rPr>
                <w:rFonts w:ascii="Arial" w:hAnsi="Arial"/>
                <w:b/>
                <w:i w:val="0"/>
                <w:color w:val="FFFFFF"/>
                <w:sz w:val="16"/>
              </w:rPr>
              <w:t>Dokumen</w:t>
            </w:r>
          </w:p>
        </w:tc>
        <w:tc>
          <w:tcPr>
            <w:tcW w:type="dxa" w:w="3457"/>
            <w:shd w:val="clear" w:color="auto" w:fill="2251FF"/>
            <w:vAlign w:val="center"/>
          </w:tcPr>
          <w:p>
            <w:pPr>
              <w:spacing w:after="20" w:before="20" w:line="252" w:lineRule="auto"/>
            </w:pPr>
            <w:r/>
            <w:r>
              <w:rPr>
                <w:rFonts w:ascii="Arial" w:hAnsi="Arial"/>
                <w:b/>
                <w:i w:val="0"/>
                <w:color w:val="FFFFFF"/>
                <w:sz w:val="16"/>
              </w:rPr>
              <w:t>Isi yang dipakai</w:t>
            </w:r>
          </w:p>
        </w:tc>
      </w:tr>
      <w:tr>
        <w:trPr>
          <w:cantSplit/>
        </w:trPr>
        <w:tc>
          <w:tcPr>
            <w:tcW w:type="dxa" w:w="1344"/>
            <w:vAlign w:val="center"/>
          </w:tcPr>
          <w:p>
            <w:pPr>
              <w:spacing w:after="20" w:before="20" w:line="252" w:lineRule="auto"/>
            </w:pPr>
            <w:r/>
            <w:r>
              <w:rPr>
                <w:rFonts w:ascii="Arial" w:hAnsi="Arial"/>
                <w:b/>
                <w:i w:val="0"/>
                <w:sz w:val="16"/>
              </w:rPr>
              <w:t>K</w:t>
            </w:r>
          </w:p>
        </w:tc>
        <w:tc>
          <w:tcPr>
            <w:tcW w:type="dxa" w:w="4609"/>
            <w:vAlign w:val="center"/>
          </w:tcPr>
          <w:p>
            <w:pPr>
              <w:spacing w:after="20" w:before="20" w:line="252" w:lineRule="auto"/>
            </w:pPr>
            <w:r/>
            <w:r>
              <w:rPr>
                <w:rFonts w:ascii="Arial" w:hAnsi="Arial"/>
                <w:b w:val="0"/>
                <w:i w:val="0"/>
                <w:sz w:val="16"/>
              </w:rPr>
              <w:t>Kajian Komite Pengarah Danantara: Platform Kapabilitas Industri Nasional, versi diperkaya 8 Oktober 2026 (docx); disebut Kajian</w:t>
            </w:r>
          </w:p>
        </w:tc>
        <w:tc>
          <w:tcPr>
            <w:tcW w:type="dxa" w:w="3457"/>
            <w:vAlign w:val="center"/>
          </w:tcPr>
          <w:p>
            <w:pPr>
              <w:spacing w:after="20" w:before="20" w:line="252" w:lineRule="auto"/>
            </w:pPr>
            <w:r/>
            <w:r>
              <w:rPr>
                <w:rFonts w:ascii="Arial" w:hAnsi="Arial"/>
                <w:b w:val="0"/>
                <w:i w:val="0"/>
                <w:sz w:val="16"/>
              </w:rPr>
              <w:t>Gerbang, RASCI, pembiayaan, risiko, KPI, peta jalan, dampak makro, BUMN Karya, AI</w:t>
            </w:r>
          </w:p>
        </w:tc>
      </w:tr>
      <w:tr>
        <w:trPr>
          <w:cantSplit/>
        </w:trPr>
        <w:tc>
          <w:tcPr>
            <w:tcW w:type="dxa" w:w="1344"/>
            <w:shd w:val="clear" w:color="auto" w:fill="E6ECFD"/>
            <w:vAlign w:val="center"/>
          </w:tcPr>
          <w:p>
            <w:pPr>
              <w:spacing w:after="20" w:before="20" w:line="252" w:lineRule="auto"/>
            </w:pPr>
            <w:r/>
            <w:r>
              <w:rPr>
                <w:rFonts w:ascii="Arial" w:hAnsi="Arial"/>
                <w:b/>
                <w:i w:val="0"/>
                <w:sz w:val="16"/>
              </w:rPr>
              <w:t>EVAL</w:t>
            </w:r>
          </w:p>
        </w:tc>
        <w:tc>
          <w:tcPr>
            <w:tcW w:type="dxa" w:w="4609"/>
            <w:shd w:val="clear" w:color="auto" w:fill="E6ECFD"/>
            <w:vAlign w:val="center"/>
          </w:tcPr>
          <w:p>
            <w:pPr>
              <w:spacing w:after="20" w:before="20" w:line="252" w:lineRule="auto"/>
            </w:pPr>
            <w:r/>
            <w:r>
              <w:rPr>
                <w:rFonts w:ascii="Arial" w:hAnsi="Arial"/>
                <w:b w:val="0"/>
                <w:i w:val="0"/>
                <w:sz w:val="16"/>
              </w:rPr>
              <w:t>Evaluasi Danantara: 40 Proyek dan Arm Industri Strategis (261002, docx)</w:t>
            </w:r>
          </w:p>
        </w:tc>
        <w:tc>
          <w:tcPr>
            <w:tcW w:type="dxa" w:w="3457"/>
            <w:shd w:val="clear" w:color="auto" w:fill="E6ECFD"/>
            <w:vAlign w:val="center"/>
          </w:tcPr>
          <w:p>
            <w:pPr>
              <w:spacing w:after="20" w:before="20" w:line="252" w:lineRule="auto"/>
            </w:pPr>
            <w:r/>
            <w:r>
              <w:rPr>
                <w:rFonts w:ascii="Arial" w:hAnsi="Arial"/>
                <w:b w:val="0"/>
                <w:i w:val="0"/>
                <w:sz w:val="16"/>
              </w:rPr>
              <w:t>Tata kelola, kesiapan, opsi organisasi, gerbang G0–G6, RASCI 24 aktivitas, uji 90 hari</w:t>
            </w:r>
          </w:p>
        </w:tc>
      </w:tr>
      <w:tr>
        <w:trPr>
          <w:cantSplit/>
        </w:trPr>
        <w:tc>
          <w:tcPr>
            <w:tcW w:type="dxa" w:w="1344"/>
            <w:vAlign w:val="center"/>
          </w:tcPr>
          <w:p>
            <w:pPr>
              <w:spacing w:after="20" w:before="20" w:line="252" w:lineRule="auto"/>
            </w:pPr>
            <w:r/>
            <w:r>
              <w:rPr>
                <w:rFonts w:ascii="Arial" w:hAnsi="Arial"/>
                <w:b/>
                <w:i w:val="0"/>
                <w:sz w:val="16"/>
              </w:rPr>
              <w:t>PLAT</w:t>
            </w:r>
          </w:p>
        </w:tc>
        <w:tc>
          <w:tcPr>
            <w:tcW w:type="dxa" w:w="4609"/>
            <w:vAlign w:val="center"/>
          </w:tcPr>
          <w:p>
            <w:pPr>
              <w:spacing w:after="20" w:before="20" w:line="252" w:lineRule="auto"/>
            </w:pPr>
            <w:r/>
            <w:r>
              <w:rPr>
                <w:rFonts w:ascii="Arial" w:hAnsi="Arial"/>
                <w:b w:val="0"/>
                <w:i w:val="0"/>
                <w:sz w:val="16"/>
              </w:rPr>
              <w:t>Danantara Platform Kapabilitas Industri Nasional 07102601 (pdf, 8 hlm.)</w:t>
            </w:r>
          </w:p>
        </w:tc>
        <w:tc>
          <w:tcPr>
            <w:tcW w:type="dxa" w:w="3457"/>
            <w:vAlign w:val="center"/>
          </w:tcPr>
          <w:p>
            <w:pPr>
              <w:spacing w:after="20" w:before="20" w:line="252" w:lineRule="auto"/>
            </w:pPr>
            <w:r/>
            <w:r>
              <w:rPr>
                <w:rFonts w:ascii="Arial" w:hAnsi="Arial"/>
                <w:b w:val="0"/>
                <w:i w:val="0"/>
                <w:sz w:val="16"/>
              </w:rPr>
              <w:t>Arsitektur platform, NITO, BUMN Konstruksi, AI multiagen, rencana tiga bulan, sumber daya</w:t>
            </w:r>
          </w:p>
        </w:tc>
      </w:tr>
      <w:tr>
        <w:trPr>
          <w:cantSplit/>
        </w:trPr>
        <w:tc>
          <w:tcPr>
            <w:tcW w:type="dxa" w:w="1344"/>
            <w:shd w:val="clear" w:color="auto" w:fill="E6ECFD"/>
            <w:vAlign w:val="center"/>
          </w:tcPr>
          <w:p>
            <w:pPr>
              <w:spacing w:after="20" w:before="20" w:line="252" w:lineRule="auto"/>
            </w:pPr>
            <w:r/>
            <w:r>
              <w:rPr>
                <w:rFonts w:ascii="Arial" w:hAnsi="Arial"/>
                <w:b/>
                <w:i w:val="0"/>
                <w:sz w:val="16"/>
              </w:rPr>
              <w:t>DOCK</w:t>
            </w:r>
          </w:p>
        </w:tc>
        <w:tc>
          <w:tcPr>
            <w:tcW w:type="dxa" w:w="4609"/>
            <w:shd w:val="clear" w:color="auto" w:fill="E6ECFD"/>
            <w:vAlign w:val="center"/>
          </w:tcPr>
          <w:p>
            <w:pPr>
              <w:spacing w:after="20" w:before="20" w:line="252" w:lineRule="auto"/>
            </w:pPr>
            <w:r/>
            <w:r>
              <w:rPr>
                <w:rFonts w:ascii="Arial" w:hAnsi="Arial"/>
                <w:b w:val="0"/>
                <w:i w:val="0"/>
                <w:sz w:val="16"/>
              </w:rPr>
              <w:t>DOCK-UP: Membangun Pemasok UKM Siap Produksi, 1 Oktober 2026 (pdf)</w:t>
            </w:r>
          </w:p>
        </w:tc>
        <w:tc>
          <w:tcPr>
            <w:tcW w:type="dxa" w:w="3457"/>
            <w:shd w:val="clear" w:color="auto" w:fill="E6ECFD"/>
            <w:vAlign w:val="center"/>
          </w:tcPr>
          <w:p>
            <w:pPr>
              <w:spacing w:after="20" w:before="20" w:line="252" w:lineRule="auto"/>
            </w:pPr>
            <w:r/>
            <w:r>
              <w:rPr>
                <w:rFonts w:ascii="Arial" w:hAnsi="Arial"/>
                <w:b w:val="0"/>
                <w:i w:val="0"/>
                <w:sz w:val="16"/>
              </w:rPr>
              <w:t>TRL/MRL, gerbang G1–G4, asesmen, uji coba</w:t>
            </w:r>
          </w:p>
        </w:tc>
      </w:tr>
      <w:tr>
        <w:trPr>
          <w:cantSplit/>
        </w:trPr>
        <w:tc>
          <w:tcPr>
            <w:tcW w:type="dxa" w:w="1344"/>
            <w:vAlign w:val="center"/>
          </w:tcPr>
          <w:p>
            <w:pPr>
              <w:spacing w:after="20" w:before="20" w:line="252" w:lineRule="auto"/>
            </w:pPr>
            <w:r/>
            <w:r>
              <w:rPr>
                <w:rFonts w:ascii="Arial" w:hAnsi="Arial"/>
                <w:b/>
                <w:i w:val="0"/>
                <w:sz w:val="16"/>
              </w:rPr>
              <w:t>NRF-ES</w:t>
            </w:r>
          </w:p>
        </w:tc>
        <w:tc>
          <w:tcPr>
            <w:tcW w:type="dxa" w:w="4609"/>
            <w:vAlign w:val="center"/>
          </w:tcPr>
          <w:p>
            <w:pPr>
              <w:spacing w:after="20" w:before="20" w:line="252" w:lineRule="auto"/>
            </w:pPr>
            <w:r/>
            <w:r>
              <w:rPr>
                <w:rFonts w:ascii="Arial" w:hAnsi="Arial"/>
                <w:b w:val="0"/>
                <w:i w:val="0"/>
                <w:sz w:val="16"/>
              </w:rPr>
              <w:t>NRF Executive Summary 250925 (pdf)</w:t>
            </w:r>
          </w:p>
        </w:tc>
        <w:tc>
          <w:tcPr>
            <w:tcW w:type="dxa" w:w="3457"/>
            <w:vAlign w:val="center"/>
          </w:tcPr>
          <w:p>
            <w:pPr>
              <w:spacing w:after="20" w:before="20" w:line="252" w:lineRule="auto"/>
            </w:pPr>
            <w:r/>
            <w:r>
              <w:rPr>
                <w:rFonts w:ascii="Arial" w:hAnsi="Arial"/>
                <w:b w:val="0"/>
                <w:i w:val="0"/>
                <w:sz w:val="16"/>
              </w:rPr>
              <w:t>Konsep NRF, langkah strategis, opsi monetisasi</w:t>
            </w:r>
          </w:p>
        </w:tc>
      </w:tr>
      <w:tr>
        <w:trPr>
          <w:cantSplit/>
        </w:trPr>
        <w:tc>
          <w:tcPr>
            <w:tcW w:type="dxa" w:w="1344"/>
            <w:shd w:val="clear" w:color="auto" w:fill="E6ECFD"/>
            <w:vAlign w:val="center"/>
          </w:tcPr>
          <w:p>
            <w:pPr>
              <w:spacing w:after="20" w:before="20" w:line="252" w:lineRule="auto"/>
            </w:pPr>
            <w:r/>
            <w:r>
              <w:rPr>
                <w:rFonts w:ascii="Arial" w:hAnsi="Arial"/>
                <w:b/>
                <w:i w:val="0"/>
                <w:sz w:val="16"/>
              </w:rPr>
              <w:t>PAL</w:t>
            </w:r>
          </w:p>
        </w:tc>
        <w:tc>
          <w:tcPr>
            <w:tcW w:type="dxa" w:w="4609"/>
            <w:shd w:val="clear" w:color="auto" w:fill="E6ECFD"/>
            <w:vAlign w:val="center"/>
          </w:tcPr>
          <w:p>
            <w:pPr>
              <w:spacing w:after="20" w:before="20" w:line="252" w:lineRule="auto"/>
            </w:pPr>
            <w:r/>
            <w:r>
              <w:rPr>
                <w:rFonts w:ascii="Arial" w:hAnsi="Arial"/>
                <w:b w:val="0"/>
                <w:i w:val="0"/>
                <w:sz w:val="16"/>
              </w:rPr>
              <w:t>PALCapital Sovereign Maritime Tokenization Engine Rev B (pdf)</w:t>
            </w:r>
          </w:p>
        </w:tc>
        <w:tc>
          <w:tcPr>
            <w:tcW w:type="dxa" w:w="3457"/>
            <w:shd w:val="clear" w:color="auto" w:fill="E6ECFD"/>
            <w:vAlign w:val="center"/>
          </w:tcPr>
          <w:p>
            <w:pPr>
              <w:spacing w:after="20" w:before="20" w:line="252" w:lineRule="auto"/>
            </w:pPr>
            <w:r/>
            <w:r>
              <w:rPr>
                <w:rFonts w:ascii="Arial" w:hAnsi="Arial"/>
                <w:b w:val="0"/>
                <w:i w:val="0"/>
                <w:sz w:val="16"/>
              </w:rPr>
              <w:t>Instrumen PAL-SUB-1, rekening penampungan, tranche, risiko, regulasi</w:t>
            </w:r>
          </w:p>
        </w:tc>
      </w:tr>
      <w:tr>
        <w:trPr>
          <w:cantSplit/>
        </w:trPr>
        <w:tc>
          <w:tcPr>
            <w:tcW w:type="dxa" w:w="1344"/>
            <w:vAlign w:val="center"/>
          </w:tcPr>
          <w:p>
            <w:pPr>
              <w:spacing w:after="20" w:before="20" w:line="252" w:lineRule="auto"/>
            </w:pPr>
            <w:r/>
            <w:r>
              <w:rPr>
                <w:rFonts w:ascii="Arial" w:hAnsi="Arial"/>
                <w:b/>
                <w:i w:val="0"/>
                <w:sz w:val="16"/>
              </w:rPr>
              <w:t>VERO</w:t>
            </w:r>
          </w:p>
        </w:tc>
        <w:tc>
          <w:tcPr>
            <w:tcW w:type="dxa" w:w="4609"/>
            <w:vAlign w:val="center"/>
          </w:tcPr>
          <w:p>
            <w:pPr>
              <w:spacing w:after="20" w:before="20" w:line="252" w:lineRule="auto"/>
            </w:pPr>
            <w:r/>
            <w:r>
              <w:rPr>
                <w:rFonts w:ascii="Arial" w:hAnsi="Arial"/>
                <w:b w:val="0"/>
                <w:i w:val="0"/>
                <w:sz w:val="16"/>
              </w:rPr>
              <w:t>Danantara 40 Strategic Projects Ver O (xlsx; terbatas)</w:t>
            </w:r>
          </w:p>
        </w:tc>
        <w:tc>
          <w:tcPr>
            <w:tcW w:type="dxa" w:w="3457"/>
            <w:vAlign w:val="center"/>
          </w:tcPr>
          <w:p>
            <w:pPr>
              <w:spacing w:after="20" w:before="20" w:line="252" w:lineRule="auto"/>
            </w:pPr>
            <w:r/>
            <w:r>
              <w:rPr>
                <w:rFonts w:ascii="Arial" w:hAnsi="Arial"/>
                <w:b w:val="0"/>
                <w:i w:val="0"/>
                <w:sz w:val="16"/>
              </w:rPr>
              <w:t>Register 40 slot, gerbang M0–M9, mitra, risiko per proyek</w:t>
            </w:r>
          </w:p>
        </w:tc>
      </w:tr>
      <w:tr>
        <w:trPr>
          <w:cantSplit/>
        </w:trPr>
        <w:tc>
          <w:tcPr>
            <w:tcW w:type="dxa" w:w="1344"/>
            <w:shd w:val="clear" w:color="auto" w:fill="E6ECFD"/>
            <w:vAlign w:val="center"/>
          </w:tcPr>
          <w:p>
            <w:pPr>
              <w:spacing w:after="20" w:before="20" w:line="252" w:lineRule="auto"/>
            </w:pPr>
            <w:r/>
            <w:r>
              <w:rPr>
                <w:rFonts w:ascii="Arial" w:hAnsi="Arial"/>
                <w:b/>
                <w:i w:val="0"/>
                <w:sz w:val="16"/>
              </w:rPr>
              <w:t>EXEC</w:t>
            </w:r>
          </w:p>
        </w:tc>
        <w:tc>
          <w:tcPr>
            <w:tcW w:type="dxa" w:w="4609"/>
            <w:shd w:val="clear" w:color="auto" w:fill="E6ECFD"/>
            <w:vAlign w:val="center"/>
          </w:tcPr>
          <w:p>
            <w:pPr>
              <w:spacing w:after="20" w:before="20" w:line="252" w:lineRule="auto"/>
            </w:pPr>
            <w:r/>
            <w:r>
              <w:rPr>
                <w:rFonts w:ascii="Arial" w:hAnsi="Arial"/>
                <w:b w:val="0"/>
                <w:i w:val="0"/>
                <w:sz w:val="16"/>
              </w:rPr>
              <w:t>Danantara 40 Projects Executive Assessment, 8 Oktober 2026 (pptx)</w:t>
            </w:r>
          </w:p>
        </w:tc>
        <w:tc>
          <w:tcPr>
            <w:tcW w:type="dxa" w:w="3457"/>
            <w:shd w:val="clear" w:color="auto" w:fill="E6ECFD"/>
            <w:vAlign w:val="center"/>
          </w:tcPr>
          <w:p>
            <w:pPr>
              <w:spacing w:after="20" w:before="20" w:line="252" w:lineRule="auto"/>
            </w:pPr>
            <w:r/>
            <w:r>
              <w:rPr>
                <w:rFonts w:ascii="Arial" w:hAnsi="Arial"/>
                <w:b w:val="0"/>
                <w:i w:val="0"/>
                <w:sz w:val="16"/>
              </w:rPr>
              <w:t>Penilaian tiga pilar, prioritas verifikasi, rencana bukti 90 hari</w:t>
            </w:r>
          </w:p>
        </w:tc>
      </w:tr>
      <w:tr>
        <w:trPr>
          <w:cantSplit/>
        </w:trPr>
        <w:tc>
          <w:tcPr>
            <w:tcW w:type="dxa" w:w="1344"/>
            <w:vAlign w:val="center"/>
          </w:tcPr>
          <w:p>
            <w:pPr>
              <w:spacing w:after="20" w:before="20" w:line="252" w:lineRule="auto"/>
            </w:pPr>
            <w:r/>
            <w:r>
              <w:rPr>
                <w:rFonts w:ascii="Arial" w:hAnsi="Arial"/>
                <w:b/>
                <w:i w:val="0"/>
                <w:sz w:val="16"/>
              </w:rPr>
              <w:t>EMP</w:t>
            </w:r>
          </w:p>
        </w:tc>
        <w:tc>
          <w:tcPr>
            <w:tcW w:type="dxa" w:w="4609"/>
            <w:vAlign w:val="center"/>
          </w:tcPr>
          <w:p>
            <w:pPr>
              <w:spacing w:after="20" w:before="20" w:line="252" w:lineRule="auto"/>
            </w:pPr>
            <w:r/>
            <w:r>
              <w:rPr>
                <w:rFonts w:ascii="Arial" w:hAnsi="Arial"/>
                <w:b w:val="0"/>
                <w:i w:val="0"/>
                <w:sz w:val="16"/>
              </w:rPr>
              <w:t>DDMF Employment Model (xlsx; terbatas)</w:t>
            </w:r>
          </w:p>
        </w:tc>
        <w:tc>
          <w:tcPr>
            <w:tcW w:type="dxa" w:w="3457"/>
            <w:vAlign w:val="center"/>
          </w:tcPr>
          <w:p>
            <w:pPr>
              <w:spacing w:after="20" w:before="20" w:line="252" w:lineRule="auto"/>
            </w:pPr>
            <w:r/>
            <w:r>
              <w:rPr>
                <w:rFonts w:ascii="Arial" w:hAnsi="Arial"/>
                <w:b w:val="0"/>
                <w:i w:val="0"/>
                <w:sz w:val="16"/>
              </w:rPr>
              <w:t>Metode pekerjaan; hanya agregat dipakai</w:t>
            </w:r>
          </w:p>
        </w:tc>
      </w:tr>
      <w:tr>
        <w:trPr>
          <w:cantSplit/>
        </w:trPr>
        <w:tc>
          <w:tcPr>
            <w:tcW w:type="dxa" w:w="1344"/>
            <w:shd w:val="clear" w:color="auto" w:fill="E6ECFD"/>
            <w:vAlign w:val="center"/>
          </w:tcPr>
          <w:p>
            <w:pPr>
              <w:spacing w:after="20" w:before="20" w:line="252" w:lineRule="auto"/>
            </w:pPr>
            <w:r/>
            <w:r>
              <w:rPr>
                <w:rFonts w:ascii="Arial" w:hAnsi="Arial"/>
                <w:b/>
                <w:i w:val="0"/>
                <w:sz w:val="16"/>
              </w:rPr>
              <w:t>BP</w:t>
            </w:r>
          </w:p>
        </w:tc>
        <w:tc>
          <w:tcPr>
            <w:tcW w:type="dxa" w:w="4609"/>
            <w:shd w:val="clear" w:color="auto" w:fill="E6ECFD"/>
            <w:vAlign w:val="center"/>
          </w:tcPr>
          <w:p>
            <w:pPr>
              <w:spacing w:after="20" w:before="20" w:line="252" w:lineRule="auto"/>
            </w:pPr>
            <w:r/>
            <w:r>
              <w:rPr>
                <w:rFonts w:ascii="Arial" w:hAnsi="Arial"/>
                <w:b w:val="0"/>
                <w:i w:val="0"/>
                <w:sz w:val="16"/>
              </w:rPr>
              <w:t>Danantara Strategic Blueprint (pptx)</w:t>
            </w:r>
          </w:p>
        </w:tc>
        <w:tc>
          <w:tcPr>
            <w:tcW w:type="dxa" w:w="3457"/>
            <w:shd w:val="clear" w:color="auto" w:fill="E6ECFD"/>
            <w:vAlign w:val="center"/>
          </w:tcPr>
          <w:p>
            <w:pPr>
              <w:spacing w:after="20" w:before="20" w:line="252" w:lineRule="auto"/>
            </w:pPr>
            <w:r/>
            <w:r>
              <w:rPr>
                <w:rFonts w:ascii="Arial" w:hAnsi="Arial"/>
                <w:b w:val="0"/>
                <w:i w:val="0"/>
                <w:sz w:val="16"/>
              </w:rPr>
              <w:t>Pembiayaan sistemik, portofolio ganda, SPV campuran</w:t>
            </w:r>
          </w:p>
        </w:tc>
      </w:tr>
      <w:tr>
        <w:trPr>
          <w:cantSplit/>
        </w:trPr>
        <w:tc>
          <w:tcPr>
            <w:tcW w:type="dxa" w:w="1344"/>
            <w:vAlign w:val="center"/>
          </w:tcPr>
          <w:p>
            <w:pPr>
              <w:spacing w:after="20" w:before="20" w:line="252" w:lineRule="auto"/>
            </w:pPr>
            <w:r/>
            <w:r>
              <w:rPr>
                <w:rFonts w:ascii="Arial" w:hAnsi="Arial"/>
                <w:b/>
                <w:i w:val="0"/>
                <w:sz w:val="16"/>
              </w:rPr>
              <w:t>NRF-INF</w:t>
            </w:r>
          </w:p>
        </w:tc>
        <w:tc>
          <w:tcPr>
            <w:tcW w:type="dxa" w:w="4609"/>
            <w:vAlign w:val="center"/>
          </w:tcPr>
          <w:p>
            <w:pPr>
              <w:spacing w:after="20" w:before="20" w:line="252" w:lineRule="auto"/>
            </w:pPr>
            <w:r/>
            <w:r>
              <w:rPr>
                <w:rFonts w:ascii="Arial" w:hAnsi="Arial"/>
                <w:b w:val="0"/>
                <w:i w:val="0"/>
                <w:sz w:val="16"/>
              </w:rPr>
              <w:t>Kajian NRF: Pemantauan Inflasi (docx, md, html)</w:t>
            </w:r>
          </w:p>
        </w:tc>
        <w:tc>
          <w:tcPr>
            <w:tcW w:type="dxa" w:w="3457"/>
            <w:vAlign w:val="center"/>
          </w:tcPr>
          <w:p>
            <w:pPr>
              <w:spacing w:after="20" w:before="20" w:line="252" w:lineRule="auto"/>
            </w:pPr>
            <w:r/>
            <w:r>
              <w:rPr>
                <w:rFonts w:ascii="Arial" w:hAnsi="Arial"/>
                <w:b w:val="0"/>
                <w:i w:val="0"/>
                <w:sz w:val="16"/>
              </w:rPr>
              <w:t>Pemantau inflasi dan buku besar proyek</w:t>
            </w:r>
          </w:p>
        </w:tc>
      </w:tr>
      <w:tr>
        <w:trPr>
          <w:cantSplit/>
        </w:trPr>
        <w:tc>
          <w:tcPr>
            <w:tcW w:type="dxa" w:w="1344"/>
            <w:shd w:val="clear" w:color="auto" w:fill="E6ECFD"/>
            <w:vAlign w:val="center"/>
          </w:tcPr>
          <w:p>
            <w:pPr>
              <w:spacing w:after="20" w:before="20" w:line="252" w:lineRule="auto"/>
            </w:pPr>
            <w:r/>
            <w:r>
              <w:rPr>
                <w:rFonts w:ascii="Arial" w:hAnsi="Arial"/>
                <w:b/>
                <w:i w:val="0"/>
                <w:sz w:val="16"/>
              </w:rPr>
              <w:t>EPC</w:t>
            </w:r>
          </w:p>
        </w:tc>
        <w:tc>
          <w:tcPr>
            <w:tcW w:type="dxa" w:w="4609"/>
            <w:shd w:val="clear" w:color="auto" w:fill="E6ECFD"/>
            <w:vAlign w:val="center"/>
          </w:tcPr>
          <w:p>
            <w:pPr>
              <w:spacing w:after="20" w:before="20" w:line="252" w:lineRule="auto"/>
            </w:pPr>
            <w:r/>
            <w:r>
              <w:rPr>
                <w:rFonts w:ascii="Arial" w:hAnsi="Arial"/>
                <w:b w:val="0"/>
                <w:i w:val="0"/>
                <w:sz w:val="16"/>
              </w:rPr>
              <w:t>EPC Budget Workflow (md)</w:t>
            </w:r>
          </w:p>
        </w:tc>
        <w:tc>
          <w:tcPr>
            <w:tcW w:type="dxa" w:w="3457"/>
            <w:shd w:val="clear" w:color="auto" w:fill="E6ECFD"/>
            <w:vAlign w:val="center"/>
          </w:tcPr>
          <w:p>
            <w:pPr>
              <w:spacing w:after="20" w:before="20" w:line="252" w:lineRule="auto"/>
            </w:pPr>
            <w:r/>
            <w:r>
              <w:rPr>
                <w:rFonts w:ascii="Arial" w:hAnsi="Arial"/>
                <w:b w:val="0"/>
                <w:i w:val="0"/>
                <w:sz w:val="16"/>
              </w:rPr>
              <w:t>Rantai biaya EPC, WBS dan PBS, EVM, kendali perubahan</w:t>
            </w:r>
          </w:p>
        </w:tc>
      </w:tr>
      <w:tr>
        <w:trPr>
          <w:cantSplit/>
        </w:trPr>
        <w:tc>
          <w:tcPr>
            <w:tcW w:type="dxa" w:w="1344"/>
            <w:vAlign w:val="center"/>
          </w:tcPr>
          <w:p>
            <w:pPr>
              <w:spacing w:after="20" w:before="20" w:line="252" w:lineRule="auto"/>
            </w:pPr>
            <w:r/>
            <w:r>
              <w:rPr>
                <w:rFonts w:ascii="Arial" w:hAnsi="Arial"/>
                <w:b/>
                <w:i w:val="0"/>
                <w:sz w:val="16"/>
              </w:rPr>
              <w:t>DECK85</w:t>
            </w:r>
          </w:p>
        </w:tc>
        <w:tc>
          <w:tcPr>
            <w:tcW w:type="dxa" w:w="4609"/>
            <w:vAlign w:val="center"/>
          </w:tcPr>
          <w:p>
            <w:pPr>
              <w:spacing w:after="20" w:before="20" w:line="252" w:lineRule="auto"/>
            </w:pPr>
            <w:r/>
            <w:r>
              <w:rPr>
                <w:rFonts w:ascii="Arial" w:hAnsi="Arial"/>
                <w:b w:val="0"/>
                <w:i w:val="0"/>
                <w:sz w:val="16"/>
              </w:rPr>
              <w:t>Deck Transformasi Danantara 85 slide (pptx), termasuk catatan pembicara</w:t>
            </w:r>
          </w:p>
        </w:tc>
        <w:tc>
          <w:tcPr>
            <w:tcW w:type="dxa" w:w="3457"/>
            <w:vAlign w:val="center"/>
          </w:tcPr>
          <w:p>
            <w:pPr>
              <w:spacing w:after="20" w:before="20" w:line="252" w:lineRule="auto"/>
            </w:pPr>
            <w:r/>
            <w:r>
              <w:rPr>
                <w:rFonts w:ascii="Arial" w:hAnsi="Arial"/>
                <w:b w:val="0"/>
                <w:i w:val="0"/>
                <w:sz w:val="16"/>
              </w:rPr>
              <w:t>Penjabaran Kajian</w:t>
            </w:r>
          </w:p>
        </w:tc>
      </w:tr>
    </w:tbl>
    <w:p>
      <w:pPr>
        <w:spacing w:after="40"/>
      </w:pP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41</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Dokumen yang dibaca tetapi tidak dikutip langsung</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Dokumen yang dibaca tetapi tidak dikutip langsung"/>
      </w:tblPr>
      <w:tblGrid>
        <w:gridCol w:w="4706"/>
        <w:gridCol w:w="4706"/>
      </w:tblGrid>
      <w:tr>
        <w:trPr>
          <w:cantSplit/>
          <w:tblHeader/>
        </w:trPr>
        <w:tc>
          <w:tcPr>
            <w:tcW w:type="dxa" w:w="5882"/>
            <w:shd w:val="clear" w:color="auto" w:fill="2251FF"/>
            <w:vAlign w:val="center"/>
          </w:tcPr>
          <w:p>
            <w:pPr>
              <w:spacing w:after="20" w:before="20" w:line="252" w:lineRule="auto"/>
            </w:pPr>
            <w:r/>
            <w:r>
              <w:rPr>
                <w:rFonts w:ascii="Arial" w:hAnsi="Arial"/>
                <w:b/>
                <w:i w:val="0"/>
                <w:color w:val="FFFFFF"/>
                <w:sz w:val="16"/>
              </w:rPr>
              <w:t>Dokumen</w:t>
            </w:r>
          </w:p>
        </w:tc>
        <w:tc>
          <w:tcPr>
            <w:tcW w:type="dxa" w:w="3529"/>
            <w:shd w:val="clear" w:color="auto" w:fill="2251FF"/>
            <w:vAlign w:val="center"/>
          </w:tcPr>
          <w:p>
            <w:pPr>
              <w:spacing w:after="20" w:before="20" w:line="252" w:lineRule="auto"/>
            </w:pPr>
            <w:r/>
            <w:r>
              <w:rPr>
                <w:rFonts w:ascii="Arial" w:hAnsi="Arial"/>
                <w:b/>
                <w:i w:val="0"/>
                <w:color w:val="FFFFFF"/>
                <w:sz w:val="16"/>
              </w:rPr>
              <w:t>Catatan</w:t>
            </w:r>
          </w:p>
        </w:tc>
      </w:tr>
      <w:tr>
        <w:trPr>
          <w:cantSplit/>
        </w:trPr>
        <w:tc>
          <w:tcPr>
            <w:tcW w:type="dxa" w:w="5882"/>
            <w:vAlign w:val="center"/>
          </w:tcPr>
          <w:p>
            <w:pPr>
              <w:spacing w:after="20" w:before="20" w:line="252" w:lineRule="auto"/>
            </w:pPr>
            <w:r/>
            <w:r>
              <w:rPr>
                <w:rFonts w:ascii="Arial" w:hAnsi="Arial"/>
                <w:b/>
                <w:i w:val="0"/>
                <w:sz w:val="16"/>
              </w:rPr>
              <w:t>Danantara Performance Study, 6 Oktober 2026 (docx)</w:t>
            </w:r>
          </w:p>
        </w:tc>
        <w:tc>
          <w:tcPr>
            <w:tcW w:type="dxa" w:w="3529"/>
            <w:vAlign w:val="center"/>
          </w:tcPr>
          <w:p>
            <w:pPr>
              <w:spacing w:after="20" w:before="20" w:line="252" w:lineRule="auto"/>
            </w:pPr>
            <w:r/>
            <w:r>
              <w:rPr>
                <w:rFonts w:ascii="Arial" w:hAnsi="Arial"/>
                <w:b w:val="0"/>
                <w:i w:val="0"/>
                <w:sz w:val="16"/>
              </w:rPr>
              <w:t>Sumber tiga scorecard; dikutip melalui Kajian</w:t>
            </w:r>
          </w:p>
        </w:tc>
      </w:tr>
      <w:tr>
        <w:trPr>
          <w:cantSplit/>
        </w:trPr>
        <w:tc>
          <w:tcPr>
            <w:tcW w:type="dxa" w:w="5882"/>
            <w:shd w:val="clear" w:color="auto" w:fill="E6ECFD"/>
            <w:vAlign w:val="center"/>
          </w:tcPr>
          <w:p>
            <w:pPr>
              <w:spacing w:after="20" w:before="20" w:line="252" w:lineRule="auto"/>
            </w:pPr>
            <w:r/>
            <w:r>
              <w:rPr>
                <w:rFonts w:ascii="Arial" w:hAnsi="Arial"/>
                <w:b/>
                <w:i w:val="0"/>
                <w:sz w:val="16"/>
              </w:rPr>
              <w:t>Danantara Industrial Capability Platform Study (docx, Inggris); Kajian Transformasi Danantara Oktober 2026 (docx); Kajian Danantara NRF Tokenisasi (md)</w:t>
            </w:r>
          </w:p>
        </w:tc>
        <w:tc>
          <w:tcPr>
            <w:tcW w:type="dxa" w:w="3529"/>
            <w:shd w:val="clear" w:color="auto" w:fill="E6ECFD"/>
            <w:vAlign w:val="center"/>
          </w:tcPr>
          <w:p>
            <w:pPr>
              <w:spacing w:after="20" w:before="20" w:line="252" w:lineRule="auto"/>
            </w:pPr>
            <w:r/>
            <w:r>
              <w:rPr>
                <w:rFonts w:ascii="Arial" w:hAnsi="Arial"/>
                <w:b w:val="0"/>
                <w:i w:val="0"/>
                <w:sz w:val="16"/>
              </w:rPr>
              <w:t>Versi awal atau paralel dari Kajian</w:t>
            </w:r>
          </w:p>
        </w:tc>
      </w:tr>
      <w:tr>
        <w:trPr>
          <w:cantSplit/>
        </w:trPr>
        <w:tc>
          <w:tcPr>
            <w:tcW w:type="dxa" w:w="5882"/>
            <w:vAlign w:val="center"/>
          </w:tcPr>
          <w:p>
            <w:pPr>
              <w:spacing w:after="20" w:before="20" w:line="252" w:lineRule="auto"/>
            </w:pPr>
            <w:r/>
            <w:r>
              <w:rPr>
                <w:rFonts w:ascii="Arial" w:hAnsi="Arial"/>
                <w:b/>
                <w:i w:val="0"/>
                <w:sz w:val="16"/>
              </w:rPr>
              <w:t>Makalah Terpadu: Menstabilkan, Menabung, Berinvestasi, Tumbuh (docx); infografik Inggris (pdf)</w:t>
            </w:r>
          </w:p>
        </w:tc>
        <w:tc>
          <w:tcPr>
            <w:tcW w:type="dxa" w:w="3529"/>
            <w:vAlign w:val="center"/>
          </w:tcPr>
          <w:p>
            <w:pPr>
              <w:spacing w:after="20" w:before="20" w:line="252" w:lineRule="auto"/>
            </w:pPr>
            <w:r/>
            <w:r>
              <w:rPr>
                <w:rFonts w:ascii="Arial" w:hAnsi="Arial"/>
                <w:b w:val="0"/>
                <w:i w:val="0"/>
                <w:sz w:val="16"/>
              </w:rPr>
              <w:t>Model PDB dan ICOR; dikutip melalui Kajian</w:t>
            </w:r>
          </w:p>
        </w:tc>
      </w:tr>
      <w:tr>
        <w:trPr>
          <w:cantSplit/>
        </w:trPr>
        <w:tc>
          <w:tcPr>
            <w:tcW w:type="dxa" w:w="5882"/>
            <w:shd w:val="clear" w:color="auto" w:fill="E6ECFD"/>
            <w:vAlign w:val="center"/>
          </w:tcPr>
          <w:p>
            <w:pPr>
              <w:spacing w:after="20" w:before="20" w:line="252" w:lineRule="auto"/>
            </w:pPr>
            <w:r/>
            <w:r>
              <w:rPr>
                <w:rFonts w:ascii="Arial" w:hAnsi="Arial"/>
                <w:b/>
                <w:i w:val="0"/>
                <w:sz w:val="16"/>
              </w:rPr>
              <w:t>Deck Transformasi Danantara 50 dan 70 slide; Danantara Transformation Strategy Infographic Deck (png); deck dan infografik 10 Oktober 2026</w:t>
            </w:r>
          </w:p>
        </w:tc>
        <w:tc>
          <w:tcPr>
            <w:tcW w:type="dxa" w:w="3529"/>
            <w:shd w:val="clear" w:color="auto" w:fill="E6ECFD"/>
            <w:vAlign w:val="center"/>
          </w:tcPr>
          <w:p>
            <w:pPr>
              <w:spacing w:after="20" w:before="20" w:line="252" w:lineRule="auto"/>
            </w:pPr>
            <w:r/>
            <w:r>
              <w:rPr>
                <w:rFonts w:ascii="Arial" w:hAnsi="Arial"/>
                <w:b w:val="0"/>
                <w:i w:val="0"/>
                <w:sz w:val="16"/>
              </w:rPr>
              <w:t>Ringkasan visual</w:t>
            </w:r>
          </w:p>
        </w:tc>
      </w:tr>
      <w:tr>
        <w:trPr>
          <w:cantSplit/>
        </w:trPr>
        <w:tc>
          <w:tcPr>
            <w:tcW w:type="dxa" w:w="5882"/>
            <w:vAlign w:val="center"/>
          </w:tcPr>
          <w:p>
            <w:pPr>
              <w:spacing w:after="20" w:before="20" w:line="252" w:lineRule="auto"/>
            </w:pPr>
            <w:r/>
            <w:r>
              <w:rPr>
                <w:rFonts w:ascii="Arial" w:hAnsi="Arial"/>
                <w:b/>
                <w:i w:val="0"/>
                <w:sz w:val="16"/>
              </w:rPr>
              <w:t>framework.md; instruksi 1010202601.md</w:t>
            </w:r>
          </w:p>
        </w:tc>
        <w:tc>
          <w:tcPr>
            <w:tcW w:type="dxa" w:w="3529"/>
            <w:vAlign w:val="center"/>
          </w:tcPr>
          <w:p>
            <w:pPr>
              <w:spacing w:after="20" w:before="20" w:line="252" w:lineRule="auto"/>
            </w:pPr>
            <w:r/>
            <w:r>
              <w:rPr>
                <w:rFonts w:ascii="Arial" w:hAnsi="Arial"/>
                <w:b w:val="0"/>
                <w:i w:val="0"/>
                <w:sz w:val="16"/>
              </w:rPr>
              <w:t>Kerangka tugas penyusunan</w:t>
            </w:r>
          </w:p>
        </w:tc>
      </w:tr>
    </w:tbl>
    <w:p>
      <w:pPr>
        <w:spacing w:after="40"/>
      </w:pPr>
    </w:p>
    <w:p>
      <w:pPr>
        <w:pStyle w:val="Heading2"/>
      </w:pPr>
      <w:r>
        <w:t>E.2  Standar dan literatur</w:t>
      </w:r>
    </w:p>
    <w:p>
      <w:pPr>
        <w:pStyle w:val="ListBullet"/>
      </w:pPr>
      <w:r>
        <w:rPr>
          <w:rFonts w:ascii="Arial" w:hAnsi="Arial"/>
          <w:b w:val="0"/>
          <w:i w:val="0"/>
          <w:sz w:val="19"/>
        </w:rPr>
        <w:t>AACE International (1997; 2005). Recommended Practice 17R-97 dan 18R-97: Cost Estimate Classification System.</w:t>
      </w:r>
    </w:p>
    <w:p>
      <w:pPr>
        <w:pStyle w:val="ListBullet"/>
      </w:pPr>
      <w:r>
        <w:rPr>
          <w:rFonts w:ascii="Arial" w:hAnsi="Arial"/>
          <w:b w:val="0"/>
          <w:i w:val="0"/>
          <w:sz w:val="19"/>
        </w:rPr>
        <w:t>AXELOS (2023). PRINCE2 7th Edition: Managing Successful Projects.</w:t>
      </w:r>
    </w:p>
    <w:p>
      <w:pPr>
        <w:pStyle w:val="ListBullet"/>
      </w:pPr>
      <w:r>
        <w:rPr>
          <w:rFonts w:ascii="Arial" w:hAnsi="Arial"/>
          <w:b w:val="0"/>
          <w:i w:val="0"/>
          <w:sz w:val="19"/>
        </w:rPr>
        <w:t>Cooper, R. G. (1990). Stage-gate systems: a new tool for managing new products. Business Horizons, 33(3), 44–54.</w:t>
      </w:r>
    </w:p>
    <w:p>
      <w:pPr>
        <w:pStyle w:val="ListBullet"/>
      </w:pPr>
      <w:r>
        <w:rPr>
          <w:rFonts w:ascii="Arial" w:hAnsi="Arial"/>
          <w:b w:val="0"/>
          <w:i w:val="0"/>
          <w:sz w:val="19"/>
        </w:rPr>
        <w:t>Construction Industry Institute. Front End Planning dan Project Definition Rating Index (PDRI).</w:t>
      </w:r>
    </w:p>
    <w:p>
      <w:pPr>
        <w:pStyle w:val="ListBullet"/>
      </w:pPr>
      <w:r>
        <w:rPr>
          <w:rFonts w:ascii="Arial" w:hAnsi="Arial"/>
          <w:b w:val="0"/>
          <w:i w:val="0"/>
          <w:sz w:val="19"/>
        </w:rPr>
        <w:t>FIDIC (2017). Conditions of Contract: Red, Yellow, dan Silver Book (edisi ke-2).</w:t>
      </w:r>
    </w:p>
    <w:p>
      <w:pPr>
        <w:pStyle w:val="ListBullet"/>
      </w:pPr>
      <w:r>
        <w:rPr>
          <w:rFonts w:ascii="Arial" w:hAnsi="Arial"/>
          <w:b w:val="0"/>
          <w:i w:val="0"/>
          <w:sz w:val="19"/>
        </w:rPr>
        <w:t>Fleming, Q. W. dan Koppelman, J. M. Earned Value Project Management. Project Management Institute.</w:t>
      </w:r>
    </w:p>
    <w:p>
      <w:pPr>
        <w:pStyle w:val="ListBullet"/>
      </w:pPr>
      <w:r>
        <w:rPr>
          <w:rFonts w:ascii="Arial" w:hAnsi="Arial"/>
          <w:b w:val="0"/>
          <w:i w:val="0"/>
          <w:sz w:val="19"/>
        </w:rPr>
        <w:t>Flyvbjerg, B., Bruzelius, N. dan Rothengatter, W. (2003). Megaprojects and Risk: An Anatomy of Ambition. Cambridge University Press.</w:t>
      </w:r>
    </w:p>
    <w:p>
      <w:pPr>
        <w:pStyle w:val="ListBullet"/>
      </w:pPr>
      <w:r>
        <w:rPr>
          <w:rFonts w:ascii="Arial" w:hAnsi="Arial"/>
          <w:b w:val="0"/>
          <w:i w:val="0"/>
          <w:sz w:val="19"/>
        </w:rPr>
        <w:t>Flyvbjerg, B. (2006). From Nobel Prize to project management: getting risks right. Project Management Journal, 37(3), 5–15.</w:t>
      </w:r>
    </w:p>
    <w:p>
      <w:pPr>
        <w:pStyle w:val="ListBullet"/>
      </w:pPr>
      <w:r>
        <w:rPr>
          <w:rFonts w:ascii="Arial" w:hAnsi="Arial"/>
          <w:b w:val="0"/>
          <w:i w:val="0"/>
          <w:sz w:val="19"/>
        </w:rPr>
        <w:t>Flyvbjerg, B. (2014). What you should know about megaprojects and why: an overview. Project Management Journal, 45(2), 6–19.</w:t>
      </w:r>
    </w:p>
    <w:p>
      <w:pPr>
        <w:pStyle w:val="ListBullet"/>
      </w:pPr>
      <w:r>
        <w:rPr>
          <w:rFonts w:ascii="Arial" w:hAnsi="Arial"/>
          <w:b w:val="0"/>
          <w:i w:val="0"/>
          <w:sz w:val="19"/>
        </w:rPr>
        <w:t>Gibson, G. E. dan Hamilton, M. R. (1994). Analysis of Pre-Project Planning Effort and Success Variables for Capital Facility Projects. CII.</w:t>
      </w:r>
    </w:p>
    <w:p>
      <w:pPr>
        <w:pStyle w:val="ListBullet"/>
      </w:pPr>
      <w:r>
        <w:rPr>
          <w:rFonts w:ascii="Arial" w:hAnsi="Arial"/>
          <w:b w:val="0"/>
          <w:i w:val="0"/>
          <w:sz w:val="19"/>
        </w:rPr>
        <w:t>Goldratt, E. M. (1997). Critical Chain. North River Press.</w:t>
      </w:r>
    </w:p>
    <w:p>
      <w:pPr>
        <w:pStyle w:val="ListBullet"/>
      </w:pPr>
      <w:r>
        <w:rPr>
          <w:rFonts w:ascii="Arial" w:hAnsi="Arial"/>
          <w:b w:val="0"/>
          <w:i w:val="0"/>
          <w:sz w:val="19"/>
        </w:rPr>
        <w:t>Hubbard, D. W. (2009). The Failure of Risk Management: Why It's Broken and How to Fix It. Wiley.</w:t>
      </w:r>
    </w:p>
    <w:p>
      <w:pPr>
        <w:pStyle w:val="ListBullet"/>
      </w:pPr>
      <w:r>
        <w:rPr>
          <w:rFonts w:ascii="Arial" w:hAnsi="Arial"/>
          <w:b w:val="0"/>
          <w:i w:val="0"/>
          <w:sz w:val="19"/>
        </w:rPr>
        <w:t>IPMA (2015). Individual Competence Baseline (ICB4).</w:t>
      </w:r>
    </w:p>
    <w:p>
      <w:pPr>
        <w:pStyle w:val="ListBullet"/>
      </w:pPr>
      <w:r>
        <w:rPr>
          <w:rFonts w:ascii="Arial" w:hAnsi="Arial"/>
          <w:b w:val="0"/>
          <w:i w:val="0"/>
          <w:sz w:val="19"/>
        </w:rPr>
        <w:t>ISO 21500:2021, ISO 21502:2020, ISO 21504:2022; ISO 31000:2018; ISO 45001:2018.</w:t>
      </w:r>
    </w:p>
    <w:p>
      <w:pPr>
        <w:pStyle w:val="ListBullet"/>
      </w:pPr>
      <w:r>
        <w:rPr>
          <w:rFonts w:ascii="Arial" w:hAnsi="Arial"/>
          <w:b w:val="0"/>
          <w:i w:val="0"/>
          <w:sz w:val="19"/>
        </w:rPr>
        <w:t>Kaplan, R. S. dan Norton, D. P. (1996). The Balanced Scorecard. Harvard Business School Press.</w:t>
      </w:r>
    </w:p>
    <w:p>
      <w:pPr>
        <w:pStyle w:val="ListBullet"/>
      </w:pPr>
      <w:r>
        <w:rPr>
          <w:rFonts w:ascii="Arial" w:hAnsi="Arial"/>
          <w:b w:val="0"/>
          <w:i w:val="0"/>
          <w:sz w:val="19"/>
        </w:rPr>
        <w:t>Merrow, E. W. (2011). Industrial Megaprojects: Concepts, Strategies, and Practices for Success. Wiley.</w:t>
      </w:r>
    </w:p>
    <w:p>
      <w:pPr>
        <w:pStyle w:val="ListBullet"/>
      </w:pPr>
      <w:r>
        <w:rPr>
          <w:rFonts w:ascii="Arial" w:hAnsi="Arial"/>
          <w:b w:val="0"/>
          <w:i w:val="0"/>
          <w:sz w:val="19"/>
        </w:rPr>
        <w:t>Müller, R. (2009). Project Governance. Gower.</w:t>
      </w:r>
    </w:p>
    <w:p>
      <w:pPr>
        <w:pStyle w:val="ListBullet"/>
      </w:pPr>
      <w:r>
        <w:rPr>
          <w:rFonts w:ascii="Arial" w:hAnsi="Arial"/>
          <w:b w:val="0"/>
          <w:i w:val="0"/>
          <w:sz w:val="19"/>
        </w:rPr>
        <w:t>Project Management Institute (2021). A Guide to the Project Management Body of Knowledge (PMBOK Guide), 7th ed., dan The Standard for Project Management.</w:t>
      </w:r>
    </w:p>
    <w:p>
      <w:pPr>
        <w:pStyle w:val="ListBullet"/>
      </w:pPr>
      <w:r>
        <w:rPr>
          <w:rFonts w:ascii="Arial" w:hAnsi="Arial"/>
          <w:b w:val="0"/>
          <w:i w:val="0"/>
          <w:sz w:val="19"/>
        </w:rPr>
        <w:t>Project Management Institute (2019). The Standard for Earned Value Management.</w:t>
      </w:r>
    </w:p>
    <w:p>
      <w:pPr>
        <w:pStyle w:val="ListBullet"/>
      </w:pPr>
      <w:r>
        <w:rPr>
          <w:rFonts w:ascii="Arial" w:hAnsi="Arial"/>
          <w:b w:val="0"/>
          <w:i w:val="0"/>
          <w:sz w:val="19"/>
        </w:rPr>
        <w:t>Peraturan nasional yang disebut dalam sumber: UU 1/2025 dan UU 16/2025 (perubahan UU BUMN); PP 10/2025 jo. PP 19/2026; UU 16/2012 tentang Industri Pertahanan (Pasal 43); PP 45/2019 (super-deduction).</w:t>
      </w:r>
    </w:p>
    <w:p>
      <w:pPr>
        <w:keepNext/>
        <w:keepLines/>
        <w:pBdr>
          <w:left w:val="single" w:sz="36" w:space="8" w:color="000000"/>
        </w:pBdr>
        <w:shd w:val="clear" w:color="auto" w:fill="F2F2F2"/>
        <w:spacing w:after="0" w:before="0"/>
        <w:ind w:left="170" w:right="113"/>
      </w:pPr>
      <w:r>
        <w:rPr>
          <w:rFonts w:ascii="Arial" w:hAnsi="Arial"/>
          <w:b/>
          <w:i w:val="0"/>
          <w:color w:val="051C5C"/>
          <w:sz w:val="21"/>
        </w:rPr>
        <w:t>Catatan tentang rujukan</w:t>
      </w:r>
    </w:p>
    <w:p>
      <w:pPr>
        <w:keepLines/>
        <w:pBdr>
          <w:left w:val="single" w:sz="36" w:space="8" w:color="000000"/>
        </w:pBdr>
        <w:shd w:val="clear" w:color="auto" w:fill="F2F2F2"/>
        <w:spacing w:after="160" w:before="0"/>
        <w:ind w:left="170" w:right="113"/>
      </w:pPr>
      <w:r>
        <w:rPr>
          <w:rFonts w:ascii="Arial" w:hAnsi="Arial"/>
          <w:b w:val="0"/>
          <w:i w:val="0"/>
          <w:sz w:val="20"/>
        </w:rPr>
        <w:t>Rujukan literatur disebut menurut pengetahuan penyusun tentang standar dan publikasi yang diakui; edisi dan halaman perlu diverifikasi sebelum makalah diedarkan. Dokumen sumber Danantara tidak menyebut PMBOK, PRINCE2, ISO 21500, atau Stage-Gate secara langsung; rujukan tersebut berasal dari makalah ini.</w:t>
      </w:r>
    </w:p>
    <w:p>
      <w:pPr>
        <w:pStyle w:val="Heading1"/>
      </w:pPr>
      <w:bookmarkStart w:id="24" w:name="_Toc024"/>
      <w:r>
        <w:t>Lampiran F  Catatan ketidaksesuaian dan keterbatasan data</w:t>
      </w:r>
      <w:bookmarkEnd w:id="24"/>
    </w:p>
    <w:p>
      <w:r>
        <w:rPr>
          <w:rFonts w:ascii="Arial" w:hAnsi="Arial"/>
          <w:b w:val="0"/>
          <w:i w:val="0"/>
          <w:sz w:val="19"/>
        </w:rPr>
        <w:t>Ketidaksesuaian berikut ditemukan selama penelaahan dokumen. Tidak satu pun diselesaikan dengan asumsi; masing-masing perlu dikoreksi pemilik data sebelum angkanya dipakai pada keputusan.</w:t>
      </w:r>
    </w:p>
    <w:p>
      <w:pPr>
        <w:pStyle w:val="Caption"/>
        <w:keepNext/>
      </w:pPr>
      <w:r>
        <w:rPr>
          <w:rFonts w:ascii="Arial" w:hAnsi="Arial"/>
          <w:b/>
          <w:color w:val="051C5C"/>
          <w:sz w:val="19"/>
        </w:rPr>
        <w:t xml:space="preserve">Tabel </w:t>
      </w:r>
      <w:r>
        <w:rPr>
          <w:rFonts w:ascii="Arial" w:hAnsi="Arial"/>
          <w:b/>
          <w:color w:val="051C5C"/>
          <w:sz w:val="19"/>
        </w:rPr>
        <w:fldChar w:fldCharType="begin"/>
      </w:r>
      <w:r>
        <w:rPr>
          <w:rFonts w:ascii="Arial" w:hAnsi="Arial"/>
          <w:b/>
          <w:color w:val="051C5C"/>
          <w:sz w:val="19"/>
        </w:rPr>
        <w:instrText xml:space="preserve"> SEQ Tabel \* ARABIC </w:instrText>
      </w:r>
      <w:r>
        <w:rPr>
          <w:rFonts w:ascii="Arial" w:hAnsi="Arial"/>
          <w:b/>
          <w:color w:val="051C5C"/>
          <w:sz w:val="19"/>
        </w:rPr>
        <w:fldChar w:fldCharType="separate"/>
      </w:r>
      <w:r>
        <w:rPr>
          <w:rFonts w:ascii="Arial" w:hAnsi="Arial"/>
          <w:b/>
          <w:color w:val="051C5C"/>
          <w:sz w:val="19"/>
        </w:rPr>
        <w:t>42</w:t>
      </w:r>
      <w:r>
        <w:rPr>
          <w:rFonts w:ascii="Arial" w:hAnsi="Arial"/>
          <w:b/>
          <w:color w:val="051C5C"/>
          <w:sz w:val="19"/>
        </w:rPr>
        <w:fldChar w:fldCharType="end"/>
      </w:r>
      <w:r>
        <w:rPr>
          <w:rFonts w:ascii="Arial" w:hAnsi="Arial"/>
          <w:b/>
          <w:color w:val="051C5C"/>
          <w:sz w:val="19"/>
        </w:rPr>
        <w:t xml:space="preserve">: </w:t>
      </w:r>
      <w:r>
        <w:rPr>
          <w:rFonts w:ascii="Arial" w:hAnsi="Arial"/>
          <w:b w:val="0"/>
          <w:i w:val="0"/>
          <w:color w:val="051C5C"/>
          <w:sz w:val="19"/>
        </w:rPr>
        <w:t>Catatan data</w:t>
      </w:r>
    </w:p>
    <w:tbl>
      <w:tblPr>
        <w:tblW w:w="9411" w:type="dxa"/>
        <w:jc w:val="center"/>
        <w:tblBorders>
          <w:top w:val="single" w:sz="4" w:space="0" w:color="051C5C"/>
          <w:bottom w:val="single" w:sz="4" w:space="0" w:color="051C5C"/>
          <w:insideH w:val="single" w:sz="4" w:space="0" w:color="051C5C"/>
        </w:tblBorders>
        <w:tblLayout w:type="fixed"/>
        <w:tblLook w:firstColumn="1" w:firstRow="1" w:lastColumn="0" w:lastRow="0" w:noHBand="0" w:noVBand="1" w:val="04A0"/>
        <w:tblCaption w:val="Catatan data"/>
      </w:tblPr>
      <w:tblGrid>
        <w:gridCol w:w="2353"/>
        <w:gridCol w:w="2353"/>
        <w:gridCol w:w="2353"/>
        <w:gridCol w:w="2353"/>
      </w:tblGrid>
      <w:tr>
        <w:trPr>
          <w:cantSplit/>
          <w:tblHeader/>
        </w:trPr>
        <w:tc>
          <w:tcPr>
            <w:tcW w:type="dxa" w:w="485"/>
            <w:shd w:val="clear" w:color="auto" w:fill="2251FF"/>
            <w:vAlign w:val="center"/>
          </w:tcPr>
          <w:p>
            <w:pPr>
              <w:spacing w:after="20" w:before="20" w:line="252" w:lineRule="auto"/>
            </w:pPr>
            <w:r/>
            <w:r>
              <w:rPr>
                <w:rFonts w:ascii="Arial" w:hAnsi="Arial"/>
                <w:b/>
                <w:i w:val="0"/>
                <w:color w:val="FFFFFF"/>
                <w:sz w:val="16"/>
              </w:rPr>
              <w:t>#</w:t>
            </w:r>
          </w:p>
        </w:tc>
        <w:tc>
          <w:tcPr>
            <w:tcW w:type="dxa" w:w="1940"/>
            <w:shd w:val="clear" w:color="auto" w:fill="2251FF"/>
            <w:vAlign w:val="center"/>
          </w:tcPr>
          <w:p>
            <w:pPr>
              <w:spacing w:after="20" w:before="20" w:line="252" w:lineRule="auto"/>
            </w:pPr>
            <w:r/>
            <w:r>
              <w:rPr>
                <w:rFonts w:ascii="Arial" w:hAnsi="Arial"/>
                <w:b/>
                <w:i w:val="0"/>
                <w:color w:val="FFFFFF"/>
                <w:sz w:val="16"/>
              </w:rPr>
              <w:t>Sumber</w:t>
            </w:r>
          </w:p>
        </w:tc>
        <w:tc>
          <w:tcPr>
            <w:tcW w:type="dxa" w:w="4851"/>
            <w:shd w:val="clear" w:color="auto" w:fill="2251FF"/>
            <w:vAlign w:val="center"/>
          </w:tcPr>
          <w:p>
            <w:pPr>
              <w:spacing w:after="20" w:before="20" w:line="252" w:lineRule="auto"/>
            </w:pPr>
            <w:r/>
            <w:r>
              <w:rPr>
                <w:rFonts w:ascii="Arial" w:hAnsi="Arial"/>
                <w:b/>
                <w:i w:val="0"/>
                <w:color w:val="FFFFFF"/>
                <w:sz w:val="16"/>
              </w:rPr>
              <w:t>Catatan</w:t>
            </w:r>
          </w:p>
        </w:tc>
        <w:tc>
          <w:tcPr>
            <w:tcW w:type="dxa" w:w="2134"/>
            <w:shd w:val="clear" w:color="auto" w:fill="2251FF"/>
            <w:vAlign w:val="center"/>
          </w:tcPr>
          <w:p>
            <w:pPr>
              <w:spacing w:after="20" w:before="20" w:line="252" w:lineRule="auto"/>
            </w:pPr>
            <w:r/>
            <w:r>
              <w:rPr>
                <w:rFonts w:ascii="Arial" w:hAnsi="Arial"/>
                <w:b/>
                <w:i w:val="0"/>
                <w:color w:val="FFFFFF"/>
                <w:sz w:val="16"/>
              </w:rPr>
              <w:t>Tindakan</w:t>
            </w:r>
          </w:p>
        </w:tc>
      </w:tr>
      <w:tr>
        <w:trPr>
          <w:cantSplit/>
        </w:trPr>
        <w:tc>
          <w:tcPr>
            <w:tcW w:type="dxa" w:w="485"/>
            <w:vAlign w:val="center"/>
          </w:tcPr>
          <w:p>
            <w:pPr>
              <w:spacing w:after="20" w:before="20" w:line="252" w:lineRule="auto"/>
            </w:pPr>
            <w:r/>
            <w:r>
              <w:rPr>
                <w:rFonts w:ascii="Arial" w:hAnsi="Arial"/>
                <w:b/>
                <w:i w:val="0"/>
                <w:sz w:val="16"/>
              </w:rPr>
              <w:t>1</w:t>
            </w:r>
          </w:p>
        </w:tc>
        <w:tc>
          <w:tcPr>
            <w:tcW w:type="dxa" w:w="1940"/>
            <w:vAlign w:val="center"/>
          </w:tcPr>
          <w:p>
            <w:pPr>
              <w:spacing w:after="20" w:before="20" w:line="252" w:lineRule="auto"/>
            </w:pPr>
            <w:r/>
            <w:r>
              <w:rPr>
                <w:rFonts w:ascii="Arial" w:hAnsi="Arial"/>
                <w:b w:val="0"/>
                <w:i w:val="0"/>
                <w:sz w:val="16"/>
              </w:rPr>
              <w:t>Register 40 proyek</w:t>
            </w:r>
          </w:p>
        </w:tc>
        <w:tc>
          <w:tcPr>
            <w:tcW w:type="dxa" w:w="4851"/>
            <w:vAlign w:val="center"/>
          </w:tcPr>
          <w:p>
            <w:pPr>
              <w:spacing w:after="20" w:before="20" w:line="252" w:lineRule="auto"/>
            </w:pPr>
            <w:r/>
            <w:r>
              <w:rPr>
                <w:rFonts w:ascii="Arial" w:hAnsi="Arial"/>
                <w:b w:val="0"/>
                <w:i w:val="0"/>
                <w:sz w:val="16"/>
              </w:rPr>
              <w:t>Total ringkasan Rp2.091,46 T vs rincian Rp2.072,53 T (selisih Rp18,93 T); komposisi klaster berbeda jauh</w:t>
            </w:r>
          </w:p>
        </w:tc>
        <w:tc>
          <w:tcPr>
            <w:tcW w:type="dxa" w:w="2134"/>
            <w:vAlign w:val="center"/>
          </w:tcPr>
          <w:p>
            <w:pPr>
              <w:spacing w:after="20" w:before="20" w:line="252" w:lineRule="auto"/>
            </w:pPr>
            <w:r/>
            <w:r>
              <w:rPr>
                <w:rFonts w:ascii="Arial" w:hAnsi="Arial"/>
                <w:b w:val="0"/>
                <w:i w:val="0"/>
                <w:sz w:val="16"/>
              </w:rPr>
              <w:t>Pemilik data mengonfirmasi satuan dan lingkup</w:t>
            </w:r>
          </w:p>
        </w:tc>
      </w:tr>
      <w:tr>
        <w:trPr>
          <w:cantSplit/>
        </w:trPr>
        <w:tc>
          <w:tcPr>
            <w:tcW w:type="dxa" w:w="485"/>
            <w:shd w:val="clear" w:color="auto" w:fill="E6ECFD"/>
            <w:vAlign w:val="center"/>
          </w:tcPr>
          <w:p>
            <w:pPr>
              <w:spacing w:after="20" w:before="20" w:line="252" w:lineRule="auto"/>
            </w:pPr>
            <w:r/>
            <w:r>
              <w:rPr>
                <w:rFonts w:ascii="Arial" w:hAnsi="Arial"/>
                <w:b/>
                <w:i w:val="0"/>
                <w:sz w:val="16"/>
              </w:rPr>
              <w:t>2</w:t>
            </w:r>
          </w:p>
        </w:tc>
        <w:tc>
          <w:tcPr>
            <w:tcW w:type="dxa" w:w="1940"/>
            <w:shd w:val="clear" w:color="auto" w:fill="E6ECFD"/>
            <w:vAlign w:val="center"/>
          </w:tcPr>
          <w:p>
            <w:pPr>
              <w:spacing w:after="20" w:before="20" w:line="252" w:lineRule="auto"/>
            </w:pPr>
            <w:r/>
            <w:r>
              <w:rPr>
                <w:rFonts w:ascii="Arial" w:hAnsi="Arial"/>
                <w:b w:val="0"/>
                <w:i w:val="0"/>
                <w:sz w:val="16"/>
              </w:rPr>
              <w:t>Register dan RKAP</w:t>
            </w:r>
          </w:p>
        </w:tc>
        <w:tc>
          <w:tcPr>
            <w:tcW w:type="dxa" w:w="4851"/>
            <w:shd w:val="clear" w:color="auto" w:fill="E6ECFD"/>
            <w:vAlign w:val="center"/>
          </w:tcPr>
          <w:p>
            <w:pPr>
              <w:spacing w:after="20" w:before="20" w:line="252" w:lineRule="auto"/>
            </w:pPr>
            <w:r/>
            <w:r>
              <w:rPr>
                <w:rFonts w:ascii="Arial" w:hAnsi="Arial"/>
                <w:b w:val="0"/>
                <w:i w:val="0"/>
                <w:sz w:val="16"/>
              </w:rPr>
              <w:t>Atoma (register) dan Anoa (RKAP) hanya cocok menurut nilai; CDME dan CPE belum dijabarkan</w:t>
            </w:r>
          </w:p>
        </w:tc>
        <w:tc>
          <w:tcPr>
            <w:tcW w:type="dxa" w:w="2134"/>
            <w:shd w:val="clear" w:color="auto" w:fill="E6ECFD"/>
            <w:vAlign w:val="center"/>
          </w:tcPr>
          <w:p>
            <w:pPr>
              <w:spacing w:after="20" w:before="20" w:line="252" w:lineRule="auto"/>
            </w:pPr>
            <w:r/>
            <w:r>
              <w:rPr>
                <w:rFonts w:ascii="Arial" w:hAnsi="Arial"/>
                <w:b w:val="0"/>
                <w:i w:val="0"/>
                <w:sz w:val="16"/>
              </w:rPr>
              <w:t>Crosswalk satu-ke-satu</w:t>
            </w:r>
          </w:p>
        </w:tc>
      </w:tr>
      <w:tr>
        <w:trPr>
          <w:cantSplit/>
        </w:trPr>
        <w:tc>
          <w:tcPr>
            <w:tcW w:type="dxa" w:w="485"/>
            <w:vAlign w:val="center"/>
          </w:tcPr>
          <w:p>
            <w:pPr>
              <w:spacing w:after="20" w:before="20" w:line="252" w:lineRule="auto"/>
            </w:pPr>
            <w:r/>
            <w:r>
              <w:rPr>
                <w:rFonts w:ascii="Arial" w:hAnsi="Arial"/>
                <w:b/>
                <w:i w:val="0"/>
                <w:sz w:val="16"/>
              </w:rPr>
              <w:t>3</w:t>
            </w:r>
          </w:p>
        </w:tc>
        <w:tc>
          <w:tcPr>
            <w:tcW w:type="dxa" w:w="1940"/>
            <w:vAlign w:val="center"/>
          </w:tcPr>
          <w:p>
            <w:pPr>
              <w:spacing w:after="20" w:before="20" w:line="252" w:lineRule="auto"/>
            </w:pPr>
            <w:r/>
            <w:r>
              <w:rPr>
                <w:rFonts w:ascii="Arial" w:hAnsi="Arial"/>
                <w:b w:val="0"/>
                <w:i w:val="0"/>
                <w:sz w:val="16"/>
              </w:rPr>
              <w:t>RKAP</w:t>
            </w:r>
          </w:p>
        </w:tc>
        <w:tc>
          <w:tcPr>
            <w:tcW w:type="dxa" w:w="4851"/>
            <w:vAlign w:val="center"/>
          </w:tcPr>
          <w:p>
            <w:pPr>
              <w:spacing w:after="20" w:before="20" w:line="252" w:lineRule="auto"/>
            </w:pPr>
            <w:r/>
            <w:r>
              <w:rPr>
                <w:rFonts w:ascii="Arial" w:hAnsi="Arial"/>
                <w:b w:val="0"/>
                <w:i w:val="0"/>
                <w:sz w:val="16"/>
              </w:rPr>
              <w:t>Teks total Rp1.994,5 T vs tabel Rp2.091,5 T (selisih Giant Sea Wall Rp97 T)</w:t>
            </w:r>
          </w:p>
        </w:tc>
        <w:tc>
          <w:tcPr>
            <w:tcW w:type="dxa" w:w="2134"/>
            <w:vAlign w:val="center"/>
          </w:tcPr>
          <w:p>
            <w:pPr>
              <w:spacing w:after="20" w:before="20" w:line="252" w:lineRule="auto"/>
            </w:pPr>
            <w:r/>
            <w:r>
              <w:rPr>
                <w:rFonts w:ascii="Arial" w:hAnsi="Arial"/>
                <w:b w:val="0"/>
                <w:i w:val="0"/>
                <w:sz w:val="16"/>
              </w:rPr>
              <w:t>Koreksi teks atau tabel</w:t>
            </w:r>
          </w:p>
        </w:tc>
      </w:tr>
      <w:tr>
        <w:trPr>
          <w:cantSplit/>
        </w:trPr>
        <w:tc>
          <w:tcPr>
            <w:tcW w:type="dxa" w:w="485"/>
            <w:shd w:val="clear" w:color="auto" w:fill="E6ECFD"/>
            <w:vAlign w:val="center"/>
          </w:tcPr>
          <w:p>
            <w:pPr>
              <w:spacing w:after="20" w:before="20" w:line="252" w:lineRule="auto"/>
            </w:pPr>
            <w:r/>
            <w:r>
              <w:rPr>
                <w:rFonts w:ascii="Arial" w:hAnsi="Arial"/>
                <w:b/>
                <w:i w:val="0"/>
                <w:sz w:val="16"/>
              </w:rPr>
              <w:t>4</w:t>
            </w:r>
          </w:p>
        </w:tc>
        <w:tc>
          <w:tcPr>
            <w:tcW w:type="dxa" w:w="1940"/>
            <w:shd w:val="clear" w:color="auto" w:fill="E6ECFD"/>
            <w:vAlign w:val="center"/>
          </w:tcPr>
          <w:p>
            <w:pPr>
              <w:spacing w:after="20" w:before="20" w:line="252" w:lineRule="auto"/>
            </w:pPr>
            <w:r/>
            <w:r>
              <w:rPr>
                <w:rFonts w:ascii="Arial" w:hAnsi="Arial"/>
                <w:b w:val="0"/>
                <w:i w:val="0"/>
                <w:sz w:val="16"/>
              </w:rPr>
              <w:t>PLTS 100 GW</w:t>
            </w:r>
          </w:p>
        </w:tc>
        <w:tc>
          <w:tcPr>
            <w:tcW w:type="dxa" w:w="4851"/>
            <w:shd w:val="clear" w:color="auto" w:fill="E6ECFD"/>
            <w:vAlign w:val="center"/>
          </w:tcPr>
          <w:p>
            <w:pPr>
              <w:spacing w:after="20" w:before="20" w:line="252" w:lineRule="auto"/>
            </w:pPr>
            <w:r/>
            <w:r>
              <w:rPr>
                <w:rFonts w:ascii="Arial" w:hAnsi="Arial"/>
                <w:b w:val="0"/>
                <w:i w:val="0"/>
                <w:sz w:val="16"/>
              </w:rPr>
              <w:t>Rp231,4 T vs Rp1.130 T pernyataan resmi; GW vs GWp</w:t>
            </w:r>
          </w:p>
        </w:tc>
        <w:tc>
          <w:tcPr>
            <w:tcW w:type="dxa" w:w="2134"/>
            <w:shd w:val="clear" w:color="auto" w:fill="E6ECFD"/>
            <w:vAlign w:val="center"/>
          </w:tcPr>
          <w:p>
            <w:pPr>
              <w:spacing w:after="20" w:before="20" w:line="252" w:lineRule="auto"/>
            </w:pPr>
            <w:r/>
            <w:r>
              <w:rPr>
                <w:rFonts w:ascii="Arial" w:hAnsi="Arial"/>
                <w:b w:val="0"/>
                <w:i w:val="0"/>
                <w:sz w:val="16"/>
              </w:rPr>
              <w:t>Rekonsiliasi lingkup dan satuan</w:t>
            </w:r>
          </w:p>
        </w:tc>
      </w:tr>
      <w:tr>
        <w:trPr>
          <w:cantSplit/>
        </w:trPr>
        <w:tc>
          <w:tcPr>
            <w:tcW w:type="dxa" w:w="485"/>
            <w:vAlign w:val="center"/>
          </w:tcPr>
          <w:p>
            <w:pPr>
              <w:spacing w:after="20" w:before="20" w:line="252" w:lineRule="auto"/>
            </w:pPr>
            <w:r/>
            <w:r>
              <w:rPr>
                <w:rFonts w:ascii="Arial" w:hAnsi="Arial"/>
                <w:b/>
                <w:i w:val="0"/>
                <w:sz w:val="16"/>
              </w:rPr>
              <w:t>5</w:t>
            </w:r>
          </w:p>
        </w:tc>
        <w:tc>
          <w:tcPr>
            <w:tcW w:type="dxa" w:w="1940"/>
            <w:vAlign w:val="center"/>
          </w:tcPr>
          <w:p>
            <w:pPr>
              <w:spacing w:after="20" w:before="20" w:line="252" w:lineRule="auto"/>
            </w:pPr>
            <w:r/>
            <w:r>
              <w:rPr>
                <w:rFonts w:ascii="Arial" w:hAnsi="Arial"/>
                <w:b w:val="0"/>
                <w:i w:val="0"/>
                <w:sz w:val="16"/>
              </w:rPr>
              <w:t>Gerbang</w:t>
            </w:r>
          </w:p>
        </w:tc>
        <w:tc>
          <w:tcPr>
            <w:tcW w:type="dxa" w:w="4851"/>
            <w:vAlign w:val="center"/>
          </w:tcPr>
          <w:p>
            <w:pPr>
              <w:spacing w:after="20" w:before="20" w:line="252" w:lineRule="auto"/>
            </w:pPr>
            <w:r/>
            <w:r>
              <w:rPr>
                <w:rFonts w:ascii="Arial" w:hAnsi="Arial"/>
                <w:b w:val="0"/>
                <w:i w:val="0"/>
                <w:sz w:val="16"/>
              </w:rPr>
              <w:t>G0–G6 (EVAL) vs P0–P6 (Kajian); G1–G4 (DOCK) vs S1–S4 (Kajian)</w:t>
            </w:r>
          </w:p>
        </w:tc>
        <w:tc>
          <w:tcPr>
            <w:tcW w:type="dxa" w:w="2134"/>
            <w:vAlign w:val="center"/>
          </w:tcPr>
          <w:p>
            <w:pPr>
              <w:spacing w:after="20" w:before="20" w:line="252" w:lineRule="auto"/>
            </w:pPr>
            <w:r/>
            <w:r>
              <w:rPr>
                <w:rFonts w:ascii="Arial" w:hAnsi="Arial"/>
                <w:b w:val="0"/>
                <w:i w:val="0"/>
                <w:sz w:val="16"/>
              </w:rPr>
              <w:t>Gunakan satu penamaan pada kebijakan</w:t>
            </w:r>
          </w:p>
        </w:tc>
      </w:tr>
      <w:tr>
        <w:trPr>
          <w:cantSplit/>
        </w:trPr>
        <w:tc>
          <w:tcPr>
            <w:tcW w:type="dxa" w:w="485"/>
            <w:shd w:val="clear" w:color="auto" w:fill="E6ECFD"/>
            <w:vAlign w:val="center"/>
          </w:tcPr>
          <w:p>
            <w:pPr>
              <w:spacing w:after="20" w:before="20" w:line="252" w:lineRule="auto"/>
            </w:pPr>
            <w:r/>
            <w:r>
              <w:rPr>
                <w:rFonts w:ascii="Arial" w:hAnsi="Arial"/>
                <w:b/>
                <w:i w:val="0"/>
                <w:sz w:val="16"/>
              </w:rPr>
              <w:t>6</w:t>
            </w:r>
          </w:p>
        </w:tc>
        <w:tc>
          <w:tcPr>
            <w:tcW w:type="dxa" w:w="1940"/>
            <w:shd w:val="clear" w:color="auto" w:fill="E6ECFD"/>
            <w:vAlign w:val="center"/>
          </w:tcPr>
          <w:p>
            <w:pPr>
              <w:spacing w:after="20" w:before="20" w:line="252" w:lineRule="auto"/>
            </w:pPr>
            <w:r/>
            <w:r>
              <w:rPr>
                <w:rFonts w:ascii="Arial" w:hAnsi="Arial"/>
                <w:b w:val="0"/>
                <w:i w:val="0"/>
                <w:sz w:val="16"/>
              </w:rPr>
              <w:t>DOCK-UP</w:t>
            </w:r>
          </w:p>
        </w:tc>
        <w:tc>
          <w:tcPr>
            <w:tcW w:type="dxa" w:w="4851"/>
            <w:shd w:val="clear" w:color="auto" w:fill="E6ECFD"/>
            <w:vAlign w:val="center"/>
          </w:tcPr>
          <w:p>
            <w:pPr>
              <w:spacing w:after="20" w:before="20" w:line="252" w:lineRule="auto"/>
            </w:pPr>
            <w:r/>
            <w:r>
              <w:rPr>
                <w:rFonts w:ascii="Arial" w:hAnsi="Arial"/>
                <w:b w:val="0"/>
                <w:i w:val="0"/>
                <w:sz w:val="16"/>
              </w:rPr>
              <w:t>Penjabaran akronim berbeda: Develop, Off-taker, Certification, Upgrading vs Development, Offtaker, Certified, Upgrading</w:t>
            </w:r>
          </w:p>
        </w:tc>
        <w:tc>
          <w:tcPr>
            <w:tcW w:type="dxa" w:w="2134"/>
            <w:shd w:val="clear" w:color="auto" w:fill="E6ECFD"/>
            <w:vAlign w:val="center"/>
          </w:tcPr>
          <w:p>
            <w:pPr>
              <w:spacing w:after="20" w:before="20" w:line="252" w:lineRule="auto"/>
            </w:pPr>
            <w:r/>
            <w:r>
              <w:rPr>
                <w:rFonts w:ascii="Arial" w:hAnsi="Arial"/>
                <w:b w:val="0"/>
                <w:i w:val="0"/>
                <w:sz w:val="16"/>
              </w:rPr>
              <w:t>Gunakan versi dokumen DOCK-UP</w:t>
            </w:r>
          </w:p>
        </w:tc>
      </w:tr>
      <w:tr>
        <w:trPr>
          <w:cantSplit/>
        </w:trPr>
        <w:tc>
          <w:tcPr>
            <w:tcW w:type="dxa" w:w="485"/>
            <w:vAlign w:val="center"/>
          </w:tcPr>
          <w:p>
            <w:pPr>
              <w:spacing w:after="20" w:before="20" w:line="252" w:lineRule="auto"/>
            </w:pPr>
            <w:r/>
            <w:r>
              <w:rPr>
                <w:rFonts w:ascii="Arial" w:hAnsi="Arial"/>
                <w:b/>
                <w:i w:val="0"/>
                <w:sz w:val="16"/>
              </w:rPr>
              <w:t>7</w:t>
            </w:r>
          </w:p>
        </w:tc>
        <w:tc>
          <w:tcPr>
            <w:tcW w:type="dxa" w:w="1940"/>
            <w:vAlign w:val="center"/>
          </w:tcPr>
          <w:p>
            <w:pPr>
              <w:spacing w:after="20" w:before="20" w:line="252" w:lineRule="auto"/>
            </w:pPr>
            <w:r/>
            <w:r>
              <w:rPr>
                <w:rFonts w:ascii="Arial" w:hAnsi="Arial"/>
                <w:b w:val="0"/>
                <w:i w:val="0"/>
                <w:sz w:val="16"/>
              </w:rPr>
              <w:t>Rencana AI</w:t>
            </w:r>
          </w:p>
        </w:tc>
        <w:tc>
          <w:tcPr>
            <w:tcW w:type="dxa" w:w="4851"/>
            <w:vAlign w:val="center"/>
          </w:tcPr>
          <w:p>
            <w:pPr>
              <w:spacing w:after="20" w:before="20" w:line="252" w:lineRule="auto"/>
            </w:pPr>
            <w:r/>
            <w:r>
              <w:rPr>
                <w:rFonts w:ascii="Arial" w:hAnsi="Arial"/>
                <w:b w:val="0"/>
                <w:i w:val="0"/>
                <w:sz w:val="16"/>
              </w:rPr>
              <w:t>"3 bulan" vs diagram M1–M12 vs 24 bulan; peran DevOps dan keamanan berbeda antar halaman</w:t>
            </w:r>
          </w:p>
        </w:tc>
        <w:tc>
          <w:tcPr>
            <w:tcW w:type="dxa" w:w="2134"/>
            <w:vAlign w:val="center"/>
          </w:tcPr>
          <w:p>
            <w:pPr>
              <w:spacing w:after="20" w:before="20" w:line="252" w:lineRule="auto"/>
            </w:pPr>
            <w:r/>
            <w:r>
              <w:rPr>
                <w:rFonts w:ascii="Arial" w:hAnsi="Arial"/>
                <w:b w:val="0"/>
                <w:i w:val="0"/>
                <w:sz w:val="16"/>
              </w:rPr>
              <w:t>Satu rencana tunggal</w:t>
            </w:r>
          </w:p>
        </w:tc>
      </w:tr>
      <w:tr>
        <w:trPr>
          <w:cantSplit/>
        </w:trPr>
        <w:tc>
          <w:tcPr>
            <w:tcW w:type="dxa" w:w="485"/>
            <w:shd w:val="clear" w:color="auto" w:fill="E6ECFD"/>
            <w:vAlign w:val="center"/>
          </w:tcPr>
          <w:p>
            <w:pPr>
              <w:spacing w:after="20" w:before="20" w:line="252" w:lineRule="auto"/>
            </w:pPr>
            <w:r/>
            <w:r>
              <w:rPr>
                <w:rFonts w:ascii="Arial" w:hAnsi="Arial"/>
                <w:b/>
                <w:i w:val="0"/>
                <w:sz w:val="16"/>
              </w:rPr>
              <w:t>8</w:t>
            </w:r>
          </w:p>
        </w:tc>
        <w:tc>
          <w:tcPr>
            <w:tcW w:type="dxa" w:w="1940"/>
            <w:shd w:val="clear" w:color="auto" w:fill="E6ECFD"/>
            <w:vAlign w:val="center"/>
          </w:tcPr>
          <w:p>
            <w:pPr>
              <w:spacing w:after="20" w:before="20" w:line="252" w:lineRule="auto"/>
            </w:pPr>
            <w:r/>
            <w:r>
              <w:rPr>
                <w:rFonts w:ascii="Arial" w:hAnsi="Arial"/>
                <w:b w:val="0"/>
                <w:i w:val="0"/>
                <w:sz w:val="16"/>
              </w:rPr>
              <w:t>PALCapital</w:t>
            </w:r>
          </w:p>
        </w:tc>
        <w:tc>
          <w:tcPr>
            <w:tcW w:type="dxa" w:w="4851"/>
            <w:shd w:val="clear" w:color="auto" w:fill="E6ECFD"/>
            <w:vAlign w:val="center"/>
          </w:tcPr>
          <w:p>
            <w:pPr>
              <w:spacing w:after="20" w:before="20" w:line="252" w:lineRule="auto"/>
            </w:pPr>
            <w:r/>
            <w:r>
              <w:rPr>
                <w:rFonts w:ascii="Arial" w:hAnsi="Arial"/>
                <w:b w:val="0"/>
                <w:i w:val="0"/>
                <w:sz w:val="16"/>
              </w:rPr>
              <w:t>Go-live "45 hari" vs "90 hari"; imbal hasil US$21 juta vs hitungan US$20,7 juta; "bukan utang" vs surat utang</w:t>
            </w:r>
          </w:p>
        </w:tc>
        <w:tc>
          <w:tcPr>
            <w:tcW w:type="dxa" w:w="2134"/>
            <w:shd w:val="clear" w:color="auto" w:fill="E6ECFD"/>
            <w:vAlign w:val="center"/>
          </w:tcPr>
          <w:p>
            <w:pPr>
              <w:spacing w:after="20" w:before="20" w:line="252" w:lineRule="auto"/>
            </w:pPr>
            <w:r/>
            <w:r>
              <w:rPr>
                <w:rFonts w:ascii="Arial" w:hAnsi="Arial"/>
                <w:b w:val="0"/>
                <w:i w:val="0"/>
                <w:sz w:val="16"/>
              </w:rPr>
              <w:t>Term sheet yang dikoreksi</w:t>
            </w:r>
          </w:p>
        </w:tc>
      </w:tr>
      <w:tr>
        <w:trPr>
          <w:cantSplit/>
        </w:trPr>
        <w:tc>
          <w:tcPr>
            <w:tcW w:type="dxa" w:w="485"/>
            <w:vAlign w:val="center"/>
          </w:tcPr>
          <w:p>
            <w:pPr>
              <w:spacing w:after="20" w:before="20" w:line="252" w:lineRule="auto"/>
            </w:pPr>
            <w:r/>
            <w:r>
              <w:rPr>
                <w:rFonts w:ascii="Arial" w:hAnsi="Arial"/>
                <w:b/>
                <w:i w:val="0"/>
                <w:sz w:val="16"/>
              </w:rPr>
              <w:t>9</w:t>
            </w:r>
          </w:p>
        </w:tc>
        <w:tc>
          <w:tcPr>
            <w:tcW w:type="dxa" w:w="1940"/>
            <w:vAlign w:val="center"/>
          </w:tcPr>
          <w:p>
            <w:pPr>
              <w:spacing w:after="20" w:before="20" w:line="252" w:lineRule="auto"/>
            </w:pPr>
            <w:r/>
            <w:r>
              <w:rPr>
                <w:rFonts w:ascii="Arial" w:hAnsi="Arial"/>
                <w:b w:val="0"/>
                <w:i w:val="0"/>
                <w:sz w:val="16"/>
              </w:rPr>
              <w:t>Metrik</w:t>
            </w:r>
          </w:p>
        </w:tc>
        <w:tc>
          <w:tcPr>
            <w:tcW w:type="dxa" w:w="4851"/>
            <w:vAlign w:val="center"/>
          </w:tcPr>
          <w:p>
            <w:pPr>
              <w:spacing w:after="20" w:before="20" w:line="252" w:lineRule="auto"/>
            </w:pPr>
            <w:r/>
            <w:r>
              <w:rPr>
                <w:rFonts w:ascii="Arial" w:hAnsi="Arial"/>
                <w:b w:val="0"/>
                <w:i w:val="0"/>
                <w:sz w:val="16"/>
              </w:rPr>
              <w:t>"45 metrik" vs 39 metrik hasil + enam gerbang</w:t>
            </w:r>
          </w:p>
        </w:tc>
        <w:tc>
          <w:tcPr>
            <w:tcW w:type="dxa" w:w="2134"/>
            <w:vAlign w:val="center"/>
          </w:tcPr>
          <w:p>
            <w:pPr>
              <w:spacing w:after="20" w:before="20" w:line="252" w:lineRule="auto"/>
            </w:pPr>
            <w:r/>
            <w:r>
              <w:rPr>
                <w:rFonts w:ascii="Arial" w:hAnsi="Arial"/>
                <w:b w:val="0"/>
                <w:i w:val="0"/>
                <w:sz w:val="16"/>
              </w:rPr>
              <w:t>Konfirmasi pemilik dokumen</w:t>
            </w:r>
          </w:p>
        </w:tc>
      </w:tr>
      <w:tr>
        <w:trPr>
          <w:cantSplit/>
        </w:trPr>
        <w:tc>
          <w:tcPr>
            <w:tcW w:type="dxa" w:w="485"/>
            <w:shd w:val="clear" w:color="auto" w:fill="E6ECFD"/>
            <w:vAlign w:val="center"/>
          </w:tcPr>
          <w:p>
            <w:pPr>
              <w:spacing w:after="20" w:before="20" w:line="252" w:lineRule="auto"/>
            </w:pPr>
            <w:r/>
            <w:r>
              <w:rPr>
                <w:rFonts w:ascii="Arial" w:hAnsi="Arial"/>
                <w:b/>
                <w:i w:val="0"/>
                <w:sz w:val="16"/>
              </w:rPr>
              <w:t>10</w:t>
            </w:r>
          </w:p>
        </w:tc>
        <w:tc>
          <w:tcPr>
            <w:tcW w:type="dxa" w:w="1940"/>
            <w:shd w:val="clear" w:color="auto" w:fill="E6ECFD"/>
            <w:vAlign w:val="center"/>
          </w:tcPr>
          <w:p>
            <w:pPr>
              <w:spacing w:after="20" w:before="20" w:line="252" w:lineRule="auto"/>
            </w:pPr>
            <w:r/>
            <w:r>
              <w:rPr>
                <w:rFonts w:ascii="Arial" w:hAnsi="Arial"/>
                <w:b w:val="0"/>
                <w:i w:val="0"/>
                <w:sz w:val="16"/>
              </w:rPr>
              <w:t>Register risiko</w:t>
            </w:r>
          </w:p>
        </w:tc>
        <w:tc>
          <w:tcPr>
            <w:tcW w:type="dxa" w:w="4851"/>
            <w:shd w:val="clear" w:color="auto" w:fill="E6ECFD"/>
            <w:vAlign w:val="center"/>
          </w:tcPr>
          <w:p>
            <w:pPr>
              <w:spacing w:after="20" w:before="20" w:line="252" w:lineRule="auto"/>
            </w:pPr>
            <w:r/>
            <w:r>
              <w:rPr>
                <w:rFonts w:ascii="Arial" w:hAnsi="Arial"/>
                <w:b w:val="0"/>
                <w:i w:val="0"/>
                <w:sz w:val="16"/>
              </w:rPr>
              <w:t>Dokumen sumber memuat 19 risiko (studi platform) dan 24 risiko (Kajian v2); jumlah risiko berdampak tinggi pada Kajian v2 adalah 16 menurut peta (3 + 12 + 1)</w:t>
            </w:r>
          </w:p>
        </w:tc>
        <w:tc>
          <w:tcPr>
            <w:tcW w:type="dxa" w:w="2134"/>
            <w:shd w:val="clear" w:color="auto" w:fill="E6ECFD"/>
            <w:vAlign w:val="center"/>
          </w:tcPr>
          <w:p>
            <w:pPr>
              <w:spacing w:after="20" w:before="20" w:line="252" w:lineRule="auto"/>
            </w:pPr>
            <w:r/>
            <w:r>
              <w:rPr>
                <w:rFonts w:ascii="Arial" w:hAnsi="Arial"/>
                <w:b w:val="0"/>
                <w:i w:val="0"/>
                <w:sz w:val="16"/>
              </w:rPr>
              <w:t>Satu register risiko</w:t>
            </w:r>
          </w:p>
        </w:tc>
      </w:tr>
      <w:tr>
        <w:trPr>
          <w:cantSplit/>
        </w:trPr>
        <w:tc>
          <w:tcPr>
            <w:tcW w:type="dxa" w:w="485"/>
            <w:vAlign w:val="center"/>
          </w:tcPr>
          <w:p>
            <w:pPr>
              <w:spacing w:after="20" w:before="20" w:line="252" w:lineRule="auto"/>
            </w:pPr>
            <w:r/>
            <w:r>
              <w:rPr>
                <w:rFonts w:ascii="Arial" w:hAnsi="Arial"/>
                <w:b/>
                <w:i w:val="0"/>
                <w:sz w:val="16"/>
              </w:rPr>
              <w:t>11</w:t>
            </w:r>
          </w:p>
        </w:tc>
        <w:tc>
          <w:tcPr>
            <w:tcW w:type="dxa" w:w="1940"/>
            <w:vAlign w:val="center"/>
          </w:tcPr>
          <w:p>
            <w:pPr>
              <w:spacing w:after="20" w:before="20" w:line="252" w:lineRule="auto"/>
            </w:pPr>
            <w:r/>
            <w:r>
              <w:rPr>
                <w:rFonts w:ascii="Arial" w:hAnsi="Arial"/>
                <w:b w:val="0"/>
                <w:i w:val="0"/>
                <w:sz w:val="16"/>
              </w:rPr>
              <w:t>Vietnam CMSC</w:t>
            </w:r>
          </w:p>
        </w:tc>
        <w:tc>
          <w:tcPr>
            <w:tcW w:type="dxa" w:w="4851"/>
            <w:vAlign w:val="center"/>
          </w:tcPr>
          <w:p>
            <w:pPr>
              <w:spacing w:after="20" w:before="20" w:line="252" w:lineRule="auto"/>
            </w:pPr>
            <w:r/>
            <w:r>
              <w:rPr>
                <w:rFonts w:ascii="Arial" w:hAnsi="Arial"/>
                <w:b w:val="0"/>
                <w:i w:val="0"/>
                <w:sz w:val="16"/>
              </w:rPr>
              <w:t>Tanggal pembubaran 21 vs 23 Maret 2025 pada bagian berbeda dalam EVAL</w:t>
            </w:r>
          </w:p>
        </w:tc>
        <w:tc>
          <w:tcPr>
            <w:tcW w:type="dxa" w:w="2134"/>
            <w:vAlign w:val="center"/>
          </w:tcPr>
          <w:p>
            <w:pPr>
              <w:spacing w:after="20" w:before="20" w:line="252" w:lineRule="auto"/>
            </w:pPr>
            <w:r/>
            <w:r>
              <w:rPr>
                <w:rFonts w:ascii="Arial" w:hAnsi="Arial"/>
                <w:b w:val="0"/>
                <w:i w:val="0"/>
                <w:sz w:val="16"/>
              </w:rPr>
              <w:t>Verifikasi</w:t>
            </w:r>
          </w:p>
        </w:tc>
      </w:tr>
      <w:tr>
        <w:trPr>
          <w:cantSplit/>
        </w:trPr>
        <w:tc>
          <w:tcPr>
            <w:tcW w:type="dxa" w:w="485"/>
            <w:shd w:val="clear" w:color="auto" w:fill="E6ECFD"/>
            <w:vAlign w:val="center"/>
          </w:tcPr>
          <w:p>
            <w:pPr>
              <w:spacing w:after="20" w:before="20" w:line="252" w:lineRule="auto"/>
            </w:pPr>
            <w:r/>
            <w:r>
              <w:rPr>
                <w:rFonts w:ascii="Arial" w:hAnsi="Arial"/>
                <w:b/>
                <w:i w:val="0"/>
                <w:sz w:val="16"/>
              </w:rPr>
              <w:t>12</w:t>
            </w:r>
          </w:p>
        </w:tc>
        <w:tc>
          <w:tcPr>
            <w:tcW w:type="dxa" w:w="1940"/>
            <w:shd w:val="clear" w:color="auto" w:fill="E6ECFD"/>
            <w:vAlign w:val="center"/>
          </w:tcPr>
          <w:p>
            <w:pPr>
              <w:spacing w:after="20" w:before="20" w:line="252" w:lineRule="auto"/>
            </w:pPr>
            <w:r/>
            <w:r>
              <w:rPr>
                <w:rFonts w:ascii="Arial" w:hAnsi="Arial"/>
                <w:b w:val="0"/>
                <w:i w:val="0"/>
                <w:sz w:val="16"/>
              </w:rPr>
              <w:t>Infografik transformasi</w:t>
            </w:r>
          </w:p>
        </w:tc>
        <w:tc>
          <w:tcPr>
            <w:tcW w:type="dxa" w:w="4851"/>
            <w:shd w:val="clear" w:color="auto" w:fill="E6ECFD"/>
            <w:vAlign w:val="center"/>
          </w:tcPr>
          <w:p>
            <w:pPr>
              <w:spacing w:after="20" w:before="20" w:line="252" w:lineRule="auto"/>
            </w:pPr>
            <w:r/>
            <w:r>
              <w:rPr>
                <w:rFonts w:ascii="Arial" w:hAnsi="Arial"/>
                <w:b w:val="0"/>
                <w:i w:val="0"/>
                <w:sz w:val="16"/>
              </w:rPr>
              <w:t>Sumbu surat utang berlabel US$ juta, sedangkan sumber lain US$1,5 miliar</w:t>
            </w:r>
          </w:p>
        </w:tc>
        <w:tc>
          <w:tcPr>
            <w:tcW w:type="dxa" w:w="2134"/>
            <w:shd w:val="clear" w:color="auto" w:fill="E6ECFD"/>
            <w:vAlign w:val="center"/>
          </w:tcPr>
          <w:p>
            <w:pPr>
              <w:spacing w:after="20" w:before="20" w:line="252" w:lineRule="auto"/>
            </w:pPr>
            <w:r/>
            <w:r>
              <w:rPr>
                <w:rFonts w:ascii="Arial" w:hAnsi="Arial"/>
                <w:b w:val="0"/>
                <w:i w:val="0"/>
                <w:sz w:val="16"/>
              </w:rPr>
              <w:t>Koreksi label</w:t>
            </w:r>
          </w:p>
        </w:tc>
      </w:tr>
      <w:tr>
        <w:trPr>
          <w:cantSplit/>
        </w:trPr>
        <w:tc>
          <w:tcPr>
            <w:tcW w:type="dxa" w:w="485"/>
            <w:vAlign w:val="center"/>
          </w:tcPr>
          <w:p>
            <w:pPr>
              <w:spacing w:after="20" w:before="20" w:line="252" w:lineRule="auto"/>
            </w:pPr>
            <w:r/>
            <w:r>
              <w:rPr>
                <w:rFonts w:ascii="Arial" w:hAnsi="Arial"/>
                <w:b/>
                <w:i w:val="0"/>
                <w:sz w:val="16"/>
              </w:rPr>
              <w:t>13</w:t>
            </w:r>
          </w:p>
        </w:tc>
        <w:tc>
          <w:tcPr>
            <w:tcW w:type="dxa" w:w="1940"/>
            <w:vAlign w:val="center"/>
          </w:tcPr>
          <w:p>
            <w:pPr>
              <w:spacing w:after="20" w:before="20" w:line="252" w:lineRule="auto"/>
            </w:pPr>
            <w:r/>
            <w:r>
              <w:rPr>
                <w:rFonts w:ascii="Arial" w:hAnsi="Arial"/>
                <w:b w:val="0"/>
                <w:i w:val="0"/>
                <w:sz w:val="16"/>
              </w:rPr>
              <w:t>Dokumen EPC</w:t>
            </w:r>
          </w:p>
        </w:tc>
        <w:tc>
          <w:tcPr>
            <w:tcW w:type="dxa" w:w="4851"/>
            <w:vAlign w:val="center"/>
          </w:tcPr>
          <w:p>
            <w:pPr>
              <w:spacing w:after="20" w:before="20" w:line="252" w:lineRule="auto"/>
            </w:pPr>
            <w:r/>
            <w:r>
              <w:rPr>
                <w:rFonts w:ascii="Arial" w:hAnsi="Arial"/>
                <w:b w:val="0"/>
                <w:i w:val="0"/>
                <w:sz w:val="16"/>
              </w:rPr>
              <w:t>Angka contoh, 60–70% terkunci pada PO, retensi 5–10%, uang muka 10–20% adalah ancar-ancar tanpa sumber</w:t>
            </w:r>
          </w:p>
        </w:tc>
        <w:tc>
          <w:tcPr>
            <w:tcW w:type="dxa" w:w="2134"/>
            <w:vAlign w:val="center"/>
          </w:tcPr>
          <w:p>
            <w:pPr>
              <w:spacing w:after="20" w:before="20" w:line="252" w:lineRule="auto"/>
            </w:pPr>
            <w:r/>
            <w:r>
              <w:rPr>
                <w:rFonts w:ascii="Arial" w:hAnsi="Arial"/>
                <w:b w:val="0"/>
                <w:i w:val="0"/>
                <w:sz w:val="16"/>
              </w:rPr>
              <w:t>Perlakukan sebagai praktik umum</w:t>
            </w:r>
          </w:p>
        </w:tc>
      </w:tr>
    </w:tbl>
    <w:p>
      <w:pPr>
        <w:spacing w:after="40"/>
      </w:pPr>
    </w:p>
    <w:p>
      <w:pPr>
        <w:jc w:val="both"/>
      </w:pPr>
      <w:r>
        <w:rPr>
          <w:rFonts w:ascii="Arial" w:hAnsi="Arial"/>
          <w:b/>
          <w:i w:val="0"/>
          <w:sz w:val="19"/>
        </w:rPr>
        <w:t>Keterbatasan akses.</w:t>
      </w:r>
      <w:r>
        <w:rPr>
          <w:rFonts w:ascii="Arial" w:hAnsi="Arial"/>
          <w:b w:val="0"/>
          <w:i w:val="0"/>
          <w:sz w:val="19"/>
        </w:rPr>
        <w:t xml:space="preserve"> Buku kerja register 40 proyek, model pekerjaan, dan makalah terpadu berklasifikasi terbatas atau rahasia; makalah ini hanya memakai agregat. Halaman 2 sampai 8 dokumen platform berbentuk gambar dan dibaca secara visual; label kecil pada bagan NITO dan batang Gantt bersifat perkiraan. Berkas project_management.md pada folder sumber kosong (0 byte) saat penyusunan; ruang lingkup ditetapkan bersama pemberi tugas sebagai manajemen proyek umum dengan contoh Danantara.</w:t>
      </w:r>
    </w:p>
    <w:sectPr w:rsidR="00FC693F" w:rsidRPr="0006063C" w:rsidSect="00034616">
      <w:footerReference w:type="default" r:id="rId12"/>
      <w:headerReference w:type="default" r:id="rId13"/>
      <w:pgSz w:w="11906" w:h="16838"/>
      <w:pgMar w:top="1247" w:right="1247" w:bottom="1134" w:left="1247"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051C5C"/>
        <w:sz w:val="16"/>
      </w:rPr>
      <w:t xml:space="preserve">Manajemen Proyek · Makalah Komite Pengarah Danantara · Draf untuk diskusi · Rahasia  |  Halaman </w:t>
    </w:r>
    <w:r>
      <w:rPr>
        <w:color w:val="051C5C"/>
        <w:sz w:val="16"/>
      </w:rPr>
      <w:fldChar w:fldCharType="begin"/>
    </w:r>
    <w:r>
      <w:rPr>
        <w:color w:val="051C5C"/>
        <w:sz w:val="16"/>
      </w:rPr>
      <w:instrText xml:space="preserve"> PAGE </w:instrText>
    </w:r>
    <w:r>
      <w:rPr>
        <w:color w:val="051C5C"/>
        <w:sz w:val="16"/>
      </w:rPr>
      <w:fldChar w:fldCharType="separate"/>
    </w:r>
    <w:r>
      <w:rPr>
        <w:color w:val="051C5C"/>
        <w:sz w:val="16"/>
      </w:rPr>
      <w:t>1</w:t>
    </w:r>
    <w:r>
      <w:rPr>
        <w:color w:val="051C5C"/>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051C5C"/>
        <w:sz w:val="16"/>
      </w:rPr>
      <w:t xml:space="preserve">Manajemen Proyek · Makalah Komite Pengarah Danantara · Draf untuk diskusi · Rahasia  |  Halaman </w:t>
    </w:r>
    <w:r>
      <w:rPr>
        <w:color w:val="051C5C"/>
        <w:sz w:val="16"/>
      </w:rPr>
      <w:fldChar w:fldCharType="begin"/>
    </w:r>
    <w:r>
      <w:rPr>
        <w:color w:val="051C5C"/>
        <w:sz w:val="16"/>
      </w:rPr>
      <w:instrText xml:space="preserve"> PAGE </w:instrText>
    </w:r>
    <w:r>
      <w:rPr>
        <w:color w:val="051C5C"/>
        <w:sz w:val="16"/>
      </w:rPr>
      <w:fldChar w:fldCharType="separate"/>
    </w:r>
    <w:r>
      <w:rPr>
        <w:color w:val="051C5C"/>
        <w:sz w:val="16"/>
      </w:rPr>
      <w:t>1</w:t>
    </w:r>
    <w:r>
      <w:rPr>
        <w:color w:val="051C5C"/>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051C5C"/>
        <w:sz w:val="16"/>
      </w:rPr>
      <w:fldChar w:fldCharType="begin"/>
    </w:r>
    <w:r>
      <w:rPr>
        <w:color w:val="051C5C"/>
        <w:sz w:val="16"/>
      </w:rPr>
      <w:instrText xml:space="preserve"> STYLEREF "Heading 1" </w:instrText>
    </w:r>
    <w:r>
      <w:rPr>
        <w:color w:val="051C5C"/>
        <w:sz w:val="16"/>
      </w:rPr>
      <w:fldChar w:fldCharType="separate"/>
    </w:r>
    <w:r>
      <w:rPr>
        <w:color w:val="051C5C"/>
        <w:sz w:val="16"/>
      </w:rPr>
      <w:t>Manajemen Proyek</w:t>
    </w:r>
    <w:r>
      <w:rPr>
        <w:color w:val="051C5C"/>
        <w:sz w:val="1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Arial" w:hAnsi="Arial" w:eastAsia="Arial"/>
      <w:b/>
      <w:bCs/>
      <w:color w:val="051C5C"/>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Arial"/>
      <w:b/>
      <w:bCs/>
      <w:color w:val="2251F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eastAsia="Arial"/>
      <w:b/>
      <w:bCs/>
      <w:color w:val="051C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60"/>
    </w:pPr>
    <w:rPr>
      <w:rFonts w:ascii="Arial" w:hAnsi="Arial"/>
      <w:b w:val="0"/>
      <w:bCs/>
      <w:i w:val="0"/>
      <w:color w:val="051C5C"/>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