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before="200"/>
      </w:pPr>
      <w:r>
        <w:rPr>
          <w:rFonts w:ascii="Arial" w:cs="Arial" w:eastAsia="Arial" w:hAnsi="Arial"/>
          <w:b/>
          <w:bCs/>
          <w:color w:val="005EB8"/>
          <w:spacing w:val="40"/>
          <w:sz w:val="18"/>
          <w:szCs w:val="18"/>
        </w:rPr>
        <w:t xml:space="preserve">STEERING COMMITTEE STUDY</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trHeight w:val="6900" w:hRule="exact"/>
        </w:trPr>
        <w:tc>
          <w:tcPr>
            <w:tcW w:type="dxa" w:w="9638"/>
            <w:tcBorders>
              <w:top w:val="none" w:color="FFFFFF" w:sz="0"/>
              <w:left w:val="none" w:color="FFFFFF" w:sz="0"/>
              <w:bottom w:val="none" w:color="FFFFFF" w:sz="0"/>
              <w:right w:val="none" w:color="FFFFFF" w:sz="0"/>
            </w:tcBorders>
            <w:shd w:fill="00338D" w:color="auto" w:val="clear"/>
            <w:tcMar>
              <w:top w:type="dxa" w:w="0"/>
              <w:left w:type="dxa" w:w="420"/>
              <w:bottom w:type="dxa" w:w="0"/>
              <w:right w:type="dxa" w:w="420"/>
            </w:tcMar>
            <w:vAlign w:val="bottom"/>
          </w:tcPr>
          <w:p>
            <w:pPr>
              <w:spacing w:after="160"/>
            </w:pPr>
            <w:r>
              <w:rPr>
                <w:rFonts w:ascii="Arial" w:cs="Arial" w:eastAsia="Arial" w:hAnsi="Arial"/>
                <w:b/>
                <w:bCs/>
                <w:color w:val="9CC7EF"/>
                <w:sz w:val="30"/>
                <w:szCs w:val="30"/>
              </w:rPr>
              <w:t xml:space="preserve">Danantara</w:t>
            </w:r>
          </w:p>
          <w:p>
            <w:pPr>
              <w:spacing w:after="300"/>
            </w:pPr>
            <w:r>
              <w:rPr>
                <w:rFonts w:ascii="Arial" w:cs="Arial" w:eastAsia="Arial" w:hAnsi="Arial"/>
                <w:b/>
                <w:bCs/>
                <w:color w:val="FFFFFF"/>
                <w:sz w:val="64"/>
                <w:szCs w:val="64"/>
              </w:rPr>
              <w:t xml:space="preserve">From asset consolidator to national industrial capability platform</w:t>
            </w:r>
          </w:p>
          <w:p>
            <w:pPr>
              <w:spacing w:after="420" w:line="300"/>
            </w:pPr>
            <w:r>
              <w:rPr>
                <w:rFonts w:ascii="Arial" w:cs="Arial" w:eastAsia="Arial" w:hAnsi="Arial"/>
                <w:color w:val="FFFFFF"/>
                <w:sz w:val="24"/>
                <w:szCs w:val="24"/>
              </w:rPr>
              <w:t xml:space="preserve">Performance review, DOCK-UP industrial capability framework, financing through a Natural Resource Fund and sovereign project tokenisation, construction SOE reform and multi-agentic AI</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9"/>
        <w:gridCol w:w="2409"/>
        <w:gridCol w:w="2409"/>
        <w:gridCol w:w="2411"/>
      </w:tblGrid>
      <w:tr>
        <w:trPr>
          <w:trHeight w:val="900" w:hRule="exact"/>
        </w:trPr>
        <w:tc>
          <w:tcPr>
            <w:tcW w:type="dxa" w:w="2409"/>
            <w:tcBorders>
              <w:top w:val="none" w:color="FFFFFF" w:sz="0"/>
              <w:left w:val="none" w:color="FFFFFF" w:sz="0"/>
              <w:bottom w:val="none" w:color="FFFFFF" w:sz="0"/>
              <w:right w:val="none" w:color="FFFFFF" w:sz="0"/>
            </w:tcBorders>
            <w:shd w:fill="00338D" w:color="auto" w:val="clear"/>
            <w:tcMar>
              <w:left w:type="dxa" w:w="160"/>
              <w:bottom w:type="dxa" w:w="120"/>
              <w:right w:type="dxa" w:w="120"/>
            </w:tcMar>
            <w:vAlign w:val="bottom"/>
          </w:tcPr>
          <w:p>
            <w:r>
              <w:rPr>
                <w:rFonts w:ascii="Arial" w:cs="Arial" w:eastAsia="Arial" w:hAnsi="Arial"/>
                <w:b/>
                <w:bCs/>
                <w:color w:val="FFFFFF"/>
                <w:sz w:val="18"/>
                <w:szCs w:val="18"/>
              </w:rPr>
              <w:t xml:space="preserve">Performance</w:t>
            </w:r>
          </w:p>
        </w:tc>
        <w:tc>
          <w:tcPr>
            <w:tcW w:type="dxa" w:w="2409"/>
            <w:tcBorders>
              <w:top w:val="none" w:color="FFFFFF" w:sz="0"/>
              <w:left w:val="none" w:color="FFFFFF" w:sz="0"/>
              <w:bottom w:val="none" w:color="FFFFFF" w:sz="0"/>
              <w:right w:val="none" w:color="FFFFFF" w:sz="0"/>
            </w:tcBorders>
            <w:shd w:fill="005EB8" w:color="auto" w:val="clear"/>
            <w:tcMar>
              <w:left w:type="dxa" w:w="160"/>
              <w:bottom w:type="dxa" w:w="120"/>
              <w:right w:type="dxa" w:w="120"/>
            </w:tcMar>
            <w:vAlign w:val="bottom"/>
          </w:tcPr>
          <w:p>
            <w:r>
              <w:rPr>
                <w:rFonts w:ascii="Arial" w:cs="Arial" w:eastAsia="Arial" w:hAnsi="Arial"/>
                <w:b/>
                <w:bCs/>
                <w:color w:val="FFFFFF"/>
                <w:sz w:val="18"/>
                <w:szCs w:val="18"/>
              </w:rPr>
              <w:t xml:space="preserve">DOCK-UP</w:t>
            </w:r>
          </w:p>
        </w:tc>
        <w:tc>
          <w:tcPr>
            <w:tcW w:type="dxa" w:w="2409"/>
            <w:tcBorders>
              <w:top w:val="none" w:color="FFFFFF" w:sz="0"/>
              <w:left w:val="none" w:color="FFFFFF" w:sz="0"/>
              <w:bottom w:val="none" w:color="FFFFFF" w:sz="0"/>
              <w:right w:val="none" w:color="FFFFFF" w:sz="0"/>
            </w:tcBorders>
            <w:shd w:fill="0091DA" w:color="auto" w:val="clear"/>
            <w:tcMar>
              <w:left w:type="dxa" w:w="160"/>
              <w:bottom w:type="dxa" w:w="120"/>
              <w:right w:type="dxa" w:w="120"/>
            </w:tcMar>
            <w:vAlign w:val="bottom"/>
          </w:tcPr>
          <w:p>
            <w:r>
              <w:rPr>
                <w:rFonts w:ascii="Arial" w:cs="Arial" w:eastAsia="Arial" w:hAnsi="Arial"/>
                <w:b/>
                <w:bCs/>
                <w:color w:val="FFFFFF"/>
                <w:sz w:val="18"/>
                <w:szCs w:val="18"/>
              </w:rPr>
              <w:t xml:space="preserve">Financing</w:t>
            </w:r>
          </w:p>
        </w:tc>
        <w:tc>
          <w:tcPr>
            <w:tcW w:type="dxa" w:w="2411"/>
            <w:tcBorders>
              <w:top w:val="none" w:color="FFFFFF" w:sz="0"/>
              <w:left w:val="none" w:color="FFFFFF" w:sz="0"/>
              <w:bottom w:val="none" w:color="FFFFFF" w:sz="0"/>
              <w:right w:val="none" w:color="FFFFFF" w:sz="0"/>
            </w:tcBorders>
            <w:shd w:fill="9CC7EF" w:color="auto" w:val="clear"/>
            <w:tcMar>
              <w:left w:type="dxa" w:w="160"/>
              <w:bottom w:type="dxa" w:w="120"/>
              <w:right w:type="dxa" w:w="120"/>
            </w:tcMar>
            <w:vAlign w:val="bottom"/>
          </w:tcPr>
          <w:p>
            <w:r>
              <w:rPr>
                <w:rFonts w:ascii="Arial" w:cs="Arial" w:eastAsia="Arial" w:hAnsi="Arial"/>
                <w:b/>
                <w:bCs/>
                <w:color w:val="00338D"/>
                <w:sz w:val="18"/>
                <w:szCs w:val="18"/>
              </w:rPr>
              <w:t xml:space="preserve">Construction SOEs and AI</w:t>
            </w:r>
          </w:p>
        </w:tc>
      </w:tr>
    </w:tbl>
    <w:p>
      <w:pPr>
        <w:spacing w:after="500"/>
      </w:pPr>
    </w:p>
    <w:p>
      <w:pPr>
        <w:spacing w:after="80"/>
      </w:pPr>
      <w:r>
        <w:rPr>
          <w:rFonts w:ascii="Arial" w:cs="Arial" w:eastAsia="Arial" w:hAnsi="Arial"/>
          <w:b/>
          <w:bCs/>
          <w:color w:val="00338D"/>
          <w:sz w:val="26"/>
          <w:szCs w:val="26"/>
        </w:rPr>
        <w:t xml:space="preserve">October 2026</w:t>
      </w:r>
    </w:p>
    <w:p>
      <w:pPr>
        <w:spacing w:after="60"/>
      </w:pPr>
      <w:r>
        <w:rPr>
          <w:rFonts w:ascii="Arial" w:cs="Arial" w:eastAsia="Arial" w:hAnsi="Arial"/>
          <w:color w:val="000000"/>
          <w:sz w:val="20"/>
          <w:szCs w:val="20"/>
        </w:rPr>
        <w:t xml:space="preserve">Prepared by a member of the Danantara Steering Committee for Danantara's governing bodies and management</w:t>
      </w:r>
    </w:p>
    <w:p>
      <w:pPr>
        <w:spacing w:after="0"/>
      </w:pPr>
      <w:r>
        <w:rPr>
          <w:rFonts w:ascii="Arial" w:cs="Arial" w:eastAsia="Arial" w:hAnsi="Arial"/>
          <w:color w:val="000000"/>
          <w:sz w:val="20"/>
          <w:szCs w:val="20"/>
        </w:rPr>
        <w:t xml:space="preserve">Draft for discussion · Confidential</w:t>
      </w:r>
    </w:p>
    <w:p>
      <w:r>
        <w:br w:type="page"/>
      </w:r>
    </w:p>
    <w:p>
      <w:pPr>
        <w:spacing w:after="240"/>
      </w:pPr>
      <w:r>
        <w:rPr>
          <w:rFonts w:ascii="Arial" w:cs="Arial" w:eastAsia="Arial" w:hAnsi="Arial"/>
          <w:b/>
          <w:bCs/>
          <w:color w:val="00338D"/>
          <w:sz w:val="36"/>
          <w:szCs w:val="36"/>
        </w:rPr>
        <w:t xml:space="preserve">Important notice</w:t>
      </w:r>
    </w:p>
    <w:p>
      <w:pPr>
        <w:spacing w:after="110" w:before="0" w:line="264"/>
        <w:jc w:val="left"/>
      </w:pPr>
      <w:r>
        <w:rPr>
          <w:rFonts w:ascii="Arial" w:cs="Arial" w:eastAsia="Arial" w:hAnsi="Arial"/>
          <w:color w:val="000000"/>
          <w:sz w:val="20"/>
          <w:szCs w:val="20"/>
        </w:rPr>
        <w:t xml:space="preserve">This document is a study prepared by a member of the Danantara Steering Committee to support discussion among Danantara's stakeholders. It is a draft for discussion and does not represent a decision, policy or position of Danantara, its organs or the Government of Indonesia.</w:t>
      </w:r>
    </w:p>
    <w:p>
      <w:pPr>
        <w:spacing w:after="110" w:before="0" w:line="264"/>
        <w:jc w:val="left"/>
      </w:pPr>
      <w:r>
        <w:rPr>
          <w:rFonts w:ascii="Arial" w:cs="Arial" w:eastAsia="Arial" w:hAnsi="Arial"/>
          <w:b/>
          <w:bCs/>
          <w:color w:val="000000"/>
          <w:sz w:val="20"/>
          <w:szCs w:val="20"/>
        </w:rPr>
        <w:t xml:space="preserve">Basis of preparation.</w:t>
      </w:r>
      <w:r>
        <w:rPr>
          <w:rFonts w:ascii="Arial" w:cs="Arial" w:eastAsia="Arial" w:hAnsi="Arial"/>
          <w:color w:val="000000"/>
          <w:sz w:val="20"/>
          <w:szCs w:val="20"/>
        </w:rPr>
        <w:t xml:space="preserve"> The study is based on six source documents (D1–D6, listed in Section 2.3) and on public references cited in those documents. We have not independently verified information provided in the source documents, except where we state that we have recalculated or reconciled figures. Where sources conflict, we report the conflict (Appendix B) rather than resolve it by assumption.</w:t>
      </w:r>
    </w:p>
    <w:p>
      <w:pPr>
        <w:spacing w:after="110" w:before="0" w:line="264"/>
        <w:jc w:val="left"/>
      </w:pPr>
      <w:r>
        <w:rPr>
          <w:rFonts w:ascii="Arial" w:cs="Arial" w:eastAsia="Arial" w:hAnsi="Arial"/>
          <w:b/>
          <w:bCs/>
          <w:color w:val="000000"/>
          <w:sz w:val="20"/>
          <w:szCs w:val="20"/>
        </w:rPr>
        <w:t xml:space="preserve">Nature of the work.</w:t>
      </w:r>
      <w:r>
        <w:rPr>
          <w:rFonts w:ascii="Arial" w:cs="Arial" w:eastAsia="Arial" w:hAnsi="Arial"/>
          <w:color w:val="000000"/>
          <w:sz w:val="20"/>
          <w:szCs w:val="20"/>
        </w:rPr>
        <w:t xml:space="preserve"> This is not an audit, review or other assurance engagement; not a valuation; not a legal, tax or accounting opinion; and not an official rating. Proposed designs, thresholds, weights, timelines and financing structures are recommendations for consideration and require validation, legal review and approval by the competent organs before implementation.</w:t>
      </w:r>
    </w:p>
    <w:p>
      <w:pPr>
        <w:spacing w:after="110" w:before="0" w:line="264"/>
        <w:jc w:val="left"/>
      </w:pPr>
      <w:r>
        <w:rPr>
          <w:rFonts w:ascii="Arial" w:cs="Arial" w:eastAsia="Arial" w:hAnsi="Arial"/>
          <w:b/>
          <w:bCs/>
          <w:color w:val="000000"/>
          <w:sz w:val="20"/>
          <w:szCs w:val="20"/>
        </w:rPr>
        <w:t xml:space="preserve">Evidence classes.</w:t>
      </w:r>
      <w:r>
        <w:rPr>
          <w:rFonts w:ascii="Arial" w:cs="Arial" w:eastAsia="Arial" w:hAnsi="Arial"/>
          <w:color w:val="000000"/>
          <w:sz w:val="20"/>
          <w:szCs w:val="20"/>
        </w:rPr>
        <w:t xml:space="preserve"> Figures are labelled with evidence classes A (audited), B (official reported), C (announcement, forecast or estimate), D (illustration or assumption) and NR (not rateable). Class C and D figures must not be read as realised results.</w:t>
      </w:r>
    </w:p>
    <w:p>
      <w:pPr>
        <w:spacing w:after="110" w:before="0" w:line="264"/>
        <w:jc w:val="left"/>
      </w:pPr>
      <w:r>
        <w:rPr>
          <w:rFonts w:ascii="Arial" w:cs="Arial" w:eastAsia="Arial" w:hAnsi="Arial"/>
          <w:b/>
          <w:bCs/>
          <w:color w:val="000000"/>
          <w:sz w:val="20"/>
          <w:szCs w:val="20"/>
        </w:rPr>
        <w:t xml:space="preserve">Forward-looking statements.</w:t>
      </w:r>
      <w:r>
        <w:rPr>
          <w:rFonts w:ascii="Arial" w:cs="Arial" w:eastAsia="Arial" w:hAnsi="Arial"/>
          <w:color w:val="000000"/>
          <w:sz w:val="20"/>
          <w:szCs w:val="20"/>
        </w:rPr>
        <w:t xml:space="preserve"> Statements about expected benefits, costs and timelines are inherently uncertain and depend on decisions, markets and implementation outside the author's control.</w:t>
      </w:r>
    </w:p>
    <w:p>
      <w:pPr>
        <w:spacing w:after="110" w:before="0" w:line="264"/>
        <w:jc w:val="left"/>
      </w:pPr>
      <w:r>
        <w:rPr>
          <w:rFonts w:ascii="Arial" w:cs="Arial" w:eastAsia="Arial" w:hAnsi="Arial"/>
          <w:b/>
          <w:bCs/>
          <w:color w:val="000000"/>
          <w:sz w:val="20"/>
          <w:szCs w:val="20"/>
        </w:rPr>
        <w:t xml:space="preserve">Confidentiality and distribution.</w:t>
      </w:r>
      <w:r>
        <w:rPr>
          <w:rFonts w:ascii="Arial" w:cs="Arial" w:eastAsia="Arial" w:hAnsi="Arial"/>
          <w:color w:val="000000"/>
          <w:sz w:val="20"/>
          <w:szCs w:val="20"/>
        </w:rPr>
        <w:t xml:space="preserve"> Source documents D4 and D6 are marked internal or confidential. This version is for Danantara's governing bodies and executive management. A redacted version, without internal D4 material, D6 term-sheet details, programme contract values or infrastructure specifications, should be prepared before the study is shared with external stakeholders such as regulators, banks or industry.</w:t>
      </w:r>
    </w:p>
    <w:p>
      <w:pPr>
        <w:spacing w:after="110" w:before="0" w:line="264"/>
        <w:jc w:val="left"/>
      </w:pPr>
      <w:r>
        <w:rPr>
          <w:rFonts w:ascii="Arial" w:cs="Arial" w:eastAsia="Arial" w:hAnsi="Arial"/>
          <w:b/>
          <w:bCs/>
          <w:color w:val="000000"/>
          <w:sz w:val="20"/>
          <w:szCs w:val="20"/>
        </w:rPr>
        <w:t xml:space="preserve">Conflicts of interest.</w:t>
      </w:r>
      <w:r>
        <w:rPr>
          <w:rFonts w:ascii="Arial" w:cs="Arial" w:eastAsia="Arial" w:hAnsi="Arial"/>
          <w:color w:val="000000"/>
          <w:sz w:val="20"/>
          <w:szCs w:val="20"/>
        </w:rPr>
        <w:t xml:space="preserve"> Three sources (D4, D6 and parts of D3) centre on maritime and defence and on PT PAL. The author's current and prior roles relevant to PT PAL and to the preparers of D4 and D6 are disclosed in the covering note to the Steering Committee, and readers should weigh the maritime and defence examples accordingly.</w:t>
      </w:r>
    </w:p>
    <w:p>
      <w:pPr>
        <w:spacing w:after="110" w:before="0" w:line="264"/>
        <w:jc w:val="left"/>
        <w:sectPr>
          <w:pgSz w:w="11906" w:h="16838" w:orient="portrait"/>
          <w:pgMar w:top="1250" w:right="1134" w:bottom="1150" w:left="1134" w:header="560" w:footer="560" w:gutter="0"/>
          <w:pgNumType/>
          <w:docGrid w:linePitch="360"/>
        </w:sectPr>
      </w:pPr>
      <w:r>
        <w:rPr>
          <w:rFonts w:ascii="Arial" w:cs="Arial" w:eastAsia="Arial" w:hAnsi="Arial"/>
          <w:b/>
          <w:bCs/>
          <w:color w:val="000000"/>
          <w:sz w:val="20"/>
          <w:szCs w:val="20"/>
        </w:rPr>
        <w:t xml:space="preserve">Independence from advisory firms.</w:t>
      </w:r>
      <w:r>
        <w:rPr>
          <w:rFonts w:ascii="Arial" w:cs="Arial" w:eastAsia="Arial" w:hAnsi="Arial"/>
          <w:color w:val="000000"/>
          <w:sz w:val="20"/>
          <w:szCs w:val="20"/>
        </w:rPr>
        <w:t xml:space="preserve"> This document is not produced by, affiliated with or endorsed by any professional services firm.</w:t>
      </w:r>
    </w:p>
    <w:p>
      <w:pPr>
        <w:spacing w:after="280"/>
      </w:pPr>
      <w:r>
        <w:rPr>
          <w:rFonts w:ascii="Arial" w:cs="Arial" w:eastAsia="Arial" w:hAnsi="Arial"/>
          <w:b/>
          <w:bCs/>
          <w:color w:val="00338D"/>
          <w:sz w:val="36"/>
          <w:szCs w:val="36"/>
        </w:rPr>
        <w:t xml:space="preserve">Contents</w:t>
      </w:r>
    </w:p>
    <w:p>
      <w:pPr>
        <w:tabs>
          <w:tab w:val="left" w:pos="680"/>
          <w:tab w:val="right" w:pos="9638" w:leader="dot"/>
        </w:tabs>
        <w:spacing w:after="110"/>
      </w:pPr>
      <w:r>
        <w:rPr>
          <w:rFonts w:ascii="Arial" w:cs="Arial" w:eastAsia="Arial" w:hAnsi="Arial"/>
          <w:b/>
          <w:bCs/>
          <w:color w:val="005EB8"/>
          <w:sz w:val="22"/>
          <w:szCs w:val="22"/>
        </w:rPr>
        <w:t xml:space="preserve">01</w:t>
      </w:r>
      <w:r>
        <w:rPr>
          <w:rFonts w:ascii="Arial" w:cs="Arial" w:eastAsia="Arial" w:hAnsi="Arial"/>
        </w:rPr>
        <w:t xml:space="preserve">	</w:t>
      </w:r>
      <w:r>
        <w:rPr>
          <w:rFonts w:ascii="Arial" w:cs="Arial" w:eastAsia="Arial" w:hAnsi="Arial"/>
          <w:b/>
          <w:bCs/>
          <w:color w:val="000000"/>
          <w:sz w:val="22"/>
          <w:szCs w:val="22"/>
        </w:rPr>
        <w:t xml:space="preserve">Executive summary</w:t>
      </w:r>
      <w:r>
        <w:rPr>
          <w:rFonts w:ascii="Arial" w:cs="Arial" w:eastAsia="Arial" w:hAnsi="Arial"/>
          <w:b/>
          <w:bCs/>
          <w:color w:val="00338D"/>
          <w:sz w:val="22"/>
          <w:szCs w:val="22"/>
        </w:rPr>
        <w:t xml:space="preserve">	4</w:t>
      </w:r>
    </w:p>
    <w:p>
      <w:pPr>
        <w:tabs>
          <w:tab w:val="left" w:pos="680"/>
          <w:tab w:val="right" w:pos="9638" w:leader="dot"/>
        </w:tabs>
        <w:spacing w:after="110"/>
      </w:pPr>
      <w:r>
        <w:rPr>
          <w:rFonts w:ascii="Arial" w:cs="Arial" w:eastAsia="Arial" w:hAnsi="Arial"/>
          <w:b/>
          <w:bCs/>
          <w:color w:val="005EB8"/>
          <w:sz w:val="22"/>
          <w:szCs w:val="22"/>
        </w:rPr>
        <w:t xml:space="preserve">02</w:t>
      </w:r>
      <w:r>
        <w:rPr>
          <w:rFonts w:ascii="Arial" w:cs="Arial" w:eastAsia="Arial" w:hAnsi="Arial"/>
        </w:rPr>
        <w:t xml:space="preserve">	</w:t>
      </w:r>
      <w:r>
        <w:rPr>
          <w:rFonts w:ascii="Arial" w:cs="Arial" w:eastAsia="Arial" w:hAnsi="Arial"/>
          <w:b/>
          <w:bCs/>
          <w:color w:val="000000"/>
          <w:sz w:val="22"/>
          <w:szCs w:val="22"/>
        </w:rPr>
        <w:t xml:space="preserve">Introduction, scope and approach</w:t>
      </w:r>
      <w:r>
        <w:rPr>
          <w:rFonts w:ascii="Arial" w:cs="Arial" w:eastAsia="Arial" w:hAnsi="Arial"/>
          <w:b/>
          <w:bCs/>
          <w:color w:val="00338D"/>
          <w:sz w:val="22"/>
          <w:szCs w:val="22"/>
        </w:rPr>
        <w:t xml:space="preserve">	8</w:t>
      </w:r>
    </w:p>
    <w:p>
      <w:pPr>
        <w:tabs>
          <w:tab w:val="left" w:pos="680"/>
          <w:tab w:val="right" w:pos="9638" w:leader="dot"/>
        </w:tabs>
        <w:spacing w:after="110"/>
      </w:pPr>
      <w:r>
        <w:rPr>
          <w:rFonts w:ascii="Arial" w:cs="Arial" w:eastAsia="Arial" w:hAnsi="Arial"/>
          <w:b/>
          <w:bCs/>
          <w:color w:val="005EB8"/>
          <w:sz w:val="22"/>
          <w:szCs w:val="22"/>
        </w:rPr>
        <w:t xml:space="preserve">03</w:t>
      </w:r>
      <w:r>
        <w:rPr>
          <w:rFonts w:ascii="Arial" w:cs="Arial" w:eastAsia="Arial" w:hAnsi="Arial"/>
        </w:rPr>
        <w:t xml:space="preserve">	</w:t>
      </w:r>
      <w:r>
        <w:rPr>
          <w:rFonts w:ascii="Arial" w:cs="Arial" w:eastAsia="Arial" w:hAnsi="Arial"/>
          <w:b/>
          <w:bCs/>
          <w:color w:val="000000"/>
          <w:sz w:val="22"/>
          <w:szCs w:val="22"/>
        </w:rPr>
        <w:t xml:space="preserve">Danantara today: mandate, structure and activity</w:t>
      </w:r>
      <w:r>
        <w:rPr>
          <w:rFonts w:ascii="Arial" w:cs="Arial" w:eastAsia="Arial" w:hAnsi="Arial"/>
          <w:b/>
          <w:bCs/>
          <w:color w:val="00338D"/>
          <w:sz w:val="22"/>
          <w:szCs w:val="22"/>
        </w:rPr>
        <w:t xml:space="preserve">	10</w:t>
      </w:r>
    </w:p>
    <w:p>
      <w:pPr>
        <w:tabs>
          <w:tab w:val="left" w:pos="680"/>
          <w:tab w:val="right" w:pos="9638" w:leader="dot"/>
        </w:tabs>
        <w:spacing w:after="110"/>
      </w:pPr>
      <w:r>
        <w:rPr>
          <w:rFonts w:ascii="Arial" w:cs="Arial" w:eastAsia="Arial" w:hAnsi="Arial"/>
          <w:b/>
          <w:bCs/>
          <w:color w:val="005EB8"/>
          <w:sz w:val="22"/>
          <w:szCs w:val="22"/>
        </w:rPr>
        <w:t xml:space="preserve">04</w:t>
      </w:r>
      <w:r>
        <w:rPr>
          <w:rFonts w:ascii="Arial" w:cs="Arial" w:eastAsia="Arial" w:hAnsi="Arial"/>
        </w:rPr>
        <w:t xml:space="preserve">	</w:t>
      </w:r>
      <w:r>
        <w:rPr>
          <w:rFonts w:ascii="Arial" w:cs="Arial" w:eastAsia="Arial" w:hAnsi="Arial"/>
          <w:b/>
          <w:bCs/>
          <w:color w:val="000000"/>
          <w:sz w:val="22"/>
          <w:szCs w:val="22"/>
        </w:rPr>
        <w:t xml:space="preserve">Performance evaluation</w:t>
      </w:r>
      <w:r>
        <w:rPr>
          <w:rFonts w:ascii="Arial" w:cs="Arial" w:eastAsia="Arial" w:hAnsi="Arial"/>
          <w:b/>
          <w:bCs/>
          <w:color w:val="00338D"/>
          <w:sz w:val="22"/>
          <w:szCs w:val="22"/>
        </w:rPr>
        <w:t xml:space="preserve">	13</w:t>
      </w:r>
    </w:p>
    <w:p>
      <w:pPr>
        <w:tabs>
          <w:tab w:val="left" w:pos="680"/>
          <w:tab w:val="right" w:pos="9638" w:leader="dot"/>
        </w:tabs>
        <w:spacing w:after="110"/>
      </w:pPr>
      <w:r>
        <w:rPr>
          <w:rFonts w:ascii="Arial" w:cs="Arial" w:eastAsia="Arial" w:hAnsi="Arial"/>
          <w:b/>
          <w:bCs/>
          <w:color w:val="005EB8"/>
          <w:sz w:val="22"/>
          <w:szCs w:val="22"/>
        </w:rPr>
        <w:t xml:space="preserve">05</w:t>
      </w:r>
      <w:r>
        <w:rPr>
          <w:rFonts w:ascii="Arial" w:cs="Arial" w:eastAsia="Arial" w:hAnsi="Arial"/>
        </w:rPr>
        <w:t xml:space="preserve">	</w:t>
      </w:r>
      <w:r>
        <w:rPr>
          <w:rFonts w:ascii="Arial" w:cs="Arial" w:eastAsia="Arial" w:hAnsi="Arial"/>
          <w:b/>
          <w:bCs/>
          <w:color w:val="000000"/>
          <w:sz w:val="22"/>
          <w:szCs w:val="22"/>
        </w:rPr>
        <w:t xml:space="preserve">What Danantara is expected to deliver</w:t>
      </w:r>
      <w:r>
        <w:rPr>
          <w:rFonts w:ascii="Arial" w:cs="Arial" w:eastAsia="Arial" w:hAnsi="Arial"/>
          <w:b/>
          <w:bCs/>
          <w:color w:val="00338D"/>
          <w:sz w:val="22"/>
          <w:szCs w:val="22"/>
        </w:rPr>
        <w:t xml:space="preserve">	18</w:t>
      </w:r>
    </w:p>
    <w:p>
      <w:pPr>
        <w:tabs>
          <w:tab w:val="left" w:pos="680"/>
          <w:tab w:val="right" w:pos="9638" w:leader="dot"/>
        </w:tabs>
        <w:spacing w:after="110"/>
      </w:pPr>
      <w:r>
        <w:rPr>
          <w:rFonts w:ascii="Arial" w:cs="Arial" w:eastAsia="Arial" w:hAnsi="Arial"/>
          <w:b/>
          <w:bCs/>
          <w:color w:val="005EB8"/>
          <w:sz w:val="22"/>
          <w:szCs w:val="22"/>
        </w:rPr>
        <w:t xml:space="preserve">06</w:t>
      </w:r>
      <w:r>
        <w:rPr>
          <w:rFonts w:ascii="Arial" w:cs="Arial" w:eastAsia="Arial" w:hAnsi="Arial"/>
        </w:rPr>
        <w:t xml:space="preserve">	</w:t>
      </w:r>
      <w:r>
        <w:rPr>
          <w:rFonts w:ascii="Arial" w:cs="Arial" w:eastAsia="Arial" w:hAnsi="Arial"/>
          <w:b/>
          <w:bCs/>
          <w:color w:val="000000"/>
          <w:sz w:val="22"/>
          <w:szCs w:val="22"/>
        </w:rPr>
        <w:t xml:space="preserve">DOCK-UP: building national industrial capability</w:t>
      </w:r>
      <w:r>
        <w:rPr>
          <w:rFonts w:ascii="Arial" w:cs="Arial" w:eastAsia="Arial" w:hAnsi="Arial"/>
          <w:b/>
          <w:bCs/>
          <w:color w:val="00338D"/>
          <w:sz w:val="22"/>
          <w:szCs w:val="22"/>
        </w:rPr>
        <w:t xml:space="preserve">	22</w:t>
      </w:r>
    </w:p>
    <w:p>
      <w:pPr>
        <w:tabs>
          <w:tab w:val="left" w:pos="680"/>
          <w:tab w:val="right" w:pos="9638" w:leader="dot"/>
        </w:tabs>
        <w:spacing w:after="110"/>
      </w:pPr>
      <w:r>
        <w:rPr>
          <w:rFonts w:ascii="Arial" w:cs="Arial" w:eastAsia="Arial" w:hAnsi="Arial"/>
          <w:b/>
          <w:bCs/>
          <w:color w:val="005EB8"/>
          <w:sz w:val="22"/>
          <w:szCs w:val="22"/>
        </w:rPr>
        <w:t xml:space="preserve">07</w:t>
      </w:r>
      <w:r>
        <w:rPr>
          <w:rFonts w:ascii="Arial" w:cs="Arial" w:eastAsia="Arial" w:hAnsi="Arial"/>
        </w:rPr>
        <w:t xml:space="preserve">	</w:t>
      </w:r>
      <w:r>
        <w:rPr>
          <w:rFonts w:ascii="Arial" w:cs="Arial" w:eastAsia="Arial" w:hAnsi="Arial"/>
          <w:b/>
          <w:bCs/>
          <w:color w:val="000000"/>
          <w:sz w:val="22"/>
          <w:szCs w:val="22"/>
        </w:rPr>
        <w:t xml:space="preserve">Anchor projects as the demand engine</w:t>
      </w:r>
      <w:r>
        <w:rPr>
          <w:rFonts w:ascii="Arial" w:cs="Arial" w:eastAsia="Arial" w:hAnsi="Arial"/>
          <w:b/>
          <w:bCs/>
          <w:color w:val="00338D"/>
          <w:sz w:val="22"/>
          <w:szCs w:val="22"/>
        </w:rPr>
        <w:t xml:space="preserve">	28</w:t>
      </w:r>
    </w:p>
    <w:p>
      <w:pPr>
        <w:tabs>
          <w:tab w:val="left" w:pos="680"/>
          <w:tab w:val="right" w:pos="9638" w:leader="dot"/>
        </w:tabs>
        <w:spacing w:after="110"/>
      </w:pPr>
      <w:r>
        <w:rPr>
          <w:rFonts w:ascii="Arial" w:cs="Arial" w:eastAsia="Arial" w:hAnsi="Arial"/>
          <w:b/>
          <w:bCs/>
          <w:color w:val="005EB8"/>
          <w:sz w:val="22"/>
          <w:szCs w:val="22"/>
        </w:rPr>
        <w:t xml:space="preserve">08</w:t>
      </w:r>
      <w:r>
        <w:rPr>
          <w:rFonts w:ascii="Arial" w:cs="Arial" w:eastAsia="Arial" w:hAnsi="Arial"/>
        </w:rPr>
        <w:t xml:space="preserve">	</w:t>
      </w:r>
      <w:r>
        <w:rPr>
          <w:rFonts w:ascii="Arial" w:cs="Arial" w:eastAsia="Arial" w:hAnsi="Arial"/>
          <w:b/>
          <w:bCs/>
          <w:color w:val="000000"/>
          <w:sz w:val="22"/>
          <w:szCs w:val="22"/>
        </w:rPr>
        <w:t xml:space="preserve">Financing channel 1: the Natural Resource Fund</w:t>
      </w:r>
      <w:r>
        <w:rPr>
          <w:rFonts w:ascii="Arial" w:cs="Arial" w:eastAsia="Arial" w:hAnsi="Arial"/>
          <w:b/>
          <w:bCs/>
          <w:color w:val="00338D"/>
          <w:sz w:val="22"/>
          <w:szCs w:val="22"/>
        </w:rPr>
        <w:t xml:space="preserve">	32</w:t>
      </w:r>
    </w:p>
    <w:p>
      <w:pPr>
        <w:tabs>
          <w:tab w:val="left" w:pos="680"/>
          <w:tab w:val="right" w:pos="9638" w:leader="dot"/>
        </w:tabs>
        <w:spacing w:after="110"/>
      </w:pPr>
      <w:r>
        <w:rPr>
          <w:rFonts w:ascii="Arial" w:cs="Arial" w:eastAsia="Arial" w:hAnsi="Arial"/>
          <w:b/>
          <w:bCs/>
          <w:color w:val="005EB8"/>
          <w:sz w:val="22"/>
          <w:szCs w:val="22"/>
        </w:rPr>
        <w:t xml:space="preserve">09</w:t>
      </w:r>
      <w:r>
        <w:rPr>
          <w:rFonts w:ascii="Arial" w:cs="Arial" w:eastAsia="Arial" w:hAnsi="Arial"/>
        </w:rPr>
        <w:t xml:space="preserve">	</w:t>
      </w:r>
      <w:r>
        <w:rPr>
          <w:rFonts w:ascii="Arial" w:cs="Arial" w:eastAsia="Arial" w:hAnsi="Arial"/>
          <w:b/>
          <w:bCs/>
          <w:color w:val="000000"/>
          <w:sz w:val="22"/>
          <w:szCs w:val="22"/>
        </w:rPr>
        <w:t xml:space="preserve">Financing channel 2: sovereign project tokenisation</w:t>
      </w:r>
      <w:r>
        <w:rPr>
          <w:rFonts w:ascii="Arial" w:cs="Arial" w:eastAsia="Arial" w:hAnsi="Arial"/>
          <w:b/>
          <w:bCs/>
          <w:color w:val="00338D"/>
          <w:sz w:val="22"/>
          <w:szCs w:val="22"/>
        </w:rPr>
        <w:t xml:space="preserve">	37</w:t>
      </w:r>
    </w:p>
    <w:p>
      <w:pPr>
        <w:tabs>
          <w:tab w:val="left" w:pos="680"/>
          <w:tab w:val="right" w:pos="9638" w:leader="dot"/>
        </w:tabs>
        <w:spacing w:after="110"/>
      </w:pPr>
      <w:r>
        <w:rPr>
          <w:rFonts w:ascii="Arial" w:cs="Arial" w:eastAsia="Arial" w:hAnsi="Arial"/>
          <w:b/>
          <w:bCs/>
          <w:color w:val="005EB8"/>
          <w:sz w:val="22"/>
          <w:szCs w:val="22"/>
        </w:rPr>
        <w:t xml:space="preserve">10</w:t>
      </w:r>
      <w:r>
        <w:rPr>
          <w:rFonts w:ascii="Arial" w:cs="Arial" w:eastAsia="Arial" w:hAnsi="Arial"/>
        </w:rPr>
        <w:t xml:space="preserve">	</w:t>
      </w:r>
      <w:r>
        <w:rPr>
          <w:rFonts w:ascii="Arial" w:cs="Arial" w:eastAsia="Arial" w:hAnsi="Arial"/>
          <w:b/>
          <w:bCs/>
          <w:color w:val="000000"/>
          <w:sz w:val="22"/>
          <w:szCs w:val="22"/>
        </w:rPr>
        <w:t xml:space="preserve">An integrated financing architecture</w:t>
      </w:r>
      <w:r>
        <w:rPr>
          <w:rFonts w:ascii="Arial" w:cs="Arial" w:eastAsia="Arial" w:hAnsi="Arial"/>
          <w:b/>
          <w:bCs/>
          <w:color w:val="00338D"/>
          <w:sz w:val="22"/>
          <w:szCs w:val="22"/>
        </w:rPr>
        <w:t xml:space="preserve">	41</w:t>
      </w:r>
    </w:p>
    <w:p>
      <w:pPr>
        <w:tabs>
          <w:tab w:val="left" w:pos="680"/>
          <w:tab w:val="right" w:pos="9638" w:leader="dot"/>
        </w:tabs>
        <w:spacing w:after="110"/>
      </w:pPr>
      <w:r>
        <w:rPr>
          <w:rFonts w:ascii="Arial" w:cs="Arial" w:eastAsia="Arial" w:hAnsi="Arial"/>
          <w:b/>
          <w:bCs/>
          <w:color w:val="005EB8"/>
          <w:sz w:val="22"/>
          <w:szCs w:val="22"/>
        </w:rPr>
        <w:t xml:space="preserve">11</w:t>
      </w:r>
      <w:r>
        <w:rPr>
          <w:rFonts w:ascii="Arial" w:cs="Arial" w:eastAsia="Arial" w:hAnsi="Arial"/>
        </w:rPr>
        <w:t xml:space="preserve">	</w:t>
      </w:r>
      <w:r>
        <w:rPr>
          <w:rFonts w:ascii="Arial" w:cs="Arial" w:eastAsia="Arial" w:hAnsi="Arial"/>
          <w:b/>
          <w:bCs/>
          <w:color w:val="000000"/>
          <w:sz w:val="22"/>
          <w:szCs w:val="22"/>
        </w:rPr>
        <w:t xml:space="preserve">Review of the general-contractor SOEs</w:t>
      </w:r>
      <w:r>
        <w:rPr>
          <w:rFonts w:ascii="Arial" w:cs="Arial" w:eastAsia="Arial" w:hAnsi="Arial"/>
          <w:b/>
          <w:bCs/>
          <w:color w:val="00338D"/>
          <w:sz w:val="22"/>
          <w:szCs w:val="22"/>
        </w:rPr>
        <w:t xml:space="preserve">	45</w:t>
      </w:r>
    </w:p>
    <w:p>
      <w:pPr>
        <w:tabs>
          <w:tab w:val="left" w:pos="680"/>
          <w:tab w:val="right" w:pos="9638" w:leader="dot"/>
        </w:tabs>
        <w:spacing w:after="110"/>
      </w:pPr>
      <w:r>
        <w:rPr>
          <w:rFonts w:ascii="Arial" w:cs="Arial" w:eastAsia="Arial" w:hAnsi="Arial"/>
          <w:b/>
          <w:bCs/>
          <w:color w:val="005EB8"/>
          <w:sz w:val="22"/>
          <w:szCs w:val="22"/>
        </w:rPr>
        <w:t xml:space="preserve">12</w:t>
      </w:r>
      <w:r>
        <w:rPr>
          <w:rFonts w:ascii="Arial" w:cs="Arial" w:eastAsia="Arial" w:hAnsi="Arial"/>
        </w:rPr>
        <w:t xml:space="preserve">	</w:t>
      </w:r>
      <w:r>
        <w:rPr>
          <w:rFonts w:ascii="Arial" w:cs="Arial" w:eastAsia="Arial" w:hAnsi="Arial"/>
          <w:b/>
          <w:bCs/>
          <w:color w:val="000000"/>
          <w:sz w:val="22"/>
          <w:szCs w:val="22"/>
        </w:rPr>
        <w:t xml:space="preserve">Improving business management with multi-agentic AI</w:t>
      </w:r>
      <w:r>
        <w:rPr>
          <w:rFonts w:ascii="Arial" w:cs="Arial" w:eastAsia="Arial" w:hAnsi="Arial"/>
          <w:b/>
          <w:bCs/>
          <w:color w:val="00338D"/>
          <w:sz w:val="22"/>
          <w:szCs w:val="22"/>
        </w:rPr>
        <w:t xml:space="preserve">	49</w:t>
      </w:r>
    </w:p>
    <w:p>
      <w:pPr>
        <w:tabs>
          <w:tab w:val="left" w:pos="680"/>
          <w:tab w:val="right" w:pos="9638" w:leader="dot"/>
        </w:tabs>
        <w:spacing w:after="110"/>
      </w:pPr>
      <w:r>
        <w:rPr>
          <w:rFonts w:ascii="Arial" w:cs="Arial" w:eastAsia="Arial" w:hAnsi="Arial"/>
          <w:b/>
          <w:bCs/>
          <w:color w:val="005EB8"/>
          <w:sz w:val="22"/>
          <w:szCs w:val="22"/>
        </w:rPr>
        <w:t xml:space="preserve">13</w:t>
      </w:r>
      <w:r>
        <w:rPr>
          <w:rFonts w:ascii="Arial" w:cs="Arial" w:eastAsia="Arial" w:hAnsi="Arial"/>
        </w:rPr>
        <w:t xml:space="preserve">	</w:t>
      </w:r>
      <w:r>
        <w:rPr>
          <w:rFonts w:ascii="Arial" w:cs="Arial" w:eastAsia="Arial" w:hAnsi="Arial"/>
          <w:b/>
          <w:bCs/>
          <w:color w:val="000000"/>
          <w:sz w:val="22"/>
          <w:szCs w:val="22"/>
        </w:rPr>
        <w:t xml:space="preserve">Governance, organisation and decision rights</w:t>
      </w:r>
      <w:r>
        <w:rPr>
          <w:rFonts w:ascii="Arial" w:cs="Arial" w:eastAsia="Arial" w:hAnsi="Arial"/>
          <w:b/>
          <w:bCs/>
          <w:color w:val="00338D"/>
          <w:sz w:val="22"/>
          <w:szCs w:val="22"/>
        </w:rPr>
        <w:t xml:space="preserve">	55</w:t>
      </w:r>
    </w:p>
    <w:p>
      <w:pPr>
        <w:tabs>
          <w:tab w:val="left" w:pos="680"/>
          <w:tab w:val="right" w:pos="9638" w:leader="dot"/>
        </w:tabs>
        <w:spacing w:after="110"/>
      </w:pPr>
      <w:r>
        <w:rPr>
          <w:rFonts w:ascii="Arial" w:cs="Arial" w:eastAsia="Arial" w:hAnsi="Arial"/>
          <w:b/>
          <w:bCs/>
          <w:color w:val="005EB8"/>
          <w:sz w:val="22"/>
          <w:szCs w:val="22"/>
        </w:rPr>
        <w:t xml:space="preserve">14</w:t>
      </w:r>
      <w:r>
        <w:rPr>
          <w:rFonts w:ascii="Arial" w:cs="Arial" w:eastAsia="Arial" w:hAnsi="Arial"/>
        </w:rPr>
        <w:t xml:space="preserve">	</w:t>
      </w:r>
      <w:r>
        <w:rPr>
          <w:rFonts w:ascii="Arial" w:cs="Arial" w:eastAsia="Arial" w:hAnsi="Arial"/>
          <w:b/>
          <w:bCs/>
          <w:color w:val="000000"/>
          <w:sz w:val="22"/>
          <w:szCs w:val="22"/>
        </w:rPr>
        <w:t xml:space="preserve">Performance management and measurement</w:t>
      </w:r>
      <w:r>
        <w:rPr>
          <w:rFonts w:ascii="Arial" w:cs="Arial" w:eastAsia="Arial" w:hAnsi="Arial"/>
          <w:b/>
          <w:bCs/>
          <w:color w:val="00338D"/>
          <w:sz w:val="22"/>
          <w:szCs w:val="22"/>
        </w:rPr>
        <w:t xml:space="preserve">	61</w:t>
      </w:r>
    </w:p>
    <w:p>
      <w:pPr>
        <w:tabs>
          <w:tab w:val="left" w:pos="680"/>
          <w:tab w:val="right" w:pos="9638" w:leader="dot"/>
        </w:tabs>
        <w:spacing w:after="110"/>
      </w:pPr>
      <w:r>
        <w:rPr>
          <w:rFonts w:ascii="Arial" w:cs="Arial" w:eastAsia="Arial" w:hAnsi="Arial"/>
          <w:b/>
          <w:bCs/>
          <w:color w:val="005EB8"/>
          <w:sz w:val="22"/>
          <w:szCs w:val="22"/>
        </w:rPr>
        <w:t xml:space="preserve">15</w:t>
      </w:r>
      <w:r>
        <w:rPr>
          <w:rFonts w:ascii="Arial" w:cs="Arial" w:eastAsia="Arial" w:hAnsi="Arial"/>
        </w:rPr>
        <w:t xml:space="preserve">	</w:t>
      </w:r>
      <w:r>
        <w:rPr>
          <w:rFonts w:ascii="Arial" w:cs="Arial" w:eastAsia="Arial" w:hAnsi="Arial"/>
          <w:b/>
          <w:bCs/>
          <w:color w:val="000000"/>
          <w:sz w:val="22"/>
          <w:szCs w:val="22"/>
        </w:rPr>
        <w:t xml:space="preserve">Key risks and mitigations</w:t>
      </w:r>
      <w:r>
        <w:rPr>
          <w:rFonts w:ascii="Arial" w:cs="Arial" w:eastAsia="Arial" w:hAnsi="Arial"/>
          <w:b/>
          <w:bCs/>
          <w:color w:val="00338D"/>
          <w:sz w:val="22"/>
          <w:szCs w:val="22"/>
        </w:rPr>
        <w:t xml:space="preserve">	64</w:t>
      </w:r>
    </w:p>
    <w:p>
      <w:pPr>
        <w:tabs>
          <w:tab w:val="left" w:pos="680"/>
          <w:tab w:val="right" w:pos="9638" w:leader="dot"/>
        </w:tabs>
        <w:spacing w:after="110"/>
      </w:pPr>
      <w:r>
        <w:rPr>
          <w:rFonts w:ascii="Arial" w:cs="Arial" w:eastAsia="Arial" w:hAnsi="Arial"/>
          <w:b/>
          <w:bCs/>
          <w:color w:val="005EB8"/>
          <w:sz w:val="22"/>
          <w:szCs w:val="22"/>
        </w:rPr>
        <w:t xml:space="preserve">16</w:t>
      </w:r>
      <w:r>
        <w:rPr>
          <w:rFonts w:ascii="Arial" w:cs="Arial" w:eastAsia="Arial" w:hAnsi="Arial"/>
        </w:rPr>
        <w:t xml:space="preserve">	</w:t>
      </w:r>
      <w:r>
        <w:rPr>
          <w:rFonts w:ascii="Arial" w:cs="Arial" w:eastAsia="Arial" w:hAnsi="Arial"/>
          <w:b/>
          <w:bCs/>
          <w:color w:val="000000"/>
          <w:sz w:val="22"/>
          <w:szCs w:val="22"/>
        </w:rPr>
        <w:t xml:space="preserve">Integrated roadmap</w:t>
      </w:r>
      <w:r>
        <w:rPr>
          <w:rFonts w:ascii="Arial" w:cs="Arial" w:eastAsia="Arial" w:hAnsi="Arial"/>
          <w:b/>
          <w:bCs/>
          <w:color w:val="00338D"/>
          <w:sz w:val="22"/>
          <w:szCs w:val="22"/>
        </w:rPr>
        <w:t xml:space="preserve">	66</w:t>
      </w:r>
    </w:p>
    <w:p>
      <w:pPr>
        <w:tabs>
          <w:tab w:val="left" w:pos="680"/>
          <w:tab w:val="right" w:pos="9638" w:leader="dot"/>
        </w:tabs>
        <w:spacing w:after="110"/>
      </w:pPr>
      <w:r>
        <w:rPr>
          <w:rFonts w:ascii="Arial" w:cs="Arial" w:eastAsia="Arial" w:hAnsi="Arial"/>
          <w:b/>
          <w:bCs/>
          <w:color w:val="005EB8"/>
          <w:sz w:val="22"/>
          <w:szCs w:val="22"/>
        </w:rPr>
        <w:t xml:space="preserve">17</w:t>
      </w:r>
      <w:r>
        <w:rPr>
          <w:rFonts w:ascii="Arial" w:cs="Arial" w:eastAsia="Arial" w:hAnsi="Arial"/>
        </w:rPr>
        <w:t xml:space="preserve">	</w:t>
      </w:r>
      <w:r>
        <w:rPr>
          <w:rFonts w:ascii="Arial" w:cs="Arial" w:eastAsia="Arial" w:hAnsi="Arial"/>
          <w:b/>
          <w:bCs/>
          <w:color w:val="000000"/>
          <w:sz w:val="22"/>
          <w:szCs w:val="22"/>
        </w:rPr>
        <w:t xml:space="preserve">Recommendations by stakeholder</w:t>
      </w:r>
      <w:r>
        <w:rPr>
          <w:rFonts w:ascii="Arial" w:cs="Arial" w:eastAsia="Arial" w:hAnsi="Arial"/>
          <w:b/>
          <w:bCs/>
          <w:color w:val="00338D"/>
          <w:sz w:val="22"/>
          <w:szCs w:val="22"/>
        </w:rPr>
        <w:t xml:space="preserve">	68</w:t>
      </w:r>
    </w:p>
    <w:p>
      <w:pPr>
        <w:tabs>
          <w:tab w:val="left" w:pos="680"/>
          <w:tab w:val="right" w:pos="9638" w:leader="dot"/>
        </w:tabs>
        <w:spacing w:after="80"/>
        <w:ind w:left="680"/>
      </w:pPr>
      <w:r>
        <w:rPr>
          <w:rFonts w:ascii="Arial" w:cs="Arial" w:eastAsia="Arial" w:hAnsi="Arial"/>
          <w:b/>
          <w:bCs/>
          <w:color w:val="005EB8"/>
          <w:sz w:val="22"/>
          <w:szCs w:val="22"/>
        </w:rPr>
        <w:t xml:space="preserve"/>
      </w:r>
      <w:r>
        <w:rPr>
          <w:rFonts w:ascii="Arial" w:cs="Arial" w:eastAsia="Arial" w:hAnsi="Arial"/>
        </w:rPr>
        <w:t xml:space="preserve"/>
      </w:r>
      <w:r>
        <w:rPr>
          <w:rFonts w:ascii="Arial" w:cs="Arial" w:eastAsia="Arial" w:hAnsi="Arial"/>
          <w:b w:val="false"/>
          <w:bCs w:val="false"/>
          <w:color w:val="000000"/>
          <w:sz w:val="22"/>
          <w:szCs w:val="22"/>
        </w:rPr>
        <w:t xml:space="preserve">Appendix A: Metric dictionary</w:t>
      </w:r>
      <w:r>
        <w:rPr>
          <w:rFonts w:ascii="Arial" w:cs="Arial" w:eastAsia="Arial" w:hAnsi="Arial"/>
          <w:b/>
          <w:bCs/>
          <w:color w:val="00338D"/>
          <w:sz w:val="22"/>
          <w:szCs w:val="22"/>
        </w:rPr>
        <w:t xml:space="preserve">	70</w:t>
      </w:r>
    </w:p>
    <w:p>
      <w:pPr>
        <w:tabs>
          <w:tab w:val="left" w:pos="680"/>
          <w:tab w:val="right" w:pos="9638" w:leader="dot"/>
        </w:tabs>
        <w:spacing w:after="80"/>
        <w:ind w:left="680"/>
      </w:pPr>
      <w:r>
        <w:rPr>
          <w:rFonts w:ascii="Arial" w:cs="Arial" w:eastAsia="Arial" w:hAnsi="Arial"/>
          <w:b/>
          <w:bCs/>
          <w:color w:val="005EB8"/>
          <w:sz w:val="22"/>
          <w:szCs w:val="22"/>
        </w:rPr>
        <w:t xml:space="preserve"/>
      </w:r>
      <w:r>
        <w:rPr>
          <w:rFonts w:ascii="Arial" w:cs="Arial" w:eastAsia="Arial" w:hAnsi="Arial"/>
        </w:rPr>
        <w:t xml:space="preserve"/>
      </w:r>
      <w:r>
        <w:rPr>
          <w:rFonts w:ascii="Arial" w:cs="Arial" w:eastAsia="Arial" w:hAnsi="Arial"/>
          <w:b w:val="false"/>
          <w:bCs w:val="false"/>
          <w:color w:val="000000"/>
          <w:sz w:val="22"/>
          <w:szCs w:val="22"/>
        </w:rPr>
        <w:t xml:space="preserve">Appendix B: Discrepancies in the source documents</w:t>
      </w:r>
      <w:r>
        <w:rPr>
          <w:rFonts w:ascii="Arial" w:cs="Arial" w:eastAsia="Arial" w:hAnsi="Arial"/>
          <w:b/>
          <w:bCs/>
          <w:color w:val="00338D"/>
          <w:sz w:val="22"/>
          <w:szCs w:val="22"/>
        </w:rPr>
        <w:t xml:space="preserve">	73</w:t>
      </w:r>
    </w:p>
    <w:p>
      <w:pPr>
        <w:tabs>
          <w:tab w:val="left" w:pos="680"/>
          <w:tab w:val="right" w:pos="9638" w:leader="dot"/>
        </w:tabs>
        <w:spacing w:after="80"/>
        <w:ind w:left="680"/>
      </w:pPr>
      <w:r>
        <w:rPr>
          <w:rFonts w:ascii="Arial" w:cs="Arial" w:eastAsia="Arial" w:hAnsi="Arial"/>
          <w:b/>
          <w:bCs/>
          <w:color w:val="005EB8"/>
          <w:sz w:val="22"/>
          <w:szCs w:val="22"/>
        </w:rPr>
        <w:t xml:space="preserve"/>
      </w:r>
      <w:r>
        <w:rPr>
          <w:rFonts w:ascii="Arial" w:cs="Arial" w:eastAsia="Arial" w:hAnsi="Arial"/>
        </w:rPr>
        <w:t xml:space="preserve"/>
      </w:r>
      <w:r>
        <w:rPr>
          <w:rFonts w:ascii="Arial" w:cs="Arial" w:eastAsia="Arial" w:hAnsi="Arial"/>
          <w:b w:val="false"/>
          <w:bCs w:val="false"/>
          <w:color w:val="000000"/>
          <w:sz w:val="22"/>
          <w:szCs w:val="22"/>
        </w:rPr>
        <w:t xml:space="preserve">Appendix C: Calculations</w:t>
      </w:r>
      <w:r>
        <w:rPr>
          <w:rFonts w:ascii="Arial" w:cs="Arial" w:eastAsia="Arial" w:hAnsi="Arial"/>
          <w:b/>
          <w:bCs/>
          <w:color w:val="00338D"/>
          <w:sz w:val="22"/>
          <w:szCs w:val="22"/>
        </w:rPr>
        <w:t xml:space="preserve">	74</w:t>
      </w:r>
    </w:p>
    <w:p>
      <w:pPr>
        <w:tabs>
          <w:tab w:val="left" w:pos="680"/>
          <w:tab w:val="right" w:pos="9638" w:leader="dot"/>
        </w:tabs>
        <w:spacing w:after="80"/>
        <w:ind w:left="680"/>
      </w:pPr>
      <w:r>
        <w:rPr>
          <w:rFonts w:ascii="Arial" w:cs="Arial" w:eastAsia="Arial" w:hAnsi="Arial"/>
          <w:b/>
          <w:bCs/>
          <w:color w:val="005EB8"/>
          <w:sz w:val="22"/>
          <w:szCs w:val="22"/>
        </w:rPr>
        <w:t xml:space="preserve"/>
      </w:r>
      <w:r>
        <w:rPr>
          <w:rFonts w:ascii="Arial" w:cs="Arial" w:eastAsia="Arial" w:hAnsi="Arial"/>
        </w:rPr>
        <w:t xml:space="preserve"/>
      </w:r>
      <w:r>
        <w:rPr>
          <w:rFonts w:ascii="Arial" w:cs="Arial" w:eastAsia="Arial" w:hAnsi="Arial"/>
          <w:b w:val="false"/>
          <w:bCs w:val="false"/>
          <w:color w:val="000000"/>
          <w:sz w:val="22"/>
          <w:szCs w:val="22"/>
        </w:rPr>
        <w:t xml:space="preserve">Appendix D: Glossary</w:t>
      </w:r>
      <w:r>
        <w:rPr>
          <w:rFonts w:ascii="Arial" w:cs="Arial" w:eastAsia="Arial" w:hAnsi="Arial"/>
          <w:b/>
          <w:bCs/>
          <w:color w:val="00338D"/>
          <w:sz w:val="22"/>
          <w:szCs w:val="22"/>
        </w:rPr>
        <w:t xml:space="preserve">	75</w:t>
      </w:r>
    </w:p>
    <w:p>
      <w:pPr>
        <w:tabs>
          <w:tab w:val="left" w:pos="680"/>
          <w:tab w:val="right" w:pos="9638" w:leader="dot"/>
        </w:tabs>
        <w:spacing w:after="80"/>
        <w:ind w:left="680"/>
      </w:pPr>
      <w:r>
        <w:rPr>
          <w:rFonts w:ascii="Arial" w:cs="Arial" w:eastAsia="Arial" w:hAnsi="Arial"/>
          <w:b/>
          <w:bCs/>
          <w:color w:val="005EB8"/>
          <w:sz w:val="22"/>
          <w:szCs w:val="22"/>
        </w:rPr>
        <w:t xml:space="preserve"/>
      </w:r>
      <w:r>
        <w:rPr>
          <w:rFonts w:ascii="Arial" w:cs="Arial" w:eastAsia="Arial" w:hAnsi="Arial"/>
        </w:rPr>
        <w:t xml:space="preserve"/>
      </w:r>
      <w:r>
        <w:rPr>
          <w:rFonts w:ascii="Arial" w:cs="Arial" w:eastAsia="Arial" w:hAnsi="Arial"/>
          <w:b w:val="false"/>
          <w:bCs w:val="false"/>
          <w:color w:val="000000"/>
          <w:sz w:val="22"/>
          <w:szCs w:val="22"/>
        </w:rPr>
        <w:t xml:space="preserve">Appendix E: References</w:t>
      </w:r>
      <w:r>
        <w:rPr>
          <w:rFonts w:ascii="Arial" w:cs="Arial" w:eastAsia="Arial" w:hAnsi="Arial"/>
          <w:b/>
          <w:bCs/>
          <w:color w:val="00338D"/>
          <w:sz w:val="22"/>
          <w:szCs w:val="22"/>
        </w:rPr>
        <w:t xml:space="preserve">	78</w:t>
      </w:r>
    </w:p>
    <w:p>
      <w:pPr>
        <w:pageBreakBefore/>
        <w:spacing w:after="0" w:line="240"/>
      </w:pPr>
      <w:r>
        <w:rPr>
          <w:sz w:val="2"/>
          <w:szCs w:val="2"/>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one" w:color="FFFFFF" w:sz="0"/>
              <w:left w:val="none" w:color="FFFFFF" w:sz="0"/>
              <w:bottom w:val="none" w:color="FFFFFF" w:sz="0"/>
              <w:right w:val="none" w:color="FFFFFF" w:sz="0"/>
            </w:tcBorders>
            <w:shd w:fill="00338D" w:color="auto" w:val="clear"/>
            <w:tcMar>
              <w:top w:type="dxa" w:w="260"/>
              <w:left w:type="dxa" w:w="300"/>
              <w:bottom w:type="dxa" w:w="300"/>
              <w:right w:type="dxa" w:w="300"/>
            </w:tcMar>
          </w:tcPr>
          <w:p>
            <w:pPr>
              <w:spacing w:after="0"/>
            </w:pPr>
            <w:r>
              <w:rPr>
                <w:rFonts w:ascii="Arial" w:cs="Arial" w:eastAsia="Arial" w:hAnsi="Arial"/>
                <w:b/>
                <w:bCs/>
                <w:color w:val="9CC7EF"/>
                <w:sz w:val="64"/>
                <w:szCs w:val="64"/>
              </w:rPr>
              <w:t xml:space="preserve">01</w:t>
            </w:r>
          </w:p>
          <w:p>
            <w:pPr>
              <w:pStyle w:val="Heading1"/>
              <w:spacing w:after="100"/>
            </w:pPr>
            <w:r>
              <w:rPr>
                <w:rFonts w:ascii="Arial" w:cs="Arial" w:eastAsia="Arial" w:hAnsi="Arial"/>
                <w:b/>
                <w:bCs/>
                <w:color w:val="FFFFFF"/>
                <w:sz w:val="40"/>
                <w:szCs w:val="40"/>
              </w:rPr>
              <w:t xml:space="preserve">Executive summary</w:t>
            </w:r>
          </w:p>
          <w:p>
            <w:pPr>
              <w:spacing w:after="0" w:line="276"/>
            </w:pPr>
            <w:r>
              <w:rPr>
                <w:rFonts w:ascii="Arial" w:cs="Arial" w:eastAsia="Arial" w:hAnsi="Arial"/>
                <w:color w:val="FFFFFF"/>
                <w:sz w:val="20"/>
                <w:szCs w:val="20"/>
              </w:rPr>
              <w:t xml:space="preserve">Danantara has the mandate, the capital and the legal foundation to drive national industrialisation. It has not yet built the mechanism that turns capital into domestic industrial capability. This study proposes that mechanism, how to finance it, and how to manage it.</w:t>
            </w:r>
          </w:p>
        </w:tc>
      </w:tr>
    </w:tbl>
    <w:p>
      <w:pPr>
        <w:spacing w:after="200"/>
      </w:pPr>
    </w:p>
    <w:p>
      <w:pPr>
        <w:pStyle w:val="Heading2"/>
        <w:keepNext/>
        <w:keepLines/>
        <w:spacing w:after="120" w:before="280"/>
      </w:pPr>
      <w:r>
        <w:rPr>
          <w:rFonts w:ascii="Arial" w:cs="Arial" w:eastAsia="Arial" w:hAnsi="Arial"/>
          <w:b/>
          <w:bCs/>
          <w:color w:val="00338D"/>
          <w:sz w:val="28"/>
          <w:szCs w:val="28"/>
        </w:rPr>
        <w:t xml:space="preserve">1.1 The answer in one page</w:t>
      </w:r>
    </w:p>
    <w:p>
      <w:pPr>
        <w:spacing w:after="110" w:before="0" w:line="264"/>
        <w:jc w:val="left"/>
      </w:pPr>
      <w:r>
        <w:rPr>
          <w:rFonts w:ascii="Arial" w:cs="Arial" w:eastAsia="Arial" w:hAnsi="Arial"/>
          <w:color w:val="000000"/>
          <w:sz w:val="20"/>
          <w:szCs w:val="20"/>
        </w:rPr>
        <w:t xml:space="preserve">Danantara's visible activity to date is weighted towards </w:t>
      </w:r>
      <w:r>
        <w:rPr>
          <w:rFonts w:ascii="Arial" w:cs="Arial" w:eastAsia="Arial" w:hAnsi="Arial"/>
          <w:b/>
          <w:bCs/>
          <w:color w:val="000000"/>
          <w:sz w:val="20"/>
          <w:szCs w:val="20"/>
        </w:rPr>
        <w:t xml:space="preserve">financial investment and asset consolidation</w:t>
      </w:r>
      <w:r>
        <w:rPr>
          <w:rFonts w:ascii="Arial" w:cs="Arial" w:eastAsia="Arial" w:hAnsi="Arial"/>
          <w:color w:val="000000"/>
          <w:sz w:val="20"/>
          <w:szCs w:val="20"/>
        </w:rPr>
        <w:t xml:space="preserve">. Its mandate to drive </w:t>
      </w:r>
      <w:r>
        <w:rPr>
          <w:rFonts w:ascii="Arial" w:cs="Arial" w:eastAsia="Arial" w:hAnsi="Arial"/>
          <w:b/>
          <w:bCs/>
          <w:color w:val="000000"/>
          <w:sz w:val="20"/>
          <w:szCs w:val="20"/>
        </w:rPr>
        <w:t xml:space="preserve">national industrialisation</w:t>
      </w:r>
      <w:r>
        <w:rPr>
          <w:rFonts w:ascii="Arial" w:cs="Arial" w:eastAsia="Arial" w:hAnsi="Arial"/>
          <w:color w:val="000000"/>
          <w:sz w:val="20"/>
          <w:szCs w:val="20"/>
        </w:rPr>
        <w:t xml:space="preserve"> is not yet visible in public evidence. That evidence shows institutional activation, access to international capital markets and a set of project milestones. It does not yet show risk-adjusted investment returns, attributable value creation in state-owned enterprises (SOEs), or realised industrial impact. None of these can be assessed today, because the data needed have not been made publicly available or reconciled [D1].</w:t>
      </w:r>
    </w:p>
    <w:p>
      <w:pPr>
        <w:spacing w:after="110" w:before="0" w:line="264"/>
        <w:jc w:val="left"/>
      </w:pPr>
      <w:r>
        <w:rPr>
          <w:rFonts w:ascii="Arial" w:cs="Arial" w:eastAsia="Arial" w:hAnsi="Arial"/>
          <w:color w:val="000000"/>
          <w:sz w:val="20"/>
          <w:szCs w:val="20"/>
        </w:rPr>
        <w:t xml:space="preserve">We recommend that Danantara reposition itself as a </w:t>
      </w:r>
      <w:r>
        <w:rPr>
          <w:rFonts w:ascii="Arial" w:cs="Arial" w:eastAsia="Arial" w:hAnsi="Arial"/>
          <w:b/>
          <w:bCs/>
          <w:color w:val="000000"/>
          <w:sz w:val="20"/>
          <w:szCs w:val="20"/>
        </w:rPr>
        <w:t xml:space="preserve">National Industrial Capability Platform</w:t>
      </w:r>
      <w:r>
        <w:rPr>
          <w:rFonts w:ascii="Arial" w:cs="Arial" w:eastAsia="Arial" w:hAnsi="Arial"/>
          <w:color w:val="000000"/>
          <w:sz w:val="20"/>
          <w:szCs w:val="20"/>
        </w:rPr>
        <w:t xml:space="preserve">. In that model:</w:t>
      </w:r>
    </w:p>
    <w:p>
      <w:pPr>
        <w:pStyle w:val="ListParagraph"/>
        <w:numPr>
          <w:ilvl w:val="0"/>
          <w:numId w:val="2"/>
        </w:numPr>
        <w:spacing w:after="60" w:line="264"/>
      </w:pPr>
      <w:r>
        <w:rPr>
          <w:rFonts w:ascii="Arial" w:cs="Arial" w:eastAsia="Arial" w:hAnsi="Arial"/>
          <w:sz w:val="20"/>
          <w:szCs w:val="20"/>
        </w:rPr>
        <w:t xml:space="preserve">national strategic projects become a </w:t>
      </w:r>
      <w:r>
        <w:rPr>
          <w:rFonts w:ascii="Arial" w:cs="Arial" w:eastAsia="Arial" w:hAnsi="Arial"/>
          <w:b/>
          <w:bCs/>
          <w:sz w:val="20"/>
          <w:szCs w:val="20"/>
        </w:rPr>
        <w:t xml:space="preserve">demand engine</w:t>
      </w:r>
      <w:r>
        <w:rPr>
          <w:rFonts w:ascii="Arial" w:cs="Arial" w:eastAsia="Arial" w:hAnsi="Arial"/>
          <w:sz w:val="20"/>
          <w:szCs w:val="20"/>
        </w:rPr>
        <w:t xml:space="preserve">;</w:t>
      </w:r>
    </w:p>
    <w:p>
      <w:pPr>
        <w:pStyle w:val="ListParagraph"/>
        <w:numPr>
          <w:ilvl w:val="0"/>
          <w:numId w:val="2"/>
        </w:numPr>
        <w:spacing w:after="60" w:line="264"/>
      </w:pPr>
      <w:r>
        <w:rPr>
          <w:rFonts w:ascii="Arial" w:cs="Arial" w:eastAsia="Arial" w:hAnsi="Arial"/>
          <w:sz w:val="20"/>
          <w:szCs w:val="20"/>
        </w:rPr>
        <w:t xml:space="preserve">the </w:t>
      </w:r>
      <w:r>
        <w:rPr>
          <w:rFonts w:ascii="Arial" w:cs="Arial" w:eastAsia="Arial" w:hAnsi="Arial"/>
          <w:b/>
          <w:bCs/>
          <w:sz w:val="20"/>
          <w:szCs w:val="20"/>
        </w:rPr>
        <w:t xml:space="preserve">DOCK-UP</w:t>
      </w:r>
      <w:r>
        <w:rPr>
          <w:rFonts w:ascii="Arial" w:cs="Arial" w:eastAsia="Arial" w:hAnsi="Arial"/>
          <w:sz w:val="20"/>
          <w:szCs w:val="20"/>
        </w:rPr>
        <w:t xml:space="preserve"> scheme (Develop, Off-taker, Certification, Upgrading) turns that demand into qualified domestic suppliers;</w:t>
      </w:r>
    </w:p>
    <w:p>
      <w:pPr>
        <w:pStyle w:val="ListParagraph"/>
        <w:numPr>
          <w:ilvl w:val="0"/>
          <w:numId w:val="2"/>
        </w:numPr>
        <w:spacing w:after="60" w:line="264"/>
      </w:pPr>
      <w:r>
        <w:rPr>
          <w:rFonts w:ascii="Arial" w:cs="Arial" w:eastAsia="Arial" w:hAnsi="Arial"/>
          <w:sz w:val="20"/>
          <w:szCs w:val="20"/>
        </w:rPr>
        <w:t xml:space="preserve">a small </w:t>
      </w:r>
      <w:r>
        <w:rPr>
          <w:rFonts w:ascii="Arial" w:cs="Arial" w:eastAsia="Arial" w:hAnsi="Arial"/>
          <w:b/>
          <w:bCs/>
          <w:sz w:val="20"/>
          <w:szCs w:val="20"/>
        </w:rPr>
        <w:t xml:space="preserve">Strategic Industry and Project Delivery unit</w:t>
      </w:r>
      <w:r>
        <w:rPr>
          <w:rFonts w:ascii="Arial" w:cs="Arial" w:eastAsia="Arial" w:hAnsi="Arial"/>
          <w:sz w:val="20"/>
          <w:szCs w:val="20"/>
        </w:rPr>
        <w:t xml:space="preserve"> at the level of Danantara's Executive Body integrates the portfolio. This unit implements the National Industrial Transformation Office (NITO) concept;</w:t>
      </w:r>
    </w:p>
    <w:p>
      <w:pPr>
        <w:pStyle w:val="ListParagraph"/>
        <w:numPr>
          <w:ilvl w:val="0"/>
          <w:numId w:val="2"/>
        </w:numPr>
        <w:spacing w:after="60" w:line="264"/>
      </w:pPr>
      <w:r>
        <w:rPr>
          <w:rFonts w:ascii="Arial" w:cs="Arial" w:eastAsia="Arial" w:hAnsi="Arial"/>
          <w:b/>
          <w:bCs/>
          <w:sz w:val="20"/>
          <w:szCs w:val="20"/>
        </w:rPr>
        <w:t xml:space="preserve">three linked scorecards</w:t>
      </w:r>
      <w:r>
        <w:rPr>
          <w:rFonts w:ascii="Arial" w:cs="Arial" w:eastAsia="Arial" w:hAnsi="Arial"/>
          <w:sz w:val="20"/>
          <w:szCs w:val="20"/>
        </w:rPr>
        <w:t xml:space="preserve"> measure whether capital is producing financial return, stronger enterprises and additional industrial capability [D1, D2, D3, D4].</w:t>
      </w:r>
    </w:p>
    <w:p>
      <w:pPr>
        <w:spacing w:after="110" w:before="0" w:line="264"/>
        <w:jc w:val="left"/>
      </w:pPr>
      <w:r>
        <w:rPr>
          <w:rFonts w:ascii="Arial" w:cs="Arial" w:eastAsia="Arial" w:hAnsi="Arial"/>
          <w:color w:val="000000"/>
          <w:sz w:val="20"/>
          <w:szCs w:val="20"/>
        </w:rPr>
        <w:t xml:space="preserve">Two complementary channels should finance the platform:</w:t>
      </w:r>
    </w:p>
    <w:p>
      <w:pPr>
        <w:pStyle w:val="ListParagraph"/>
        <w:numPr>
          <w:ilvl w:val="0"/>
          <w:numId w:val="2"/>
        </w:numPr>
        <w:spacing w:after="60" w:line="264"/>
      </w:pPr>
      <w:r>
        <w:rPr>
          <w:rFonts w:ascii="Arial" w:cs="Arial" w:eastAsia="Arial" w:hAnsi="Arial"/>
          <w:sz w:val="20"/>
          <w:szCs w:val="20"/>
        </w:rPr>
        <w:t xml:space="preserve">A </w:t>
      </w:r>
      <w:r>
        <w:rPr>
          <w:rFonts w:ascii="Arial" w:cs="Arial" w:eastAsia="Arial" w:hAnsi="Arial"/>
          <w:b/>
          <w:bCs/>
          <w:sz w:val="20"/>
          <w:szCs w:val="20"/>
        </w:rPr>
        <w:t xml:space="preserve">Natural Resource Fund (NRF)</w:t>
      </w:r>
      <w:r>
        <w:rPr>
          <w:rFonts w:ascii="Arial" w:cs="Arial" w:eastAsia="Arial" w:hAnsi="Arial"/>
          <w:sz w:val="20"/>
          <w:szCs w:val="20"/>
        </w:rPr>
        <w:t xml:space="preserve"> mobilises long-term capital from the state's share of resource wealth, at fund level.</w:t>
      </w:r>
    </w:p>
    <w:p>
      <w:pPr>
        <w:pStyle w:val="ListParagraph"/>
        <w:numPr>
          <w:ilvl w:val="0"/>
          <w:numId w:val="2"/>
        </w:numPr>
        <w:spacing w:after="60" w:line="264"/>
      </w:pPr>
      <w:r>
        <w:rPr>
          <w:rFonts w:ascii="Arial" w:cs="Arial" w:eastAsia="Arial" w:hAnsi="Arial"/>
          <w:b/>
          <w:bCs/>
          <w:sz w:val="20"/>
          <w:szCs w:val="20"/>
        </w:rPr>
        <w:t xml:space="preserve">Sovereign project tokenisation</w:t>
      </w:r>
      <w:r>
        <w:rPr>
          <w:rFonts w:ascii="Arial" w:cs="Arial" w:eastAsia="Arial" w:hAnsi="Arial"/>
          <w:sz w:val="20"/>
          <w:szCs w:val="20"/>
        </w:rPr>
        <w:t xml:space="preserve">, to be tested first through PT PAL's PALCapital proposal, channels capital to individual projects and suppliers against verified milestones.</w:t>
      </w:r>
    </w:p>
    <w:p>
      <w:pPr>
        <w:spacing w:after="110" w:before="0" w:line="264"/>
        <w:jc w:val="left"/>
      </w:pPr>
      <w:r>
        <w:rPr>
          <w:rFonts w:ascii="Arial" w:cs="Arial" w:eastAsia="Arial" w:hAnsi="Arial"/>
          <w:color w:val="000000"/>
          <w:sz w:val="20"/>
          <w:szCs w:val="20"/>
        </w:rPr>
        <w:t xml:space="preserve">Any instrument either channel issues against future state cash flows is, in substance, a liability. It must be subject to the same debt, disclosure and stress-testing discipline as other borrowing [D1, D2, D5, D6]. Both channels are complements, not the main source of funds. Even on generous assumptions they cover well under a tenth of the stated Rp2,091 trillion portfolio. Most of the funding must come from project-level debt and co-investors mobilised against Danantara's equity (Section 10.3).</w:t>
      </w:r>
    </w:p>
    <w:p>
      <w:pPr>
        <w:spacing w:after="110" w:before="0" w:line="264"/>
        <w:jc w:val="left"/>
      </w:pPr>
      <w:r>
        <w:rPr>
          <w:rFonts w:ascii="Arial" w:cs="Arial" w:eastAsia="Arial" w:hAnsi="Arial"/>
          <w:color w:val="000000"/>
          <w:sz w:val="20"/>
          <w:szCs w:val="20"/>
        </w:rPr>
        <w:t xml:space="preserve">Two operational reforms must run in parallel:</w:t>
      </w:r>
    </w:p>
    <w:p>
      <w:pPr>
        <w:pStyle w:val="ListParagraph"/>
        <w:numPr>
          <w:ilvl w:val="0"/>
          <w:numId w:val="2"/>
        </w:numPr>
        <w:spacing w:after="60" w:line="264"/>
      </w:pPr>
      <w:r>
        <w:rPr>
          <w:rFonts w:ascii="Arial" w:cs="Arial" w:eastAsia="Arial" w:hAnsi="Arial"/>
          <w:sz w:val="20"/>
          <w:szCs w:val="20"/>
        </w:rPr>
        <w:t xml:space="preserve">The </w:t>
      </w:r>
      <w:r>
        <w:rPr>
          <w:rFonts w:ascii="Arial" w:cs="Arial" w:eastAsia="Arial" w:hAnsi="Arial"/>
          <w:b/>
          <w:bCs/>
          <w:sz w:val="20"/>
          <w:szCs w:val="20"/>
        </w:rPr>
        <w:t xml:space="preserve">construction SOEs</w:t>
      </w:r>
      <w:r>
        <w:rPr>
          <w:rFonts w:ascii="Arial" w:cs="Arial" w:eastAsia="Arial" w:hAnsi="Arial"/>
          <w:sz w:val="20"/>
          <w:szCs w:val="20"/>
        </w:rPr>
        <w:t xml:space="preserve"> must return to a disciplined contractor model, after estimated 2025 losses of about </w:t>
      </w:r>
      <w:r>
        <w:rPr>
          <w:rFonts w:ascii="Arial" w:cs="Arial" w:eastAsia="Arial" w:hAnsi="Arial"/>
          <w:b/>
          <w:bCs/>
          <w:sz w:val="20"/>
          <w:szCs w:val="20"/>
        </w:rPr>
        <w:t xml:space="preserve">Rp28 trillion</w:t>
      </w:r>
      <w:r>
        <w:rPr>
          <w:rFonts w:ascii="Arial" w:cs="Arial" w:eastAsia="Arial" w:hAnsi="Arial"/>
          <w:sz w:val="20"/>
          <w:szCs w:val="20"/>
        </w:rPr>
        <w:t xml:space="preserve"> (an estimate that audited figures must replace) and a fall of about 45% in the infrastructure budget [D3].</w:t>
      </w:r>
    </w:p>
    <w:p>
      <w:pPr>
        <w:pStyle w:val="ListParagraph"/>
        <w:numPr>
          <w:ilvl w:val="0"/>
          <w:numId w:val="2"/>
        </w:numPr>
        <w:spacing w:after="60" w:line="264"/>
      </w:pPr>
      <w:r>
        <w:rPr>
          <w:rFonts w:ascii="Arial" w:cs="Arial" w:eastAsia="Arial" w:hAnsi="Arial"/>
          <w:sz w:val="20"/>
          <w:szCs w:val="20"/>
        </w:rPr>
        <w:t xml:space="preserve">Danantara should deploy a </w:t>
      </w:r>
      <w:r>
        <w:rPr>
          <w:rFonts w:ascii="Arial" w:cs="Arial" w:eastAsia="Arial" w:hAnsi="Arial"/>
          <w:b/>
          <w:bCs/>
          <w:sz w:val="20"/>
          <w:szCs w:val="20"/>
        </w:rPr>
        <w:t xml:space="preserve">multi-agentic AI project operating system</w:t>
      </w:r>
      <w:r>
        <w:rPr>
          <w:rFonts w:ascii="Arial" w:cs="Arial" w:eastAsia="Arial" w:hAnsi="Arial"/>
          <w:sz w:val="20"/>
          <w:szCs w:val="20"/>
        </w:rPr>
        <w:t xml:space="preserve">, starting with the construction SOEs. Every claimed result should then be traceable to its capital, baseline, owner and evidence [D3; D1].</w:t>
      </w:r>
    </w:p>
    <w:p>
      <w:pPr>
        <w:spacing w:after="110" w:before="0" w:line="264"/>
        <w:jc w:val="left"/>
      </w:pPr>
      <w:r>
        <w:rPr>
          <w:rFonts w:ascii="Arial" w:cs="Arial" w:eastAsia="Arial" w:hAnsi="Arial"/>
          <w:b/>
          <w:bCs/>
          <w:color w:val="000000"/>
          <w:sz w:val="20"/>
          <w:szCs w:val="20"/>
        </w:rPr>
        <w:t xml:space="preserve">Cost of inaction.</w:t>
      </w:r>
      <w:r>
        <w:rPr>
          <w:rFonts w:ascii="Arial" w:cs="Arial" w:eastAsia="Arial" w:hAnsi="Arial"/>
          <w:color w:val="000000"/>
          <w:sz w:val="20"/>
          <w:szCs w:val="20"/>
        </w:rPr>
        <w:t xml:space="preserve"> Without a conversion mechanism, Danantara's strategic capital will mostly buy imported equipment and foreign technology. Its industrial mandate would then remain an announcement, and its performance would remain unmeasurable.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00338D" w:color="auto" w:val="clear"/>
            <w:tcMar>
              <w:top w:type="dxa" w:w="140"/>
              <w:left w:type="dxa" w:w="160"/>
              <w:bottom w:type="dxa" w:w="140"/>
              <w:right w:type="dxa" w:w="160"/>
            </w:tcMar>
          </w:tcPr>
          <w:p>
            <w:pPr>
              <w:spacing w:after="40"/>
            </w:pPr>
            <w:r>
              <w:rPr>
                <w:rFonts w:ascii="Arial" w:cs="Arial" w:eastAsia="Arial" w:hAnsi="Arial"/>
                <w:b/>
                <w:bCs/>
                <w:color w:val="FFFFFF"/>
                <w:sz w:val="34"/>
                <w:szCs w:val="34"/>
              </w:rPr>
              <w:t xml:space="preserve">Rp2,091 tn</w:t>
            </w:r>
          </w:p>
          <w:p>
            <w:pPr>
              <w:spacing w:after="0" w:line="240"/>
            </w:pPr>
            <w:r>
              <w:rPr>
                <w:rFonts w:ascii="Arial" w:cs="Arial" w:eastAsia="Arial" w:hAnsi="Arial"/>
                <w:color w:val="FFFFFF"/>
                <w:sz w:val="16"/>
                <w:szCs w:val="16"/>
              </w:rPr>
              <w:t xml:space="preserve">Stated value of the 40-project portfolio (class C, unreconciled; detail tables total Rp2,073 tn)</w:t>
            </w:r>
          </w:p>
        </w:tc>
        <w:tc>
          <w:tcPr>
            <w:tcW w:type="dxa" w:w="2409"/>
            <w:tcBorders>
              <w:top w:val="single" w:color="FFFFFF" w:sz="24"/>
              <w:left w:val="single" w:color="FFFFFF" w:sz="24"/>
              <w:bottom w:val="single" w:color="FFFFFF" w:sz="24"/>
              <w:right w:val="single" w:color="FFFFFF" w:sz="24"/>
            </w:tcBorders>
            <w:shd w:fill="005EB8" w:color="auto" w:val="clear"/>
            <w:tcMar>
              <w:top w:type="dxa" w:w="140"/>
              <w:left w:type="dxa" w:w="160"/>
              <w:bottom w:type="dxa" w:w="140"/>
              <w:right w:type="dxa" w:w="160"/>
            </w:tcMar>
          </w:tcPr>
          <w:p>
            <w:pPr>
              <w:spacing w:after="40"/>
            </w:pPr>
            <w:r>
              <w:rPr>
                <w:rFonts w:ascii="Arial" w:cs="Arial" w:eastAsia="Arial" w:hAnsi="Arial"/>
                <w:b/>
                <w:bCs/>
                <w:color w:val="FFFFFF"/>
                <w:sz w:val="34"/>
                <w:szCs w:val="34"/>
              </w:rPr>
              <w:t xml:space="preserve">≈ Rp28 tn</w:t>
            </w:r>
          </w:p>
          <w:p>
            <w:pPr>
              <w:spacing w:after="0" w:line="240"/>
            </w:pPr>
            <w:r>
              <w:rPr>
                <w:rFonts w:ascii="Arial" w:cs="Arial" w:eastAsia="Arial" w:hAnsi="Arial"/>
                <w:color w:val="FFFFFF"/>
                <w:sz w:val="16"/>
                <w:szCs w:val="16"/>
              </w:rPr>
              <w:t xml:space="preserve">Estimated 2025 losses of four construction SOEs (class C estimate)</w:t>
            </w:r>
          </w:p>
        </w:tc>
        <w:tc>
          <w:tcPr>
            <w:tcW w:type="dxa" w:w="2409"/>
            <w:tcBorders>
              <w:top w:val="single" w:color="FFFFFF" w:sz="24"/>
              <w:left w:val="single" w:color="FFFFFF" w:sz="24"/>
              <w:bottom w:val="single" w:color="FFFFFF" w:sz="24"/>
              <w:right w:val="single" w:color="FFFFFF" w:sz="24"/>
            </w:tcBorders>
            <w:shd w:fill="00338D" w:color="auto" w:val="clear"/>
            <w:tcMar>
              <w:top w:type="dxa" w:w="140"/>
              <w:left w:type="dxa" w:w="160"/>
              <w:bottom w:type="dxa" w:w="140"/>
              <w:right w:type="dxa" w:w="160"/>
            </w:tcMar>
          </w:tcPr>
          <w:p>
            <w:pPr>
              <w:spacing w:after="40"/>
            </w:pPr>
            <w:r>
              <w:rPr>
                <w:rFonts w:ascii="Arial" w:cs="Arial" w:eastAsia="Arial" w:hAnsi="Arial"/>
                <w:b/>
                <w:bCs/>
                <w:color w:val="FFFFFF"/>
                <w:sz w:val="34"/>
                <w:szCs w:val="34"/>
              </w:rPr>
              <w:t xml:space="preserve">7.7%</w:t>
            </w:r>
          </w:p>
          <w:p>
            <w:pPr>
              <w:spacing w:after="0" w:line="240"/>
            </w:pPr>
            <w:r>
              <w:rPr>
                <w:rFonts w:ascii="Arial" w:cs="Arial" w:eastAsia="Arial" w:hAnsi="Arial"/>
                <w:color w:val="FFFFFF"/>
                <w:sz w:val="16"/>
                <w:szCs w:val="16"/>
              </w:rPr>
              <w:t xml:space="preserve">Average natural-resource share of state revenue, 2015–2024 (19.3% in 2004–2014)</w:t>
            </w:r>
          </w:p>
        </w:tc>
        <w:tc>
          <w:tcPr>
            <w:tcW w:type="dxa" w:w="2411"/>
            <w:tcBorders>
              <w:top w:val="single" w:color="FFFFFF" w:sz="24"/>
              <w:left w:val="single" w:color="FFFFFF" w:sz="24"/>
              <w:bottom w:val="single" w:color="FFFFFF" w:sz="24"/>
              <w:right w:val="single" w:color="FFFFFF" w:sz="24"/>
            </w:tcBorders>
            <w:shd w:fill="005EB8" w:color="auto" w:val="clear"/>
            <w:tcMar>
              <w:top w:type="dxa" w:w="140"/>
              <w:left w:type="dxa" w:w="160"/>
              <w:bottom w:type="dxa" w:w="140"/>
              <w:right w:type="dxa" w:w="160"/>
            </w:tcMar>
          </w:tcPr>
          <w:p>
            <w:pPr>
              <w:spacing w:after="40"/>
            </w:pPr>
            <w:r>
              <w:rPr>
                <w:rFonts w:ascii="Arial" w:cs="Arial" w:eastAsia="Arial" w:hAnsi="Arial"/>
                <w:b/>
                <w:bCs/>
                <w:color w:val="FFFFFF"/>
                <w:sz w:val="34"/>
                <w:szCs w:val="34"/>
              </w:rPr>
              <w:t xml:space="preserve">US$150 m</w:t>
            </w:r>
          </w:p>
          <w:p>
            <w:pPr>
              <w:spacing w:after="0" w:line="240"/>
            </w:pPr>
            <w:r>
              <w:rPr>
                <w:rFonts w:ascii="Arial" w:cs="Arial" w:eastAsia="Arial" w:hAnsi="Arial"/>
                <w:color w:val="FFFFFF"/>
                <w:sz w:val="16"/>
                <w:szCs w:val="16"/>
              </w:rPr>
              <w:t xml:space="preserve">Proposed PALCapital pilot, released in four milestone tranches (proposal)</w:t>
            </w:r>
          </w:p>
        </w:tc>
      </w:tr>
    </w:tbl>
    <w:p>
      <w:pPr>
        <w:spacing w:after="160"/>
      </w:pPr>
    </w:p>
    <w:p>
      <w:pPr>
        <w:pStyle w:val="Heading2"/>
        <w:keepNext/>
        <w:keepLines/>
        <w:spacing w:after="120" w:before="280"/>
      </w:pPr>
      <w:r>
        <w:rPr>
          <w:rFonts w:ascii="Arial" w:cs="Arial" w:eastAsia="Arial" w:hAnsi="Arial"/>
          <w:b/>
          <w:bCs/>
          <w:color w:val="00338D"/>
          <w:sz w:val="28"/>
          <w:szCs w:val="28"/>
        </w:rPr>
        <w:t xml:space="preserve">1.2 Five findings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86"/>
        <w:gridCol w:w="2602"/>
        <w:gridCol w:w="3759"/>
        <w:gridCol w:w="2891"/>
      </w:tblGrid>
      <w:tr>
        <w:trPr>
          <w:cantSplit/>
          <w:tblHeader/>
        </w:trPr>
        <w:tc>
          <w:tcPr>
            <w:tcW w:type="dxa" w:w="386"/>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w:t>
            </w:r>
          </w:p>
        </w:tc>
        <w:tc>
          <w:tcPr>
            <w:tcW w:type="dxa" w:w="2602"/>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Finding</w:t>
            </w:r>
          </w:p>
        </w:tc>
        <w:tc>
          <w:tcPr>
            <w:tcW w:type="dxa" w:w="3759"/>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Evidence</w:t>
            </w:r>
          </w:p>
        </w:tc>
        <w:tc>
          <w:tcPr>
            <w:tcW w:type="dxa" w:w="2891"/>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Implication</w:t>
            </w:r>
          </w:p>
        </w:tc>
      </w:tr>
      <w:tr>
        <w:trPr>
          <w:cantSplit/>
        </w:trPr>
        <w:tc>
          <w:tcPr>
            <w:tcW w:type="dxa" w:w="38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7"/>
                <w:szCs w:val="17"/>
              </w:rPr>
              <w:t xml:space="preserve">1</w:t>
            </w:r>
          </w:p>
        </w:tc>
        <w:tc>
          <w:tcPr>
            <w:tcW w:type="dxa" w:w="260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7"/>
                <w:szCs w:val="17"/>
              </w:rPr>
              <w:t xml:space="preserve">Market access is demonstrated; outcomes are not yet measurable.</w:t>
            </w:r>
          </w:p>
        </w:tc>
        <w:tc>
          <w:tcPr>
            <w:tcW w:type="dxa" w:w="3759"/>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7"/>
                <w:szCs w:val="17"/>
              </w:rPr>
              <w:t xml:space="preserve">US$1.5 bn DIM notes at a weighted 5.65% issue yield and ~3.07× peak cover. Risk-adjusted investment returns are NR; attributable SOE value creation and realised industrial impact cannot yet be assessed [D1].</w:t>
            </w:r>
          </w:p>
        </w:tc>
        <w:tc>
          <w:tcPr>
            <w:tcW w:type="dxa" w:w="2891"/>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7"/>
                <w:szCs w:val="17"/>
              </w:rPr>
              <w:t xml:space="preserve">Publish an opening-balance and performance bridge before any aggregate performance claim.</w:t>
            </w:r>
          </w:p>
        </w:tc>
      </w:tr>
      <w:tr>
        <w:trPr>
          <w:cantSplit/>
        </w:trPr>
        <w:tc>
          <w:tcPr>
            <w:tcW w:type="dxa" w:w="386"/>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7"/>
                <w:szCs w:val="17"/>
              </w:rPr>
              <w:t xml:space="preserve">2</w:t>
            </w:r>
          </w:p>
        </w:tc>
        <w:tc>
          <w:tcPr>
            <w:tcW w:type="dxa" w:w="260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7"/>
                <w:szCs w:val="17"/>
              </w:rPr>
              <w:t xml:space="preserve">Implementation is weighted towards asset consolidation and financial investment.</w:t>
            </w:r>
          </w:p>
        </w:tc>
        <w:tc>
          <w:tcPr>
            <w:tcW w:type="dxa" w:w="3759"/>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7"/>
                <w:szCs w:val="17"/>
              </w:rPr>
              <w:t xml:space="preserve">Advanced manufacturing and supplier development show large gaps; technology ownership is not yet proven [D3 p.1].</w:t>
            </w:r>
          </w:p>
        </w:tc>
        <w:tc>
          <w:tcPr>
            <w:tcW w:type="dxa" w:w="2891"/>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7"/>
                <w:szCs w:val="17"/>
              </w:rPr>
              <w:t xml:space="preserve">A deliberate capability mechanism (DOCK-UP) is required; sector coverage alone does not create capability.</w:t>
            </w:r>
          </w:p>
        </w:tc>
      </w:tr>
      <w:tr>
        <w:trPr>
          <w:cantSplit/>
        </w:trPr>
        <w:tc>
          <w:tcPr>
            <w:tcW w:type="dxa" w:w="38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7"/>
                <w:szCs w:val="17"/>
              </w:rPr>
              <w:t xml:space="preserve">3</w:t>
            </w:r>
          </w:p>
        </w:tc>
        <w:tc>
          <w:tcPr>
            <w:tcW w:type="dxa" w:w="260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7"/>
                <w:szCs w:val="17"/>
              </w:rPr>
              <w:t xml:space="preserve">There is no cross-arm portfolio layer for the 40 strategic projects.</w:t>
            </w:r>
          </w:p>
        </w:tc>
        <w:tc>
          <w:tcPr>
            <w:tcW w:type="dxa" w:w="3759"/>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7"/>
                <w:szCs w:val="17"/>
              </w:rPr>
              <w:t xml:space="preserve">No integrated register linking the 40 projects to leaders, decision stage and results was available to the review. The summary and detail tables differ by Rp18.93 tn and allocate differently across clusters [D2].</w:t>
            </w:r>
          </w:p>
        </w:tc>
        <w:tc>
          <w:tcPr>
            <w:tcW w:type="dxa" w:w="2891"/>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7"/>
                <w:szCs w:val="17"/>
              </w:rPr>
              <w:t xml:space="preserve">Reconcile one register and assign one accountable owner per project by Day 45.</w:t>
            </w:r>
          </w:p>
        </w:tc>
      </w:tr>
      <w:tr>
        <w:trPr>
          <w:cantSplit/>
        </w:trPr>
        <w:tc>
          <w:tcPr>
            <w:tcW w:type="dxa" w:w="386"/>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7"/>
                <w:szCs w:val="17"/>
              </w:rPr>
              <w:t xml:space="preserve">4</w:t>
            </w:r>
          </w:p>
        </w:tc>
        <w:tc>
          <w:tcPr>
            <w:tcW w:type="dxa" w:w="260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7"/>
                <w:szCs w:val="17"/>
              </w:rPr>
              <w:t xml:space="preserve">Law 16/2012 creates mandated domestic demand in defence; the supplier base is not ready.</w:t>
            </w:r>
          </w:p>
        </w:tc>
        <w:tc>
          <w:tcPr>
            <w:tcW w:type="dxa" w:w="3759"/>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7"/>
                <w:szCs w:val="17"/>
              </w:rPr>
              <w:t xml:space="preserve">Imported defence equipment must carry trade return, local content and/or offset of at least 85%, including at least 35% local content and/or offset [D4]. D4 finds that many candidate SMEs sit at TRL 6–8 / MRL 3–5.</w:t>
            </w:r>
          </w:p>
        </w:tc>
        <w:tc>
          <w:tcPr>
            <w:tcW w:type="dxa" w:w="2891"/>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7"/>
                <w:szCs w:val="17"/>
              </w:rPr>
              <w:t xml:space="preserve">Use anchor projects to release volume only to suppliers with verified readiness (Section 6.9).</w:t>
            </w:r>
          </w:p>
        </w:tc>
      </w:tr>
      <w:tr>
        <w:trPr>
          <w:cantSplit/>
        </w:trPr>
        <w:tc>
          <w:tcPr>
            <w:tcW w:type="dxa" w:w="38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pPr>
            <w:r>
              <w:rPr>
                <w:rFonts w:ascii="Arial" w:cs="Arial" w:eastAsia="Arial" w:hAnsi="Arial"/>
                <w:b/>
                <w:bCs/>
                <w:color w:val="000000"/>
                <w:sz w:val="17"/>
                <w:szCs w:val="17"/>
              </w:rPr>
              <w:t xml:space="preserve">5</w:t>
            </w:r>
          </w:p>
        </w:tc>
        <w:tc>
          <w:tcPr>
            <w:tcW w:type="dxa" w:w="260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pPr>
            <w:r>
              <w:rPr>
                <w:rFonts w:ascii="Arial" w:cs="Arial" w:eastAsia="Arial" w:hAnsi="Arial"/>
                <w:b/>
                <w:bCs/>
                <w:color w:val="000000"/>
                <w:sz w:val="17"/>
                <w:szCs w:val="17"/>
              </w:rPr>
              <w:t xml:space="preserve">The construction SOEs are under severe financial stress.</w:t>
            </w:r>
          </w:p>
        </w:tc>
        <w:tc>
          <w:tcPr>
            <w:tcW w:type="dxa" w:w="3759"/>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7"/>
                <w:szCs w:val="17"/>
              </w:rPr>
              <w:t xml:space="preserve">Estimated 2025 losses: WIKA Rp10.14 tn, PP Rp8.0 tn, Adhi Karya Rp5.4 tn, Waskita Rp4.48 tn. Infrastructure budget Rp110.95 tn → Rp61.38 tn [D3 p.3].</w:t>
            </w:r>
          </w:p>
        </w:tc>
        <w:tc>
          <w:tcPr>
            <w:tcW w:type="dxa" w:w="2891"/>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7"/>
                <w:szCs w:val="17"/>
              </w:rPr>
              <w:t xml:space="preserve">Confirm with audited figures; separate legacy assets; restore cash discipline; install an AI-supported project control system.</w:t>
            </w:r>
          </w:p>
        </w:tc>
      </w:tr>
    </w:tbl>
    <w:p>
      <w:pPr>
        <w:keepNext w:val="false"/>
        <w:spacing w:after="140"/>
      </w:pPr>
    </w:p>
    <w:p>
      <w:pPr>
        <w:pStyle w:val="Heading2"/>
        <w:keepNext/>
        <w:keepLines/>
        <w:spacing w:after="120" w:before="280"/>
      </w:pPr>
      <w:r>
        <w:rPr>
          <w:rFonts w:ascii="Arial" w:cs="Arial" w:eastAsia="Arial" w:hAnsi="Arial"/>
          <w:b/>
          <w:bCs/>
          <w:color w:val="00338D"/>
          <w:sz w:val="28"/>
          <w:szCs w:val="28"/>
        </w:rPr>
        <w:t xml:space="preserve">1.3 What we recommend</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739"/>
        <w:gridCol w:w="160"/>
        <w:gridCol w:w="4739"/>
      </w:tblGrid>
      <w:tr>
        <w:trPr>
          <w:cantSplit/>
        </w:trPr>
        <w:tc>
          <w:tcPr>
            <w:tcW w:type="dxa" w:w="4739"/>
            <w:tcBorders>
              <w:top w:val="none" w:color="FFFFFF" w:sz="0"/>
              <w:left w:val="none" w:color="FFFFFF" w:sz="0"/>
              <w:bottom w:val="none" w:color="FFFFFF" w:sz="0"/>
              <w:right w:val="none" w:color="FFFFFF" w:sz="0"/>
            </w:tcBorders>
            <w:shd w:fill="EAF2FB" w:color="auto" w:val="clear"/>
            <w:tcMar>
              <w:top w:type="dxa" w:w="140"/>
              <w:left w:type="dxa" w:w="160"/>
              <w:bottom w:type="dxa" w:w="120"/>
              <w:right w:type="dxa" w:w="160"/>
            </w:tcMar>
          </w:tcPr>
          <w:p>
            <w:pPr>
              <w:spacing w:after="30"/>
            </w:pPr>
            <w:r>
              <w:rPr>
                <w:rFonts w:ascii="Arial" w:cs="Arial" w:eastAsia="Arial" w:hAnsi="Arial"/>
                <w:b/>
                <w:bCs/>
                <w:color w:val="0091DA"/>
                <w:sz w:val="15"/>
                <w:szCs w:val="15"/>
              </w:rPr>
              <w:t xml:space="preserve">Reposition</w:t>
            </w:r>
          </w:p>
          <w:p>
            <w:pPr>
              <w:spacing w:after="70" w:line="250"/>
            </w:pPr>
            <w:r>
              <w:rPr>
                <w:rFonts w:ascii="Arial" w:cs="Arial" w:eastAsia="Arial" w:hAnsi="Arial"/>
                <w:b/>
                <w:bCs/>
                <w:color w:val="00338D"/>
                <w:sz w:val="19"/>
                <w:szCs w:val="19"/>
              </w:rPr>
              <w:t xml:space="preserve">Become a National Industrial Capability Platform</w:t>
            </w:r>
          </w:p>
          <w:p>
            <w:pPr>
              <w:spacing w:after="50" w:line="252"/>
            </w:pPr>
            <w:r>
              <w:rPr>
                <w:rFonts w:ascii="Arial" w:cs="Arial" w:eastAsia="Arial" w:hAnsi="Arial"/>
                <w:sz w:val="17"/>
                <w:szCs w:val="17"/>
              </w:rPr>
              <w:t xml:space="preserve">Adopt a logic in which capital creates demand, demand develops suppliers, and verified upgrading creates capability. Organise activity into five portfolios with different success measures (Chapter 5).</w:t>
            </w:r>
          </w:p>
        </w:tc>
        <w:tc>
          <w:tcPr>
            <w:tcW w:type="dxa" w:w="160"/>
            <w:tcBorders>
              <w:top w:val="none" w:color="FFFFFF" w:sz="0"/>
              <w:left w:val="none" w:color="FFFFFF" w:sz="0"/>
              <w:bottom w:val="none" w:color="FFFFFF" w:sz="0"/>
              <w:right w:val="none" w:color="FFFFFF" w:sz="0"/>
            </w:tcBorders>
          </w:tcPr>
          <w:p/>
        </w:tc>
        <w:tc>
          <w:tcPr>
            <w:tcW w:type="dxa" w:w="4739"/>
            <w:tcBorders>
              <w:top w:val="none" w:color="FFFFFF" w:sz="0"/>
              <w:left w:val="none" w:color="FFFFFF" w:sz="0"/>
              <w:bottom w:val="none" w:color="FFFFFF" w:sz="0"/>
              <w:right w:val="none" w:color="FFFFFF" w:sz="0"/>
            </w:tcBorders>
            <w:shd w:fill="EAF2FB" w:color="auto" w:val="clear"/>
            <w:tcMar>
              <w:top w:type="dxa" w:w="140"/>
              <w:left w:type="dxa" w:w="160"/>
              <w:bottom w:type="dxa" w:w="120"/>
              <w:right w:type="dxa" w:w="160"/>
            </w:tcMar>
          </w:tcPr>
          <w:p>
            <w:pPr>
              <w:spacing w:after="30"/>
            </w:pPr>
            <w:r>
              <w:rPr>
                <w:rFonts w:ascii="Arial" w:cs="Arial" w:eastAsia="Arial" w:hAnsi="Arial"/>
                <w:b/>
                <w:bCs/>
                <w:color w:val="0091DA"/>
                <w:sz w:val="15"/>
                <w:szCs w:val="15"/>
              </w:rPr>
              <w:t xml:space="preserve">Build</w:t>
            </w:r>
          </w:p>
          <w:p>
            <w:pPr>
              <w:spacing w:after="70" w:line="250"/>
            </w:pPr>
            <w:r>
              <w:rPr>
                <w:rFonts w:ascii="Arial" w:cs="Arial" w:eastAsia="Arial" w:hAnsi="Arial"/>
                <w:b/>
                <w:bCs/>
                <w:color w:val="00338D"/>
                <w:sz w:val="19"/>
                <w:szCs w:val="19"/>
              </w:rPr>
              <w:t xml:space="preserve">Make DOCK-UP the single scheme for all anchor projects</w:t>
            </w:r>
          </w:p>
          <w:p>
            <w:pPr>
              <w:spacing w:after="50" w:line="252"/>
            </w:pPr>
            <w:r>
              <w:rPr>
                <w:rFonts w:ascii="Arial" w:cs="Arial" w:eastAsia="Arial" w:hAnsi="Arial"/>
                <w:sz w:val="17"/>
                <w:szCs w:val="17"/>
              </w:rPr>
              <w:t xml:space="preserve">Use TRL and MRL as entry tests and gates G1–G4 as common rules across integrators. Release order volume only on verified readiness. Pilot with one integrator, 20–30 SMEs and 3–5 component groups (Chapters 6–7).</w:t>
            </w:r>
          </w:p>
        </w:tc>
      </w:tr>
      <w:tr>
        <w:trPr>
          <w:trHeight w:val="160" w:hRule="exact"/>
        </w:trPr>
        <w:tc>
          <w:tcPr>
            <w:tcW w:type="dxa" w:w="4739"/>
            <w:tcBorders>
              <w:top w:val="none" w:color="FFFFFF" w:sz="0"/>
              <w:left w:val="none" w:color="FFFFFF" w:sz="0"/>
              <w:bottom w:val="none" w:color="FFFFFF" w:sz="0"/>
              <w:right w:val="none" w:color="FFFFFF" w:sz="0"/>
            </w:tcBorders>
          </w:tcPr>
          <w:p/>
        </w:tc>
        <w:tc>
          <w:tcPr>
            <w:tcW w:type="dxa" w:w="160"/>
            <w:tcBorders>
              <w:top w:val="none" w:color="FFFFFF" w:sz="0"/>
              <w:left w:val="none" w:color="FFFFFF" w:sz="0"/>
              <w:bottom w:val="none" w:color="FFFFFF" w:sz="0"/>
              <w:right w:val="none" w:color="FFFFFF" w:sz="0"/>
            </w:tcBorders>
          </w:tcPr>
          <w:p/>
        </w:tc>
        <w:tc>
          <w:tcPr>
            <w:tcW w:type="dxa" w:w="4739"/>
            <w:tcBorders>
              <w:top w:val="none" w:color="FFFFFF" w:sz="0"/>
              <w:left w:val="none" w:color="FFFFFF" w:sz="0"/>
              <w:bottom w:val="none" w:color="FFFFFF" w:sz="0"/>
              <w:right w:val="none" w:color="FFFFFF" w:sz="0"/>
            </w:tcBorders>
          </w:tcPr>
          <w:p/>
        </w:tc>
      </w:tr>
      <w:tr>
        <w:trPr>
          <w:cantSplit/>
        </w:trPr>
        <w:tc>
          <w:tcPr>
            <w:tcW w:type="dxa" w:w="4739"/>
            <w:tcBorders>
              <w:top w:val="none" w:color="FFFFFF" w:sz="0"/>
              <w:left w:val="none" w:color="FFFFFF" w:sz="0"/>
              <w:bottom w:val="none" w:color="FFFFFF" w:sz="0"/>
              <w:right w:val="none" w:color="FFFFFF" w:sz="0"/>
            </w:tcBorders>
            <w:shd w:fill="EAF2FB" w:color="auto" w:val="clear"/>
            <w:tcMar>
              <w:top w:type="dxa" w:w="140"/>
              <w:left w:type="dxa" w:w="160"/>
              <w:bottom w:type="dxa" w:w="120"/>
              <w:right w:type="dxa" w:w="160"/>
            </w:tcMar>
          </w:tcPr>
          <w:p>
            <w:pPr>
              <w:spacing w:after="30"/>
            </w:pPr>
            <w:r>
              <w:rPr>
                <w:rFonts w:ascii="Arial" w:cs="Arial" w:eastAsia="Arial" w:hAnsi="Arial"/>
                <w:b/>
                <w:bCs/>
                <w:color w:val="0091DA"/>
                <w:sz w:val="15"/>
                <w:szCs w:val="15"/>
              </w:rPr>
              <w:t xml:space="preserve">Finance</w:t>
            </w:r>
          </w:p>
          <w:p>
            <w:pPr>
              <w:spacing w:after="70" w:line="250"/>
            </w:pPr>
            <w:r>
              <w:rPr>
                <w:rFonts w:ascii="Arial" w:cs="Arial" w:eastAsia="Arial" w:hAnsi="Arial"/>
                <w:b/>
                <w:bCs/>
                <w:color w:val="00338D"/>
                <w:sz w:val="19"/>
                <w:szCs w:val="19"/>
              </w:rPr>
              <w:t xml:space="preserve">Run two channels under one financing discipline</w:t>
            </w:r>
          </w:p>
          <w:p>
            <w:pPr>
              <w:spacing w:after="50" w:line="252"/>
            </w:pPr>
            <w:r>
              <w:rPr>
                <w:rFonts w:ascii="Arial" w:cs="Arial" w:eastAsia="Arial" w:hAnsi="Arial"/>
                <w:sz w:val="17"/>
                <w:szCs w:val="17"/>
              </w:rPr>
              <w:t xml:space="preserve">NRF at fund level, based only on proven and probable reserves and the present value of the state's share. Tokenised project notes at project level, released per milestone direct to suppliers. Financing follows readiness, and mobilising co-investment is the decisive lever (Chapters 8–10).</w:t>
            </w:r>
          </w:p>
        </w:tc>
        <w:tc>
          <w:tcPr>
            <w:tcW w:type="dxa" w:w="160"/>
            <w:tcBorders>
              <w:top w:val="none" w:color="FFFFFF" w:sz="0"/>
              <w:left w:val="none" w:color="FFFFFF" w:sz="0"/>
              <w:bottom w:val="none" w:color="FFFFFF" w:sz="0"/>
              <w:right w:val="none" w:color="FFFFFF" w:sz="0"/>
            </w:tcBorders>
          </w:tcPr>
          <w:p/>
        </w:tc>
        <w:tc>
          <w:tcPr>
            <w:tcW w:type="dxa" w:w="4739"/>
            <w:tcBorders>
              <w:top w:val="none" w:color="FFFFFF" w:sz="0"/>
              <w:left w:val="none" w:color="FFFFFF" w:sz="0"/>
              <w:bottom w:val="none" w:color="FFFFFF" w:sz="0"/>
              <w:right w:val="none" w:color="FFFFFF" w:sz="0"/>
            </w:tcBorders>
            <w:shd w:fill="EAF2FB" w:color="auto" w:val="clear"/>
            <w:tcMar>
              <w:top w:type="dxa" w:w="140"/>
              <w:left w:type="dxa" w:w="160"/>
              <w:bottom w:type="dxa" w:w="120"/>
              <w:right w:type="dxa" w:w="160"/>
            </w:tcMar>
          </w:tcPr>
          <w:p>
            <w:pPr>
              <w:spacing w:after="30"/>
            </w:pPr>
            <w:r>
              <w:rPr>
                <w:rFonts w:ascii="Arial" w:cs="Arial" w:eastAsia="Arial" w:hAnsi="Arial"/>
                <w:b/>
                <w:bCs/>
                <w:color w:val="0091DA"/>
                <w:sz w:val="15"/>
                <w:szCs w:val="15"/>
              </w:rPr>
              <w:t xml:space="preserve">Reform</w:t>
            </w:r>
          </w:p>
          <w:p>
            <w:pPr>
              <w:spacing w:after="70" w:line="250"/>
            </w:pPr>
            <w:r>
              <w:rPr>
                <w:rFonts w:ascii="Arial" w:cs="Arial" w:eastAsia="Arial" w:hAnsi="Arial"/>
                <w:b/>
                <w:bCs/>
                <w:color w:val="00338D"/>
                <w:sz w:val="19"/>
                <w:szCs w:val="19"/>
              </w:rPr>
              <w:t xml:space="preserve">Return construction SOEs to a disciplined contractor model</w:t>
            </w:r>
          </w:p>
          <w:p>
            <w:pPr>
              <w:spacing w:after="50" w:line="252"/>
            </w:pPr>
            <w:r>
              <w:rPr>
                <w:rFonts w:ascii="Arial" w:cs="Arial" w:eastAsia="Arial" w:hAnsi="Arial"/>
                <w:sz w:val="17"/>
                <w:szCs w:val="17"/>
              </w:rPr>
              <w:t xml:space="preserve">Diagnose with audited data, then separate legacy concessions into an asset vehicle. Bid selectively. Protect cash through the advance-payment-to-collection cycle (Chapter 11).</w:t>
            </w:r>
          </w:p>
        </w:tc>
      </w:tr>
      <w:tr>
        <w:trPr>
          <w:trHeight w:val="160" w:hRule="exact"/>
        </w:trPr>
        <w:tc>
          <w:tcPr>
            <w:tcW w:type="dxa" w:w="4739"/>
            <w:tcBorders>
              <w:top w:val="none" w:color="FFFFFF" w:sz="0"/>
              <w:left w:val="none" w:color="FFFFFF" w:sz="0"/>
              <w:bottom w:val="none" w:color="FFFFFF" w:sz="0"/>
              <w:right w:val="none" w:color="FFFFFF" w:sz="0"/>
            </w:tcBorders>
          </w:tcPr>
          <w:p/>
        </w:tc>
        <w:tc>
          <w:tcPr>
            <w:tcW w:type="dxa" w:w="160"/>
            <w:tcBorders>
              <w:top w:val="none" w:color="FFFFFF" w:sz="0"/>
              <w:left w:val="none" w:color="FFFFFF" w:sz="0"/>
              <w:bottom w:val="none" w:color="FFFFFF" w:sz="0"/>
              <w:right w:val="none" w:color="FFFFFF" w:sz="0"/>
            </w:tcBorders>
          </w:tcPr>
          <w:p/>
        </w:tc>
        <w:tc>
          <w:tcPr>
            <w:tcW w:type="dxa" w:w="4739"/>
            <w:tcBorders>
              <w:top w:val="none" w:color="FFFFFF" w:sz="0"/>
              <w:left w:val="none" w:color="FFFFFF" w:sz="0"/>
              <w:bottom w:val="none" w:color="FFFFFF" w:sz="0"/>
              <w:right w:val="none" w:color="FFFFFF" w:sz="0"/>
            </w:tcBorders>
          </w:tcPr>
          <w:p/>
        </w:tc>
      </w:tr>
      <w:tr>
        <w:trPr>
          <w:cantSplit/>
        </w:trPr>
        <w:tc>
          <w:tcPr>
            <w:tcW w:type="dxa" w:w="4739"/>
            <w:tcBorders>
              <w:top w:val="none" w:color="FFFFFF" w:sz="0"/>
              <w:left w:val="none" w:color="FFFFFF" w:sz="0"/>
              <w:bottom w:val="none" w:color="FFFFFF" w:sz="0"/>
              <w:right w:val="none" w:color="FFFFFF" w:sz="0"/>
            </w:tcBorders>
            <w:shd w:fill="EAF2FB" w:color="auto" w:val="clear"/>
            <w:tcMar>
              <w:top w:type="dxa" w:w="140"/>
              <w:left w:type="dxa" w:w="160"/>
              <w:bottom w:type="dxa" w:w="120"/>
              <w:right w:type="dxa" w:w="160"/>
            </w:tcMar>
          </w:tcPr>
          <w:p>
            <w:pPr>
              <w:spacing w:after="30"/>
            </w:pPr>
            <w:r>
              <w:rPr>
                <w:rFonts w:ascii="Arial" w:cs="Arial" w:eastAsia="Arial" w:hAnsi="Arial"/>
                <w:b/>
                <w:bCs/>
                <w:color w:val="0091DA"/>
                <w:sz w:val="15"/>
                <w:szCs w:val="15"/>
              </w:rPr>
              <w:t xml:space="preserve">Digitise</w:t>
            </w:r>
          </w:p>
          <w:p>
            <w:pPr>
              <w:spacing w:after="70" w:line="250"/>
            </w:pPr>
            <w:r>
              <w:rPr>
                <w:rFonts w:ascii="Arial" w:cs="Arial" w:eastAsia="Arial" w:hAnsi="Arial"/>
                <w:b/>
                <w:bCs/>
                <w:color w:val="00338D"/>
                <w:sz w:val="19"/>
                <w:szCs w:val="19"/>
              </w:rPr>
              <w:t xml:space="preserve">Deploy a multi-agentic AI project operating system</w:t>
            </w:r>
          </w:p>
          <w:p>
            <w:pPr>
              <w:spacing w:after="50" w:line="252"/>
            </w:pPr>
            <w:r>
              <w:rPr>
                <w:rFonts w:ascii="Arial" w:cs="Arial" w:eastAsia="Arial" w:hAnsi="Arial"/>
                <w:sz w:val="17"/>
                <w:szCs w:val="17"/>
              </w:rPr>
              <w:t xml:space="preserve">Three-month MVP with six priority agents integrated read-only with existing ERP, including a bid/no-bid agent. Pilot on 2–3 projects, then scale hub-and-spoke across SOEs (Chapter 12).</w:t>
            </w:r>
          </w:p>
        </w:tc>
        <w:tc>
          <w:tcPr>
            <w:tcW w:type="dxa" w:w="160"/>
            <w:tcBorders>
              <w:top w:val="none" w:color="FFFFFF" w:sz="0"/>
              <w:left w:val="none" w:color="FFFFFF" w:sz="0"/>
              <w:bottom w:val="none" w:color="FFFFFF" w:sz="0"/>
              <w:right w:val="none" w:color="FFFFFF" w:sz="0"/>
            </w:tcBorders>
          </w:tcPr>
          <w:p/>
        </w:tc>
        <w:tc>
          <w:tcPr>
            <w:tcW w:type="dxa" w:w="4739"/>
            <w:tcBorders>
              <w:top w:val="none" w:color="FFFFFF" w:sz="0"/>
              <w:left w:val="none" w:color="FFFFFF" w:sz="0"/>
              <w:bottom w:val="none" w:color="FFFFFF" w:sz="0"/>
              <w:right w:val="none" w:color="FFFFFF" w:sz="0"/>
            </w:tcBorders>
            <w:shd w:fill="EAF2FB" w:color="auto" w:val="clear"/>
            <w:tcMar>
              <w:top w:type="dxa" w:w="140"/>
              <w:left w:type="dxa" w:w="160"/>
              <w:bottom w:type="dxa" w:w="120"/>
              <w:right w:type="dxa" w:w="160"/>
            </w:tcMar>
          </w:tcPr>
          <w:p>
            <w:pPr>
              <w:spacing w:after="30"/>
            </w:pPr>
            <w:r>
              <w:rPr>
                <w:rFonts w:ascii="Arial" w:cs="Arial" w:eastAsia="Arial" w:hAnsi="Arial"/>
                <w:b/>
                <w:bCs/>
                <w:color w:val="0091DA"/>
                <w:sz w:val="15"/>
                <w:szCs w:val="15"/>
              </w:rPr>
              <w:t xml:space="preserve">Govern</w:t>
            </w:r>
          </w:p>
          <w:p>
            <w:pPr>
              <w:spacing w:after="70" w:line="250"/>
            </w:pPr>
            <w:r>
              <w:rPr>
                <w:rFonts w:ascii="Arial" w:cs="Arial" w:eastAsia="Arial" w:hAnsi="Arial"/>
                <w:b/>
                <w:bCs/>
                <w:color w:val="00338D"/>
                <w:sz w:val="19"/>
                <w:szCs w:val="19"/>
              </w:rPr>
              <w:t xml:space="preserve">Sequence: start with a unit, decide any formal position on evidence</w:t>
            </w:r>
          </w:p>
          <w:p>
            <w:pPr>
              <w:spacing w:after="50" w:line="252"/>
            </w:pPr>
            <w:r>
              <w:rPr>
                <w:rFonts w:ascii="Arial" w:cs="Arial" w:eastAsia="Arial" w:hAnsi="Arial"/>
                <w:sz w:val="17"/>
                <w:szCs w:val="17"/>
              </w:rPr>
              <w:t xml:space="preserve">Establish the Strategic Industry and Project Delivery unit and test it for 90 days. Review a formal Executive Body position no earlier than month 12, against agreed criteria (Chapter 13).</w:t>
            </w:r>
          </w:p>
        </w:tc>
      </w:tr>
    </w:tbl>
    <w:p>
      <w:pPr>
        <w:spacing w:after="160"/>
      </w:pPr>
    </w:p>
    <w:p>
      <w:pPr>
        <w:pStyle w:val="Heading2"/>
        <w:keepNext/>
        <w:keepLines/>
        <w:spacing w:after="120" w:before="280"/>
      </w:pPr>
      <w:r>
        <w:rPr>
          <w:rFonts w:ascii="Arial" w:cs="Arial" w:eastAsia="Arial" w:hAnsi="Arial"/>
          <w:b/>
          <w:bCs/>
          <w:color w:val="00338D"/>
          <w:sz w:val="28"/>
          <w:szCs w:val="28"/>
        </w:rPr>
        <w:t xml:space="preserve">1.4 Decisions requested</w:t>
      </w:r>
    </w:p>
    <w:p>
      <w:pPr>
        <w:spacing w:after="110" w:before="0" w:line="264"/>
        <w:jc w:val="left"/>
      </w:pPr>
      <w:r>
        <w:rPr>
          <w:rFonts w:ascii="Arial" w:cs="Arial" w:eastAsia="Arial" w:hAnsi="Arial"/>
          <w:color w:val="000000"/>
          <w:sz w:val="20"/>
          <w:szCs w:val="20"/>
        </w:rPr>
        <w:t xml:space="preserve">Day 0 is the date on which the Head of the Executive Body approves the platform model in principle. All timings in this report run from Day 0 unless a calendar date is given.</w:t>
      </w:r>
    </w:p>
    <w:p>
      <w:pPr>
        <w:pStyle w:val="Heading3"/>
        <w:keepNext/>
        <w:keepLines/>
        <w:spacing w:after="80" w:before="200"/>
      </w:pPr>
      <w:r>
        <w:rPr>
          <w:rFonts w:ascii="Arial" w:cs="Arial" w:eastAsia="Arial" w:hAnsi="Arial"/>
          <w:b/>
          <w:bCs/>
          <w:color w:val="005EB8"/>
          <w:sz w:val="22"/>
          <w:szCs w:val="22"/>
        </w:rPr>
        <w:t xml:space="preserve">(a) Decisions within Danantara's authority</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590"/>
        <w:gridCol w:w="2602"/>
        <w:gridCol w:w="1446"/>
      </w:tblGrid>
      <w:tr>
        <w:trPr>
          <w:cantSplit/>
          <w:tblHeader/>
        </w:trPr>
        <w:tc>
          <w:tcPr>
            <w:tcW w:type="dxa" w:w="5590"/>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Decision</w:t>
            </w:r>
          </w:p>
        </w:tc>
        <w:tc>
          <w:tcPr>
            <w:tcW w:type="dxa" w:w="2602"/>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Who decides</w:t>
            </w:r>
          </w:p>
        </w:tc>
        <w:tc>
          <w:tcPr>
            <w:tcW w:type="dxa" w:w="1446"/>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When</w:t>
            </w:r>
          </w:p>
        </w:tc>
      </w:tr>
      <w:tr>
        <w:trPr>
          <w:cantSplit/>
        </w:trPr>
        <w:tc>
          <w:tcPr>
            <w:tcW w:type="dxa" w:w="559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7"/>
                <w:szCs w:val="17"/>
              </w:rPr>
              <w:t xml:space="preserve">Approve in principle the National Industrial Capability Platform model and the Strategic Industry and Project Delivery unit, with a charter that grants no universal approval authority</w:t>
            </w:r>
          </w:p>
        </w:tc>
        <w:tc>
          <w:tcPr>
            <w:tcW w:type="dxa" w:w="260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7"/>
                <w:szCs w:val="17"/>
              </w:rPr>
              <w:t xml:space="preserve">Head of the Executive Body; Supervisory Board informed</w:t>
            </w:r>
          </w:p>
        </w:tc>
        <w:tc>
          <w:tcPr>
            <w:tcW w:type="dxa" w:w="144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7"/>
                <w:szCs w:val="17"/>
              </w:rPr>
              <w:t xml:space="preserve">Day 0</w:t>
            </w:r>
          </w:p>
        </w:tc>
      </w:tr>
      <w:tr>
        <w:trPr>
          <w:cantSplit/>
        </w:trPr>
        <w:tc>
          <w:tcPr>
            <w:tcW w:type="dxa" w:w="559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7"/>
                <w:szCs w:val="17"/>
              </w:rPr>
              <w:t xml:space="preserve">Approve the reconciled register of the 40 projects as the single denominator for all reporting (CFO interim owner until the unit is staffed)</w:t>
            </w:r>
          </w:p>
        </w:tc>
        <w:tc>
          <w:tcPr>
            <w:tcW w:type="dxa" w:w="260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7"/>
                <w:szCs w:val="17"/>
              </w:rPr>
              <w:t xml:space="preserve">Head of the Executive Body</w:t>
            </w:r>
          </w:p>
        </w:tc>
        <w:tc>
          <w:tcPr>
            <w:tcW w:type="dxa" w:w="1446"/>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7"/>
                <w:szCs w:val="17"/>
              </w:rPr>
              <w:t xml:space="preserve">Day 45</w:t>
            </w:r>
          </w:p>
        </w:tc>
      </w:tr>
      <w:tr>
        <w:trPr>
          <w:cantSplit/>
        </w:trPr>
        <w:tc>
          <w:tcPr>
            <w:tcW w:type="dxa" w:w="559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7"/>
                <w:szCs w:val="17"/>
              </w:rPr>
              <w:t xml:space="preserve">Adopt DOCK-UP gates G1–G4 and the pilot design, in coordination with KKIP, the Ministry of Defence and one integrator; pilot starts in month 4</w:t>
            </w:r>
          </w:p>
        </w:tc>
        <w:tc>
          <w:tcPr>
            <w:tcW w:type="dxa" w:w="260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7"/>
                <w:szCs w:val="17"/>
              </w:rPr>
              <w:t xml:space="preserve">Head of the Executive Body; integrator's board for its contracts</w:t>
            </w:r>
          </w:p>
        </w:tc>
        <w:tc>
          <w:tcPr>
            <w:tcW w:type="dxa" w:w="144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7"/>
                <w:szCs w:val="17"/>
              </w:rPr>
              <w:t xml:space="preserve">Day 60</w:t>
            </w:r>
          </w:p>
        </w:tc>
      </w:tr>
      <w:tr>
        <w:trPr>
          <w:cantSplit/>
        </w:trPr>
        <w:tc>
          <w:tcPr>
            <w:tcW w:type="dxa" w:w="559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7"/>
                <w:szCs w:val="17"/>
              </w:rPr>
              <w:t xml:space="preserve">Mandate a diagnostic of the four construction SOEs using audited FY2025 data</w:t>
            </w:r>
          </w:p>
        </w:tc>
        <w:tc>
          <w:tcPr>
            <w:tcW w:type="dxa" w:w="260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7"/>
                <w:szCs w:val="17"/>
              </w:rPr>
              <w:t xml:space="preserve">COO / DAM with the SOE boards</w:t>
            </w:r>
          </w:p>
        </w:tc>
        <w:tc>
          <w:tcPr>
            <w:tcW w:type="dxa" w:w="1446"/>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7"/>
                <w:szCs w:val="17"/>
              </w:rPr>
              <w:t xml:space="preserve">Start Day 30; report Day 90</w:t>
            </w:r>
          </w:p>
        </w:tc>
      </w:tr>
      <w:tr>
        <w:trPr>
          <w:cantSplit/>
        </w:trPr>
        <w:tc>
          <w:tcPr>
            <w:tcW w:type="dxa" w:w="559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7"/>
                <w:szCs w:val="17"/>
              </w:rPr>
              <w:t xml:space="preserve">Launch the three-month AI MVP (pilot live about Day 120)</w:t>
            </w:r>
          </w:p>
        </w:tc>
        <w:tc>
          <w:tcPr>
            <w:tcW w:type="dxa" w:w="260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7"/>
                <w:szCs w:val="17"/>
              </w:rPr>
              <w:t xml:space="preserve">COO / DAM; sponsoring SOE board</w:t>
            </w:r>
          </w:p>
        </w:tc>
        <w:tc>
          <w:tcPr>
            <w:tcW w:type="dxa" w:w="144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7"/>
                <w:szCs w:val="17"/>
              </w:rPr>
              <w:t xml:space="preserve">Start Day 30</w:t>
            </w:r>
          </w:p>
        </w:tc>
      </w:tr>
      <w:tr>
        <w:trPr>
          <w:cantSplit/>
        </w:trPr>
        <w:tc>
          <w:tcPr>
            <w:tcW w:type="dxa" w:w="559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7"/>
                <w:szCs w:val="17"/>
              </w:rPr>
              <w:t xml:space="preserve">Adopt the three-scorecard framework with NR treatment, 80% coverage rule and gates</w:t>
            </w:r>
          </w:p>
        </w:tc>
        <w:tc>
          <w:tcPr>
            <w:tcW w:type="dxa" w:w="260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7"/>
                <w:szCs w:val="17"/>
              </w:rPr>
              <w:t xml:space="preserve">Supervisory Board, on the Head's proposal</w:t>
            </w:r>
          </w:p>
        </w:tc>
        <w:tc>
          <w:tcPr>
            <w:tcW w:type="dxa" w:w="1446"/>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7"/>
                <w:szCs w:val="17"/>
              </w:rPr>
              <w:t xml:space="preserve">Day 90</w:t>
            </w:r>
          </w:p>
        </w:tc>
      </w:tr>
      <w:tr>
        <w:trPr>
          <w:cantSplit/>
        </w:trPr>
        <w:tc>
          <w:tcPr>
            <w:tcW w:type="dxa" w:w="559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7"/>
                <w:szCs w:val="17"/>
              </w:rPr>
              <w:t xml:space="preserve">Confirm or adjust the unit design on the basis of measured decision times and blockers</w:t>
            </w:r>
          </w:p>
        </w:tc>
        <w:tc>
          <w:tcPr>
            <w:tcW w:type="dxa" w:w="260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7"/>
                <w:szCs w:val="17"/>
              </w:rPr>
              <w:t xml:space="preserve">Head of the Executive Body</w:t>
            </w:r>
          </w:p>
        </w:tc>
        <w:tc>
          <w:tcPr>
            <w:tcW w:type="dxa" w:w="144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7"/>
                <w:szCs w:val="17"/>
              </w:rPr>
              <w:t xml:space="preserve">Day 90</w:t>
            </w:r>
          </w:p>
        </w:tc>
      </w:tr>
      <w:tr>
        <w:trPr>
          <w:cantSplit/>
        </w:trPr>
        <w:tc>
          <w:tcPr>
            <w:tcW w:type="dxa" w:w="559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pPr>
            <w:r>
              <w:rPr>
                <w:rFonts w:ascii="Arial" w:cs="Arial" w:eastAsia="Arial" w:hAnsi="Arial"/>
                <w:color w:val="000000"/>
                <w:sz w:val="17"/>
                <w:szCs w:val="17"/>
              </w:rPr>
              <w:t xml:space="preserve">Approve the PALCapital Phase 1 pilot only after all six pre-conditions are certified (Section 9.5)</w:t>
            </w:r>
          </w:p>
        </w:tc>
        <w:tc>
          <w:tcPr>
            <w:tcW w:type="dxa" w:w="260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pPr>
            <w:r>
              <w:rPr>
                <w:rFonts w:ascii="Arial" w:cs="Arial" w:eastAsia="Arial" w:hAnsi="Arial"/>
                <w:color w:val="000000"/>
                <w:sz w:val="17"/>
                <w:szCs w:val="17"/>
              </w:rPr>
              <w:t xml:space="preserve">DIM investment committee; PT PAL organs; within OJK's sandbox process</w:t>
            </w:r>
          </w:p>
        </w:tc>
        <w:tc>
          <w:tcPr>
            <w:tcW w:type="dxa" w:w="1446"/>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pPr>
            <w:r>
              <w:rPr>
                <w:rFonts w:ascii="Arial" w:cs="Arial" w:eastAsia="Arial" w:hAnsi="Arial"/>
                <w:color w:val="000000"/>
                <w:sz w:val="17"/>
                <w:szCs w:val="17"/>
              </w:rPr>
              <w:t xml:space="preserve">Condition-bound; earliest Q1 2027</w:t>
            </w:r>
          </w:p>
        </w:tc>
      </w:tr>
    </w:tbl>
    <w:p>
      <w:pPr>
        <w:keepNext w:val="false"/>
        <w:spacing w:after="140"/>
      </w:pPr>
    </w:p>
    <w:p>
      <w:pPr>
        <w:pStyle w:val="Heading3"/>
        <w:keepNext/>
        <w:keepLines/>
        <w:spacing w:after="80" w:before="200"/>
      </w:pPr>
      <w:r>
        <w:rPr>
          <w:rFonts w:ascii="Arial" w:cs="Arial" w:eastAsia="Arial" w:hAnsi="Arial"/>
          <w:b/>
          <w:bCs/>
          <w:color w:val="005EB8"/>
          <w:sz w:val="22"/>
          <w:szCs w:val="22"/>
        </w:rPr>
        <w:t xml:space="preserve">(b) Proposals for the Government's and regulators' consideration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590"/>
        <w:gridCol w:w="2602"/>
        <w:gridCol w:w="1446"/>
      </w:tblGrid>
      <w:tr>
        <w:trPr>
          <w:cantSplit/>
          <w:tblHeader/>
        </w:trPr>
        <w:tc>
          <w:tcPr>
            <w:tcW w:type="dxa" w:w="5590"/>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Proposal</w:t>
            </w:r>
          </w:p>
        </w:tc>
        <w:tc>
          <w:tcPr>
            <w:tcW w:type="dxa" w:w="2602"/>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Submitted by Danantara to</w:t>
            </w:r>
          </w:p>
        </w:tc>
        <w:tc>
          <w:tcPr>
            <w:tcW w:type="dxa" w:w="1446"/>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Danantara's submission date</w:t>
            </w:r>
          </w:p>
        </w:tc>
      </w:tr>
      <w:tr>
        <w:trPr>
          <w:cantSplit/>
        </w:trPr>
        <w:tc>
          <w:tcPr>
            <w:tcW w:type="dxa" w:w="559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7"/>
                <w:szCs w:val="17"/>
              </w:rPr>
              <w:t xml:space="preserve">That a legal, valuation and fiscal review of the NRF concept precede any instrument design (Chapter 8)</w:t>
            </w:r>
          </w:p>
        </w:tc>
        <w:tc>
          <w:tcPr>
            <w:tcW w:type="dxa" w:w="260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7"/>
                <w:szCs w:val="17"/>
              </w:rPr>
              <w:t xml:space="preserve">The Government, through the appropriate channel</w:t>
            </w:r>
          </w:p>
        </w:tc>
        <w:tc>
          <w:tcPr>
            <w:tcW w:type="dxa" w:w="144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7"/>
                <w:szCs w:val="17"/>
              </w:rPr>
              <w:t xml:space="preserve">Day 90</w:t>
            </w:r>
          </w:p>
        </w:tc>
      </w:tr>
      <w:tr>
        <w:trPr>
          <w:cantSplit/>
        </w:trPr>
        <w:tc>
          <w:tcPr>
            <w:tcW w:type="dxa" w:w="559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7"/>
                <w:szCs w:val="17"/>
              </w:rPr>
              <w:t xml:space="preserve">That resource-backed and receivable-backed instruments be classified by substance in fiscal-risk reporting</w:t>
            </w:r>
          </w:p>
        </w:tc>
        <w:tc>
          <w:tcPr>
            <w:tcW w:type="dxa" w:w="260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7"/>
                <w:szCs w:val="17"/>
              </w:rPr>
              <w:t xml:space="preserve">Ministry of Finance</w:t>
            </w:r>
          </w:p>
        </w:tc>
        <w:tc>
          <w:tcPr>
            <w:tcW w:type="dxa" w:w="1446"/>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7"/>
                <w:szCs w:val="17"/>
              </w:rPr>
              <w:t xml:space="preserve">Day 90</w:t>
            </w:r>
          </w:p>
        </w:tc>
      </w:tr>
      <w:tr>
        <w:trPr>
          <w:cantSplit/>
        </w:trPr>
        <w:tc>
          <w:tcPr>
            <w:tcW w:type="dxa" w:w="559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7"/>
                <w:szCs w:val="17"/>
              </w:rPr>
              <w:t xml:space="preserve">That consent procedures be defined for assigning state contract receivables to milestone escrow accounts</w:t>
            </w:r>
          </w:p>
        </w:tc>
        <w:tc>
          <w:tcPr>
            <w:tcW w:type="dxa" w:w="260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7"/>
                <w:szCs w:val="17"/>
              </w:rPr>
              <w:t xml:space="preserve">Ministry of Finance and Ministry of Defence</w:t>
            </w:r>
          </w:p>
        </w:tc>
        <w:tc>
          <w:tcPr>
            <w:tcW w:type="dxa" w:w="144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7"/>
                <w:szCs w:val="17"/>
              </w:rPr>
              <w:t xml:space="preserve">Before PALCapital approval</w:t>
            </w:r>
          </w:p>
        </w:tc>
      </w:tr>
      <w:tr>
        <w:trPr>
          <w:cantSplit/>
        </w:trPr>
        <w:tc>
          <w:tcPr>
            <w:tcW w:type="dxa" w:w="559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pPr>
            <w:r>
              <w:rPr>
                <w:rFonts w:ascii="Arial" w:cs="Arial" w:eastAsia="Arial" w:hAnsi="Arial"/>
                <w:color w:val="000000"/>
                <w:sz w:val="17"/>
                <w:szCs w:val="17"/>
              </w:rPr>
              <w:t xml:space="preserve">That DOCK-UP gates be written into framework and offset contracts for defence programmes</w:t>
            </w:r>
          </w:p>
        </w:tc>
        <w:tc>
          <w:tcPr>
            <w:tcW w:type="dxa" w:w="260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pPr>
            <w:r>
              <w:rPr>
                <w:rFonts w:ascii="Arial" w:cs="Arial" w:eastAsia="Arial" w:hAnsi="Arial"/>
                <w:color w:val="000000"/>
                <w:sz w:val="17"/>
                <w:szCs w:val="17"/>
              </w:rPr>
              <w:t xml:space="preserve">Ministry of Defence and KKIP</w:t>
            </w:r>
          </w:p>
        </w:tc>
        <w:tc>
          <w:tcPr>
            <w:tcW w:type="dxa" w:w="1446"/>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pPr>
            <w:r>
              <w:rPr>
                <w:rFonts w:ascii="Arial" w:cs="Arial" w:eastAsia="Arial" w:hAnsi="Arial"/>
                <w:color w:val="000000"/>
                <w:sz w:val="17"/>
                <w:szCs w:val="17"/>
              </w:rPr>
              <w:t xml:space="preserve">Day 60</w:t>
            </w:r>
          </w:p>
        </w:tc>
      </w:tr>
    </w:tbl>
    <w:p>
      <w:pPr>
        <w:keepNext w:val="false"/>
        <w:spacing w:after="140"/>
      </w:pPr>
    </w:p>
    <w:p>
      <w:pPr>
        <w:pStyle w:val="Heading2"/>
        <w:keepNext/>
        <w:keepLines/>
        <w:spacing w:after="120" w:before="280"/>
      </w:pPr>
      <w:r>
        <w:rPr>
          <w:rFonts w:ascii="Arial" w:cs="Arial" w:eastAsia="Arial" w:hAnsi="Arial"/>
          <w:b/>
          <w:bCs/>
          <w:color w:val="00338D"/>
          <w:sz w:val="28"/>
          <w:szCs w:val="28"/>
        </w:rPr>
        <w:t xml:space="preserve">1.5 Resources requested and what success looks like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35"/>
        <w:gridCol w:w="5397"/>
        <w:gridCol w:w="2506"/>
      </w:tblGrid>
      <w:tr>
        <w:trPr>
          <w:cantSplit/>
          <w:tblHeader/>
        </w:trPr>
        <w:tc>
          <w:tcPr>
            <w:tcW w:type="dxa" w:w="1735"/>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Resource</w:t>
            </w:r>
          </w:p>
        </w:tc>
        <w:tc>
          <w:tcPr>
            <w:tcW w:type="dxa" w:w="5397"/>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Scale (proposed)</w:t>
            </w:r>
          </w:p>
        </w:tc>
        <w:tc>
          <w:tcPr>
            <w:tcW w:type="dxa" w:w="2506"/>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Basis</w:t>
            </w:r>
          </w:p>
        </w:tc>
      </w:tr>
      <w:tr>
        <w:trPr>
          <w:cantSplit/>
        </w:trPr>
        <w:tc>
          <w:tcPr>
            <w:tcW w:type="dxa" w:w="1735"/>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7"/>
                <w:szCs w:val="17"/>
              </w:rPr>
              <w:t xml:space="preserve">Unit staff</w:t>
            </w:r>
          </w:p>
        </w:tc>
        <w:tc>
          <w:tcPr>
            <w:tcW w:type="dxa" w:w="5397"/>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7"/>
                <w:szCs w:val="17"/>
              </w:rPr>
              <w:t xml:space="preserve">Unit head, three MDs and four cluster leaders, initially seconded</w:t>
            </w:r>
          </w:p>
        </w:tc>
        <w:tc>
          <w:tcPr>
            <w:tcW w:type="dxa" w:w="250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7"/>
                <w:szCs w:val="17"/>
              </w:rPr>
              <w:t xml:space="preserve">Section 13.3</w:t>
            </w:r>
          </w:p>
        </w:tc>
      </w:tr>
      <w:tr>
        <w:trPr>
          <w:cantSplit/>
        </w:trPr>
        <w:tc>
          <w:tcPr>
            <w:tcW w:type="dxa" w:w="1735"/>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7"/>
                <w:szCs w:val="17"/>
              </w:rPr>
              <w:t xml:space="preserve">DOCK-UP pilot</w:t>
            </w:r>
          </w:p>
        </w:tc>
        <w:tc>
          <w:tcPr>
            <w:tcW w:type="dxa" w:w="5397"/>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7"/>
                <w:szCs w:val="17"/>
              </w:rPr>
              <w:t xml:space="preserve">Assessor pool, 5–8 companion engineers, matching grants, C1–C3 co-funding and first-loss capacity for 20–30 SMEs</w:t>
            </w:r>
          </w:p>
        </w:tc>
        <w:tc>
          <w:tcPr>
            <w:tcW w:type="dxa" w:w="2506"/>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7"/>
                <w:szCs w:val="17"/>
              </w:rPr>
              <w:t xml:space="preserve">Section 6.9</w:t>
            </w:r>
          </w:p>
        </w:tc>
      </w:tr>
      <w:tr>
        <w:trPr>
          <w:cantSplit/>
        </w:trPr>
        <w:tc>
          <w:tcPr>
            <w:tcW w:type="dxa" w:w="1735"/>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7"/>
                <w:szCs w:val="17"/>
              </w:rPr>
              <w:t xml:space="preserve">AI MVP</w:t>
            </w:r>
          </w:p>
        </w:tc>
        <w:tc>
          <w:tcPr>
            <w:tcW w:type="dxa" w:w="5397"/>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7"/>
                <w:szCs w:val="17"/>
              </w:rPr>
              <w:t xml:space="preserve">14 technical staff and 6–8 business experts for three months; GPU and data servers or equivalent sovereign-cloud capacity</w:t>
            </w:r>
          </w:p>
        </w:tc>
        <w:tc>
          <w:tcPr>
            <w:tcW w:type="dxa" w:w="250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7"/>
                <w:szCs w:val="17"/>
              </w:rPr>
              <w:t xml:space="preserve">Section 12.6</w:t>
            </w:r>
          </w:p>
        </w:tc>
      </w:tr>
      <w:tr>
        <w:trPr>
          <w:cantSplit/>
        </w:trPr>
        <w:tc>
          <w:tcPr>
            <w:tcW w:type="dxa" w:w="1735"/>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pPr>
            <w:r>
              <w:rPr>
                <w:rFonts w:ascii="Arial" w:cs="Arial" w:eastAsia="Arial" w:hAnsi="Arial"/>
                <w:b/>
                <w:bCs/>
                <w:color w:val="000000"/>
                <w:sz w:val="17"/>
                <w:szCs w:val="17"/>
              </w:rPr>
              <w:t xml:space="preserve">NRF review</w:t>
            </w:r>
          </w:p>
        </w:tc>
        <w:tc>
          <w:tcPr>
            <w:tcW w:type="dxa" w:w="5397"/>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7"/>
                <w:szCs w:val="17"/>
              </w:rPr>
              <w:t xml:space="preserve">Independent legal, reserves-valuation and fiscal advisers</w:t>
            </w:r>
          </w:p>
        </w:tc>
        <w:tc>
          <w:tcPr>
            <w:tcW w:type="dxa" w:w="2506"/>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7"/>
                <w:szCs w:val="17"/>
              </w:rPr>
              <w:t xml:space="preserve">Section 8.8</w:t>
            </w:r>
          </w:p>
        </w:tc>
      </w:tr>
    </w:tbl>
    <w:p>
      <w:pPr>
        <w:keepNext w:val="false"/>
        <w:spacing w:after="14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20"/>
        <w:gridCol w:w="3759"/>
        <w:gridCol w:w="3759"/>
      </w:tblGrid>
      <w:tr>
        <w:trPr>
          <w:cantSplit/>
          <w:tblHeader/>
        </w:trPr>
        <w:tc>
          <w:tcPr>
            <w:tcW w:type="dxa" w:w="2120"/>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Marker</w:t>
            </w:r>
          </w:p>
        </w:tc>
        <w:tc>
          <w:tcPr>
            <w:tcW w:type="dxa" w:w="3759"/>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By month 12</w:t>
            </w:r>
          </w:p>
        </w:tc>
        <w:tc>
          <w:tcPr>
            <w:tcW w:type="dxa" w:w="3759"/>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By month 24</w:t>
            </w:r>
          </w:p>
        </w:tc>
      </w:tr>
      <w:tr>
        <w:trPr>
          <w:cantSplit/>
        </w:trPr>
        <w:tc>
          <w:tcPr>
            <w:tcW w:type="dxa" w:w="212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7"/>
                <w:szCs w:val="17"/>
              </w:rPr>
              <w:t xml:space="preserve">Register and scorecards</w:t>
            </w:r>
          </w:p>
        </w:tc>
        <w:tc>
          <w:tcPr>
            <w:tcW w:type="dxa" w:w="3759"/>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7"/>
                <w:szCs w:val="17"/>
              </w:rPr>
              <w:t xml:space="preserve">Reconciled register; first quarterly scorecards with ≥ 80% coverage in at least one stream</w:t>
            </w:r>
          </w:p>
        </w:tc>
        <w:tc>
          <w:tcPr>
            <w:tcW w:type="dxa" w:w="3759"/>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7"/>
                <w:szCs w:val="17"/>
              </w:rPr>
              <w:t xml:space="preserve">Published annual portfolio report; all three streams rateable</w:t>
            </w:r>
          </w:p>
        </w:tc>
      </w:tr>
      <w:tr>
        <w:trPr>
          <w:cantSplit/>
        </w:trPr>
        <w:tc>
          <w:tcPr>
            <w:tcW w:type="dxa" w:w="212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7"/>
                <w:szCs w:val="17"/>
              </w:rPr>
              <w:t xml:space="preserve">DOCK-UP</w:t>
            </w:r>
          </w:p>
        </w:tc>
        <w:tc>
          <w:tcPr>
            <w:tcW w:type="dxa" w:w="3759"/>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7"/>
                <w:szCs w:val="17"/>
              </w:rPr>
              <w:t xml:space="preserve">First G1 orders placed (pilot started month 4)</w:t>
            </w:r>
          </w:p>
        </w:tc>
        <w:tc>
          <w:tcPr>
            <w:tcW w:type="dxa" w:w="3759"/>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7"/>
                <w:szCs w:val="17"/>
              </w:rPr>
              <w:t xml:space="preserve">≥ 60% of pilot SMEs at G1 and ≥ 25% at G2; second integrator decided</w:t>
            </w:r>
          </w:p>
        </w:tc>
      </w:tr>
      <w:tr>
        <w:trPr>
          <w:cantSplit/>
        </w:trPr>
        <w:tc>
          <w:tcPr>
            <w:tcW w:type="dxa" w:w="212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7"/>
                <w:szCs w:val="17"/>
              </w:rPr>
              <w:t xml:space="preserve">Construction SOEs</w:t>
            </w:r>
          </w:p>
        </w:tc>
        <w:tc>
          <w:tcPr>
            <w:tcW w:type="dxa" w:w="3759"/>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7"/>
                <w:szCs w:val="17"/>
              </w:rPr>
              <w:t xml:space="preserve">Audited diagnostic complete; legacy-asset plan approved; bid discipline in force</w:t>
            </w:r>
          </w:p>
        </w:tc>
        <w:tc>
          <w:tcPr>
            <w:tcW w:type="dxa" w:w="3759"/>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7"/>
                <w:szCs w:val="17"/>
              </w:rPr>
              <w:t xml:space="preserve">Positive operating cash conversion in at least two companies</w:t>
            </w:r>
          </w:p>
        </w:tc>
      </w:tr>
      <w:tr>
        <w:trPr>
          <w:cantSplit/>
        </w:trPr>
        <w:tc>
          <w:tcPr>
            <w:tcW w:type="dxa" w:w="212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7"/>
                <w:szCs w:val="17"/>
              </w:rPr>
              <w:t xml:space="preserve">AI platform</w:t>
            </w:r>
          </w:p>
        </w:tc>
        <w:tc>
          <w:tcPr>
            <w:tcW w:type="dxa" w:w="3759"/>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7"/>
                <w:szCs w:val="17"/>
              </w:rPr>
              <w:t xml:space="preserve">MVP evaluated; Phase 2 under way in 2–3 SOEs</w:t>
            </w:r>
          </w:p>
        </w:tc>
        <w:tc>
          <w:tcPr>
            <w:tcW w:type="dxa" w:w="3759"/>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7"/>
                <w:szCs w:val="17"/>
              </w:rPr>
              <w:t xml:space="preserve">All construction SOEs connected; net benefits independently verified</w:t>
            </w:r>
          </w:p>
        </w:tc>
      </w:tr>
      <w:tr>
        <w:trPr>
          <w:cantSplit/>
        </w:trPr>
        <w:tc>
          <w:tcPr>
            <w:tcW w:type="dxa" w:w="212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pPr>
            <w:r>
              <w:rPr>
                <w:rFonts w:ascii="Arial" w:cs="Arial" w:eastAsia="Arial" w:hAnsi="Arial"/>
                <w:b/>
                <w:bCs/>
                <w:color w:val="000000"/>
                <w:sz w:val="17"/>
                <w:szCs w:val="17"/>
              </w:rPr>
              <w:t xml:space="preserve">Financing</w:t>
            </w:r>
          </w:p>
        </w:tc>
        <w:tc>
          <w:tcPr>
            <w:tcW w:type="dxa" w:w="3759"/>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7"/>
                <w:szCs w:val="17"/>
              </w:rPr>
              <w:t xml:space="preserve">NRF Stage 0 complete if the Government proceeds; PALCapital pilot decision taken on the six pre-conditions</w:t>
            </w:r>
          </w:p>
        </w:tc>
        <w:tc>
          <w:tcPr>
            <w:tcW w:type="dxa" w:w="3759"/>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7"/>
                <w:szCs w:val="17"/>
              </w:rPr>
              <w:t xml:space="preserve">First domestic institutional investors in project notes</w:t>
            </w:r>
          </w:p>
        </w:tc>
      </w:tr>
    </w:tbl>
    <w:p>
      <w:pPr>
        <w:keepNext w:val="false"/>
        <w:spacing w:after="140"/>
      </w:pPr>
    </w:p>
    <w:p>
      <w:pPr>
        <w:spacing w:after="80" w:before="0" w:line="264"/>
        <w:jc w:val="left"/>
      </w:pPr>
      <w:r>
        <w:rPr>
          <w:rFonts w:ascii="Arial" w:cs="Arial" w:eastAsia="Arial" w:hAnsi="Arial"/>
          <w:color w:val="000000"/>
          <w:sz w:val="16"/>
          <w:szCs w:val="16"/>
        </w:rPr>
        <w:t xml:space="preserve">Markers are proposals to be confirmed after baselines are established.</w:t>
      </w:r>
    </w:p>
    <w:p>
      <w:pPr>
        <w:pageBreakBefore/>
        <w:spacing w:after="0" w:line="240"/>
      </w:pPr>
      <w:r>
        <w:rPr>
          <w:sz w:val="2"/>
          <w:szCs w:val="2"/>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one" w:color="FFFFFF" w:sz="0"/>
              <w:left w:val="none" w:color="FFFFFF" w:sz="0"/>
              <w:bottom w:val="none" w:color="FFFFFF" w:sz="0"/>
              <w:right w:val="none" w:color="FFFFFF" w:sz="0"/>
            </w:tcBorders>
            <w:shd w:fill="00338D" w:color="auto" w:val="clear"/>
            <w:tcMar>
              <w:top w:type="dxa" w:w="260"/>
              <w:left w:type="dxa" w:w="300"/>
              <w:bottom w:type="dxa" w:w="300"/>
              <w:right w:type="dxa" w:w="300"/>
            </w:tcMar>
          </w:tcPr>
          <w:p>
            <w:pPr>
              <w:spacing w:after="0"/>
            </w:pPr>
            <w:r>
              <w:rPr>
                <w:rFonts w:ascii="Arial" w:cs="Arial" w:eastAsia="Arial" w:hAnsi="Arial"/>
                <w:b/>
                <w:bCs/>
                <w:color w:val="9CC7EF"/>
                <w:sz w:val="64"/>
                <w:szCs w:val="64"/>
              </w:rPr>
              <w:t xml:space="preserve">02</w:t>
            </w:r>
          </w:p>
          <w:p>
            <w:pPr>
              <w:pStyle w:val="Heading1"/>
              <w:spacing w:after="100"/>
            </w:pPr>
            <w:r>
              <w:rPr>
                <w:rFonts w:ascii="Arial" w:cs="Arial" w:eastAsia="Arial" w:hAnsi="Arial"/>
                <w:b/>
                <w:bCs/>
                <w:color w:val="FFFFFF"/>
                <w:sz w:val="40"/>
                <w:szCs w:val="40"/>
              </w:rPr>
              <w:t xml:space="preserve">Introduction, scope and approach</w:t>
            </w:r>
          </w:p>
          <w:p>
            <w:pPr>
              <w:spacing w:after="0" w:line="276"/>
            </w:pPr>
            <w:r>
              <w:rPr>
                <w:rFonts w:ascii="Arial" w:cs="Arial" w:eastAsia="Arial" w:hAnsi="Arial"/>
                <w:color w:val="FFFFFF"/>
                <w:sz w:val="20"/>
                <w:szCs w:val="20"/>
              </w:rPr>
              <w:t xml:space="preserve">Why this study was prepared, what it covers, and how evidence is treated.</w:t>
            </w:r>
          </w:p>
        </w:tc>
      </w:tr>
    </w:tbl>
    <w:p>
      <w:pPr>
        <w:spacing w:after="200"/>
      </w:pPr>
    </w:p>
    <w:p>
      <w:pPr>
        <w:pStyle w:val="Heading2"/>
        <w:keepNext/>
        <w:keepLines/>
        <w:spacing w:after="120" w:before="280"/>
      </w:pPr>
      <w:r>
        <w:rPr>
          <w:rFonts w:ascii="Arial" w:cs="Arial" w:eastAsia="Arial" w:hAnsi="Arial"/>
          <w:b/>
          <w:bCs/>
          <w:color w:val="00338D"/>
          <w:sz w:val="28"/>
          <w:szCs w:val="28"/>
        </w:rPr>
        <w:t xml:space="preserve">2.1 Purpose</w:t>
      </w:r>
    </w:p>
    <w:p>
      <w:pPr>
        <w:spacing w:after="110" w:before="0" w:line="264"/>
        <w:jc w:val="left"/>
      </w:pPr>
      <w:r>
        <w:rPr>
          <w:rFonts w:ascii="Arial" w:cs="Arial" w:eastAsia="Arial" w:hAnsi="Arial"/>
          <w:color w:val="000000"/>
          <w:sz w:val="20"/>
          <w:szCs w:val="20"/>
        </w:rPr>
        <w:t xml:space="preserve">This study is prepared by a member of the Danantara Steering Committee to give stakeholders an independent view of Danantara's current condition and performance, and to recommend how Danantara can meet the expectation that it will </w:t>
      </w:r>
      <w:r>
        <w:rPr>
          <w:rFonts w:ascii="Arial" w:cs="Arial" w:eastAsia="Arial" w:hAnsi="Arial"/>
          <w:b/>
          <w:bCs/>
          <w:color w:val="000000"/>
          <w:sz w:val="20"/>
          <w:szCs w:val="20"/>
        </w:rPr>
        <w:t xml:space="preserve">raise the capability of national strategic industries</w:t>
      </w:r>
      <w:r>
        <w:rPr>
          <w:rFonts w:ascii="Arial" w:cs="Arial" w:eastAsia="Arial" w:hAnsi="Arial"/>
          <w:color w:val="000000"/>
          <w:sz w:val="20"/>
          <w:szCs w:val="20"/>
        </w:rPr>
        <w:t xml:space="preserve"> and </w:t>
      </w:r>
      <w:r>
        <w:rPr>
          <w:rFonts w:ascii="Arial" w:cs="Arial" w:eastAsia="Arial" w:hAnsi="Arial"/>
          <w:b/>
          <w:bCs/>
          <w:color w:val="000000"/>
          <w:sz w:val="20"/>
          <w:szCs w:val="20"/>
        </w:rPr>
        <w:t xml:space="preserve">contribute measurably to economic indicators and social welfare</w:t>
      </w:r>
      <w:r>
        <w:rPr>
          <w:rFonts w:ascii="Arial" w:cs="Arial" w:eastAsia="Arial" w:hAnsi="Arial"/>
          <w:color w:val="000000"/>
          <w:sz w:val="20"/>
          <w:szCs w:val="20"/>
        </w:rPr>
        <w:t xml:space="preserve">.</w:t>
      </w:r>
    </w:p>
    <w:p>
      <w:pPr>
        <w:spacing w:after="110" w:before="0" w:line="264"/>
        <w:jc w:val="left"/>
      </w:pPr>
      <w:r>
        <w:rPr>
          <w:rFonts w:ascii="Arial" w:cs="Arial" w:eastAsia="Arial" w:hAnsi="Arial"/>
          <w:color w:val="000000"/>
          <w:sz w:val="20"/>
          <w:szCs w:val="20"/>
        </w:rPr>
        <w:t xml:space="preserve">The study is advisory. It carries no decision authority, and its recommendations take effect only through decisions of the competent organs of Danantara and, where relevant, the Government.</w:t>
      </w:r>
    </w:p>
    <w:p>
      <w:pPr>
        <w:pStyle w:val="Heading2"/>
        <w:keepNext/>
        <w:keepLines/>
        <w:spacing w:after="120" w:before="280"/>
      </w:pPr>
      <w:r>
        <w:rPr>
          <w:rFonts w:ascii="Arial" w:cs="Arial" w:eastAsia="Arial" w:hAnsi="Arial"/>
          <w:b/>
          <w:bCs/>
          <w:color w:val="00338D"/>
          <w:sz w:val="28"/>
          <w:szCs w:val="28"/>
        </w:rPr>
        <w:t xml:space="preserve">2.2 Questions addressed</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2"/>
        <w:gridCol w:w="6747"/>
        <w:gridCol w:w="2409"/>
      </w:tblGrid>
      <w:tr>
        <w:trPr>
          <w:cantSplit/>
          <w:tblHeader/>
        </w:trPr>
        <w:tc>
          <w:tcPr>
            <w:tcW w:type="dxa" w:w="482"/>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w:t>
            </w:r>
          </w:p>
        </w:tc>
        <w:tc>
          <w:tcPr>
            <w:tcW w:type="dxa" w:w="6747"/>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Question from the terms of reference</w:t>
            </w:r>
          </w:p>
        </w:tc>
        <w:tc>
          <w:tcPr>
            <w:tcW w:type="dxa" w:w="2409"/>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Where answered</w:t>
            </w:r>
          </w:p>
        </w:tc>
      </w:tr>
      <w:tr>
        <w:trPr>
          <w:cantSplit/>
        </w:trPr>
        <w:tc>
          <w:tcPr>
            <w:tcW w:type="dxa" w:w="48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7"/>
                <w:szCs w:val="17"/>
              </w:rPr>
              <w:t xml:space="preserve">1</w:t>
            </w:r>
          </w:p>
        </w:tc>
        <w:tc>
          <w:tcPr>
            <w:tcW w:type="dxa" w:w="6747"/>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7"/>
                <w:szCs w:val="17"/>
              </w:rPr>
              <w:t xml:space="preserve">What is Danantara's current condition and performance?</w:t>
            </w:r>
          </w:p>
        </w:tc>
        <w:tc>
          <w:tcPr>
            <w:tcW w:type="dxa" w:w="2409"/>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7"/>
                <w:szCs w:val="17"/>
              </w:rPr>
              <w:t xml:space="preserve">Chapters 3 and 4</w:t>
            </w:r>
          </w:p>
        </w:tc>
      </w:tr>
      <w:tr>
        <w:trPr>
          <w:cantSplit/>
        </w:trPr>
        <w:tc>
          <w:tcPr>
            <w:tcW w:type="dxa" w:w="48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7"/>
                <w:szCs w:val="17"/>
              </w:rPr>
              <w:t xml:space="preserve">2</w:t>
            </w:r>
          </w:p>
        </w:tc>
        <w:tc>
          <w:tcPr>
            <w:tcW w:type="dxa" w:w="6747"/>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7"/>
                <w:szCs w:val="17"/>
              </w:rPr>
              <w:t xml:space="preserve">What is Danantara expected to deliver for strategic industries, the economy and society, and how should that be measured?</w:t>
            </w:r>
          </w:p>
        </w:tc>
        <w:tc>
          <w:tcPr>
            <w:tcW w:type="dxa" w:w="2409"/>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7"/>
                <w:szCs w:val="17"/>
              </w:rPr>
              <w:t xml:space="preserve">Chapters 5 and 14</w:t>
            </w:r>
          </w:p>
        </w:tc>
      </w:tr>
      <w:tr>
        <w:trPr>
          <w:cantSplit/>
        </w:trPr>
        <w:tc>
          <w:tcPr>
            <w:tcW w:type="dxa" w:w="48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7"/>
                <w:szCs w:val="17"/>
              </w:rPr>
              <w:t xml:space="preserve">3</w:t>
            </w:r>
          </w:p>
        </w:tc>
        <w:tc>
          <w:tcPr>
            <w:tcW w:type="dxa" w:w="6747"/>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7"/>
                <w:szCs w:val="17"/>
              </w:rPr>
              <w:t xml:space="preserve">How can the DOCK-UP framework upgrade national industries, using anchor projects in minerals, infrastructure, maritime, defence and other industries?</w:t>
            </w:r>
          </w:p>
        </w:tc>
        <w:tc>
          <w:tcPr>
            <w:tcW w:type="dxa" w:w="2409"/>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7"/>
                <w:szCs w:val="17"/>
              </w:rPr>
              <w:t xml:space="preserve">Chapters 6 and 7</w:t>
            </w:r>
          </w:p>
        </w:tc>
      </w:tr>
      <w:tr>
        <w:trPr>
          <w:cantSplit/>
        </w:trPr>
        <w:tc>
          <w:tcPr>
            <w:tcW w:type="dxa" w:w="48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7"/>
                <w:szCs w:val="17"/>
              </w:rPr>
              <w:t xml:space="preserve">4</w:t>
            </w:r>
          </w:p>
        </w:tc>
        <w:tc>
          <w:tcPr>
            <w:tcW w:type="dxa" w:w="6747"/>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7"/>
                <w:szCs w:val="17"/>
              </w:rPr>
              <w:t xml:space="preserve">How should projects be funded through (a) a Natural Resource Fund and (b) sovereign project tokenisation?</w:t>
            </w:r>
          </w:p>
        </w:tc>
        <w:tc>
          <w:tcPr>
            <w:tcW w:type="dxa" w:w="2409"/>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7"/>
                <w:szCs w:val="17"/>
              </w:rPr>
              <w:t xml:space="preserve">Chapters 8, 9 and 10</w:t>
            </w:r>
          </w:p>
        </w:tc>
      </w:tr>
      <w:tr>
        <w:trPr>
          <w:cantSplit/>
        </w:trPr>
        <w:tc>
          <w:tcPr>
            <w:tcW w:type="dxa" w:w="48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7"/>
                <w:szCs w:val="17"/>
              </w:rPr>
              <w:t xml:space="preserve">5</w:t>
            </w:r>
          </w:p>
        </w:tc>
        <w:tc>
          <w:tcPr>
            <w:tcW w:type="dxa" w:w="6747"/>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7"/>
                <w:szCs w:val="17"/>
              </w:rPr>
              <w:t xml:space="preserve">What is the condition of the general-contractor SOEs, and how can business management be improved using multi-agentic AI?</w:t>
            </w:r>
          </w:p>
        </w:tc>
        <w:tc>
          <w:tcPr>
            <w:tcW w:type="dxa" w:w="2409"/>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7"/>
                <w:szCs w:val="17"/>
              </w:rPr>
              <w:t xml:space="preserve">Chapters 11 and 12</w:t>
            </w:r>
          </w:p>
        </w:tc>
      </w:tr>
      <w:tr>
        <w:trPr>
          <w:cantSplit/>
        </w:trPr>
        <w:tc>
          <w:tcPr>
            <w:tcW w:type="dxa" w:w="48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pPr>
            <w:r>
              <w:rPr>
                <w:rFonts w:ascii="Arial" w:cs="Arial" w:eastAsia="Arial" w:hAnsi="Arial"/>
                <w:b/>
                <w:bCs/>
                <w:color w:val="000000"/>
                <w:sz w:val="17"/>
                <w:szCs w:val="17"/>
              </w:rPr>
              <w:t xml:space="preserve">–</w:t>
            </w:r>
          </w:p>
        </w:tc>
        <w:tc>
          <w:tcPr>
            <w:tcW w:type="dxa" w:w="6747"/>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7"/>
                <w:szCs w:val="17"/>
              </w:rPr>
              <w:t xml:space="preserve">What organisation, governance, risk controls and roadmap are needed to implement the above?</w:t>
            </w:r>
          </w:p>
        </w:tc>
        <w:tc>
          <w:tcPr>
            <w:tcW w:type="dxa" w:w="2409"/>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7"/>
                <w:szCs w:val="17"/>
              </w:rPr>
              <w:t xml:space="preserve">Chapters 13, 15, 16 and 17</w:t>
            </w:r>
          </w:p>
        </w:tc>
      </w:tr>
    </w:tbl>
    <w:p>
      <w:pPr>
        <w:keepNext w:val="false"/>
        <w:spacing w:after="140"/>
      </w:pPr>
    </w:p>
    <w:p>
      <w:pPr>
        <w:pStyle w:val="Heading2"/>
        <w:keepNext/>
        <w:keepLines/>
        <w:spacing w:after="120" w:before="280"/>
      </w:pPr>
      <w:r>
        <w:rPr>
          <w:rFonts w:ascii="Arial" w:cs="Arial" w:eastAsia="Arial" w:hAnsi="Arial"/>
          <w:b/>
          <w:bCs/>
          <w:color w:val="00338D"/>
          <w:sz w:val="28"/>
          <w:szCs w:val="28"/>
        </w:rPr>
        <w:t xml:space="preserve">2.3 Source documents</w:t>
      </w:r>
    </w:p>
    <w:p>
      <w:pPr>
        <w:spacing w:after="110" w:before="0" w:line="264"/>
        <w:jc w:val="left"/>
      </w:pPr>
      <w:r>
        <w:rPr>
          <w:rFonts w:ascii="Arial" w:cs="Arial" w:eastAsia="Arial" w:hAnsi="Arial"/>
          <w:color w:val="000000"/>
          <w:sz w:val="20"/>
          <w:szCs w:val="20"/>
        </w:rPr>
        <w:t xml:space="preserve">The study relies on six source documents provided for this review. They are cited in square brackets throughout. Each source cites its own underlying references; where we rely on one of those, we cite it as, for example, [D1/S05].</w:t>
      </w:r>
    </w:p>
    <w:p>
      <w:pPr>
        <w:keepNext/>
        <w:spacing w:after="80" w:before="120"/>
      </w:pPr>
      <w:r>
        <w:rPr>
          <w:rFonts w:ascii="Arial" w:cs="Arial" w:eastAsia="Arial" w:hAnsi="Arial"/>
          <w:b/>
          <w:bCs/>
          <w:color w:val="00338D"/>
          <w:sz w:val="18"/>
          <w:szCs w:val="18"/>
        </w:rPr>
        <w:t xml:space="preserve">Table 1: </w:t>
      </w:r>
      <w:r>
        <w:rPr>
          <w:rFonts w:ascii="Arial" w:cs="Arial" w:eastAsia="Arial" w:hAnsi="Arial"/>
          <w:b/>
          <w:bCs/>
          <w:color w:val="00338D"/>
          <w:sz w:val="18"/>
          <w:szCs w:val="18"/>
        </w:rPr>
        <w:t xml:space="preserve">Source register</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75"/>
        <w:gridCol w:w="4144"/>
        <w:gridCol w:w="1253"/>
        <w:gridCol w:w="3566"/>
      </w:tblGrid>
      <w:tr>
        <w:trPr>
          <w:cantSplit/>
          <w:tblHeader/>
        </w:trPr>
        <w:tc>
          <w:tcPr>
            <w:tcW w:type="dxa" w:w="675"/>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Code</w:t>
            </w:r>
          </w:p>
        </w:tc>
        <w:tc>
          <w:tcPr>
            <w:tcW w:type="dxa" w:w="4144"/>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Document</w:t>
            </w:r>
          </w:p>
        </w:tc>
        <w:tc>
          <w:tcPr>
            <w:tcW w:type="dxa" w:w="1253"/>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Date</w:t>
            </w:r>
          </w:p>
        </w:tc>
        <w:tc>
          <w:tcPr>
            <w:tcW w:type="dxa" w:w="3566"/>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Nature and use</w:t>
            </w:r>
          </w:p>
        </w:tc>
      </w:tr>
      <w:tr>
        <w:trPr>
          <w:cantSplit/>
        </w:trPr>
        <w:tc>
          <w:tcPr>
            <w:tcW w:type="dxa" w:w="675"/>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7"/>
                <w:szCs w:val="17"/>
              </w:rPr>
              <w:t xml:space="preserve">D1</w:t>
            </w:r>
          </w:p>
        </w:tc>
        <w:tc>
          <w:tcPr>
            <w:tcW w:type="dxa" w:w="4144"/>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7"/>
                <w:szCs w:val="17"/>
              </w:rPr>
              <w:t xml:space="preserve">Danantara performance study: strategic and profitable investment, operating efficiency and growth, and additional economic development</w:t>
            </w:r>
          </w:p>
        </w:tc>
        <w:tc>
          <w:tcPr>
            <w:tcW w:type="dxa" w:w="1253"/>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7"/>
                <w:szCs w:val="17"/>
              </w:rPr>
              <w:t xml:space="preserve">6 Oct 2026</w:t>
            </w:r>
          </w:p>
        </w:tc>
        <w:tc>
          <w:tcPr>
            <w:tcW w:type="dxa" w:w="356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7"/>
                <w:szCs w:val="17"/>
              </w:rPr>
              <w:t xml:space="preserve">Public-evidence assessment with 45 definitions (39 result metrics and 6 governance gates); basis for Chapters 4 and 14</w:t>
            </w:r>
          </w:p>
        </w:tc>
      </w:tr>
      <w:tr>
        <w:trPr>
          <w:cantSplit/>
        </w:trPr>
        <w:tc>
          <w:tcPr>
            <w:tcW w:type="dxa" w:w="675"/>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7"/>
                <w:szCs w:val="17"/>
              </w:rPr>
              <w:t xml:space="preserve">D2</w:t>
            </w:r>
          </w:p>
        </w:tc>
        <w:tc>
          <w:tcPr>
            <w:tcW w:type="dxa" w:w="4144"/>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7"/>
                <w:szCs w:val="17"/>
              </w:rPr>
              <w:t xml:space="preserve">Evaluasi Tata Kelola Danantara dan Organisasi Industri Strategis: percepatan 40 proyek strategis dan opsi Wakil Kepala Badan Pelaksana</w:t>
            </w:r>
          </w:p>
        </w:tc>
        <w:tc>
          <w:tcPr>
            <w:tcW w:type="dxa" w:w="1253"/>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7"/>
                <w:szCs w:val="17"/>
              </w:rPr>
              <w:t xml:space="preserve">2 Oct 2026</w:t>
            </w:r>
          </w:p>
        </w:tc>
        <w:tc>
          <w:tcPr>
            <w:tcW w:type="dxa" w:w="3566"/>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7"/>
                <w:szCs w:val="17"/>
              </w:rPr>
              <w:t xml:space="preserve">Governance and organisation review; 40-project data checks; RASCI; basis for Chapter 13</w:t>
            </w:r>
          </w:p>
        </w:tc>
      </w:tr>
      <w:tr>
        <w:trPr>
          <w:cantSplit/>
        </w:trPr>
        <w:tc>
          <w:tcPr>
            <w:tcW w:type="dxa" w:w="675"/>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7"/>
                <w:szCs w:val="17"/>
              </w:rPr>
              <w:t xml:space="preserve">D3</w:t>
            </w:r>
          </w:p>
        </w:tc>
        <w:tc>
          <w:tcPr>
            <w:tcW w:type="dxa" w:w="4144"/>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7"/>
                <w:szCs w:val="17"/>
              </w:rPr>
              <w:t xml:space="preserve">Danantara Platform Kapabilitas Industri Nasional (8 pages)</w:t>
            </w:r>
          </w:p>
        </w:tc>
        <w:tc>
          <w:tcPr>
            <w:tcW w:type="dxa" w:w="1253"/>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7"/>
                <w:szCs w:val="17"/>
              </w:rPr>
              <w:t xml:space="preserve">7 Oct 2026</w:t>
            </w:r>
          </w:p>
        </w:tc>
        <w:tc>
          <w:tcPr>
            <w:tcW w:type="dxa" w:w="356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7"/>
                <w:szCs w:val="17"/>
              </w:rPr>
              <w:t xml:space="preserve">Diagnosis, platform model, NITO, construction SOE condition and multi-agentic AI design; basis for Chapters 5, 7, 11 and 12</w:t>
            </w:r>
          </w:p>
        </w:tc>
      </w:tr>
      <w:tr>
        <w:trPr>
          <w:cantSplit/>
        </w:trPr>
        <w:tc>
          <w:tcPr>
            <w:tcW w:type="dxa" w:w="675"/>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7"/>
                <w:szCs w:val="17"/>
              </w:rPr>
              <w:t xml:space="preserve">D4</w:t>
            </w:r>
          </w:p>
        </w:tc>
        <w:tc>
          <w:tcPr>
            <w:tcW w:type="dxa" w:w="4144"/>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7"/>
                <w:szCs w:val="17"/>
              </w:rPr>
              <w:t xml:space="preserve">DOCK-UP: Membangun Pemasok UKM Siap Produksi untuk Industri Maritim dan Pertahanan Indonesia</w:t>
            </w:r>
          </w:p>
        </w:tc>
        <w:tc>
          <w:tcPr>
            <w:tcW w:type="dxa" w:w="1253"/>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7"/>
                <w:szCs w:val="17"/>
              </w:rPr>
              <w:t xml:space="preserve">1 Oct 2026</w:t>
            </w:r>
          </w:p>
        </w:tc>
        <w:tc>
          <w:tcPr>
            <w:tcW w:type="dxa" w:w="3566"/>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7"/>
                <w:szCs w:val="17"/>
              </w:rPr>
              <w:t xml:space="preserve">Supplier-development framework using TRL and MRL; basis for Chapter 6</w:t>
            </w:r>
          </w:p>
        </w:tc>
      </w:tr>
      <w:tr>
        <w:trPr>
          <w:cantSplit/>
        </w:trPr>
        <w:tc>
          <w:tcPr>
            <w:tcW w:type="dxa" w:w="675"/>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7"/>
                <w:szCs w:val="17"/>
              </w:rPr>
              <w:t xml:space="preserve">D5</w:t>
            </w:r>
          </w:p>
        </w:tc>
        <w:tc>
          <w:tcPr>
            <w:tcW w:type="dxa" w:w="4144"/>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7"/>
                <w:szCs w:val="17"/>
              </w:rPr>
              <w:t xml:space="preserve">Indonesia Natural Resource Fund: Executive Summary</w:t>
            </w:r>
          </w:p>
        </w:tc>
        <w:tc>
          <w:tcPr>
            <w:tcW w:type="dxa" w:w="1253"/>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7"/>
                <w:szCs w:val="17"/>
              </w:rPr>
              <w:t xml:space="preserve">25 Sep 2025</w:t>
            </w:r>
          </w:p>
        </w:tc>
        <w:tc>
          <w:tcPr>
            <w:tcW w:type="dxa" w:w="356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7"/>
                <w:szCs w:val="17"/>
              </w:rPr>
              <w:t xml:space="preserve">NRF concept, targets and eight strategic steps; basis for Chapter 8</w:t>
            </w:r>
          </w:p>
        </w:tc>
      </w:tr>
      <w:tr>
        <w:trPr>
          <w:cantSplit/>
        </w:trPr>
        <w:tc>
          <w:tcPr>
            <w:tcW w:type="dxa" w:w="675"/>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pPr>
            <w:r>
              <w:rPr>
                <w:rFonts w:ascii="Arial" w:cs="Arial" w:eastAsia="Arial" w:hAnsi="Arial"/>
                <w:b/>
                <w:bCs/>
                <w:color w:val="000000"/>
                <w:sz w:val="17"/>
                <w:szCs w:val="17"/>
              </w:rPr>
              <w:t xml:space="preserve">D6</w:t>
            </w:r>
          </w:p>
        </w:tc>
        <w:tc>
          <w:tcPr>
            <w:tcW w:type="dxa" w:w="4144"/>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7"/>
                <w:szCs w:val="17"/>
              </w:rPr>
              <w:t xml:space="preserve">PALCapital: Sovereign Maritime Tokenization Engine, Rev B</w:t>
            </w:r>
          </w:p>
        </w:tc>
        <w:tc>
          <w:tcPr>
            <w:tcW w:type="dxa" w:w="1253"/>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7"/>
                <w:szCs w:val="17"/>
              </w:rPr>
              <w:t xml:space="preserve">Undated (Phase 1 targeted Q4 2026)</w:t>
            </w:r>
          </w:p>
        </w:tc>
        <w:tc>
          <w:tcPr>
            <w:tcW w:type="dxa" w:w="3566"/>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7"/>
                <w:szCs w:val="17"/>
              </w:rPr>
              <w:t xml:space="preserve">Tokenised MoD-contract receivable for PT PAL; basis for Chapter 9</w:t>
            </w:r>
          </w:p>
        </w:tc>
      </w:tr>
    </w:tbl>
    <w:p>
      <w:pPr>
        <w:keepNext w:val="false"/>
        <w:spacing w:after="140"/>
      </w:pPr>
    </w:p>
    <w:p>
      <w:pPr>
        <w:pStyle w:val="Heading2"/>
        <w:keepNext/>
        <w:keepLines/>
        <w:spacing w:after="120" w:before="280"/>
      </w:pPr>
      <w:r>
        <w:rPr>
          <w:rFonts w:ascii="Arial" w:cs="Arial" w:eastAsia="Arial" w:hAnsi="Arial"/>
          <w:b/>
          <w:bCs/>
          <w:color w:val="00338D"/>
          <w:sz w:val="28"/>
          <w:szCs w:val="28"/>
        </w:rPr>
        <w:t xml:space="preserve">2.4 Evidence discipline</w:t>
      </w:r>
    </w:p>
    <w:p>
      <w:pPr>
        <w:spacing w:after="110" w:before="0" w:line="264"/>
        <w:jc w:val="left"/>
      </w:pPr>
      <w:r>
        <w:rPr>
          <w:rFonts w:ascii="Arial" w:cs="Arial" w:eastAsia="Arial" w:hAnsi="Arial"/>
          <w:color w:val="000000"/>
          <w:sz w:val="20"/>
          <w:szCs w:val="20"/>
        </w:rPr>
        <w:t xml:space="preserve">Every number in this report carries, explicitly or by context, one of five evidence classes adopted from D1. An announcement is never read as a result, and a missing value is never treated as zero or as failure.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71"/>
        <w:gridCol w:w="3566"/>
        <w:gridCol w:w="5301"/>
      </w:tblGrid>
      <w:tr>
        <w:trPr>
          <w:cantSplit/>
          <w:tblHeader/>
        </w:trPr>
        <w:tc>
          <w:tcPr>
            <w:tcW w:type="dxa" w:w="771"/>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Class</w:t>
            </w:r>
          </w:p>
        </w:tc>
        <w:tc>
          <w:tcPr>
            <w:tcW w:type="dxa" w:w="3566"/>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Meaning</w:t>
            </w:r>
          </w:p>
        </w:tc>
        <w:tc>
          <w:tcPr>
            <w:tcW w:type="dxa" w:w="5301"/>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Permitted use</w:t>
            </w:r>
          </w:p>
        </w:tc>
      </w:tr>
      <w:tr>
        <w:trPr>
          <w:cantSplit/>
        </w:trPr>
        <w:tc>
          <w:tcPr>
            <w:tcW w:type="dxa" w:w="771"/>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7"/>
                <w:szCs w:val="17"/>
              </w:rPr>
              <w:t xml:space="preserve">A</w:t>
            </w:r>
          </w:p>
        </w:tc>
        <w:tc>
          <w:tcPr>
            <w:tcW w:type="dxa" w:w="356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7"/>
                <w:szCs w:val="17"/>
              </w:rPr>
              <w:t xml:space="preserve">Audited or independently assured</w:t>
            </w:r>
          </w:p>
        </w:tc>
        <w:tc>
          <w:tcPr>
            <w:tcW w:type="dxa" w:w="5301"/>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7"/>
                <w:szCs w:val="17"/>
              </w:rPr>
              <w:t xml:space="preserve">Highest confidence, provided scope, period and definition match</w:t>
            </w:r>
          </w:p>
        </w:tc>
      </w:tr>
      <w:tr>
        <w:trPr>
          <w:cantSplit/>
        </w:trPr>
        <w:tc>
          <w:tcPr>
            <w:tcW w:type="dxa" w:w="771"/>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7"/>
                <w:szCs w:val="17"/>
              </w:rPr>
              <w:t xml:space="preserve">B</w:t>
            </w:r>
          </w:p>
        </w:tc>
        <w:tc>
          <w:tcPr>
            <w:tcW w:type="dxa" w:w="3566"/>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7"/>
                <w:szCs w:val="17"/>
              </w:rPr>
              <w:t xml:space="preserve">Official reported observation</w:t>
            </w:r>
          </w:p>
        </w:tc>
        <w:tc>
          <w:tcPr>
            <w:tcW w:type="dxa" w:w="5301"/>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7"/>
                <w:szCs w:val="17"/>
              </w:rPr>
              <w:t xml:space="preserve">Usable with an explicit assurance limitation; includes company releases and calculations derived from them</w:t>
            </w:r>
          </w:p>
        </w:tc>
      </w:tr>
      <w:tr>
        <w:trPr>
          <w:cantSplit/>
        </w:trPr>
        <w:tc>
          <w:tcPr>
            <w:tcW w:type="dxa" w:w="771"/>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7"/>
                <w:szCs w:val="17"/>
              </w:rPr>
              <w:t xml:space="preserve">C</w:t>
            </w:r>
          </w:p>
        </w:tc>
        <w:tc>
          <w:tcPr>
            <w:tcW w:type="dxa" w:w="356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7"/>
                <w:szCs w:val="17"/>
              </w:rPr>
              <w:t xml:space="preserve">Announcement, forecast, commitment or estimate</w:t>
            </w:r>
          </w:p>
        </w:tc>
        <w:tc>
          <w:tcPr>
            <w:tcW w:type="dxa" w:w="5301"/>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7"/>
                <w:szCs w:val="17"/>
              </w:rPr>
              <w:t xml:space="preserve">Evidence of intent or of a milestone; not evidence of realised profit, output or impact</w:t>
            </w:r>
          </w:p>
        </w:tc>
      </w:tr>
      <w:tr>
        <w:trPr>
          <w:cantSplit/>
        </w:trPr>
        <w:tc>
          <w:tcPr>
            <w:tcW w:type="dxa" w:w="771"/>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7"/>
                <w:szCs w:val="17"/>
              </w:rPr>
              <w:t xml:space="preserve">D</w:t>
            </w:r>
          </w:p>
        </w:tc>
        <w:tc>
          <w:tcPr>
            <w:tcW w:type="dxa" w:w="3566"/>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7"/>
                <w:szCs w:val="17"/>
              </w:rPr>
              <w:t xml:space="preserve">Analyst illustration or assumption</w:t>
            </w:r>
          </w:p>
        </w:tc>
        <w:tc>
          <w:tcPr>
            <w:tcW w:type="dxa" w:w="5301"/>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7"/>
                <w:szCs w:val="17"/>
              </w:rPr>
              <w:t xml:space="preserve">Method design and sensitivity analysis only; excluded from performance scoring</w:t>
            </w:r>
          </w:p>
        </w:tc>
      </w:tr>
      <w:tr>
        <w:trPr>
          <w:cantSplit/>
        </w:trPr>
        <w:tc>
          <w:tcPr>
            <w:tcW w:type="dxa" w:w="771"/>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pPr>
            <w:r>
              <w:rPr>
                <w:rFonts w:ascii="Arial" w:cs="Arial" w:eastAsia="Arial" w:hAnsi="Arial"/>
                <w:b/>
                <w:bCs/>
                <w:color w:val="000000"/>
                <w:sz w:val="17"/>
                <w:szCs w:val="17"/>
              </w:rPr>
              <w:t xml:space="preserve">NR</w:t>
            </w:r>
          </w:p>
        </w:tc>
        <w:tc>
          <w:tcPr>
            <w:tcW w:type="dxa" w:w="356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7"/>
                <w:szCs w:val="17"/>
              </w:rPr>
              <w:t xml:space="preserve">Not rateable</w:t>
            </w:r>
          </w:p>
        </w:tc>
        <w:tc>
          <w:tcPr>
            <w:tcW w:type="dxa" w:w="5301"/>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7"/>
                <w:szCs w:val="17"/>
              </w:rPr>
              <w:t xml:space="preserve">Missing, incompatible or insufficiently assured data, or no approved benchmark; different from zero and from failure</w:t>
            </w:r>
          </w:p>
        </w:tc>
      </w:tr>
    </w:tbl>
    <w:p>
      <w:pPr>
        <w:keepNext w:val="false"/>
        <w:spacing w:after="140"/>
      </w:pPr>
    </w:p>
    <w:p>
      <w:pPr>
        <w:pStyle w:val="Heading2"/>
        <w:keepNext/>
        <w:keepLines/>
        <w:spacing w:after="120" w:before="280"/>
      </w:pPr>
      <w:r>
        <w:rPr>
          <w:rFonts w:ascii="Arial" w:cs="Arial" w:eastAsia="Arial" w:hAnsi="Arial"/>
          <w:b/>
          <w:bCs/>
          <w:color w:val="00338D"/>
          <w:sz w:val="28"/>
          <w:szCs w:val="28"/>
        </w:rPr>
        <w:t xml:space="preserve">2.5 Limitations</w:t>
      </w:r>
    </w:p>
    <w:p>
      <w:pPr>
        <w:pStyle w:val="ListParagraph"/>
        <w:numPr>
          <w:ilvl w:val="0"/>
          <w:numId w:val="2"/>
        </w:numPr>
        <w:spacing w:after="60" w:line="264"/>
      </w:pPr>
      <w:r>
        <w:rPr>
          <w:rFonts w:ascii="Arial" w:cs="Arial" w:eastAsia="Arial" w:hAnsi="Arial"/>
          <w:sz w:val="20"/>
          <w:szCs w:val="20"/>
        </w:rPr>
        <w:t xml:space="preserve">This is an analytical study for discussion. It is </w:t>
      </w:r>
      <w:r>
        <w:rPr>
          <w:rFonts w:ascii="Arial" w:cs="Arial" w:eastAsia="Arial" w:hAnsi="Arial"/>
          <w:b/>
          <w:bCs/>
          <w:sz w:val="20"/>
          <w:szCs w:val="20"/>
        </w:rPr>
        <w:t xml:space="preserve">not an audit, a valuation opinion, a legal opinion or an official rating</w:t>
      </w:r>
      <w:r>
        <w:rPr>
          <w:rFonts w:ascii="Arial" w:cs="Arial" w:eastAsia="Arial" w:hAnsi="Arial"/>
          <w:sz w:val="20"/>
          <w:szCs w:val="20"/>
        </w:rPr>
        <w:t xml:space="preserve">, and it does not approve any organisation, appointment or financing structure.</w:t>
      </w:r>
    </w:p>
    <w:p>
      <w:pPr>
        <w:pStyle w:val="ListParagraph"/>
        <w:numPr>
          <w:ilvl w:val="0"/>
          <w:numId w:val="2"/>
        </w:numPr>
        <w:spacing w:after="60" w:line="264"/>
      </w:pPr>
      <w:r>
        <w:rPr>
          <w:rFonts w:ascii="Arial" w:cs="Arial" w:eastAsia="Arial" w:hAnsi="Arial"/>
          <w:sz w:val="20"/>
          <w:szCs w:val="20"/>
        </w:rPr>
        <w:t xml:space="preserve">Public evidence was reviewed as of early October 2026. The Danantara reports page displayed “Coming Soon”; this does not prove that no financial statements exist [D1/S01].</w:t>
      </w:r>
    </w:p>
    <w:p>
      <w:pPr>
        <w:pStyle w:val="ListParagraph"/>
        <w:numPr>
          <w:ilvl w:val="0"/>
          <w:numId w:val="2"/>
        </w:numPr>
        <w:spacing w:after="60" w:line="264"/>
      </w:pPr>
      <w:r>
        <w:rPr>
          <w:rFonts w:ascii="Arial" w:cs="Arial" w:eastAsia="Arial" w:hAnsi="Arial"/>
          <w:sz w:val="20"/>
          <w:szCs w:val="20"/>
        </w:rPr>
        <w:t xml:space="preserve">The 40-project portfolio is a working scope taken from discussion material. It is not a validated register and is not equated with the legally designated list of National Strategic Projects [D2].</w:t>
      </w:r>
    </w:p>
    <w:p>
      <w:pPr>
        <w:pStyle w:val="ListParagraph"/>
        <w:numPr>
          <w:ilvl w:val="0"/>
          <w:numId w:val="2"/>
        </w:numPr>
        <w:spacing w:after="60" w:line="264"/>
      </w:pPr>
      <w:r>
        <w:rPr>
          <w:rFonts w:ascii="Arial" w:cs="Arial" w:eastAsia="Arial" w:hAnsi="Arial"/>
          <w:sz w:val="20"/>
          <w:szCs w:val="20"/>
        </w:rPr>
        <w:t xml:space="preserve">Where source documents contradict each other or themselves, we say so and do not resolve the conflict by assumption. Appendix B lists every discrepancy found.</w:t>
      </w:r>
    </w:p>
    <w:p>
      <w:pPr>
        <w:pStyle w:val="ListParagraph"/>
        <w:numPr>
          <w:ilvl w:val="0"/>
          <w:numId w:val="2"/>
        </w:numPr>
        <w:spacing w:after="60" w:line="264"/>
      </w:pPr>
      <w:r>
        <w:rPr>
          <w:rFonts w:ascii="Arial" w:cs="Arial" w:eastAsia="Arial" w:hAnsi="Arial"/>
          <w:sz w:val="20"/>
          <w:szCs w:val="20"/>
        </w:rPr>
        <w:t xml:space="preserve">Proposed thresholds, weights, timelines and organisational designs are </w:t>
      </w:r>
      <w:r>
        <w:rPr>
          <w:rFonts w:ascii="Arial" w:cs="Arial" w:eastAsia="Arial" w:hAnsi="Arial"/>
          <w:b/>
          <w:bCs/>
          <w:sz w:val="20"/>
          <w:szCs w:val="20"/>
        </w:rPr>
        <w:t xml:space="preserve">recommendations</w:t>
      </w:r>
      <w:r>
        <w:rPr>
          <w:rFonts w:ascii="Arial" w:cs="Arial" w:eastAsia="Arial" w:hAnsi="Arial"/>
          <w:sz w:val="20"/>
          <w:szCs w:val="20"/>
        </w:rPr>
        <w:t xml:space="preserve">, not current Danantara policy.</w:t>
      </w:r>
    </w:p>
    <w:p>
      <w:pPr>
        <w:pageBreakBefore/>
        <w:spacing w:after="0" w:line="240"/>
      </w:pPr>
      <w:r>
        <w:rPr>
          <w:sz w:val="2"/>
          <w:szCs w:val="2"/>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one" w:color="FFFFFF" w:sz="0"/>
              <w:left w:val="none" w:color="FFFFFF" w:sz="0"/>
              <w:bottom w:val="none" w:color="FFFFFF" w:sz="0"/>
              <w:right w:val="none" w:color="FFFFFF" w:sz="0"/>
            </w:tcBorders>
            <w:shd w:fill="00338D" w:color="auto" w:val="clear"/>
            <w:tcMar>
              <w:top w:type="dxa" w:w="260"/>
              <w:left w:type="dxa" w:w="300"/>
              <w:bottom w:type="dxa" w:w="300"/>
              <w:right w:type="dxa" w:w="300"/>
            </w:tcMar>
          </w:tcPr>
          <w:p>
            <w:pPr>
              <w:spacing w:after="0"/>
            </w:pPr>
            <w:r>
              <w:rPr>
                <w:rFonts w:ascii="Arial" w:cs="Arial" w:eastAsia="Arial" w:hAnsi="Arial"/>
                <w:b/>
                <w:bCs/>
                <w:color w:val="9CC7EF"/>
                <w:sz w:val="64"/>
                <w:szCs w:val="64"/>
              </w:rPr>
              <w:t xml:space="preserve">03</w:t>
            </w:r>
          </w:p>
          <w:p>
            <w:pPr>
              <w:pStyle w:val="Heading1"/>
              <w:spacing w:after="100"/>
            </w:pPr>
            <w:r>
              <w:rPr>
                <w:rFonts w:ascii="Arial" w:cs="Arial" w:eastAsia="Arial" w:hAnsi="Arial"/>
                <w:b/>
                <w:bCs/>
                <w:color w:val="FFFFFF"/>
                <w:sz w:val="40"/>
                <w:szCs w:val="40"/>
              </w:rPr>
              <w:t xml:space="preserve">Danantara today: mandate, structure and activity</w:t>
            </w:r>
          </w:p>
          <w:p>
            <w:pPr>
              <w:spacing w:after="0" w:line="276"/>
            </w:pPr>
            <w:r>
              <w:rPr>
                <w:rFonts w:ascii="Arial" w:cs="Arial" w:eastAsia="Arial" w:hAnsi="Arial"/>
                <w:color w:val="FFFFFF"/>
                <w:sz w:val="20"/>
                <w:szCs w:val="20"/>
              </w:rPr>
              <w:t xml:space="preserve">What Danantara is set up to do, how it is organised, and what it has visibly done so far.</w:t>
            </w:r>
          </w:p>
        </w:tc>
      </w:tr>
    </w:tbl>
    <w:p>
      <w:pPr>
        <w:spacing w:after="200"/>
      </w:pPr>
    </w:p>
    <w:p>
      <w:pPr>
        <w:pStyle w:val="Heading2"/>
        <w:keepNext/>
        <w:keepLines/>
        <w:spacing w:after="120" w:before="280"/>
      </w:pPr>
      <w:r>
        <w:rPr>
          <w:rFonts w:ascii="Arial" w:cs="Arial" w:eastAsia="Arial" w:hAnsi="Arial"/>
          <w:b/>
          <w:bCs/>
          <w:color w:val="00338D"/>
          <w:sz w:val="28"/>
          <w:szCs w:val="28"/>
        </w:rPr>
        <w:t xml:space="preserve">3.1 Legal foundation</w:t>
      </w:r>
    </w:p>
    <w:p>
      <w:pPr>
        <w:spacing w:after="110" w:before="0" w:line="264"/>
        <w:jc w:val="left"/>
      </w:pPr>
      <w:r>
        <w:rPr>
          <w:rFonts w:ascii="Arial" w:cs="Arial" w:eastAsia="Arial" w:hAnsi="Arial"/>
          <w:color w:val="000000"/>
          <w:sz w:val="20"/>
          <w:szCs w:val="20"/>
        </w:rPr>
        <w:t xml:space="preserve">Danantara, formally the Badan Pengelola Investasi (BPI) Daya Anagata Nusantara, was established through the amendment of the SOE Law (Law 19/2003) by Law 1/2025. The SOE Law was amended again by Law 16/2025. BPI operates under Government Regulation (PP) 10/2025, as amended by PP 19/2026. Its two organs are the Supervisory Board (Dewan Pengawas) and the Executive Body (Badan Pelaksana), which is led by the Head (Kepala) [D2/R1–R3; Law 1/2025 is public law not cited in D2, to be verified].</w:t>
      </w:r>
    </w:p>
    <w:p>
      <w:pPr>
        <w:spacing w:after="110" w:before="0" w:line="264"/>
        <w:jc w:val="left"/>
      </w:pPr>
      <w:r>
        <w:rPr>
          <w:rFonts w:ascii="Arial" w:cs="Arial" w:eastAsia="Arial" w:hAnsi="Arial"/>
          <w:color w:val="000000"/>
          <w:sz w:val="20"/>
          <w:szCs w:val="20"/>
        </w:rPr>
        <w:t xml:space="preserve">In this report, “BPI level” means the agency level above the three operating arms. The regulations:</w:t>
      </w:r>
    </w:p>
    <w:p>
      <w:pPr>
        <w:pStyle w:val="ListParagraph"/>
        <w:numPr>
          <w:ilvl w:val="0"/>
          <w:numId w:val="2"/>
        </w:numPr>
        <w:spacing w:after="60" w:line="264"/>
      </w:pPr>
      <w:r>
        <w:rPr>
          <w:rFonts w:ascii="Arial" w:cs="Arial" w:eastAsia="Arial" w:hAnsi="Arial"/>
          <w:sz w:val="20"/>
          <w:szCs w:val="20"/>
        </w:rPr>
        <w:t xml:space="preserve">separate the Supervisory Board from the Executive Body;</w:t>
      </w:r>
    </w:p>
    <w:p>
      <w:pPr>
        <w:pStyle w:val="ListParagraph"/>
        <w:numPr>
          <w:ilvl w:val="0"/>
          <w:numId w:val="2"/>
        </w:numPr>
        <w:spacing w:after="60" w:line="264"/>
      </w:pPr>
      <w:r>
        <w:rPr>
          <w:rFonts w:ascii="Arial" w:cs="Arial" w:eastAsia="Arial" w:hAnsi="Arial"/>
          <w:sz w:val="20"/>
          <w:szCs w:val="20"/>
        </w:rPr>
        <w:t xml:space="preserve">place Executive Body decisions with the Head;</w:t>
      </w:r>
    </w:p>
    <w:p>
      <w:pPr>
        <w:pStyle w:val="ListParagraph"/>
        <w:numPr>
          <w:ilvl w:val="0"/>
          <w:numId w:val="2"/>
        </w:numPr>
        <w:spacing w:after="60" w:line="264"/>
      </w:pPr>
      <w:r>
        <w:rPr>
          <w:rFonts w:ascii="Arial" w:cs="Arial" w:eastAsia="Arial" w:hAnsi="Arial"/>
          <w:sz w:val="20"/>
          <w:szCs w:val="20"/>
        </w:rPr>
        <w:t xml:space="preserve">provide for members of the Executive Body to be appointed by the President;</w:t>
      </w:r>
    </w:p>
    <w:p>
      <w:pPr>
        <w:pStyle w:val="ListParagraph"/>
        <w:numPr>
          <w:ilvl w:val="0"/>
          <w:numId w:val="2"/>
        </w:numPr>
        <w:spacing w:after="60" w:line="264"/>
      </w:pPr>
      <w:r>
        <w:rPr>
          <w:rFonts w:ascii="Arial" w:cs="Arial" w:eastAsia="Arial" w:hAnsi="Arial"/>
          <w:sz w:val="20"/>
          <w:szCs w:val="20"/>
        </w:rPr>
        <w:t xml:space="preserve">differentiate the purposes of the investment holdings.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20"/>
        <w:gridCol w:w="4433"/>
        <w:gridCol w:w="3085"/>
      </w:tblGrid>
      <w:tr>
        <w:trPr>
          <w:cantSplit/>
          <w:tblHeader/>
        </w:trPr>
        <w:tc>
          <w:tcPr>
            <w:tcW w:type="dxa" w:w="2120"/>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Provision</w:t>
            </w:r>
          </w:p>
        </w:tc>
        <w:tc>
          <w:tcPr>
            <w:tcW w:type="dxa" w:w="4433"/>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What it establishes</w:t>
            </w:r>
          </w:p>
        </w:tc>
        <w:tc>
          <w:tcPr>
            <w:tcW w:type="dxa" w:w="3085"/>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Relevance to this study</w:t>
            </w:r>
          </w:p>
        </w:tc>
      </w:tr>
      <w:tr>
        <w:trPr>
          <w:cantSplit/>
        </w:trPr>
        <w:tc>
          <w:tcPr>
            <w:tcW w:type="dxa" w:w="212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pPr>
            <w:r>
              <w:rPr>
                <w:rFonts w:ascii="Arial" w:cs="Arial" w:eastAsia="Arial" w:hAnsi="Arial"/>
                <w:b/>
                <w:bCs/>
                <w:color w:val="000000"/>
                <w:sz w:val="17"/>
                <w:szCs w:val="17"/>
              </w:rPr>
              <w:t xml:space="preserve">PP 10/2025 Art. 12–18</w:t>
            </w:r>
          </w:p>
        </w:tc>
        <w:tc>
          <w:tcPr>
            <w:tcW w:type="dxa" w:w="4433"/>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7"/>
                <w:szCs w:val="17"/>
              </w:rPr>
              <w:t xml:space="preserve">Organs, membership and decision-making of the Executive Body; Head takes Executive Body decisions (Art. 18); members appointed by the President (Art. 13); risk portfolio assigned to a member (Art. 14)</w:t>
            </w:r>
          </w:p>
        </w:tc>
        <w:tc>
          <w:tcPr>
            <w:tcW w:type="dxa" w:w="3085"/>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7"/>
                <w:szCs w:val="17"/>
              </w:rPr>
              <w:t xml:space="preserve">Any new senior role must fit this structure; a title does not by itself transfer decision rights</w:t>
            </w:r>
          </w:p>
        </w:tc>
      </w:tr>
      <w:tr>
        <w:trPr>
          <w:cantSplit/>
        </w:trPr>
        <w:tc>
          <w:tcPr>
            <w:tcW w:type="dxa" w:w="212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pPr>
            <w:r>
              <w:rPr>
                <w:rFonts w:ascii="Arial" w:cs="Arial" w:eastAsia="Arial" w:hAnsi="Arial"/>
                <w:b/>
                <w:bCs/>
                <w:color w:val="000000"/>
                <w:sz w:val="17"/>
                <w:szCs w:val="17"/>
              </w:rPr>
              <w:t xml:space="preserve">PP 19/2026 Art. 21A, 21B, 29A–29C, 32A</w:t>
            </w:r>
          </w:p>
        </w:tc>
        <w:tc>
          <w:tcPr>
            <w:tcW w:type="dxa" w:w="4433"/>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7"/>
                <w:szCs w:val="17"/>
              </w:rPr>
              <w:t xml:space="preserve">Planning, holding purposes and transitional provisions; Art. 32A starts certain plan submissions from financial year 2028</w:t>
            </w:r>
          </w:p>
        </w:tc>
        <w:tc>
          <w:tcPr>
            <w:tcW w:type="dxa" w:w="3085"/>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7"/>
                <w:szCs w:val="17"/>
              </w:rPr>
              <w:t xml:space="preserve">Does not defer all governance obligations to 2028; does not explicitly create a Deputy Head position</w:t>
            </w:r>
          </w:p>
        </w:tc>
      </w:tr>
      <w:tr>
        <w:trPr>
          <w:cantSplit/>
        </w:trPr>
        <w:tc>
          <w:tcPr>
            <w:tcW w:type="dxa" w:w="212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pPr>
            <w:r>
              <w:rPr>
                <w:rFonts w:ascii="Arial" w:cs="Arial" w:eastAsia="Arial" w:hAnsi="Arial"/>
                <w:b/>
                <w:bCs/>
                <w:color w:val="000000"/>
                <w:sz w:val="17"/>
                <w:szCs w:val="17"/>
              </w:rPr>
              <w:t xml:space="preserve">Law 16/2025</w:t>
            </w:r>
          </w:p>
        </w:tc>
        <w:tc>
          <w:tcPr>
            <w:tcW w:type="dxa" w:w="4433"/>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7"/>
                <w:szCs w:val="17"/>
              </w:rPr>
              <w:t xml:space="preserve">Amends Arts. 3X, 3Y, 3AA; deletes Art. 9G</w:t>
            </w:r>
          </w:p>
        </w:tc>
        <w:tc>
          <w:tcPr>
            <w:tcW w:type="dxa" w:w="3085"/>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7"/>
                <w:szCs w:val="17"/>
              </w:rPr>
              <w:t xml:space="preserve">Business judgement protection (Art. 3Y) is conditional, not immunity; arguments relying on Art. 9G must be updated</w:t>
            </w:r>
          </w:p>
        </w:tc>
      </w:tr>
    </w:tbl>
    <w:p>
      <w:pPr>
        <w:keepNext w:val="false"/>
        <w:spacing w:after="140"/>
      </w:pPr>
    </w:p>
    <w:p>
      <w:pPr>
        <w:spacing w:after="80" w:before="0" w:line="264"/>
        <w:jc w:val="left"/>
      </w:pPr>
      <w:r>
        <w:rPr>
          <w:rFonts w:ascii="Arial" w:cs="Arial" w:eastAsia="Arial" w:hAnsi="Arial"/>
          <w:color w:val="000000"/>
          <w:sz w:val="16"/>
          <w:szCs w:val="16"/>
        </w:rPr>
        <w:t xml:space="preserve">Legal summaries are taken from D2 and are not a legal opinion. Article references should be verified by Danantara Legal before reliance.</w:t>
      </w:r>
    </w:p>
    <w:p>
      <w:pPr>
        <w:pStyle w:val="Heading2"/>
        <w:keepNext/>
        <w:keepLines/>
        <w:spacing w:after="120" w:before="280"/>
      </w:pPr>
      <w:r>
        <w:rPr>
          <w:rFonts w:ascii="Arial" w:cs="Arial" w:eastAsia="Arial" w:hAnsi="Arial"/>
          <w:b/>
          <w:bCs/>
          <w:color w:val="00338D"/>
          <w:sz w:val="28"/>
          <w:szCs w:val="28"/>
        </w:rPr>
        <w:t xml:space="preserve">3.2 Organisation</w:t>
      </w:r>
    </w:p>
    <w:p>
      <w:pPr>
        <w:spacing w:after="110" w:before="0" w:line="264"/>
        <w:jc w:val="left"/>
      </w:pPr>
      <w:r>
        <w:rPr>
          <w:rFonts w:ascii="Arial" w:cs="Arial" w:eastAsia="Arial" w:hAnsi="Arial"/>
          <w:color w:val="000000"/>
          <w:sz w:val="20"/>
          <w:szCs w:val="20"/>
        </w:rPr>
        <w:t xml:space="preserve">The Danantara ecosystem comprises BPI, led by its Executive Body, and three operating arms. The COO, CIO and CTO of BPI also head the three arms, which creates dual capacities that must be managed through separate decision documents and conflict rules [D2/R4–R7].</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2"/>
        <w:gridCol w:w="3855"/>
        <w:gridCol w:w="3181"/>
      </w:tblGrid>
      <w:tr>
        <w:trPr>
          <w:cantSplit/>
          <w:tblHeader/>
        </w:trPr>
        <w:tc>
          <w:tcPr>
            <w:tcW w:type="dxa" w:w="2602"/>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Unit</w:t>
            </w:r>
          </w:p>
        </w:tc>
        <w:tc>
          <w:tcPr>
            <w:tcW w:type="dxa" w:w="3855"/>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Mandate</w:t>
            </w:r>
          </w:p>
        </w:tc>
        <w:tc>
          <w:tcPr>
            <w:tcW w:type="dxa" w:w="3181"/>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Primary performance question</w:t>
            </w:r>
          </w:p>
        </w:tc>
      </w:tr>
      <w:tr>
        <w:trPr>
          <w:cantSplit/>
        </w:trPr>
        <w:tc>
          <w:tcPr>
            <w:tcW w:type="dxa" w:w="260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7"/>
                <w:szCs w:val="17"/>
              </w:rPr>
              <w:t xml:space="preserve">BPI (led by the Executive Body)</w:t>
            </w:r>
          </w:p>
        </w:tc>
        <w:tc>
          <w:tcPr>
            <w:tcW w:type="dxa" w:w="3855"/>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7"/>
                <w:szCs w:val="17"/>
              </w:rPr>
              <w:t xml:space="preserve">Strategy, portfolio, risk, finance, technology; Head takes Executive Body decisions</w:t>
            </w:r>
          </w:p>
        </w:tc>
        <w:tc>
          <w:tcPr>
            <w:tcW w:type="dxa" w:w="3181"/>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7"/>
                <w:szCs w:val="17"/>
              </w:rPr>
              <w:t xml:space="preserve">Is the ecosystem as a whole creating value above its cost of capital and delivering its development mandate?</w:t>
            </w:r>
          </w:p>
        </w:tc>
      </w:tr>
      <w:tr>
        <w:trPr>
          <w:cantSplit/>
        </w:trPr>
        <w:tc>
          <w:tcPr>
            <w:tcW w:type="dxa" w:w="260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7"/>
                <w:szCs w:val="17"/>
              </w:rPr>
              <w:t xml:space="preserve">DAM: Danantara Asset Management (led by the COO)</w:t>
            </w:r>
          </w:p>
        </w:tc>
        <w:tc>
          <w:tcPr>
            <w:tcW w:type="dxa" w:w="3855"/>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7"/>
                <w:szCs w:val="17"/>
              </w:rPr>
              <w:t xml:space="preserve">Ownership and transformation of the operating SOE portfolio</w:t>
            </w:r>
          </w:p>
        </w:tc>
        <w:tc>
          <w:tcPr>
            <w:tcW w:type="dxa" w:w="3181"/>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7"/>
                <w:szCs w:val="17"/>
              </w:rPr>
              <w:t xml:space="preserve">Are SOEs becoming more productive and generating economic profit?</w:t>
            </w:r>
          </w:p>
        </w:tc>
      </w:tr>
      <w:tr>
        <w:trPr>
          <w:cantSplit/>
        </w:trPr>
        <w:tc>
          <w:tcPr>
            <w:tcW w:type="dxa" w:w="260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7"/>
                <w:szCs w:val="17"/>
              </w:rPr>
              <w:t xml:space="preserve">DIM: Danantara Investment Management (led by the CIO)</w:t>
            </w:r>
          </w:p>
        </w:tc>
        <w:tc>
          <w:tcPr>
            <w:tcW w:type="dxa" w:w="3855"/>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7"/>
                <w:szCs w:val="17"/>
              </w:rPr>
              <w:t xml:space="preserve">Commercial investment, capital allocation and investment partnerships; issued the US$1.5 bn notes</w:t>
            </w:r>
          </w:p>
        </w:tc>
        <w:tc>
          <w:tcPr>
            <w:tcW w:type="dxa" w:w="3181"/>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7"/>
                <w:szCs w:val="17"/>
              </w:rPr>
              <w:t xml:space="preserve">Are investments earning net returns above an appropriate benchmark?</w:t>
            </w:r>
          </w:p>
        </w:tc>
      </w:tr>
      <w:tr>
        <w:trPr>
          <w:cantSplit/>
        </w:trPr>
        <w:tc>
          <w:tcPr>
            <w:tcW w:type="dxa" w:w="260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pPr>
            <w:r>
              <w:rPr>
                <w:rFonts w:ascii="Arial" w:cs="Arial" w:eastAsia="Arial" w:hAnsi="Arial"/>
                <w:b/>
                <w:bCs/>
                <w:color w:val="000000"/>
                <w:sz w:val="17"/>
                <w:szCs w:val="17"/>
              </w:rPr>
              <w:t xml:space="preserve">DDMF: Danantara Development Management Fund (led by the CTO)</w:t>
            </w:r>
          </w:p>
        </w:tc>
        <w:tc>
          <w:tcPr>
            <w:tcW w:type="dxa" w:w="3855"/>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7"/>
                <w:szCs w:val="17"/>
              </w:rPr>
              <w:t xml:space="preserve">Project preparation, structuring, capital mobilisation and delivery for national development and public services</w:t>
            </w:r>
          </w:p>
        </w:tc>
        <w:tc>
          <w:tcPr>
            <w:tcW w:type="dxa" w:w="3181"/>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7"/>
                <w:szCs w:val="17"/>
              </w:rPr>
              <w:t xml:space="preserve">Are development projects economically justified and delivered, with public support quantified?</w:t>
            </w:r>
          </w:p>
        </w:tc>
      </w:tr>
    </w:tbl>
    <w:p>
      <w:pPr>
        <w:keepNext w:val="false"/>
        <w:spacing w:after="140"/>
      </w:pPr>
    </w:p>
    <w:p>
      <w:pPr>
        <w:spacing w:after="110" w:before="0" w:line="264"/>
        <w:jc w:val="left"/>
      </w:pPr>
      <w:r>
        <w:rPr>
          <w:rFonts w:ascii="Arial" w:cs="Arial" w:eastAsia="Arial" w:hAnsi="Arial"/>
          <w:color w:val="000000"/>
          <w:sz w:val="20"/>
          <w:szCs w:val="20"/>
        </w:rPr>
        <w:t xml:space="preserve">BPI's published structure already includes a CTO and Managing Directors for Industrialization, Technology Advancement and Strategic Technology Initiatives [D2/R4]. The capability gap is therefore not the absence of named functions. It is the absence of a portfolio layer that integrates them across arms around specific projects and suppliers.</w:t>
      </w:r>
    </w:p>
    <w:p>
      <w:pPr>
        <w:pStyle w:val="Heading2"/>
        <w:keepNext/>
        <w:keepLines/>
        <w:spacing w:after="120" w:before="280"/>
      </w:pPr>
      <w:r>
        <w:rPr>
          <w:rFonts w:ascii="Arial" w:cs="Arial" w:eastAsia="Arial" w:hAnsi="Arial"/>
          <w:b/>
          <w:bCs/>
          <w:color w:val="00338D"/>
          <w:sz w:val="28"/>
          <w:szCs w:val="28"/>
        </w:rPr>
        <w:t xml:space="preserve">3.3 2026 investment plan and priorities</w:t>
      </w:r>
    </w:p>
    <w:p>
      <w:pPr>
        <w:spacing w:after="110" w:before="0" w:line="264"/>
        <w:jc w:val="left"/>
      </w:pPr>
      <w:r>
        <w:rPr>
          <w:rFonts w:ascii="Arial" w:cs="Arial" w:eastAsia="Arial" w:hAnsi="Arial"/>
          <w:color w:val="000000"/>
          <w:sz w:val="20"/>
          <w:szCs w:val="20"/>
        </w:rPr>
        <w:t xml:space="preserve">Danantara's 2026 plan targets investment of </w:t>
      </w:r>
      <w:r>
        <w:rPr>
          <w:rFonts w:ascii="Arial" w:cs="Arial" w:eastAsia="Arial" w:hAnsi="Arial"/>
          <w:b/>
          <w:bCs/>
          <w:color w:val="000000"/>
          <w:sz w:val="20"/>
          <w:szCs w:val="20"/>
        </w:rPr>
        <w:t xml:space="preserve">up to US$14 billion</w:t>
      </w:r>
      <w:r>
        <w:rPr>
          <w:rFonts w:ascii="Arial" w:cs="Arial" w:eastAsia="Arial" w:hAnsi="Arial"/>
          <w:color w:val="000000"/>
          <w:sz w:val="20"/>
          <w:szCs w:val="20"/>
        </w:rPr>
        <w:t xml:space="preserve">, split roughly </w:t>
      </w:r>
      <w:r>
        <w:rPr>
          <w:rFonts w:ascii="Arial" w:cs="Arial" w:eastAsia="Arial" w:hAnsi="Arial"/>
          <w:b/>
          <w:bCs/>
          <w:color w:val="000000"/>
          <w:sz w:val="20"/>
          <w:szCs w:val="20"/>
        </w:rPr>
        <w:t xml:space="preserve">50% public markets</w:t>
      </w:r>
      <w:r>
        <w:rPr>
          <w:rFonts w:ascii="Arial" w:cs="Arial" w:eastAsia="Arial" w:hAnsi="Arial"/>
          <w:color w:val="000000"/>
          <w:sz w:val="20"/>
          <w:szCs w:val="20"/>
        </w:rPr>
        <w:t xml:space="preserve"> and </w:t>
      </w:r>
      <w:r>
        <w:rPr>
          <w:rFonts w:ascii="Arial" w:cs="Arial" w:eastAsia="Arial" w:hAnsi="Arial"/>
          <w:b/>
          <w:bCs/>
          <w:color w:val="000000"/>
          <w:sz w:val="20"/>
          <w:szCs w:val="20"/>
        </w:rPr>
        <w:t xml:space="preserve">50% strategic projects in the real sector</w:t>
      </w:r>
      <w:r>
        <w:rPr>
          <w:rFonts w:ascii="Arial" w:cs="Arial" w:eastAsia="Arial" w:hAnsi="Arial"/>
          <w:color w:val="000000"/>
          <w:sz w:val="20"/>
          <w:szCs w:val="20"/>
        </w:rPr>
        <w:t xml:space="preserve">. Stated priorities are renewable energy, digital infrastructure, health and food security. The broader strategic sectors named are mineral downstreaming, renewable energy, chemicals, data centres, food security, waste-to-energy and agriculture [D3 p.1].</w:t>
      </w:r>
    </w:p>
    <w:p>
      <w:pPr>
        <w:spacing w:after="110" w:before="0" w:line="264"/>
        <w:jc w:val="left"/>
      </w:pPr>
      <w:r>
        <w:rPr>
          <w:rFonts w:ascii="Arial" w:cs="Arial" w:eastAsia="Arial" w:hAnsi="Arial"/>
          <w:color w:val="000000"/>
          <w:sz w:val="20"/>
          <w:szCs w:val="20"/>
        </w:rPr>
        <w:t xml:space="preserve">A 50/50 split is reasonable for liquidity and diversification. But public-market investment, on its own, does not create new production capacity, Indonesian technology, domestic machines and components, or significant industrial value added [D3 p.1]. The strategic half of the plan is where the industrialisation mandate will succeed or fail.</w:t>
      </w:r>
    </w:p>
    <w:p>
      <w:pPr>
        <w:pStyle w:val="Heading2"/>
        <w:keepNext/>
        <w:keepLines/>
        <w:spacing w:after="120" w:before="280"/>
      </w:pPr>
      <w:r>
        <w:rPr>
          <w:rFonts w:ascii="Arial" w:cs="Arial" w:eastAsia="Arial" w:hAnsi="Arial"/>
          <w:b/>
          <w:bCs/>
          <w:color w:val="00338D"/>
          <w:sz w:val="28"/>
          <w:szCs w:val="28"/>
        </w:rPr>
        <w:t xml:space="preserve">3.4 Visible activity to date</w:t>
      </w:r>
    </w:p>
    <w:p>
      <w:pPr>
        <w:keepNext/>
        <w:spacing w:after="80" w:before="120"/>
      </w:pPr>
      <w:r>
        <w:rPr>
          <w:rFonts w:ascii="Arial" w:cs="Arial" w:eastAsia="Arial" w:hAnsi="Arial"/>
          <w:b/>
          <w:bCs/>
          <w:color w:val="00338D"/>
          <w:sz w:val="18"/>
          <w:szCs w:val="18"/>
        </w:rPr>
        <w:t xml:space="preserve">Table 2: </w:t>
      </w:r>
      <w:r>
        <w:rPr>
          <w:rFonts w:ascii="Arial" w:cs="Arial" w:eastAsia="Arial" w:hAnsi="Arial"/>
          <w:b/>
          <w:bCs/>
          <w:color w:val="00338D"/>
          <w:sz w:val="18"/>
          <w:szCs w:val="18"/>
        </w:rPr>
        <w:t xml:space="preserve">What public evidence shows, and what it does not yet show</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855"/>
        <w:gridCol w:w="675"/>
        <w:gridCol w:w="2410"/>
        <w:gridCol w:w="2698"/>
      </w:tblGrid>
      <w:tr>
        <w:trPr>
          <w:cantSplit/>
          <w:tblHeader/>
        </w:trPr>
        <w:tc>
          <w:tcPr>
            <w:tcW w:type="dxa" w:w="3855"/>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Evidence</w:t>
            </w:r>
          </w:p>
        </w:tc>
        <w:tc>
          <w:tcPr>
            <w:tcW w:type="dxa" w:w="675"/>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Class</w:t>
            </w:r>
          </w:p>
        </w:tc>
        <w:tc>
          <w:tcPr>
            <w:tcW w:type="dxa" w:w="2410"/>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What it shows</w:t>
            </w:r>
          </w:p>
        </w:tc>
        <w:tc>
          <w:tcPr>
            <w:tcW w:type="dxa" w:w="2698"/>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Test still outstanding</w:t>
            </w:r>
          </w:p>
        </w:tc>
      </w:tr>
      <w:tr>
        <w:trPr>
          <w:cantSplit/>
        </w:trPr>
        <w:tc>
          <w:tcPr>
            <w:tcW w:type="dxa" w:w="3855"/>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7"/>
                <w:szCs w:val="17"/>
              </w:rPr>
              <w:t xml:space="preserve">US$1.5 bn DIM international notes, June 2026: two US$750 m tranches at 5.35% and 5.95%; issuer-reported spreads 32 and 34 bps; peak orders ~US$4.6 bn [D1/S05]</w:t>
            </w:r>
          </w:p>
        </w:tc>
        <w:tc>
          <w:tcPr>
            <w:tcW w:type="dxa" w:w="675"/>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7"/>
                <w:szCs w:val="17"/>
              </w:rPr>
              <w:t xml:space="preserve">B</w:t>
            </w:r>
          </w:p>
        </w:tc>
        <w:tc>
          <w:tcPr>
            <w:tcW w:type="dxa" w:w="241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7"/>
                <w:szCs w:val="17"/>
              </w:rPr>
              <w:t xml:space="preserve">Market access at a principal-weighted 5.65% yield, ~33 bps average spread and ~3.07× cover</w:t>
            </w:r>
          </w:p>
        </w:tc>
        <w:tc>
          <w:tcPr>
            <w:tcW w:type="dxa" w:w="269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7"/>
                <w:szCs w:val="17"/>
              </w:rPr>
              <w:t xml:space="preserve">All-in cost after fees and hedging; use of proceeds; returns on the assets funded</w:t>
            </w:r>
          </w:p>
        </w:tc>
      </w:tr>
      <w:tr>
        <w:trPr>
          <w:cantSplit/>
        </w:trPr>
        <w:tc>
          <w:tcPr>
            <w:tcW w:type="dxa" w:w="3855"/>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7"/>
                <w:szCs w:val="17"/>
              </w:rPr>
              <w:t xml:space="preserve">Danantara and INA conditional subscription of US$200 m in an US$800 m CA–EDC chemicals project, March 2026 [D1/S06]</w:t>
            </w:r>
          </w:p>
        </w:tc>
        <w:tc>
          <w:tcPr>
            <w:tcW w:type="dxa" w:w="675"/>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7"/>
                <w:szCs w:val="17"/>
              </w:rPr>
              <w:t xml:space="preserve">C</w:t>
            </w:r>
          </w:p>
        </w:tc>
        <w:tc>
          <w:tcPr>
            <w:tcW w:type="dxa" w:w="241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7"/>
                <w:szCs w:val="17"/>
              </w:rPr>
              <w:t xml:space="preserve">A capital-commitment stage equal to 25% of project value; operations targeted 2027</w:t>
            </w:r>
          </w:p>
        </w:tc>
        <w:tc>
          <w:tcPr>
            <w:tcW w:type="dxa" w:w="2698"/>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7"/>
                <w:szCs w:val="17"/>
              </w:rPr>
              <w:t xml:space="preserve">Conditions satisfied; individual capital split; cash paid; import substitution actually achieved</w:t>
            </w:r>
          </w:p>
        </w:tc>
      </w:tr>
      <w:tr>
        <w:trPr>
          <w:cantSplit/>
        </w:trPr>
        <w:tc>
          <w:tcPr>
            <w:tcW w:type="dxa" w:w="3855"/>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7"/>
                <w:szCs w:val="17"/>
              </w:rPr>
              <w:t xml:space="preserve">PSEL Bogor Raya 1 waste-to-energy: construction inauguration and PPA, September 2026; Rp2.8 tn; 1,500 t/day [D1/S07]</w:t>
            </w:r>
          </w:p>
        </w:tc>
        <w:tc>
          <w:tcPr>
            <w:tcW w:type="dxa" w:w="675"/>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7"/>
                <w:szCs w:val="17"/>
              </w:rPr>
              <w:t xml:space="preserve">C</w:t>
            </w:r>
          </w:p>
        </w:tc>
        <w:tc>
          <w:tcPr>
            <w:tcW w:type="dxa" w:w="241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7"/>
                <w:szCs w:val="17"/>
              </w:rPr>
              <w:t xml:space="preserve">A substantive development milestone; operations targeted mid-2028</w:t>
            </w:r>
          </w:p>
        </w:tc>
        <w:tc>
          <w:tcPr>
            <w:tcW w:type="dxa" w:w="269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7"/>
                <w:szCs w:val="17"/>
              </w:rPr>
              <w:t xml:space="preserve">Certified physical progress, full financing, commissioning, sustained output</w:t>
            </w:r>
          </w:p>
        </w:tc>
      </w:tr>
      <w:tr>
        <w:trPr>
          <w:cantSplit/>
        </w:trPr>
        <w:tc>
          <w:tcPr>
            <w:tcW w:type="dxa" w:w="3855"/>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7"/>
                <w:szCs w:val="17"/>
              </w:rPr>
              <w:t xml:space="preserve">Six Phase-I downstream groundbreakings, total announced value up to US$7 bn (MIND ID, Feb 2026) [D1/S08]</w:t>
            </w:r>
          </w:p>
        </w:tc>
        <w:tc>
          <w:tcPr>
            <w:tcW w:type="dxa" w:w="675"/>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7"/>
                <w:szCs w:val="17"/>
              </w:rPr>
              <w:t xml:space="preserve">C</w:t>
            </w:r>
          </w:p>
        </w:tc>
        <w:tc>
          <w:tcPr>
            <w:tcW w:type="dxa" w:w="241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7"/>
                <w:szCs w:val="17"/>
              </w:rPr>
              <w:t xml:space="preserve">Programme activation</w:t>
            </w:r>
          </w:p>
        </w:tc>
        <w:tc>
          <w:tcPr>
            <w:tcW w:type="dxa" w:w="2698"/>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7"/>
                <w:szCs w:val="17"/>
              </w:rPr>
              <w:t xml:space="preserve">Stage, financing share and benefits per project; not US$7 bn disbursed by Danantara</w:t>
            </w:r>
          </w:p>
        </w:tc>
      </w:tr>
      <w:tr>
        <w:trPr>
          <w:cantSplit/>
        </w:trPr>
        <w:tc>
          <w:tcPr>
            <w:tcW w:type="dxa" w:w="3855"/>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7"/>
                <w:szCs w:val="17"/>
              </w:rPr>
              <w:t xml:space="preserve">Eight Batch-II waste-to-energy conditional awards, July 2026 [D1/S30]</w:t>
            </w:r>
          </w:p>
        </w:tc>
        <w:tc>
          <w:tcPr>
            <w:tcW w:type="dxa" w:w="675"/>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7"/>
                <w:szCs w:val="17"/>
              </w:rPr>
              <w:t xml:space="preserve">C</w:t>
            </w:r>
          </w:p>
        </w:tc>
        <w:tc>
          <w:tcPr>
            <w:tcW w:type="dxa" w:w="241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7"/>
                <w:szCs w:val="17"/>
              </w:rPr>
              <w:t xml:space="preserve">Pipeline progression</w:t>
            </w:r>
          </w:p>
        </w:tc>
        <w:tc>
          <w:tcPr>
            <w:tcW w:type="dxa" w:w="269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7"/>
                <w:szCs w:val="17"/>
              </w:rPr>
              <w:t xml:space="preserve">Eight conditional awards are not eight operating plants</w:t>
            </w:r>
          </w:p>
        </w:tc>
      </w:tr>
      <w:tr>
        <w:trPr>
          <w:cantSplit/>
        </w:trPr>
        <w:tc>
          <w:tcPr>
            <w:tcW w:type="dxa" w:w="3855"/>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7"/>
                <w:szCs w:val="17"/>
              </w:rPr>
              <w:t xml:space="preserve">Governance and accounting review announced March 2026 [D1/S04]</w:t>
            </w:r>
          </w:p>
        </w:tc>
        <w:tc>
          <w:tcPr>
            <w:tcW w:type="dxa" w:w="675"/>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7"/>
                <w:szCs w:val="17"/>
              </w:rPr>
              <w:t xml:space="preserve">C</w:t>
            </w:r>
          </w:p>
        </w:tc>
        <w:tc>
          <w:tcPr>
            <w:tcW w:type="dxa" w:w="241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7"/>
                <w:szCs w:val="17"/>
              </w:rPr>
              <w:t xml:space="preserve">Reform action consistent with an asset-quality review</w:t>
            </w:r>
          </w:p>
        </w:tc>
        <w:tc>
          <w:tcPr>
            <w:tcW w:type="dxa" w:w="2698"/>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7"/>
                <w:szCs w:val="17"/>
              </w:rPr>
              <w:t xml:space="preserve">Verified operating gains, completed remediation, durable controls</w:t>
            </w:r>
          </w:p>
        </w:tc>
      </w:tr>
      <w:tr>
        <w:trPr>
          <w:cantSplit/>
        </w:trPr>
        <w:tc>
          <w:tcPr>
            <w:tcW w:type="dxa" w:w="3855"/>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pPr>
            <w:r>
              <w:rPr>
                <w:rFonts w:ascii="Arial" w:cs="Arial" w:eastAsia="Arial" w:hAnsi="Arial"/>
                <w:color w:val="000000"/>
                <w:sz w:val="17"/>
                <w:szCs w:val="17"/>
              </w:rPr>
              <w:t xml:space="preserve">Statement of 2 July 2026 that SOEs completed FY2025 statements and consolidation continues; official statement of 12 May 2026 on consolidation and audit [D1/S02; D2/R8]</w:t>
            </w:r>
          </w:p>
        </w:tc>
        <w:tc>
          <w:tcPr>
            <w:tcW w:type="dxa" w:w="675"/>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pPr>
            <w:r>
              <w:rPr>
                <w:rFonts w:ascii="Arial" w:cs="Arial" w:eastAsia="Arial" w:hAnsi="Arial"/>
                <w:color w:val="000000"/>
                <w:sz w:val="17"/>
                <w:szCs w:val="17"/>
              </w:rPr>
              <w:t xml:space="preserve">B</w:t>
            </w:r>
          </w:p>
        </w:tc>
        <w:tc>
          <w:tcPr>
            <w:tcW w:type="dxa" w:w="241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pPr>
            <w:r>
              <w:rPr>
                <w:rFonts w:ascii="Arial" w:cs="Arial" w:eastAsia="Arial" w:hAnsi="Arial"/>
                <w:color w:val="000000"/>
                <w:sz w:val="17"/>
                <w:szCs w:val="17"/>
              </w:rPr>
              <w:t xml:space="preserve">Reporting process under way</w:t>
            </w:r>
          </w:p>
        </w:tc>
        <w:tc>
          <w:tcPr>
            <w:tcW w:type="dxa" w:w="269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pPr>
            <w:r>
              <w:rPr>
                <w:rFonts w:ascii="Arial" w:cs="Arial" w:eastAsia="Arial" w:hAnsi="Arial"/>
                <w:color w:val="000000"/>
                <w:sz w:val="17"/>
                <w:szCs w:val="17"/>
              </w:rPr>
              <w:t xml:space="preserve">Audited consolidated statements and a portfolio return series</w:t>
            </w:r>
          </w:p>
        </w:tc>
      </w:tr>
    </w:tbl>
    <w:p>
      <w:pPr>
        <w:keepNext w:val="false"/>
        <w:spacing w:after="14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single" w:color="005EB8" w:sz="8"/>
              <w:left w:val="single" w:color="005EB8" w:sz="8"/>
              <w:bottom w:val="single" w:color="005EB8" w:sz="8"/>
              <w:right w:val="single" w:color="005EB8" w:sz="8"/>
            </w:tcBorders>
            <w:tcMar>
              <w:top w:type="dxa" w:w="160"/>
              <w:left w:type="dxa" w:w="220"/>
              <w:bottom w:type="dxa" w:w="120"/>
              <w:right w:type="dxa" w:w="220"/>
            </w:tcMar>
          </w:tcPr>
          <w:p>
            <w:pPr>
              <w:keepNext/>
              <w:spacing w:after="80"/>
            </w:pPr>
            <w:r>
              <w:rPr>
                <w:rFonts w:ascii="Arial" w:cs="Arial" w:eastAsia="Arial" w:hAnsi="Arial"/>
                <w:b/>
                <w:bCs/>
                <w:color w:val="00338D"/>
                <w:sz w:val="20"/>
                <w:szCs w:val="20"/>
              </w:rPr>
              <w:t xml:space="preserve">Reading announcements correctly</w:t>
            </w:r>
          </w:p>
          <w:p>
            <w:pPr>
              <w:spacing w:after="80" w:line="264"/>
            </w:pPr>
            <w:r>
              <w:rPr>
                <w:rFonts w:ascii="Arial" w:cs="Arial" w:eastAsia="Arial" w:hAnsi="Arial"/>
                <w:color w:val="000000"/>
                <w:sz w:val="19"/>
                <w:szCs w:val="19"/>
              </w:rPr>
              <w:t xml:space="preserve">A signed power-purchase agreement does not establish financial close. A construction inauguration does not establish earned progress. A transfer of asset ownership does not establish appreciation. Higher dividend collection may reflect payout decisions or legacy earnings rather than productivity [D1].</w:t>
            </w:r>
          </w:p>
        </w:tc>
      </w:tr>
    </w:tbl>
    <w:p>
      <w:pPr>
        <w:spacing w:after="160"/>
      </w:pPr>
    </w:p>
    <w:p>
      <w:pPr>
        <w:pStyle w:val="Heading2"/>
        <w:keepNext/>
        <w:keepLines/>
        <w:spacing w:after="120" w:before="280"/>
      </w:pPr>
      <w:r>
        <w:rPr>
          <w:rFonts w:ascii="Arial" w:cs="Arial" w:eastAsia="Arial" w:hAnsi="Arial"/>
          <w:b/>
          <w:bCs/>
          <w:color w:val="00338D"/>
          <w:sz w:val="28"/>
          <w:szCs w:val="28"/>
        </w:rPr>
        <w:t xml:space="preserve">3.5 Milestones in the sources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42"/>
        <w:gridCol w:w="6361"/>
        <w:gridCol w:w="1735"/>
      </w:tblGrid>
      <w:tr>
        <w:trPr>
          <w:cantSplit/>
          <w:tblHeader/>
        </w:trPr>
        <w:tc>
          <w:tcPr>
            <w:tcW w:type="dxa" w:w="1542"/>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Date</w:t>
            </w:r>
          </w:p>
        </w:tc>
        <w:tc>
          <w:tcPr>
            <w:tcW w:type="dxa" w:w="6361"/>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Milestone</w:t>
            </w:r>
          </w:p>
        </w:tc>
        <w:tc>
          <w:tcPr>
            <w:tcW w:type="dxa" w:w="1735"/>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Source</w:t>
            </w:r>
          </w:p>
        </w:tc>
      </w:tr>
      <w:tr>
        <w:trPr>
          <w:cantSplit/>
        </w:trPr>
        <w:tc>
          <w:tcPr>
            <w:tcW w:type="dxa" w:w="154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7"/>
                <w:szCs w:val="17"/>
              </w:rPr>
              <w:t xml:space="preserve">1 Dec 2025</w:t>
            </w:r>
          </w:p>
        </w:tc>
        <w:tc>
          <w:tcPr>
            <w:tcW w:type="dxa" w:w="6361"/>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7"/>
                <w:szCs w:val="17"/>
              </w:rPr>
              <w:t xml:space="preserve">2026 work plan and budget published</w:t>
            </w:r>
          </w:p>
        </w:tc>
        <w:tc>
          <w:tcPr>
            <w:tcW w:type="dxa" w:w="1735"/>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7"/>
                <w:szCs w:val="17"/>
              </w:rPr>
              <w:t xml:space="preserve">D1/S03</w:t>
            </w:r>
          </w:p>
        </w:tc>
      </w:tr>
      <w:tr>
        <w:trPr>
          <w:cantSplit/>
        </w:trPr>
        <w:tc>
          <w:tcPr>
            <w:tcW w:type="dxa" w:w="154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7"/>
                <w:szCs w:val="17"/>
              </w:rPr>
              <w:t xml:space="preserve">6 Feb 2026</w:t>
            </w:r>
          </w:p>
        </w:tc>
        <w:tc>
          <w:tcPr>
            <w:tcW w:type="dxa" w:w="6361"/>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7"/>
                <w:szCs w:val="17"/>
              </w:rPr>
              <w:t xml:space="preserve">Six Phase-I downstream groundbreakings (MIND ID), announced value up to US$7 bn</w:t>
            </w:r>
          </w:p>
        </w:tc>
        <w:tc>
          <w:tcPr>
            <w:tcW w:type="dxa" w:w="1735"/>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7"/>
                <w:szCs w:val="17"/>
              </w:rPr>
              <w:t xml:space="preserve">D1/S08</w:t>
            </w:r>
          </w:p>
        </w:tc>
      </w:tr>
      <w:tr>
        <w:trPr>
          <w:cantSplit/>
        </w:trPr>
        <w:tc>
          <w:tcPr>
            <w:tcW w:type="dxa" w:w="154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7"/>
                <w:szCs w:val="17"/>
              </w:rPr>
              <w:t xml:space="preserve">3–5 Mar 2026</w:t>
            </w:r>
          </w:p>
        </w:tc>
        <w:tc>
          <w:tcPr>
            <w:tcW w:type="dxa" w:w="6361"/>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7"/>
                <w:szCs w:val="17"/>
              </w:rPr>
              <w:t xml:space="preserve">CA–EDC investment agreement with INA; governance and accounting review announced</w:t>
            </w:r>
          </w:p>
        </w:tc>
        <w:tc>
          <w:tcPr>
            <w:tcW w:type="dxa" w:w="1735"/>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7"/>
                <w:szCs w:val="17"/>
              </w:rPr>
              <w:t xml:space="preserve">D1/S04, S06</w:t>
            </w:r>
          </w:p>
        </w:tc>
      </w:tr>
      <w:tr>
        <w:trPr>
          <w:cantSplit/>
        </w:trPr>
        <w:tc>
          <w:tcPr>
            <w:tcW w:type="dxa" w:w="154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7"/>
                <w:szCs w:val="17"/>
              </w:rPr>
              <w:t xml:space="preserve">12 May 2026</w:t>
            </w:r>
          </w:p>
        </w:tc>
        <w:tc>
          <w:tcPr>
            <w:tcW w:type="dxa" w:w="6361"/>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7"/>
                <w:szCs w:val="17"/>
              </w:rPr>
              <w:t xml:space="preserve">Official statement on consolidation and audit</w:t>
            </w:r>
          </w:p>
        </w:tc>
        <w:tc>
          <w:tcPr>
            <w:tcW w:type="dxa" w:w="1735"/>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7"/>
                <w:szCs w:val="17"/>
              </w:rPr>
              <w:t xml:space="preserve">D2/R8</w:t>
            </w:r>
          </w:p>
        </w:tc>
      </w:tr>
      <w:tr>
        <w:trPr>
          <w:cantSplit/>
        </w:trPr>
        <w:tc>
          <w:tcPr>
            <w:tcW w:type="dxa" w:w="154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7"/>
                <w:szCs w:val="17"/>
              </w:rPr>
              <w:t xml:space="preserve">12 Jun 2026</w:t>
            </w:r>
          </w:p>
        </w:tc>
        <w:tc>
          <w:tcPr>
            <w:tcW w:type="dxa" w:w="6361"/>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7"/>
                <w:szCs w:val="17"/>
              </w:rPr>
              <w:t xml:space="preserve">US$1.5 bn DIM international notes</w:t>
            </w:r>
          </w:p>
        </w:tc>
        <w:tc>
          <w:tcPr>
            <w:tcW w:type="dxa" w:w="1735"/>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7"/>
                <w:szCs w:val="17"/>
              </w:rPr>
              <w:t xml:space="preserve">D1/S05</w:t>
            </w:r>
          </w:p>
        </w:tc>
      </w:tr>
      <w:tr>
        <w:trPr>
          <w:cantSplit/>
        </w:trPr>
        <w:tc>
          <w:tcPr>
            <w:tcW w:type="dxa" w:w="154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7"/>
                <w:szCs w:val="17"/>
              </w:rPr>
              <w:t xml:space="preserve">2 Jul 2026</w:t>
            </w:r>
          </w:p>
        </w:tc>
        <w:tc>
          <w:tcPr>
            <w:tcW w:type="dxa" w:w="6361"/>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7"/>
                <w:szCs w:val="17"/>
              </w:rPr>
              <w:t xml:space="preserve">SOEs complete FY2025 statements; consolidation continues</w:t>
            </w:r>
          </w:p>
        </w:tc>
        <w:tc>
          <w:tcPr>
            <w:tcW w:type="dxa" w:w="1735"/>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7"/>
                <w:szCs w:val="17"/>
              </w:rPr>
              <w:t xml:space="preserve">D1/S02</w:t>
            </w:r>
          </w:p>
        </w:tc>
      </w:tr>
      <w:tr>
        <w:trPr>
          <w:cantSplit/>
        </w:trPr>
        <w:tc>
          <w:tcPr>
            <w:tcW w:type="dxa" w:w="154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7"/>
                <w:szCs w:val="17"/>
              </w:rPr>
              <w:t xml:space="preserve">21 Jul 2026</w:t>
            </w:r>
          </w:p>
        </w:tc>
        <w:tc>
          <w:tcPr>
            <w:tcW w:type="dxa" w:w="6361"/>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7"/>
                <w:szCs w:val="17"/>
              </w:rPr>
              <w:t xml:space="preserve">Eight Batch-II waste-to-energy conditional awards</w:t>
            </w:r>
          </w:p>
        </w:tc>
        <w:tc>
          <w:tcPr>
            <w:tcW w:type="dxa" w:w="1735"/>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7"/>
                <w:szCs w:val="17"/>
              </w:rPr>
              <w:t xml:space="preserve">D1/S30</w:t>
            </w:r>
          </w:p>
        </w:tc>
      </w:tr>
      <w:tr>
        <w:trPr>
          <w:cantSplit/>
        </w:trPr>
        <w:tc>
          <w:tcPr>
            <w:tcW w:type="dxa" w:w="154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7"/>
                <w:szCs w:val="17"/>
              </w:rPr>
              <w:t xml:space="preserve">17 Sep 2026</w:t>
            </w:r>
          </w:p>
        </w:tc>
        <w:tc>
          <w:tcPr>
            <w:tcW w:type="dxa" w:w="6361"/>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7"/>
                <w:szCs w:val="17"/>
              </w:rPr>
              <w:t xml:space="preserve">Construction of PSEL Bogor Raya 1 begins; PPA signed</w:t>
            </w:r>
          </w:p>
        </w:tc>
        <w:tc>
          <w:tcPr>
            <w:tcW w:type="dxa" w:w="1735"/>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7"/>
                <w:szCs w:val="17"/>
              </w:rPr>
              <w:t xml:space="preserve">D1/S07</w:t>
            </w:r>
          </w:p>
        </w:tc>
      </w:tr>
      <w:tr>
        <w:trPr>
          <w:cantSplit/>
        </w:trPr>
        <w:tc>
          <w:tcPr>
            <w:tcW w:type="dxa" w:w="154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pPr>
            <w:r>
              <w:rPr>
                <w:rFonts w:ascii="Arial" w:cs="Arial" w:eastAsia="Arial" w:hAnsi="Arial"/>
                <w:b/>
                <w:bCs/>
                <w:color w:val="000000"/>
                <w:sz w:val="17"/>
                <w:szCs w:val="17"/>
              </w:rPr>
              <w:t xml:space="preserve">Early Oct 2026</w:t>
            </w:r>
          </w:p>
        </w:tc>
        <w:tc>
          <w:tcPr>
            <w:tcW w:type="dxa" w:w="6361"/>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7"/>
                <w:szCs w:val="17"/>
              </w:rPr>
              <w:t xml:space="preserve">Reports page on the official website still shows “Coming Soon”</w:t>
            </w:r>
          </w:p>
        </w:tc>
        <w:tc>
          <w:tcPr>
            <w:tcW w:type="dxa" w:w="1735"/>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7"/>
                <w:szCs w:val="17"/>
              </w:rPr>
              <w:t xml:space="preserve">D1/S01</w:t>
            </w:r>
          </w:p>
        </w:tc>
      </w:tr>
    </w:tbl>
    <w:p>
      <w:pPr>
        <w:keepNext w:val="false"/>
        <w:spacing w:after="140"/>
      </w:pPr>
    </w:p>
    <w:p>
      <w:pPr>
        <w:pStyle w:val="Heading2"/>
        <w:keepNext/>
        <w:keepLines/>
        <w:spacing w:after="120" w:before="280"/>
      </w:pPr>
      <w:r>
        <w:rPr>
          <w:rFonts w:ascii="Arial" w:cs="Arial" w:eastAsia="Arial" w:hAnsi="Arial"/>
          <w:b/>
          <w:bCs/>
          <w:color w:val="00338D"/>
          <w:sz w:val="28"/>
          <w:szCs w:val="28"/>
        </w:rPr>
        <w:t xml:space="preserve">3.6 How peers disclose performance</w:t>
      </w:r>
    </w:p>
    <w:p>
      <w:pPr>
        <w:spacing w:after="110" w:before="0" w:line="264"/>
        <w:jc w:val="left"/>
      </w:pPr>
      <w:r>
        <w:rPr>
          <w:rFonts w:ascii="Arial" w:cs="Arial" w:eastAsia="Arial" w:hAnsi="Arial"/>
          <w:color w:val="000000"/>
          <w:sz w:val="20"/>
          <w:szCs w:val="20"/>
        </w:rPr>
        <w:t xml:space="preserve">Mature sovereign investors publish return series that let stakeholders judge performance. Danantara has not yet done so. The comparison below shows reporting practice only. It is not a return target, because mandates, currencies and portfolios differ [D1/S17–S19].</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28"/>
        <w:gridCol w:w="4433"/>
        <w:gridCol w:w="3277"/>
      </w:tblGrid>
      <w:tr>
        <w:trPr>
          <w:cantSplit/>
          <w:tblHeader/>
        </w:trPr>
        <w:tc>
          <w:tcPr>
            <w:tcW w:type="dxa" w:w="1928"/>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Institution</w:t>
            </w:r>
          </w:p>
        </w:tc>
        <w:tc>
          <w:tcPr>
            <w:tcW w:type="dxa" w:w="4433"/>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What is published</w:t>
            </w:r>
          </w:p>
        </w:tc>
        <w:tc>
          <w:tcPr>
            <w:tcW w:type="dxa" w:w="3277"/>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Example figures</w:t>
            </w:r>
          </w:p>
        </w:tc>
      </w:tr>
      <w:tr>
        <w:trPr>
          <w:cantSplit/>
        </w:trPr>
        <w:tc>
          <w:tcPr>
            <w:tcW w:type="dxa" w:w="192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pPr>
            <w:r>
              <w:rPr>
                <w:rFonts w:ascii="Arial" w:cs="Arial" w:eastAsia="Arial" w:hAnsi="Arial"/>
                <w:b/>
                <w:bCs/>
                <w:color w:val="000000"/>
                <w:sz w:val="17"/>
                <w:szCs w:val="17"/>
              </w:rPr>
              <w:t xml:space="preserve">Temasek (Singapore)</w:t>
            </w:r>
          </w:p>
        </w:tc>
        <w:tc>
          <w:tcPr>
            <w:tcW w:type="dxa" w:w="4433"/>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7"/>
                <w:szCs w:val="17"/>
              </w:rPr>
              <w:t xml:space="preserve">Annual review; total shareholder return over 5, 10 and 20 years; risk-adjusted cost-of-capital comparison</w:t>
            </w:r>
          </w:p>
        </w:tc>
        <w:tc>
          <w:tcPr>
            <w:tcW w:type="dxa" w:w="3277"/>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7"/>
                <w:szCs w:val="17"/>
              </w:rPr>
              <w:t xml:space="preserve">To 31 Mar 2026, in SGD: 5-year 4.6%, 10-year 7.1%, 20-year 6.8%</w:t>
            </w:r>
          </w:p>
        </w:tc>
      </w:tr>
      <w:tr>
        <w:trPr>
          <w:cantSplit/>
        </w:trPr>
        <w:tc>
          <w:tcPr>
            <w:tcW w:type="dxa" w:w="1928"/>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pPr>
            <w:r>
              <w:rPr>
                <w:rFonts w:ascii="Arial" w:cs="Arial" w:eastAsia="Arial" w:hAnsi="Arial"/>
                <w:b/>
                <w:bCs/>
                <w:color w:val="000000"/>
                <w:sz w:val="17"/>
                <w:szCs w:val="17"/>
              </w:rPr>
              <w:t xml:space="preserve">Khazanah (Malaysia)</w:t>
            </w:r>
          </w:p>
        </w:tc>
        <w:tc>
          <w:tcPr>
            <w:tcW w:type="dxa" w:w="4433"/>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7"/>
                <w:szCs w:val="17"/>
              </w:rPr>
              <w:t xml:space="preserve">Annual review with annual and multi-year returns, reported alongside strategic activity</w:t>
            </w:r>
          </w:p>
        </w:tc>
        <w:tc>
          <w:tcPr>
            <w:tcW w:type="dxa" w:w="3277"/>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7"/>
                <w:szCs w:val="17"/>
              </w:rPr>
              <w:t xml:space="preserve">FY2025: 5.2% for the year; 7-year annualised 6.1%</w:t>
            </w:r>
          </w:p>
        </w:tc>
      </w:tr>
      <w:tr>
        <w:trPr>
          <w:cantSplit/>
        </w:trPr>
        <w:tc>
          <w:tcPr>
            <w:tcW w:type="dxa" w:w="192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pPr>
            <w:r>
              <w:rPr>
                <w:rFonts w:ascii="Arial" w:cs="Arial" w:eastAsia="Arial" w:hAnsi="Arial"/>
                <w:b/>
                <w:bCs/>
                <w:color w:val="000000"/>
                <w:sz w:val="17"/>
                <w:szCs w:val="17"/>
              </w:rPr>
              <w:t xml:space="preserve">Danantara</w:t>
            </w:r>
          </w:p>
        </w:tc>
        <w:tc>
          <w:tcPr>
            <w:tcW w:type="dxa" w:w="4433"/>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7"/>
                <w:szCs w:val="17"/>
              </w:rPr>
              <w:t xml:space="preserve">Announcements of financing, commitments and milestones; reports page “Coming Soon”</w:t>
            </w:r>
          </w:p>
        </w:tc>
        <w:tc>
          <w:tcPr>
            <w:tcW w:type="dxa" w:w="3277"/>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7"/>
                <w:szCs w:val="17"/>
              </w:rPr>
              <w:t xml:space="preserve">No portfolio return series published</w:t>
            </w:r>
          </w:p>
        </w:tc>
      </w:tr>
    </w:tbl>
    <w:p>
      <w:pPr>
        <w:pageBreakBefore/>
        <w:spacing w:after="0" w:line="240"/>
      </w:pPr>
      <w:r>
        <w:rPr>
          <w:sz w:val="2"/>
          <w:szCs w:val="2"/>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one" w:color="FFFFFF" w:sz="0"/>
              <w:left w:val="none" w:color="FFFFFF" w:sz="0"/>
              <w:bottom w:val="none" w:color="FFFFFF" w:sz="0"/>
              <w:right w:val="none" w:color="FFFFFF" w:sz="0"/>
            </w:tcBorders>
            <w:shd w:fill="00338D" w:color="auto" w:val="clear"/>
            <w:tcMar>
              <w:top w:type="dxa" w:w="260"/>
              <w:left w:type="dxa" w:w="300"/>
              <w:bottom w:type="dxa" w:w="300"/>
              <w:right w:type="dxa" w:w="300"/>
            </w:tcMar>
          </w:tcPr>
          <w:p>
            <w:pPr>
              <w:spacing w:after="0"/>
            </w:pPr>
            <w:r>
              <w:rPr>
                <w:rFonts w:ascii="Arial" w:cs="Arial" w:eastAsia="Arial" w:hAnsi="Arial"/>
                <w:b/>
                <w:bCs/>
                <w:color w:val="9CC7EF"/>
                <w:sz w:val="64"/>
                <w:szCs w:val="64"/>
              </w:rPr>
              <w:t xml:space="preserve">04</w:t>
            </w:r>
          </w:p>
          <w:p>
            <w:pPr>
              <w:pStyle w:val="Heading1"/>
              <w:spacing w:after="100"/>
            </w:pPr>
            <w:r>
              <w:rPr>
                <w:rFonts w:ascii="Arial" w:cs="Arial" w:eastAsia="Arial" w:hAnsi="Arial"/>
                <w:b/>
                <w:bCs/>
                <w:color w:val="FFFFFF"/>
                <w:sz w:val="40"/>
                <w:szCs w:val="40"/>
              </w:rPr>
              <w:t xml:space="preserve">Performance evaluation</w:t>
            </w:r>
          </w:p>
          <w:p>
            <w:pPr>
              <w:spacing w:after="0" w:line="276"/>
            </w:pPr>
            <w:r>
              <w:rPr>
                <w:rFonts w:ascii="Arial" w:cs="Arial" w:eastAsia="Arial" w:hAnsi="Arial"/>
                <w:color w:val="FFFFFF"/>
                <w:sz w:val="20"/>
                <w:szCs w:val="20"/>
              </w:rPr>
              <w:t xml:space="preserve">Danantara's performance assessed across its three mandates (investment, SOE operations and industrialisation), together with governance and execution readiness.</w:t>
            </w:r>
          </w:p>
        </w:tc>
      </w:tr>
    </w:tbl>
    <w:p>
      <w:pPr>
        <w:spacing w:after="200"/>
      </w:pPr>
    </w:p>
    <w:p>
      <w:pPr>
        <w:pStyle w:val="Heading2"/>
        <w:keepNext/>
        <w:keepLines/>
        <w:spacing w:after="120" w:before="280"/>
      </w:pPr>
      <w:r>
        <w:rPr>
          <w:rFonts w:ascii="Arial" w:cs="Arial" w:eastAsia="Arial" w:hAnsi="Arial"/>
          <w:b/>
          <w:bCs/>
          <w:color w:val="00338D"/>
          <w:sz w:val="28"/>
          <w:szCs w:val="28"/>
        </w:rPr>
        <w:t xml:space="preserve">4.1 Overall verdict</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38"/>
        <w:gridCol w:w="1735"/>
        <w:gridCol w:w="3181"/>
        <w:gridCol w:w="3084"/>
      </w:tblGrid>
      <w:tr>
        <w:trPr>
          <w:cantSplit/>
          <w:tblHeader/>
        </w:trPr>
        <w:tc>
          <w:tcPr>
            <w:tcW w:type="dxa" w:w="1638"/>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Stream</w:t>
            </w:r>
          </w:p>
        </w:tc>
        <w:tc>
          <w:tcPr>
            <w:tcW w:type="dxa" w:w="1735"/>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Rating</w:t>
            </w:r>
          </w:p>
        </w:tc>
        <w:tc>
          <w:tcPr>
            <w:tcW w:type="dxa" w:w="3181"/>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Current assessment</w:t>
            </w:r>
          </w:p>
        </w:tc>
        <w:tc>
          <w:tcPr>
            <w:tcW w:type="dxa" w:w="3084"/>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What would move the rating up</w:t>
            </w:r>
          </w:p>
        </w:tc>
      </w:tr>
      <w:tr>
        <w:trPr>
          <w:cantSplit/>
        </w:trPr>
        <w:tc>
          <w:tcPr>
            <w:tcW w:type="dxa" w:w="1638"/>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7"/>
                <w:szCs w:val="17"/>
              </w:rPr>
              <w:t xml:space="preserve">Investment</w:t>
            </w:r>
          </w:p>
        </w:tc>
        <w:tc>
          <w:tcPr>
            <w:tcW w:type="dxa" w:w="1735"/>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7"/>
                <w:szCs w:val="17"/>
              </w:rPr>
              <w:t xml:space="preserve">Access demonstrated; returns NR</w:t>
            </w:r>
          </w:p>
        </w:tc>
        <w:tc>
          <w:tcPr>
            <w:tcW w:type="dxa" w:w="3181"/>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7"/>
                <w:szCs w:val="17"/>
              </w:rPr>
              <w:t xml:space="preserve">Financing and commitments evidenced; portfolio return performance </w:t>
            </w:r>
            <w:r>
              <w:rPr>
                <w:rFonts w:ascii="Arial" w:cs="Arial" w:eastAsia="Arial" w:hAnsi="Arial"/>
                <w:b/>
                <w:bCs/>
                <w:color w:val="000000"/>
                <w:sz w:val="17"/>
                <w:szCs w:val="17"/>
              </w:rPr>
              <w:t xml:space="preserve">not rateable (NR)</w:t>
            </w:r>
          </w:p>
        </w:tc>
        <w:tc>
          <w:tcPr>
            <w:tcW w:type="dxa" w:w="3084"/>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7"/>
                <w:szCs w:val="17"/>
              </w:rPr>
              <w:t xml:space="preserve">Audited net-asset bridge; return series by capital pool against approved benchmarks</w:t>
            </w:r>
          </w:p>
        </w:tc>
      </w:tr>
      <w:tr>
        <w:trPr>
          <w:cantSplit/>
        </w:trPr>
        <w:tc>
          <w:tcPr>
            <w:tcW w:type="dxa" w:w="1638"/>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7"/>
                <w:szCs w:val="17"/>
              </w:rPr>
              <w:t xml:space="preserve">SOE operations</w:t>
            </w:r>
          </w:p>
        </w:tc>
        <w:tc>
          <w:tcPr>
            <w:tcW w:type="dxa" w:w="1735"/>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7"/>
                <w:szCs w:val="17"/>
              </w:rPr>
              <w:t xml:space="preserve">Mixed; contribution unverified</w:t>
            </w:r>
          </w:p>
        </w:tc>
        <w:tc>
          <w:tcPr>
            <w:tcW w:type="dxa" w:w="3181"/>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7"/>
                <w:szCs w:val="17"/>
              </w:rPr>
              <w:t xml:space="preserve">Selected outcomes are </w:t>
            </w:r>
            <w:r>
              <w:rPr>
                <w:rFonts w:ascii="Arial" w:cs="Arial" w:eastAsia="Arial" w:hAnsi="Arial"/>
                <w:b/>
                <w:bCs/>
                <w:color w:val="000000"/>
                <w:sz w:val="17"/>
                <w:szCs w:val="17"/>
              </w:rPr>
              <w:t xml:space="preserve">mixed</w:t>
            </w:r>
            <w:r>
              <w:rPr>
                <w:rFonts w:ascii="Arial" w:cs="Arial" w:eastAsia="Arial" w:hAnsi="Arial"/>
                <w:b w:val="false"/>
                <w:bCs w:val="false"/>
                <w:color w:val="000000"/>
                <w:sz w:val="17"/>
                <w:szCs w:val="17"/>
              </w:rPr>
              <w:t xml:space="preserve">; Danantara's incremental contribution unverified</w:t>
            </w:r>
          </w:p>
        </w:tc>
        <w:tc>
          <w:tcPr>
            <w:tcW w:type="dxa" w:w="3084"/>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7"/>
                <w:szCs w:val="17"/>
              </w:rPr>
              <w:t xml:space="preserve">Economic-profit and real unit-cost data against a without-intervention baseline</w:t>
            </w:r>
          </w:p>
        </w:tc>
      </w:tr>
      <w:tr>
        <w:trPr>
          <w:cantSplit/>
        </w:trPr>
        <w:tc>
          <w:tcPr>
            <w:tcW w:type="dxa" w:w="1638"/>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7"/>
                <w:szCs w:val="17"/>
              </w:rPr>
              <w:t xml:space="preserve">Industrialisation</w:t>
            </w:r>
          </w:p>
        </w:tc>
        <w:tc>
          <w:tcPr>
            <w:tcW w:type="dxa" w:w="1735"/>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7"/>
                <w:szCs w:val="17"/>
              </w:rPr>
              <w:t xml:space="preserve">Not yet evidenced</w:t>
            </w:r>
          </w:p>
        </w:tc>
        <w:tc>
          <w:tcPr>
            <w:tcW w:type="dxa" w:w="3181"/>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7"/>
                <w:szCs w:val="17"/>
              </w:rPr>
              <w:t xml:space="preserve">Project delivery has advanced; most capacity and impact figures remain </w:t>
            </w:r>
            <w:r>
              <w:rPr>
                <w:rFonts w:ascii="Arial" w:cs="Arial" w:eastAsia="Arial" w:hAnsi="Arial"/>
                <w:b/>
                <w:bCs/>
                <w:color w:val="000000"/>
                <w:sz w:val="17"/>
                <w:szCs w:val="17"/>
              </w:rPr>
              <w:t xml:space="preserve">prospective</w:t>
            </w:r>
          </w:p>
        </w:tc>
        <w:tc>
          <w:tcPr>
            <w:tcW w:type="dxa" w:w="3084"/>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7"/>
                <w:szCs w:val="17"/>
              </w:rPr>
              <w:t xml:space="preserve">Commissioned capacity, verified domestic value added and capability milestones</w:t>
            </w:r>
          </w:p>
        </w:tc>
      </w:tr>
      <w:tr>
        <w:trPr>
          <w:cantSplit/>
        </w:trPr>
        <w:tc>
          <w:tcPr>
            <w:tcW w:type="dxa" w:w="1638"/>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pPr>
            <w:r>
              <w:rPr>
                <w:rFonts w:ascii="Arial" w:cs="Arial" w:eastAsia="Arial" w:hAnsi="Arial"/>
                <w:b/>
                <w:bCs/>
                <w:color w:val="000000"/>
                <w:sz w:val="17"/>
                <w:szCs w:val="17"/>
              </w:rPr>
              <w:t xml:space="preserve">Governance</w:t>
            </w:r>
          </w:p>
        </w:tc>
        <w:tc>
          <w:tcPr>
            <w:tcW w:type="dxa" w:w="1735"/>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7"/>
                <w:szCs w:val="17"/>
              </w:rPr>
              <w:t xml:space="preserve">Foundations in place; effectiveness unverified</w:t>
            </w:r>
          </w:p>
        </w:tc>
        <w:tc>
          <w:tcPr>
            <w:tcW w:type="dxa" w:w="3181"/>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pPr>
            <w:r>
              <w:rPr>
                <w:rFonts w:ascii="Arial" w:cs="Arial" w:eastAsia="Arial" w:hAnsi="Arial"/>
                <w:b/>
                <w:bCs/>
                <w:color w:val="000000"/>
                <w:sz w:val="17"/>
                <w:szCs w:val="17"/>
              </w:rPr>
              <w:t xml:space="preserve">Foundations available; effectiveness of implementation unverified</w:t>
            </w:r>
            <w:r>
              <w:rPr>
                <w:rFonts w:ascii="Arial" w:cs="Arial" w:eastAsia="Arial" w:hAnsi="Arial"/>
                <w:b w:val="false"/>
                <w:bCs w:val="false"/>
                <w:color w:val="000000"/>
                <w:sz w:val="17"/>
                <w:szCs w:val="17"/>
              </w:rPr>
              <w:t xml:space="preserve"> [D2]</w:t>
            </w:r>
          </w:p>
        </w:tc>
        <w:tc>
          <w:tcPr>
            <w:tcW w:type="dxa" w:w="3084"/>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7"/>
                <w:szCs w:val="17"/>
              </w:rPr>
              <w:t xml:space="preserve">Documented decision rights, independent risk and audit lines, conflict registers, measured decision times</w:t>
            </w:r>
          </w:p>
        </w:tc>
      </w:tr>
    </w:tbl>
    <w:p>
      <w:pPr>
        <w:keepNext w:val="false"/>
        <w:spacing w:after="140"/>
      </w:pPr>
    </w:p>
    <w:p>
      <w:pPr>
        <w:spacing w:after="80" w:before="0" w:line="264"/>
        <w:jc w:val="left"/>
      </w:pPr>
      <w:r>
        <w:rPr>
          <w:rFonts w:ascii="Arial" w:cs="Arial" w:eastAsia="Arial" w:hAnsi="Arial"/>
          <w:color w:val="000000"/>
          <w:sz w:val="16"/>
          <w:szCs w:val="16"/>
        </w:rPr>
        <w:t xml:space="preserve">Rating scale used in this report: Demonstrated → Partly evidenced → Not yet evidenced → NR (not rateable). Ratings are qualitative judgements on public evidence.</w:t>
      </w:r>
    </w:p>
    <w:p>
      <w:pPr>
        <w:spacing w:after="110" w:before="0" w:line="264"/>
        <w:jc w:val="left"/>
      </w:pPr>
      <w:r>
        <w:rPr>
          <w:rFonts w:ascii="Arial" w:cs="Arial" w:eastAsia="Arial" w:hAnsi="Arial"/>
          <w:color w:val="000000"/>
          <w:sz w:val="20"/>
          <w:szCs w:val="20"/>
        </w:rPr>
        <w:t xml:space="preserve">The strongest supported conclusion is progress in </w:t>
      </w:r>
      <w:r>
        <w:rPr>
          <w:rFonts w:ascii="Arial" w:cs="Arial" w:eastAsia="Arial" w:hAnsi="Arial"/>
          <w:b/>
          <w:bCs/>
          <w:color w:val="000000"/>
          <w:sz w:val="20"/>
          <w:szCs w:val="20"/>
        </w:rPr>
        <w:t xml:space="preserve">mobilising and organising execution</w:t>
      </w:r>
      <w:r>
        <w:rPr>
          <w:rFonts w:ascii="Arial" w:cs="Arial" w:eastAsia="Arial" w:hAnsi="Arial"/>
          <w:color w:val="000000"/>
          <w:sz w:val="20"/>
          <w:szCs w:val="20"/>
        </w:rPr>
        <w:t xml:space="preserve">. The largest unresolved question is how much </w:t>
      </w:r>
      <w:r>
        <w:rPr>
          <w:rFonts w:ascii="Arial" w:cs="Arial" w:eastAsia="Arial" w:hAnsi="Arial"/>
          <w:b/>
          <w:bCs/>
          <w:color w:val="000000"/>
          <w:sz w:val="20"/>
          <w:szCs w:val="20"/>
        </w:rPr>
        <w:t xml:space="preserve">incremental value</w:t>
      </w:r>
      <w:r>
        <w:rPr>
          <w:rFonts w:ascii="Arial" w:cs="Arial" w:eastAsia="Arial" w:hAnsi="Arial"/>
          <w:color w:val="000000"/>
          <w:sz w:val="20"/>
          <w:szCs w:val="20"/>
        </w:rPr>
        <w:t xml:space="preserve"> those actions have produced after financing costs, risk and public support [D1].</w:t>
      </w:r>
    </w:p>
    <w:p>
      <w:pPr>
        <w:pStyle w:val="Heading2"/>
        <w:keepNext/>
        <w:keepLines/>
        <w:spacing w:after="120" w:before="280"/>
      </w:pPr>
      <w:r>
        <w:rPr>
          <w:rFonts w:ascii="Arial" w:cs="Arial" w:eastAsia="Arial" w:hAnsi="Arial"/>
          <w:b/>
          <w:bCs/>
          <w:color w:val="00338D"/>
          <w:sz w:val="28"/>
          <w:szCs w:val="28"/>
        </w:rPr>
        <w:t xml:space="preserve">4.2 Investment performance</w:t>
      </w:r>
    </w:p>
    <w:p>
      <w:pPr>
        <w:spacing w:after="110" w:before="0" w:line="264"/>
        <w:jc w:val="left"/>
      </w:pPr>
      <w:r>
        <w:rPr>
          <w:rFonts w:ascii="Arial" w:cs="Arial" w:eastAsia="Arial" w:hAnsi="Arial"/>
          <w:color w:val="000000"/>
          <w:sz w:val="20"/>
          <w:szCs w:val="20"/>
        </w:rPr>
        <w:t xml:space="preserve">Funding access is measurable; investment success is not yet. The June 2026 notes show that DIM can raise US-dollar funding at spreads close to the sovereign curve. That is a financing result. It says nothing about coupon cost after hedging, about the weighted average cost of capital, or about whether the assets financed earn more than that cost. Borrowing below an equity hurdle does not make an investment value-creating [D1].</w:t>
      </w:r>
    </w:p>
    <w:p>
      <w:pPr>
        <w:keepNext/>
        <w:spacing w:after="80" w:before="120"/>
      </w:pPr>
      <w:r>
        <w:rPr>
          <w:rFonts w:ascii="Arial" w:cs="Arial" w:eastAsia="Arial" w:hAnsi="Arial"/>
          <w:b/>
          <w:bCs/>
          <w:color w:val="00338D"/>
          <w:sz w:val="18"/>
          <w:szCs w:val="18"/>
        </w:rPr>
        <w:t xml:space="preserve">Table 3: </w:t>
      </w:r>
      <w:r>
        <w:rPr>
          <w:rFonts w:ascii="Arial" w:cs="Arial" w:eastAsia="Arial" w:hAnsi="Arial"/>
          <w:b/>
          <w:bCs/>
          <w:color w:val="00338D"/>
          <w:sz w:val="18"/>
          <w:szCs w:val="18"/>
        </w:rPr>
        <w:t xml:space="preserve">Four capital pools that must be measured separately</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2"/>
        <w:gridCol w:w="3662"/>
        <w:gridCol w:w="3374"/>
      </w:tblGrid>
      <w:tr>
        <w:trPr>
          <w:cantSplit/>
          <w:tblHeader/>
        </w:trPr>
        <w:tc>
          <w:tcPr>
            <w:tcW w:type="dxa" w:w="2602"/>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Pool</w:t>
            </w:r>
          </w:p>
        </w:tc>
        <w:tc>
          <w:tcPr>
            <w:tcW w:type="dxa" w:w="3662"/>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Primary measure</w:t>
            </w:r>
          </w:p>
        </w:tc>
        <w:tc>
          <w:tcPr>
            <w:tcW w:type="dxa" w:w="3374"/>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Boundary rule</w:t>
            </w:r>
          </w:p>
        </w:tc>
      </w:tr>
      <w:tr>
        <w:trPr>
          <w:cantSplit/>
        </w:trPr>
        <w:tc>
          <w:tcPr>
            <w:tcW w:type="dxa" w:w="260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7"/>
                <w:szCs w:val="17"/>
              </w:rPr>
              <w:t xml:space="preserve">Inherited operating SOEs</w:t>
            </w:r>
          </w:p>
        </w:tc>
        <w:tc>
          <w:tcPr>
            <w:tcW w:type="dxa" w:w="366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7"/>
                <w:szCs w:val="17"/>
              </w:rPr>
              <w:t xml:space="preserve">ROIC / economic profit; for banks, ROE with capital adequacy</w:t>
            </w:r>
          </w:p>
        </w:tc>
        <w:tc>
          <w:tcPr>
            <w:tcW w:type="dxa" w:w="3374"/>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7"/>
                <w:szCs w:val="17"/>
              </w:rPr>
              <w:t xml:space="preserve">Value at transfer and effective control date; legacy liabilities separated</w:t>
            </w:r>
          </w:p>
        </w:tc>
      </w:tr>
      <w:tr>
        <w:trPr>
          <w:cantSplit/>
        </w:trPr>
        <w:tc>
          <w:tcPr>
            <w:tcW w:type="dxa" w:w="260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7"/>
                <w:szCs w:val="17"/>
              </w:rPr>
              <w:t xml:space="preserve">Liquid financial investments</w:t>
            </w:r>
          </w:p>
        </w:tc>
        <w:tc>
          <w:tcPr>
            <w:tcW w:type="dxa" w:w="366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7"/>
                <w:szCs w:val="17"/>
              </w:rPr>
              <w:t xml:space="preserve">Net time-weighted return versus policy benchmark; drawdown and liquidity</w:t>
            </w:r>
          </w:p>
        </w:tc>
        <w:tc>
          <w:tcPr>
            <w:tcW w:type="dxa" w:w="3374"/>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7"/>
                <w:szCs w:val="17"/>
              </w:rPr>
              <w:t xml:space="preserve">Market return, FX and external cash flows reconciled separately</w:t>
            </w:r>
          </w:p>
        </w:tc>
      </w:tr>
      <w:tr>
        <w:trPr>
          <w:cantSplit/>
        </w:trPr>
        <w:tc>
          <w:tcPr>
            <w:tcW w:type="dxa" w:w="260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7"/>
                <w:szCs w:val="17"/>
              </w:rPr>
              <w:t xml:space="preserve">Private and strategic investments</w:t>
            </w:r>
          </w:p>
        </w:tc>
        <w:tc>
          <w:tcPr>
            <w:tcW w:type="dxa" w:w="366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7"/>
                <w:szCs w:val="17"/>
              </w:rPr>
              <w:t xml:space="preserve">Net IRR, DPI/TVPI and public-market equivalent; project financial NPV</w:t>
            </w:r>
          </w:p>
        </w:tc>
        <w:tc>
          <w:tcPr>
            <w:tcW w:type="dxa" w:w="3374"/>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7"/>
                <w:szCs w:val="17"/>
              </w:rPr>
              <w:t xml:space="preserve">Tracked by vintage; residual value separated from realised cash</w:t>
            </w:r>
          </w:p>
        </w:tc>
      </w:tr>
      <w:tr>
        <w:trPr>
          <w:cantSplit/>
        </w:trPr>
        <w:tc>
          <w:tcPr>
            <w:tcW w:type="dxa" w:w="260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pPr>
            <w:r>
              <w:rPr>
                <w:rFonts w:ascii="Arial" w:cs="Arial" w:eastAsia="Arial" w:hAnsi="Arial"/>
                <w:b/>
                <w:bCs/>
                <w:color w:val="000000"/>
                <w:sz w:val="17"/>
                <w:szCs w:val="17"/>
              </w:rPr>
              <w:t xml:space="preserve">Development-supported investments</w:t>
            </w:r>
          </w:p>
        </w:tc>
        <w:tc>
          <w:tcPr>
            <w:tcW w:type="dxa" w:w="366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7"/>
                <w:szCs w:val="17"/>
              </w:rPr>
              <w:t xml:space="preserve">Financial sustainability plus ENPV/EIRR and additional outcomes</w:t>
            </w:r>
          </w:p>
        </w:tc>
        <w:tc>
          <w:tcPr>
            <w:tcW w:type="dxa" w:w="3374"/>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7"/>
                <w:szCs w:val="17"/>
              </w:rPr>
              <w:t xml:space="preserve">Subsidies, guarantees and concessionality identified explicitly</w:t>
            </w:r>
          </w:p>
        </w:tc>
      </w:tr>
    </w:tbl>
    <w:p>
      <w:pPr>
        <w:keepNext w:val="false"/>
        <w:spacing w:after="140"/>
      </w:pPr>
    </w:p>
    <w:p>
      <w:pPr>
        <w:spacing w:after="110" w:before="0" w:line="264"/>
        <w:jc w:val="left"/>
      </w:pPr>
      <w:r>
        <w:rPr>
          <w:rFonts w:ascii="Arial" w:cs="Arial" w:eastAsia="Arial" w:hAnsi="Arial"/>
          <w:b/>
          <w:bCs/>
          <w:color w:val="000000"/>
          <w:sz w:val="20"/>
          <w:szCs w:val="20"/>
        </w:rPr>
        <w:t xml:space="preserve">Judgement.</w:t>
      </w:r>
      <w:r>
        <w:rPr>
          <w:rFonts w:ascii="Arial" w:cs="Arial" w:eastAsia="Arial" w:hAnsi="Arial"/>
          <w:color w:val="000000"/>
          <w:sz w:val="20"/>
          <w:szCs w:val="20"/>
        </w:rPr>
        <w:t xml:space="preserve"> Financing capability: demonstrated for the observed issue. Strategic deal origination: evidenced by selected commitments. Risk-adjusted portfolio profitability: NR. The required next evidence is an audited opening-to-closing net-asset bridge and a reconciled cash-flow and valuation series for each pool [D1].</w:t>
      </w:r>
    </w:p>
    <w:p>
      <w:pPr>
        <w:pStyle w:val="Heading2"/>
        <w:keepNext/>
        <w:keepLines/>
        <w:spacing w:after="120" w:before="280"/>
      </w:pPr>
      <w:r>
        <w:rPr>
          <w:rFonts w:ascii="Arial" w:cs="Arial" w:eastAsia="Arial" w:hAnsi="Arial"/>
          <w:b/>
          <w:bCs/>
          <w:color w:val="00338D"/>
          <w:sz w:val="28"/>
          <w:szCs w:val="28"/>
        </w:rPr>
        <w:t xml:space="preserve">4.3 SOE operating performance</w:t>
      </w:r>
    </w:p>
    <w:p>
      <w:pPr>
        <w:spacing w:after="110" w:before="0" w:line="264"/>
        <w:jc w:val="left"/>
      </w:pPr>
      <w:r>
        <w:rPr>
          <w:rFonts w:ascii="Arial" w:cs="Arial" w:eastAsia="Arial" w:hAnsi="Arial"/>
          <w:color w:val="000000"/>
          <w:sz w:val="20"/>
          <w:szCs w:val="20"/>
        </w:rPr>
        <w:t xml:space="preserve">A purposive sample of large SOEs shows both improvement and deterioration. Periods, ownership shares and accounting scopes differ, so these figures must not be summed into Danantara earnings [D1].</w:t>
      </w:r>
    </w:p>
    <w:p>
      <w:pPr>
        <w:keepNext/>
        <w:spacing w:after="80" w:before="120"/>
      </w:pPr>
      <w:r>
        <w:rPr>
          <w:rFonts w:ascii="Arial" w:cs="Arial" w:eastAsia="Arial" w:hAnsi="Arial"/>
          <w:b/>
          <w:bCs/>
          <w:color w:val="00338D"/>
          <w:sz w:val="18"/>
          <w:szCs w:val="18"/>
        </w:rPr>
        <w:t xml:space="preserve">Table 4: </w:t>
      </w:r>
      <w:r>
        <w:rPr>
          <w:rFonts w:ascii="Arial" w:cs="Arial" w:eastAsia="Arial" w:hAnsi="Arial"/>
          <w:b/>
          <w:bCs/>
          <w:color w:val="00338D"/>
          <w:sz w:val="18"/>
          <w:szCs w:val="18"/>
        </w:rPr>
        <w:t xml:space="preserve">Selected SOE observations (class B)</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10"/>
        <w:gridCol w:w="4048"/>
        <w:gridCol w:w="3180"/>
      </w:tblGrid>
      <w:tr>
        <w:trPr>
          <w:cantSplit/>
          <w:tblHeader/>
        </w:trPr>
        <w:tc>
          <w:tcPr>
            <w:tcW w:type="dxa" w:w="2410"/>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Entity / metric</w:t>
            </w:r>
          </w:p>
        </w:tc>
        <w:tc>
          <w:tcPr>
            <w:tcW w:type="dxa" w:w="4048"/>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Comparable observation</w:t>
            </w:r>
          </w:p>
        </w:tc>
        <w:tc>
          <w:tcPr>
            <w:tcW w:type="dxa" w:w="3180"/>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Reading</w:t>
            </w:r>
          </w:p>
        </w:tc>
      </w:tr>
      <w:tr>
        <w:trPr>
          <w:cantSplit/>
        </w:trPr>
        <w:tc>
          <w:tcPr>
            <w:tcW w:type="dxa" w:w="241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7"/>
                <w:szCs w:val="17"/>
              </w:rPr>
              <w:t xml:space="preserve">BRI group net income</w:t>
            </w:r>
          </w:p>
        </w:tc>
        <w:tc>
          <w:tcPr>
            <w:tcW w:type="dxa" w:w="404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7"/>
                <w:szCs w:val="17"/>
              </w:rPr>
              <w:t xml:space="preserve">FY2024 restated Rp60.306 tn → FY2025 Rp57.132 tn (−5.26%)</w:t>
            </w:r>
          </w:p>
        </w:tc>
        <w:tc>
          <w:tcPr>
            <w:tcW w:type="dxa" w:w="318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7"/>
                <w:szCs w:val="17"/>
              </w:rPr>
              <w:t xml:space="preserve">Profit contracted on the published comparable base [D1/S10]</w:t>
            </w:r>
          </w:p>
        </w:tc>
      </w:tr>
      <w:tr>
        <w:trPr>
          <w:cantSplit/>
        </w:trPr>
        <w:tc>
          <w:tcPr>
            <w:tcW w:type="dxa" w:w="241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7"/>
                <w:szCs w:val="17"/>
              </w:rPr>
              <w:t xml:space="preserve">BRI bank-only CIR / gross NPL</w:t>
            </w:r>
          </w:p>
        </w:tc>
        <w:tc>
          <w:tcPr>
            <w:tcW w:type="dxa" w:w="4048"/>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7"/>
                <w:szCs w:val="17"/>
              </w:rPr>
              <w:t xml:space="preserve">CIR 37.87% → 38.92%; NPL 2.94% → 3.29%</w:t>
            </w:r>
          </w:p>
        </w:tc>
        <w:tc>
          <w:tcPr>
            <w:tcW w:type="dxa" w:w="318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7"/>
                <w:szCs w:val="17"/>
              </w:rPr>
              <w:t xml:space="preserve">Efficiency and credit quality weakened; drivers need analysis</w:t>
            </w:r>
          </w:p>
        </w:tc>
      </w:tr>
      <w:tr>
        <w:trPr>
          <w:cantSplit/>
        </w:trPr>
        <w:tc>
          <w:tcPr>
            <w:tcW w:type="dxa" w:w="241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7"/>
                <w:szCs w:val="17"/>
              </w:rPr>
              <w:t xml:space="preserve">Mandiri parent-attributable profit</w:t>
            </w:r>
          </w:p>
        </w:tc>
        <w:tc>
          <w:tcPr>
            <w:tcW w:type="dxa" w:w="404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7"/>
                <w:szCs w:val="17"/>
              </w:rPr>
              <w:t xml:space="preserve">FY2024 Rp55.78 tn → FY2025 Rp56.30 tn (≈ +0.93%)</w:t>
            </w:r>
          </w:p>
        </w:tc>
        <w:tc>
          <w:tcPr>
            <w:tcW w:type="dxa" w:w="318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7"/>
                <w:szCs w:val="17"/>
              </w:rPr>
              <w:t xml:space="preserve">Modest growth; does not by itself prove economic-profit improvement [D1/S11]</w:t>
            </w:r>
          </w:p>
        </w:tc>
      </w:tr>
      <w:tr>
        <w:trPr>
          <w:cantSplit/>
        </w:trPr>
        <w:tc>
          <w:tcPr>
            <w:tcW w:type="dxa" w:w="241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7"/>
                <w:szCs w:val="17"/>
              </w:rPr>
              <w:t xml:space="preserve">Telkom FY2025</w:t>
            </w:r>
          </w:p>
        </w:tc>
        <w:tc>
          <w:tcPr>
            <w:tcW w:type="dxa" w:w="4048"/>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7"/>
                <w:szCs w:val="17"/>
              </w:rPr>
              <w:t xml:space="preserve">Revenue Rp146.7 tn; EBITDA Rp72.2 tn; reported net income Rp17.8 tn; normalised net income Rp22.7 tn; Telkom reports a 9.5% profit decline on its revised basis</w:t>
            </w:r>
          </w:p>
        </w:tc>
        <w:tc>
          <w:tcPr>
            <w:tcW w:type="dxa" w:w="318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7"/>
                <w:szCs w:val="17"/>
              </w:rPr>
              <w:t xml:space="preserve">Earnings require the restatement and normalisation bridge [D1/S12]</w:t>
            </w:r>
          </w:p>
        </w:tc>
      </w:tr>
      <w:tr>
        <w:trPr>
          <w:cantSplit/>
        </w:trPr>
        <w:tc>
          <w:tcPr>
            <w:tcW w:type="dxa" w:w="241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pPr>
            <w:r>
              <w:rPr>
                <w:rFonts w:ascii="Arial" w:cs="Arial" w:eastAsia="Arial" w:hAnsi="Arial"/>
                <w:b/>
                <w:bCs/>
                <w:color w:val="000000"/>
                <w:sz w:val="17"/>
                <w:szCs w:val="17"/>
              </w:rPr>
              <w:t xml:space="preserve">PLN (state electricity company) H1 revenue</w:t>
            </w:r>
          </w:p>
        </w:tc>
        <w:tc>
          <w:tcPr>
            <w:tcW w:type="dxa" w:w="404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7"/>
                <w:szCs w:val="17"/>
              </w:rPr>
              <w:t xml:space="preserve">H1 2025 Rp281.89 tn → H1 2026 Rp327.15 tn (+16.05%)</w:t>
            </w:r>
          </w:p>
        </w:tc>
        <w:tc>
          <w:tcPr>
            <w:tcW w:type="dxa" w:w="318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7"/>
                <w:szCs w:val="17"/>
              </w:rPr>
              <w:t xml:space="preserve">Growth must be split into volume, tariff, compensation and other effects [D1/S13]</w:t>
            </w:r>
          </w:p>
        </w:tc>
      </w:tr>
    </w:tbl>
    <w:p>
      <w:pPr>
        <w:keepNext w:val="false"/>
        <w:spacing w:after="140"/>
      </w:pPr>
    </w:p>
    <w:p>
      <w:pPr>
        <w:spacing w:after="110" w:before="0" w:line="264"/>
        <w:jc w:val="left"/>
      </w:pPr>
      <w:r>
        <w:rPr>
          <w:rFonts w:ascii="Arial" w:cs="Arial" w:eastAsia="Arial" w:hAnsi="Arial"/>
          <w:color w:val="000000"/>
          <w:sz w:val="20"/>
          <w:szCs w:val="20"/>
        </w:rPr>
        <w:t xml:space="preserve">The valid test of SOE transformation is </w:t>
      </w:r>
      <w:r>
        <w:rPr>
          <w:rFonts w:ascii="Arial" w:cs="Arial" w:eastAsia="Arial" w:hAnsi="Arial"/>
          <w:b/>
          <w:bCs/>
          <w:color w:val="000000"/>
          <w:sz w:val="20"/>
          <w:szCs w:val="20"/>
        </w:rPr>
        <w:t xml:space="preserve">incremental economic profit</w:t>
      </w:r>
      <w:r>
        <w:rPr>
          <w:rFonts w:ascii="Arial" w:cs="Arial" w:eastAsia="Arial" w:hAnsi="Arial"/>
          <w:color w:val="000000"/>
          <w:sz w:val="20"/>
          <w:szCs w:val="20"/>
        </w:rPr>
        <w:t xml:space="preserve">: normalised NOPAT less a capital charge, compared with a credible without-intervention path, paired with real unit costs, service reliability and cash flow. For banks, the test is ROE relative to cost of equity, credit quality and capital headroom. Fewer legal entities, higher dividend extraction or headcount reduction should not be rewarded unless productivity and service outcomes are verified [D1].</w:t>
      </w:r>
    </w:p>
    <w:p>
      <w:pPr>
        <w:pStyle w:val="Heading2"/>
        <w:keepNext/>
        <w:keepLines/>
        <w:spacing w:after="120" w:before="280"/>
      </w:pPr>
      <w:r>
        <w:rPr>
          <w:rFonts w:ascii="Arial" w:cs="Arial" w:eastAsia="Arial" w:hAnsi="Arial"/>
          <w:b/>
          <w:bCs/>
          <w:color w:val="00338D"/>
          <w:sz w:val="28"/>
          <w:szCs w:val="28"/>
        </w:rPr>
        <w:t xml:space="preserve">4.4 Industrialisation performance</w:t>
      </w:r>
    </w:p>
    <w:p>
      <w:pPr>
        <w:spacing w:after="110" w:before="0" w:line="264"/>
        <w:jc w:val="left"/>
      </w:pPr>
      <w:r>
        <w:rPr>
          <w:rFonts w:ascii="Arial" w:cs="Arial" w:eastAsia="Arial" w:hAnsi="Arial"/>
          <w:color w:val="000000"/>
          <w:sz w:val="20"/>
          <w:szCs w:val="20"/>
        </w:rPr>
        <w:t xml:space="preserve">Project evidence is promising but almost entirely pre-operational. The sector-by-sector picture shows where Danantara is active and where the industrialisation mandate is not yet being served.</w:t>
      </w:r>
    </w:p>
    <w:p>
      <w:pPr>
        <w:keepNext/>
        <w:spacing w:after="80" w:before="120"/>
      </w:pPr>
      <w:r>
        <w:rPr>
          <w:rFonts w:ascii="Arial" w:cs="Arial" w:eastAsia="Arial" w:hAnsi="Arial"/>
          <w:b/>
          <w:bCs/>
          <w:color w:val="00338D"/>
          <w:sz w:val="18"/>
          <w:szCs w:val="18"/>
        </w:rPr>
        <w:t xml:space="preserve">Table 5: </w:t>
      </w:r>
      <w:r>
        <w:rPr>
          <w:rFonts w:ascii="Arial" w:cs="Arial" w:eastAsia="Arial" w:hAnsi="Arial"/>
          <w:b/>
          <w:bCs/>
          <w:color w:val="00338D"/>
          <w:sz w:val="18"/>
          <w:szCs w:val="18"/>
        </w:rPr>
        <w:t xml:space="preserve">Evaluation by priority sector</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31"/>
        <w:gridCol w:w="2795"/>
        <w:gridCol w:w="2795"/>
        <w:gridCol w:w="2217"/>
      </w:tblGrid>
      <w:tr>
        <w:trPr>
          <w:cantSplit/>
          <w:tblHeader/>
        </w:trPr>
        <w:tc>
          <w:tcPr>
            <w:tcW w:type="dxa" w:w="1831"/>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Sector</w:t>
            </w:r>
          </w:p>
        </w:tc>
        <w:tc>
          <w:tcPr>
            <w:tcW w:type="dxa" w:w="2795"/>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Danantara's strategic direction</w:t>
            </w:r>
          </w:p>
        </w:tc>
        <w:tc>
          <w:tcPr>
            <w:tcW w:type="dxa" w:w="2795"/>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Visible activity</w:t>
            </w:r>
          </w:p>
        </w:tc>
        <w:tc>
          <w:tcPr>
            <w:tcW w:type="dxa" w:w="2217"/>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Assessment</w:t>
            </w:r>
          </w:p>
        </w:tc>
      </w:tr>
      <w:tr>
        <w:trPr>
          <w:cantSplit/>
        </w:trPr>
        <w:tc>
          <w:tcPr>
            <w:tcW w:type="dxa" w:w="1831"/>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7"/>
                <w:szCs w:val="17"/>
              </w:rPr>
              <w:t xml:space="preserve">Financial returns</w:t>
            </w:r>
          </w:p>
        </w:tc>
        <w:tc>
          <w:tcPr>
            <w:tcW w:type="dxa" w:w="2795"/>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7"/>
                <w:szCs w:val="17"/>
              </w:rPr>
              <w:t xml:space="preserve">Sustainable return, diversification, public and private markets</w:t>
            </w:r>
          </w:p>
        </w:tc>
        <w:tc>
          <w:tcPr>
            <w:tcW w:type="dxa" w:w="2795"/>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7"/>
                <w:szCs w:val="17"/>
              </w:rPr>
              <w:t xml:space="preserve">Public-market investment and global exploration</w:t>
            </w:r>
          </w:p>
        </w:tc>
        <w:tc>
          <w:tcPr>
            <w:tcW w:type="dxa" w:w="2217"/>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7"/>
                <w:szCs w:val="17"/>
              </w:rPr>
              <w:t xml:space="preserve">Active</w:t>
            </w:r>
          </w:p>
        </w:tc>
      </w:tr>
      <w:tr>
        <w:trPr>
          <w:cantSplit/>
        </w:trPr>
        <w:tc>
          <w:tcPr>
            <w:tcW w:type="dxa" w:w="1831"/>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7"/>
                <w:szCs w:val="17"/>
              </w:rPr>
              <w:t xml:space="preserve">SOE optimisation</w:t>
            </w:r>
          </w:p>
        </w:tc>
        <w:tc>
          <w:tcPr>
            <w:tcW w:type="dxa" w:w="2795"/>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7"/>
                <w:szCs w:val="17"/>
              </w:rPr>
              <w:t xml:space="preserve">Improve performance of state assets</w:t>
            </w:r>
          </w:p>
        </w:tc>
        <w:tc>
          <w:tcPr>
            <w:tcW w:type="dxa" w:w="2795"/>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7"/>
                <w:szCs w:val="17"/>
              </w:rPr>
              <w:t xml:space="preserve">Portfolio management, dividends, restructuring</w:t>
            </w:r>
          </w:p>
        </w:tc>
        <w:tc>
          <w:tcPr>
            <w:tcW w:type="dxa" w:w="2217"/>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7"/>
                <w:szCs w:val="17"/>
              </w:rPr>
              <w:t xml:space="preserve">More mature</w:t>
            </w:r>
          </w:p>
        </w:tc>
      </w:tr>
      <w:tr>
        <w:trPr>
          <w:cantSplit/>
        </w:trPr>
        <w:tc>
          <w:tcPr>
            <w:tcW w:type="dxa" w:w="1831"/>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7"/>
                <w:szCs w:val="17"/>
              </w:rPr>
              <w:t xml:space="preserve">Industrial downstreaming</w:t>
            </w:r>
          </w:p>
        </w:tc>
        <w:tc>
          <w:tcPr>
            <w:tcW w:type="dxa" w:w="2795"/>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7"/>
                <w:szCs w:val="17"/>
              </w:rPr>
              <w:t xml:space="preserve">Nickel, aluminium, bauxite, copper and other value chains</w:t>
            </w:r>
          </w:p>
        </w:tc>
        <w:tc>
          <w:tcPr>
            <w:tcW w:type="dxa" w:w="2795"/>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7"/>
                <w:szCs w:val="17"/>
              </w:rPr>
              <w:t xml:space="preserve">Smelters, alumina, caustic soda, downstream projects</w:t>
            </w:r>
          </w:p>
        </w:tc>
        <w:tc>
          <w:tcPr>
            <w:tcW w:type="dxa" w:w="2217"/>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7"/>
                <w:szCs w:val="17"/>
              </w:rPr>
              <w:t xml:space="preserve">Strategic, but limited to resource processing</w:t>
            </w:r>
          </w:p>
        </w:tc>
      </w:tr>
      <w:tr>
        <w:trPr>
          <w:cantSplit/>
        </w:trPr>
        <w:tc>
          <w:tcPr>
            <w:tcW w:type="dxa" w:w="1831"/>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7"/>
                <w:szCs w:val="17"/>
              </w:rPr>
              <w:t xml:space="preserve">Energy transition</w:t>
            </w:r>
          </w:p>
        </w:tc>
        <w:tc>
          <w:tcPr>
            <w:tcW w:type="dxa" w:w="2795"/>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7"/>
                <w:szCs w:val="17"/>
              </w:rPr>
              <w:t xml:space="preserve">Renewable energy and waste-to-energy</w:t>
            </w:r>
          </w:p>
        </w:tc>
        <w:tc>
          <w:tcPr>
            <w:tcW w:type="dxa" w:w="2795"/>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7"/>
                <w:szCs w:val="17"/>
              </w:rPr>
              <w:t xml:space="preserve">WtE and clean-energy initiatives</w:t>
            </w:r>
          </w:p>
        </w:tc>
        <w:tc>
          <w:tcPr>
            <w:tcW w:type="dxa" w:w="2217"/>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7"/>
                <w:szCs w:val="17"/>
              </w:rPr>
              <w:t xml:space="preserve">Strategic; project economics and technology ownership unclear</w:t>
            </w:r>
          </w:p>
        </w:tc>
      </w:tr>
      <w:tr>
        <w:trPr>
          <w:cantSplit/>
        </w:trPr>
        <w:tc>
          <w:tcPr>
            <w:tcW w:type="dxa" w:w="1831"/>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7"/>
                <w:szCs w:val="17"/>
              </w:rPr>
              <w:t xml:space="preserve">Digital industry</w:t>
            </w:r>
          </w:p>
        </w:tc>
        <w:tc>
          <w:tcPr>
            <w:tcW w:type="dxa" w:w="2795"/>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7"/>
                <w:szCs w:val="17"/>
              </w:rPr>
              <w:t xml:space="preserve">Data centres and digital infrastructure</w:t>
            </w:r>
          </w:p>
        </w:tc>
        <w:tc>
          <w:tcPr>
            <w:tcW w:type="dxa" w:w="2795"/>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7"/>
                <w:szCs w:val="17"/>
              </w:rPr>
              <w:t xml:space="preserve">Data-centre platforms with global operators</w:t>
            </w:r>
          </w:p>
        </w:tc>
        <w:tc>
          <w:tcPr>
            <w:tcW w:type="dxa" w:w="2217"/>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7"/>
                <w:szCs w:val="17"/>
              </w:rPr>
              <w:t xml:space="preserve">Infrastructure-oriented, not yet technology-industrial</w:t>
            </w:r>
          </w:p>
        </w:tc>
      </w:tr>
      <w:tr>
        <w:trPr>
          <w:cantSplit/>
        </w:trPr>
        <w:tc>
          <w:tcPr>
            <w:tcW w:type="dxa" w:w="1831"/>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7"/>
                <w:szCs w:val="17"/>
              </w:rPr>
              <w:t xml:space="preserve">Food security</w:t>
            </w:r>
          </w:p>
        </w:tc>
        <w:tc>
          <w:tcPr>
            <w:tcW w:type="dxa" w:w="2795"/>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7"/>
                <w:szCs w:val="17"/>
              </w:rPr>
              <w:t xml:space="preserve">Agriculture, fertiliser, poultry, agribusiness</w:t>
            </w:r>
          </w:p>
        </w:tc>
        <w:tc>
          <w:tcPr>
            <w:tcW w:type="dxa" w:w="2795"/>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7"/>
                <w:szCs w:val="17"/>
              </w:rPr>
              <w:t xml:space="preserve">Integrated agriculture and livestock projects</w:t>
            </w:r>
          </w:p>
        </w:tc>
        <w:tc>
          <w:tcPr>
            <w:tcW w:type="dxa" w:w="2217"/>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7"/>
                <w:szCs w:val="17"/>
              </w:rPr>
              <w:t xml:space="preserve">Strategic, not always technology-intensive</w:t>
            </w:r>
          </w:p>
        </w:tc>
      </w:tr>
      <w:tr>
        <w:trPr>
          <w:cantSplit/>
        </w:trPr>
        <w:tc>
          <w:tcPr>
            <w:tcW w:type="dxa" w:w="1831"/>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7"/>
                <w:szCs w:val="17"/>
              </w:rPr>
              <w:t xml:space="preserve">Advanced manufacturing</w:t>
            </w:r>
          </w:p>
        </w:tc>
        <w:tc>
          <w:tcPr>
            <w:tcW w:type="dxa" w:w="2795"/>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7"/>
                <w:szCs w:val="17"/>
              </w:rPr>
              <w:t xml:space="preserve">Machinery, electronics, shipyards, aerospace (policy priority)</w:t>
            </w:r>
          </w:p>
        </w:tc>
        <w:tc>
          <w:tcPr>
            <w:tcW w:type="dxa" w:w="2795"/>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7"/>
                <w:szCs w:val="17"/>
              </w:rPr>
              <w:t xml:space="preserve">Public evidence still limited</w:t>
            </w:r>
          </w:p>
        </w:tc>
        <w:tc>
          <w:tcPr>
            <w:tcW w:type="dxa" w:w="2217"/>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7"/>
                <w:szCs w:val="17"/>
              </w:rPr>
              <w:t xml:space="preserve">Large gap</w:t>
            </w:r>
          </w:p>
        </w:tc>
      </w:tr>
      <w:tr>
        <w:trPr>
          <w:cantSplit/>
        </w:trPr>
        <w:tc>
          <w:tcPr>
            <w:tcW w:type="dxa" w:w="1831"/>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7"/>
                <w:szCs w:val="17"/>
              </w:rPr>
              <w:t xml:space="preserve">Industrial supplier development</w:t>
            </w:r>
          </w:p>
        </w:tc>
        <w:tc>
          <w:tcPr>
            <w:tcW w:type="dxa" w:w="2795"/>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7"/>
                <w:szCs w:val="17"/>
              </w:rPr>
              <w:t xml:space="preserve">Not yet a clear core KPI</w:t>
            </w:r>
          </w:p>
        </w:tc>
        <w:tc>
          <w:tcPr>
            <w:tcW w:type="dxa" w:w="2795"/>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7"/>
                <w:szCs w:val="17"/>
              </w:rPr>
              <w:t xml:space="preserve">Public evidence of supplier localisation and domestic engineering limited</w:t>
            </w:r>
          </w:p>
        </w:tc>
        <w:tc>
          <w:tcPr>
            <w:tcW w:type="dxa" w:w="2217"/>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7"/>
                <w:szCs w:val="17"/>
              </w:rPr>
              <w:t xml:space="preserve">Large gap</w:t>
            </w:r>
          </w:p>
        </w:tc>
      </w:tr>
      <w:tr>
        <w:trPr>
          <w:cantSplit/>
        </w:trPr>
        <w:tc>
          <w:tcPr>
            <w:tcW w:type="dxa" w:w="1831"/>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pPr>
            <w:r>
              <w:rPr>
                <w:rFonts w:ascii="Arial" w:cs="Arial" w:eastAsia="Arial" w:hAnsi="Arial"/>
                <w:b/>
                <w:bCs/>
                <w:color w:val="000000"/>
                <w:sz w:val="17"/>
                <w:szCs w:val="17"/>
              </w:rPr>
              <w:t xml:space="preserve">Technology ownership</w:t>
            </w:r>
          </w:p>
        </w:tc>
        <w:tc>
          <w:tcPr>
            <w:tcW w:type="dxa" w:w="2795"/>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7"/>
                <w:szCs w:val="17"/>
              </w:rPr>
              <w:t xml:space="preserve">Innovation and competitiveness</w:t>
            </w:r>
          </w:p>
        </w:tc>
        <w:tc>
          <w:tcPr>
            <w:tcW w:type="dxa" w:w="2795"/>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7"/>
                <w:szCs w:val="17"/>
              </w:rPr>
              <w:t xml:space="preserve">Foreign partners still dominant in several projects</w:t>
            </w:r>
          </w:p>
        </w:tc>
        <w:tc>
          <w:tcPr>
            <w:tcW w:type="dxa" w:w="2217"/>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pPr>
            <w:r>
              <w:rPr>
                <w:rFonts w:ascii="Arial" w:cs="Arial" w:eastAsia="Arial" w:hAnsi="Arial"/>
                <w:b/>
                <w:bCs/>
                <w:color w:val="000000"/>
                <w:sz w:val="17"/>
                <w:szCs w:val="17"/>
              </w:rPr>
              <w:t xml:space="preserve">Not proven</w:t>
            </w:r>
          </w:p>
        </w:tc>
      </w:tr>
    </w:tbl>
    <w:p>
      <w:pPr>
        <w:keepNext w:val="false"/>
        <w:spacing w:after="140"/>
      </w:pPr>
    </w:p>
    <w:p>
      <w:pPr>
        <w:spacing w:after="160"/>
      </w:pPr>
      <w:r>
        <w:rPr>
          <w:rFonts w:ascii="Arial" w:cs="Arial" w:eastAsia="Arial" w:hAnsi="Arial"/>
          <w:i/>
          <w:iCs/>
          <w:color w:val="000000"/>
          <w:sz w:val="15"/>
          <w:szCs w:val="15"/>
        </w:rPr>
        <w:t xml:space="preserve">Source: D3 p.1. Assessments are qualitative and based on public evidence.</w:t>
      </w:r>
    </w:p>
    <w:p>
      <w:pPr>
        <w:pStyle w:val="Heading3"/>
        <w:keepNext/>
        <w:keepLines/>
        <w:spacing w:after="80" w:before="200"/>
      </w:pPr>
      <w:r>
        <w:rPr>
          <w:rFonts w:ascii="Arial" w:cs="Arial" w:eastAsia="Arial" w:hAnsi="Arial"/>
          <w:b/>
          <w:bCs/>
          <w:color w:val="005EB8"/>
          <w:sz w:val="22"/>
          <w:szCs w:val="22"/>
        </w:rPr>
        <w:t xml:space="preserve">Four tests of genuine industrial development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739"/>
        <w:gridCol w:w="160"/>
        <w:gridCol w:w="4739"/>
      </w:tblGrid>
      <w:tr>
        <w:trPr>
          <w:cantSplit/>
        </w:trPr>
        <w:tc>
          <w:tcPr>
            <w:tcW w:type="dxa" w:w="4739"/>
            <w:tcBorders>
              <w:top w:val="none" w:color="FFFFFF" w:sz="0"/>
              <w:left w:val="none" w:color="FFFFFF" w:sz="0"/>
              <w:bottom w:val="none" w:color="FFFFFF" w:sz="0"/>
              <w:right w:val="none" w:color="FFFFFF" w:sz="0"/>
            </w:tcBorders>
            <w:shd w:fill="EAF2FB" w:color="auto" w:val="clear"/>
            <w:tcMar>
              <w:top w:type="dxa" w:w="140"/>
              <w:left w:type="dxa" w:w="160"/>
              <w:bottom w:type="dxa" w:w="120"/>
              <w:right w:type="dxa" w:w="160"/>
            </w:tcMar>
          </w:tcPr>
          <w:p>
            <w:pPr>
              <w:spacing w:after="30"/>
            </w:pPr>
            <w:r>
              <w:rPr>
                <w:rFonts w:ascii="Arial" w:cs="Arial" w:eastAsia="Arial" w:hAnsi="Arial"/>
                <w:b/>
                <w:bCs/>
                <w:color w:val="0091DA"/>
                <w:sz w:val="15"/>
                <w:szCs w:val="15"/>
              </w:rPr>
              <w:t xml:space="preserve">Test 1</w:t>
            </w:r>
          </w:p>
          <w:p>
            <w:pPr>
              <w:spacing w:after="70" w:line="250"/>
            </w:pPr>
            <w:r>
              <w:rPr>
                <w:rFonts w:ascii="Arial" w:cs="Arial" w:eastAsia="Arial" w:hAnsi="Arial"/>
                <w:b/>
                <w:bCs/>
                <w:color w:val="00338D"/>
                <w:sz w:val="19"/>
                <w:szCs w:val="19"/>
              </w:rPr>
              <w:t xml:space="preserve">Additionality</w:t>
            </w:r>
          </w:p>
          <w:p>
            <w:pPr>
              <w:spacing w:after="50" w:line="252"/>
            </w:pPr>
            <w:r>
              <w:rPr>
                <w:rFonts w:ascii="Arial" w:cs="Arial" w:eastAsia="Arial" w:hAnsi="Arial"/>
                <w:sz w:val="17"/>
                <w:szCs w:val="17"/>
              </w:rPr>
              <w:t xml:space="preserve">Would the project have happened at the same scale, timing, quality and financing terms without Danantara? Name the specific financing, coordination or technology constraint that was removed.</w:t>
            </w:r>
          </w:p>
        </w:tc>
        <w:tc>
          <w:tcPr>
            <w:tcW w:type="dxa" w:w="160"/>
            <w:tcBorders>
              <w:top w:val="none" w:color="FFFFFF" w:sz="0"/>
              <w:left w:val="none" w:color="FFFFFF" w:sz="0"/>
              <w:bottom w:val="none" w:color="FFFFFF" w:sz="0"/>
              <w:right w:val="none" w:color="FFFFFF" w:sz="0"/>
            </w:tcBorders>
          </w:tcPr>
          <w:p/>
        </w:tc>
        <w:tc>
          <w:tcPr>
            <w:tcW w:type="dxa" w:w="4739"/>
            <w:tcBorders>
              <w:top w:val="none" w:color="FFFFFF" w:sz="0"/>
              <w:left w:val="none" w:color="FFFFFF" w:sz="0"/>
              <w:bottom w:val="none" w:color="FFFFFF" w:sz="0"/>
              <w:right w:val="none" w:color="FFFFFF" w:sz="0"/>
            </w:tcBorders>
            <w:shd w:fill="EAF2FB" w:color="auto" w:val="clear"/>
            <w:tcMar>
              <w:top w:type="dxa" w:w="140"/>
              <w:left w:type="dxa" w:w="160"/>
              <w:bottom w:type="dxa" w:w="120"/>
              <w:right w:type="dxa" w:w="160"/>
            </w:tcMar>
          </w:tcPr>
          <w:p>
            <w:pPr>
              <w:spacing w:after="30"/>
            </w:pPr>
            <w:r>
              <w:rPr>
                <w:rFonts w:ascii="Arial" w:cs="Arial" w:eastAsia="Arial" w:hAnsi="Arial"/>
                <w:b/>
                <w:bCs/>
                <w:color w:val="0091DA"/>
                <w:sz w:val="15"/>
                <w:szCs w:val="15"/>
              </w:rPr>
              <w:t xml:space="preserve">Test 2</w:t>
            </w:r>
          </w:p>
          <w:p>
            <w:pPr>
              <w:spacing w:after="70" w:line="250"/>
            </w:pPr>
            <w:r>
              <w:rPr>
                <w:rFonts w:ascii="Arial" w:cs="Arial" w:eastAsia="Arial" w:hAnsi="Arial"/>
                <w:b/>
                <w:bCs/>
                <w:color w:val="00338D"/>
                <w:sz w:val="19"/>
                <w:szCs w:val="19"/>
              </w:rPr>
              <w:t xml:space="preserve">Competitiveness</w:t>
            </w:r>
          </w:p>
          <w:p>
            <w:pPr>
              <w:spacing w:after="50" w:line="252"/>
            </w:pPr>
            <w:r>
              <w:rPr>
                <w:rFonts w:ascii="Arial" w:cs="Arial" w:eastAsia="Arial" w:hAnsi="Arial"/>
                <w:sz w:val="17"/>
                <w:szCs w:val="17"/>
              </w:rPr>
              <w:t xml:space="preserve">Can the plant produce at acceptable cost, quality and reliability after support tapers? Measure unit economics in contestable markets, not protected sales.</w:t>
            </w:r>
          </w:p>
        </w:tc>
      </w:tr>
      <w:tr>
        <w:trPr>
          <w:trHeight w:val="160" w:hRule="exact"/>
        </w:trPr>
        <w:tc>
          <w:tcPr>
            <w:tcW w:type="dxa" w:w="4739"/>
            <w:tcBorders>
              <w:top w:val="none" w:color="FFFFFF" w:sz="0"/>
              <w:left w:val="none" w:color="FFFFFF" w:sz="0"/>
              <w:bottom w:val="none" w:color="FFFFFF" w:sz="0"/>
              <w:right w:val="none" w:color="FFFFFF" w:sz="0"/>
            </w:tcBorders>
          </w:tcPr>
          <w:p/>
        </w:tc>
        <w:tc>
          <w:tcPr>
            <w:tcW w:type="dxa" w:w="160"/>
            <w:tcBorders>
              <w:top w:val="none" w:color="FFFFFF" w:sz="0"/>
              <w:left w:val="none" w:color="FFFFFF" w:sz="0"/>
              <w:bottom w:val="none" w:color="FFFFFF" w:sz="0"/>
              <w:right w:val="none" w:color="FFFFFF" w:sz="0"/>
            </w:tcBorders>
          </w:tcPr>
          <w:p/>
        </w:tc>
        <w:tc>
          <w:tcPr>
            <w:tcW w:type="dxa" w:w="4739"/>
            <w:tcBorders>
              <w:top w:val="none" w:color="FFFFFF" w:sz="0"/>
              <w:left w:val="none" w:color="FFFFFF" w:sz="0"/>
              <w:bottom w:val="none" w:color="FFFFFF" w:sz="0"/>
              <w:right w:val="none" w:color="FFFFFF" w:sz="0"/>
            </w:tcBorders>
          </w:tcPr>
          <w:p/>
        </w:tc>
      </w:tr>
      <w:tr>
        <w:trPr>
          <w:cantSplit/>
        </w:trPr>
        <w:tc>
          <w:tcPr>
            <w:tcW w:type="dxa" w:w="4739"/>
            <w:tcBorders>
              <w:top w:val="none" w:color="FFFFFF" w:sz="0"/>
              <w:left w:val="none" w:color="FFFFFF" w:sz="0"/>
              <w:bottom w:val="none" w:color="FFFFFF" w:sz="0"/>
              <w:right w:val="none" w:color="FFFFFF" w:sz="0"/>
            </w:tcBorders>
            <w:shd w:fill="EAF2FB" w:color="auto" w:val="clear"/>
            <w:tcMar>
              <w:top w:type="dxa" w:w="140"/>
              <w:left w:type="dxa" w:w="160"/>
              <w:bottom w:type="dxa" w:w="120"/>
              <w:right w:type="dxa" w:w="160"/>
            </w:tcMar>
          </w:tcPr>
          <w:p>
            <w:pPr>
              <w:spacing w:after="30"/>
            </w:pPr>
            <w:r>
              <w:rPr>
                <w:rFonts w:ascii="Arial" w:cs="Arial" w:eastAsia="Arial" w:hAnsi="Arial"/>
                <w:b/>
                <w:bCs/>
                <w:color w:val="0091DA"/>
                <w:sz w:val="15"/>
                <w:szCs w:val="15"/>
              </w:rPr>
              <w:t xml:space="preserve">Test 3</w:t>
            </w:r>
          </w:p>
          <w:p>
            <w:pPr>
              <w:spacing w:after="70" w:line="250"/>
            </w:pPr>
            <w:r>
              <w:rPr>
                <w:rFonts w:ascii="Arial" w:cs="Arial" w:eastAsia="Arial" w:hAnsi="Arial"/>
                <w:b/>
                <w:bCs/>
                <w:color w:val="00338D"/>
                <w:sz w:val="19"/>
                <w:szCs w:val="19"/>
              </w:rPr>
              <w:t xml:space="preserve">Capability</w:t>
            </w:r>
          </w:p>
          <w:p>
            <w:pPr>
              <w:spacing w:after="50" w:line="252"/>
            </w:pPr>
            <w:r>
              <w:rPr>
                <w:rFonts w:ascii="Arial" w:cs="Arial" w:eastAsia="Arial" w:hAnsi="Arial"/>
                <w:sz w:val="17"/>
                <w:szCs w:val="17"/>
              </w:rPr>
              <w:t xml:space="preserve">Can domestic teams operate, improve and reproduce critical processes? Require verified design rights, process control, supplier qualification and repeat commercial sales.</w:t>
            </w:r>
          </w:p>
        </w:tc>
        <w:tc>
          <w:tcPr>
            <w:tcW w:type="dxa" w:w="160"/>
            <w:tcBorders>
              <w:top w:val="none" w:color="FFFFFF" w:sz="0"/>
              <w:left w:val="none" w:color="FFFFFF" w:sz="0"/>
              <w:bottom w:val="none" w:color="FFFFFF" w:sz="0"/>
              <w:right w:val="none" w:color="FFFFFF" w:sz="0"/>
            </w:tcBorders>
          </w:tcPr>
          <w:p/>
        </w:tc>
        <w:tc>
          <w:tcPr>
            <w:tcW w:type="dxa" w:w="4739"/>
            <w:tcBorders>
              <w:top w:val="none" w:color="FFFFFF" w:sz="0"/>
              <w:left w:val="none" w:color="FFFFFF" w:sz="0"/>
              <w:bottom w:val="none" w:color="FFFFFF" w:sz="0"/>
              <w:right w:val="none" w:color="FFFFFF" w:sz="0"/>
            </w:tcBorders>
            <w:shd w:fill="EAF2FB" w:color="auto" w:val="clear"/>
            <w:tcMar>
              <w:top w:type="dxa" w:w="140"/>
              <w:left w:type="dxa" w:w="160"/>
              <w:bottom w:type="dxa" w:w="120"/>
              <w:right w:type="dxa" w:w="160"/>
            </w:tcMar>
          </w:tcPr>
          <w:p>
            <w:pPr>
              <w:spacing w:after="30"/>
            </w:pPr>
            <w:r>
              <w:rPr>
                <w:rFonts w:ascii="Arial" w:cs="Arial" w:eastAsia="Arial" w:hAnsi="Arial"/>
                <w:b/>
                <w:bCs/>
                <w:color w:val="0091DA"/>
                <w:sz w:val="15"/>
                <w:szCs w:val="15"/>
              </w:rPr>
              <w:t xml:space="preserve">Test 4</w:t>
            </w:r>
          </w:p>
          <w:p>
            <w:pPr>
              <w:spacing w:after="70" w:line="250"/>
            </w:pPr>
            <w:r>
              <w:rPr>
                <w:rFonts w:ascii="Arial" w:cs="Arial" w:eastAsia="Arial" w:hAnsi="Arial"/>
                <w:b/>
                <w:bCs/>
                <w:color w:val="00338D"/>
                <w:sz w:val="19"/>
                <w:szCs w:val="19"/>
              </w:rPr>
              <w:t xml:space="preserve">Distribution and durability</w:t>
            </w:r>
          </w:p>
          <w:p>
            <w:pPr>
              <w:spacing w:after="50" w:line="252"/>
            </w:pPr>
            <w:r>
              <w:rPr>
                <w:rFonts w:ascii="Arial" w:cs="Arial" w:eastAsia="Arial" w:hAnsi="Arial"/>
                <w:sz w:val="17"/>
                <w:szCs w:val="17"/>
              </w:rPr>
              <w:t xml:space="preserve">Are jobs sustained, suppliers more productive, services affordable and environmental gains verified over the life of the asset?</w:t>
            </w:r>
          </w:p>
        </w:tc>
      </w:tr>
    </w:tbl>
    <w:p>
      <w:pPr>
        <w:spacing w:after="160"/>
      </w:pPr>
    </w:p>
    <w:p>
      <w:pPr>
        <w:spacing w:after="110" w:before="0" w:line="264"/>
        <w:jc w:val="left"/>
      </w:pPr>
      <w:r>
        <w:rPr>
          <w:rFonts w:ascii="Arial" w:cs="Arial" w:eastAsia="Arial" w:hAnsi="Arial"/>
          <w:color w:val="000000"/>
          <w:sz w:val="20"/>
          <w:szCs w:val="20"/>
        </w:rPr>
        <w:t xml:space="preserve">National GDP growth (5.11% in 2025 against 5.03% in 2024) cannot be attributed to Danantara without a counterfactual and evidence of incremental output. A public-investment announcement is not an estimate of GDP added [D1/S14].</w:t>
      </w:r>
    </w:p>
    <w:p>
      <w:pPr>
        <w:pStyle w:val="Heading2"/>
        <w:keepNext/>
        <w:keepLines/>
        <w:spacing w:after="120" w:before="280"/>
      </w:pPr>
      <w:r>
        <w:rPr>
          <w:rFonts w:ascii="Arial" w:cs="Arial" w:eastAsia="Arial" w:hAnsi="Arial"/>
          <w:b/>
          <w:bCs/>
          <w:color w:val="00338D"/>
          <w:sz w:val="28"/>
          <w:szCs w:val="28"/>
        </w:rPr>
        <w:t xml:space="preserve">4.5 Governance foundations</w:t>
      </w:r>
    </w:p>
    <w:p>
      <w:pPr>
        <w:spacing w:after="110" w:before="0" w:line="264"/>
        <w:jc w:val="left"/>
      </w:pPr>
      <w:r>
        <w:rPr>
          <w:rFonts w:ascii="Arial" w:cs="Arial" w:eastAsia="Arial" w:hAnsi="Arial"/>
          <w:color w:val="000000"/>
          <w:sz w:val="20"/>
          <w:szCs w:val="20"/>
        </w:rPr>
        <w:t xml:space="preserve">Assessed against the OECD SOE Guidelines 2024, Danantara's design provides an adequate base for good governance. Its effectiveness depends on internal instruments and their application, which public evidence cannot verify [D2].</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20"/>
        <w:gridCol w:w="4144"/>
        <w:gridCol w:w="3374"/>
      </w:tblGrid>
      <w:tr>
        <w:trPr>
          <w:cantSplit/>
          <w:tblHeader/>
        </w:trPr>
        <w:tc>
          <w:tcPr>
            <w:tcW w:type="dxa" w:w="2120"/>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Dimension</w:t>
            </w:r>
          </w:p>
        </w:tc>
        <w:tc>
          <w:tcPr>
            <w:tcW w:type="dxa" w:w="4144"/>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Evidence and assessment</w:t>
            </w:r>
          </w:p>
        </w:tc>
        <w:tc>
          <w:tcPr>
            <w:tcW w:type="dxa" w:w="3374"/>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Action needed</w:t>
            </w:r>
          </w:p>
        </w:tc>
      </w:tr>
      <w:tr>
        <w:trPr>
          <w:cantSplit/>
        </w:trPr>
        <w:tc>
          <w:tcPr>
            <w:tcW w:type="dxa" w:w="212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7"/>
                <w:szCs w:val="17"/>
              </w:rPr>
              <w:t xml:space="preserve">Clarity of organs</w:t>
            </w:r>
          </w:p>
        </w:tc>
        <w:tc>
          <w:tcPr>
            <w:tcW w:type="dxa" w:w="4144"/>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7"/>
                <w:szCs w:val="17"/>
              </w:rPr>
              <w:t xml:space="preserve">PP separates the Supervisory Board and the Executive Body. Supervisory foundation available.</w:t>
            </w:r>
          </w:p>
        </w:tc>
        <w:tc>
          <w:tcPr>
            <w:tcW w:type="dxa" w:w="3374"/>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7"/>
                <w:szCs w:val="17"/>
              </w:rPr>
              <w:t xml:space="preserve">Check the board manual, reserved matters, committee charters and appointment instruments</w:t>
            </w:r>
          </w:p>
        </w:tc>
      </w:tr>
      <w:tr>
        <w:trPr>
          <w:cantSplit/>
        </w:trPr>
        <w:tc>
          <w:tcPr>
            <w:tcW w:type="dxa" w:w="212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7"/>
                <w:szCs w:val="17"/>
              </w:rPr>
              <w:t xml:space="preserve">Owner and regulator mandates</w:t>
            </w:r>
          </w:p>
        </w:tc>
        <w:tc>
          <w:tcPr>
            <w:tcW w:type="dxa" w:w="4144"/>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7"/>
                <w:szCs w:val="17"/>
              </w:rPr>
              <w:t xml:space="preserve">BP BUMN and BPI have different legal roles; rights over each company follow ownership and articles.</w:t>
            </w:r>
          </w:p>
        </w:tc>
        <w:tc>
          <w:tcPr>
            <w:tcW w:type="dxa" w:w="3374"/>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7"/>
                <w:szCs w:val="17"/>
              </w:rPr>
              <w:t xml:space="preserve">Document when BPI acts as owner, coordinator, investor or implementer of an assignment</w:t>
            </w:r>
          </w:p>
        </w:tc>
      </w:tr>
      <w:tr>
        <w:trPr>
          <w:cantSplit/>
        </w:trPr>
        <w:tc>
          <w:tcPr>
            <w:tcW w:type="dxa" w:w="212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7"/>
                <w:szCs w:val="17"/>
              </w:rPr>
              <w:t xml:space="preserve">Commercial versus development</w:t>
            </w:r>
          </w:p>
        </w:tc>
        <w:tc>
          <w:tcPr>
            <w:tcW w:type="dxa" w:w="4144"/>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7"/>
                <w:szCs w:val="17"/>
              </w:rPr>
              <w:t xml:space="preserve">PP 19 differentiates holding purposes; DDMF publishes a development mandate.</w:t>
            </w:r>
          </w:p>
        </w:tc>
        <w:tc>
          <w:tcPr>
            <w:tcW w:type="dxa" w:w="3374"/>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7"/>
                <w:szCs w:val="17"/>
              </w:rPr>
              <w:t xml:space="preserve">Apply financial targets, impact targets and sources of support appropriate to each mandate</w:t>
            </w:r>
          </w:p>
        </w:tc>
      </w:tr>
      <w:tr>
        <w:trPr>
          <w:cantSplit/>
        </w:trPr>
        <w:tc>
          <w:tcPr>
            <w:tcW w:type="dxa" w:w="212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7"/>
                <w:szCs w:val="17"/>
              </w:rPr>
              <w:t xml:space="preserve">Industrial execution competence</w:t>
            </w:r>
          </w:p>
        </w:tc>
        <w:tc>
          <w:tcPr>
            <w:tcW w:type="dxa" w:w="4144"/>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7"/>
                <w:szCs w:val="17"/>
              </w:rPr>
              <w:t xml:space="preserve">CTO and MDs for Industrialization, Technology Advancement and Strategic Technology Initiatives exist.</w:t>
            </w:r>
          </w:p>
        </w:tc>
        <w:tc>
          <w:tcPr>
            <w:tcW w:type="dxa" w:w="3374"/>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7"/>
                <w:szCs w:val="17"/>
              </w:rPr>
              <w:t xml:space="preserve">Test engineering, contracting, commissioning and supply-chain integration capacity before adding positions</w:t>
            </w:r>
          </w:p>
        </w:tc>
      </w:tr>
      <w:tr>
        <w:trPr>
          <w:cantSplit/>
        </w:trPr>
        <w:tc>
          <w:tcPr>
            <w:tcW w:type="dxa" w:w="212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7"/>
                <w:szCs w:val="17"/>
              </w:rPr>
              <w:t xml:space="preserve">Risk at organ level</w:t>
            </w:r>
          </w:p>
        </w:tc>
        <w:tc>
          <w:tcPr>
            <w:tcW w:type="dxa" w:w="4144"/>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7"/>
                <w:szCs w:val="17"/>
              </w:rPr>
              <w:t xml:space="preserve">Art. 14 requires a risk portfolio among Executive Body members; an MD Risk title does not prove compliance.</w:t>
            </w:r>
          </w:p>
        </w:tc>
        <w:tc>
          <w:tcPr>
            <w:tcW w:type="dxa" w:w="3374"/>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7"/>
                <w:szCs w:val="17"/>
              </w:rPr>
              <w:t xml:space="preserve">Verify the Presidential Decree, portfolio assignment and the risk function's access and committee position</w:t>
            </w:r>
          </w:p>
        </w:tc>
      </w:tr>
      <w:tr>
        <w:trPr>
          <w:cantSplit/>
        </w:trPr>
        <w:tc>
          <w:tcPr>
            <w:tcW w:type="dxa" w:w="212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pPr>
            <w:r>
              <w:rPr>
                <w:rFonts w:ascii="Arial" w:cs="Arial" w:eastAsia="Arial" w:hAnsi="Arial"/>
                <w:b/>
                <w:bCs/>
                <w:color w:val="000000"/>
                <w:sz w:val="17"/>
                <w:szCs w:val="17"/>
              </w:rPr>
              <w:t xml:space="preserve">Conflicts of interest</w:t>
            </w:r>
          </w:p>
        </w:tc>
        <w:tc>
          <w:tcPr>
            <w:tcW w:type="dxa" w:w="4144"/>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7"/>
                <w:szCs w:val="17"/>
              </w:rPr>
              <w:t xml:space="preserve">PP requires disclosure and exclusion of conflicted parties.</w:t>
            </w:r>
          </w:p>
        </w:tc>
        <w:tc>
          <w:tcPr>
            <w:tcW w:type="dxa" w:w="3374"/>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7"/>
                <w:szCs w:val="17"/>
              </w:rPr>
              <w:t xml:space="preserve">Keep a conflict register, recusal minutes and an alternative decision path when the leadership is conflicted</w:t>
            </w:r>
          </w:p>
        </w:tc>
      </w:tr>
    </w:tbl>
    <w:p>
      <w:pPr>
        <w:keepNext w:val="false"/>
        <w:spacing w:after="140"/>
      </w:pPr>
    </w:p>
    <w:p>
      <w:pPr>
        <w:pStyle w:val="Heading2"/>
        <w:keepNext/>
        <w:keepLines/>
        <w:spacing w:after="120" w:before="280"/>
      </w:pPr>
      <w:r>
        <w:rPr>
          <w:rFonts w:ascii="Arial" w:cs="Arial" w:eastAsia="Arial" w:hAnsi="Arial"/>
          <w:b/>
          <w:bCs/>
          <w:color w:val="00338D"/>
          <w:sz w:val="28"/>
          <w:szCs w:val="28"/>
        </w:rPr>
        <w:t xml:space="preserve">4.6 Readiness to execute the 40 strategic projects</w:t>
      </w:r>
    </w:p>
    <w:p>
      <w:pPr>
        <w:spacing w:after="110" w:before="0" w:line="264"/>
        <w:jc w:val="left"/>
      </w:pPr>
      <w:r>
        <w:rPr>
          <w:rFonts w:ascii="Arial" w:cs="Arial" w:eastAsia="Arial" w:hAnsi="Arial"/>
          <w:color w:val="000000"/>
          <w:sz w:val="20"/>
          <w:szCs w:val="20"/>
        </w:rPr>
        <w:t xml:space="preserve">Readiness to execute the 40 projects cannot be demonstrated on six dimensions. No integrated register linking each project to a leader, a decision stage and its results was available to the review [D2]. In our judgement this is the most important gap to close first.</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20"/>
        <w:gridCol w:w="3855"/>
        <w:gridCol w:w="3663"/>
      </w:tblGrid>
      <w:tr>
        <w:trPr>
          <w:cantSplit/>
          <w:tblHeader/>
        </w:trPr>
        <w:tc>
          <w:tcPr>
            <w:tcW w:type="dxa" w:w="2120"/>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Dimension</w:t>
            </w:r>
          </w:p>
        </w:tc>
        <w:tc>
          <w:tcPr>
            <w:tcW w:type="dxa" w:w="3855"/>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Assessment on available evidence</w:t>
            </w:r>
          </w:p>
        </w:tc>
        <w:tc>
          <w:tcPr>
            <w:tcW w:type="dxa" w:w="3663"/>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Requirement</w:t>
            </w:r>
          </w:p>
        </w:tc>
      </w:tr>
      <w:tr>
        <w:trPr>
          <w:cantSplit/>
        </w:trPr>
        <w:tc>
          <w:tcPr>
            <w:tcW w:type="dxa" w:w="212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7"/>
                <w:szCs w:val="17"/>
              </w:rPr>
              <w:t xml:space="preserve">Project accountability</w:t>
            </w:r>
          </w:p>
        </w:tc>
        <w:tc>
          <w:tcPr>
            <w:tcW w:type="dxa" w:w="3855"/>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7"/>
                <w:szCs w:val="17"/>
              </w:rPr>
              <w:t xml:space="preserve">No integrated register linking the 40 projects to leaders, decision stage and results was available to the review</w:t>
            </w:r>
          </w:p>
        </w:tc>
        <w:tc>
          <w:tcPr>
            <w:tcW w:type="dxa" w:w="3663"/>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7"/>
                <w:szCs w:val="17"/>
              </w:rPr>
              <w:t xml:space="preserve">One accountable outcome owner per project; one register of decisions and blockers</w:t>
            </w:r>
          </w:p>
        </w:tc>
      </w:tr>
      <w:tr>
        <w:trPr>
          <w:cantSplit/>
        </w:trPr>
        <w:tc>
          <w:tcPr>
            <w:tcW w:type="dxa" w:w="212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7"/>
                <w:szCs w:val="17"/>
              </w:rPr>
              <w:t xml:space="preserve">Capital authority</w:t>
            </w:r>
          </w:p>
        </w:tc>
        <w:tc>
          <w:tcPr>
            <w:tcW w:type="dxa" w:w="3855"/>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7"/>
                <w:szCs w:val="17"/>
              </w:rPr>
              <w:t xml:space="preserve">Head decides for the Executive Body; holding and company decisions are separate layers</w:t>
            </w:r>
          </w:p>
        </w:tc>
        <w:tc>
          <w:tcPr>
            <w:tcW w:type="dxa" w:w="3663"/>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7"/>
                <w:szCs w:val="17"/>
              </w:rPr>
              <w:t xml:space="preserve">Authorisation map by entity, object and stage; signing authority separated from business approval</w:t>
            </w:r>
          </w:p>
        </w:tc>
      </w:tr>
      <w:tr>
        <w:trPr>
          <w:cantSplit/>
        </w:trPr>
        <w:tc>
          <w:tcPr>
            <w:tcW w:type="dxa" w:w="212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7"/>
                <w:szCs w:val="17"/>
              </w:rPr>
              <w:t xml:space="preserve">Guarantees and fiscal support</w:t>
            </w:r>
          </w:p>
        </w:tc>
        <w:tc>
          <w:tcPr>
            <w:tcW w:type="dxa" w:w="3855"/>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7"/>
                <w:szCs w:val="17"/>
              </w:rPr>
              <w:t xml:space="preserve">A development mandate does not automatically confer a state guarantee or capital injection (PMN)</w:t>
            </w:r>
          </w:p>
        </w:tc>
        <w:tc>
          <w:tcPr>
            <w:tcW w:type="dxa" w:w="3663"/>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7"/>
                <w:szCs w:val="17"/>
              </w:rPr>
              <w:t xml:space="preserve">Show the guarantor, its capacity to pay, the legal basis for support and the contingent cost</w:t>
            </w:r>
          </w:p>
        </w:tc>
      </w:tr>
      <w:tr>
        <w:trPr>
          <w:cantSplit/>
        </w:trPr>
        <w:tc>
          <w:tcPr>
            <w:tcW w:type="dxa" w:w="212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7"/>
                <w:szCs w:val="17"/>
              </w:rPr>
              <w:t xml:space="preserve">Procurement and partners</w:t>
            </w:r>
          </w:p>
        </w:tc>
        <w:tc>
          <w:tcPr>
            <w:tcW w:type="dxa" w:w="3855"/>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7"/>
                <w:szCs w:val="17"/>
              </w:rPr>
              <w:t xml:space="preserve">Procurement policy and partner selection must be examined at implementing entities</w:t>
            </w:r>
          </w:p>
        </w:tc>
        <w:tc>
          <w:tcPr>
            <w:tcW w:type="dxa" w:w="3663"/>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7"/>
                <w:szCs w:val="17"/>
              </w:rPr>
              <w:t xml:space="preserve">Test beneficial ownership, related-party transactions, competition, sole-source rationale and change control</w:t>
            </w:r>
          </w:p>
        </w:tc>
      </w:tr>
      <w:tr>
        <w:trPr>
          <w:cantSplit/>
        </w:trPr>
        <w:tc>
          <w:tcPr>
            <w:tcW w:type="dxa" w:w="212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7"/>
                <w:szCs w:val="17"/>
              </w:rPr>
              <w:t xml:space="preserve">Transparency and audit</w:t>
            </w:r>
          </w:p>
        </w:tc>
        <w:tc>
          <w:tcPr>
            <w:tcW w:type="dxa" w:w="3855"/>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7"/>
                <w:szCs w:val="17"/>
              </w:rPr>
              <w:t xml:space="preserve">Consolidation and audit under way (statement of 12 May 2026); current audit opinions not assessed</w:t>
            </w:r>
          </w:p>
        </w:tc>
        <w:tc>
          <w:tcPr>
            <w:tcW w:type="dxa" w:w="3663"/>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7"/>
                <w:szCs w:val="17"/>
              </w:rPr>
              <w:t xml:space="preserve">Review audit reports and follow-up; report portfolio and impact consistently</w:t>
            </w:r>
          </w:p>
        </w:tc>
      </w:tr>
      <w:tr>
        <w:trPr>
          <w:cantSplit/>
        </w:trPr>
        <w:tc>
          <w:tcPr>
            <w:tcW w:type="dxa" w:w="212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pPr>
            <w:r>
              <w:rPr>
                <w:rFonts w:ascii="Arial" w:cs="Arial" w:eastAsia="Arial" w:hAnsi="Arial"/>
                <w:b/>
                <w:bCs/>
                <w:color w:val="000000"/>
                <w:sz w:val="17"/>
                <w:szCs w:val="17"/>
              </w:rPr>
              <w:t xml:space="preserve">Measuring success</w:t>
            </w:r>
          </w:p>
        </w:tc>
        <w:tc>
          <w:tcPr>
            <w:tcW w:type="dxa" w:w="3855"/>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7"/>
                <w:szCs w:val="17"/>
              </w:rPr>
              <w:t xml:space="preserve">Investment lists and job targets do not prove benefits</w:t>
            </w:r>
          </w:p>
        </w:tc>
        <w:tc>
          <w:tcPr>
            <w:tcW w:type="dxa" w:w="3663"/>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7"/>
                <w:szCs w:val="17"/>
              </w:rPr>
              <w:t xml:space="preserve">Measure operations, utilisation, cost, net impact, technology mastered and post-investment results</w:t>
            </w:r>
          </w:p>
        </w:tc>
      </w:tr>
    </w:tbl>
    <w:p>
      <w:pPr>
        <w:keepNext w:val="false"/>
        <w:spacing w:after="140"/>
      </w:pPr>
    </w:p>
    <w:p>
      <w:pPr>
        <w:pStyle w:val="Heading3"/>
        <w:keepNext/>
        <w:keepLines/>
        <w:spacing w:after="80" w:before="200"/>
      </w:pPr>
      <w:r>
        <w:rPr>
          <w:rFonts w:ascii="Arial" w:cs="Arial" w:eastAsia="Arial" w:hAnsi="Arial"/>
          <w:b/>
          <w:bCs/>
          <w:color w:val="005EB8"/>
          <w:sz w:val="22"/>
          <w:szCs w:val="22"/>
        </w:rPr>
        <w:t xml:space="preserve">The 40-project data do not reconcile</w:t>
      </w:r>
    </w:p>
    <w:p>
      <w:pPr>
        <w:keepNext/>
        <w:spacing w:after="60" w:before="120"/>
      </w:pPr>
      <w:r>
        <w:rPr>
          <w:rFonts w:ascii="Arial" w:cs="Arial" w:eastAsia="Arial" w:hAnsi="Arial"/>
          <w:b/>
          <w:bCs/>
          <w:color w:val="00338D"/>
          <w:sz w:val="18"/>
          <w:szCs w:val="18"/>
        </w:rPr>
        <w:t xml:space="preserve">Figure 1: </w:t>
      </w:r>
      <w:r>
        <w:rPr>
          <w:rFonts w:ascii="Arial" w:cs="Arial" w:eastAsia="Arial" w:hAnsi="Arial"/>
          <w:b/>
          <w:bCs/>
          <w:color w:val="00338D"/>
          <w:sz w:val="18"/>
          <w:szCs w:val="18"/>
        </w:rPr>
        <w:t xml:space="preserve">The 40-project portfolio: summary table versus detail tables</w:t>
      </w:r>
    </w:p>
    <w:p>
      <w:pPr>
        <w:keepNext/>
        <w:spacing w:after="40"/>
      </w:pPr>
      <w:r>
        <w:drawing>
          <wp:inline distT="0" distB="0" distL="0" distR="0">
            <wp:extent cx="5669280" cy="2673428"/>
            <wp:effectExtent t="0" r="0" b="0" l="0"/>
            <wp:docPr id="1" name="c4_portfolio.png" descr="The 40-project portfolio: summary table versus detail tables" title="The 40-project portfolio: summary table versus detail tab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669280" cy="2673428"/>
                    </a:xfrm>
                    <a:prstGeom prst="rect">
                      <a:avLst/>
                    </a:prstGeom>
                  </pic:spPr>
                </pic:pic>
              </a:graphicData>
            </a:graphic>
          </wp:inline>
        </w:drawing>
      </w:r>
    </w:p>
    <w:p>
      <w:pPr>
        <w:spacing w:after="160"/>
      </w:pPr>
      <w:r>
        <w:rPr>
          <w:rFonts w:ascii="Arial" w:cs="Arial" w:eastAsia="Arial" w:hAnsi="Arial"/>
          <w:i/>
          <w:iCs/>
          <w:color w:val="000000"/>
          <w:sz w:val="15"/>
          <w:szCs w:val="15"/>
        </w:rPr>
        <w:t xml:space="preserve">Source: D2 §1, based on the 40-project infographic (U1). Detail tables converted from Rp million. Evidence class C.</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13"/>
        <w:gridCol w:w="1446"/>
        <w:gridCol w:w="1060"/>
        <w:gridCol w:w="1446"/>
        <w:gridCol w:w="1060"/>
        <w:gridCol w:w="2313"/>
      </w:tblGrid>
      <w:tr>
        <w:trPr>
          <w:cantSplit/>
          <w:tblHeader/>
        </w:trPr>
        <w:tc>
          <w:tcPr>
            <w:tcW w:type="dxa" w:w="2313"/>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Cluster</w:t>
            </w:r>
          </w:p>
        </w:tc>
        <w:tc>
          <w:tcPr>
            <w:tcW w:type="dxa" w:w="1446"/>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jc w:val="right"/>
            </w:pPr>
            <w:r>
              <w:rPr>
                <w:rFonts w:ascii="Arial" w:cs="Arial" w:eastAsia="Arial" w:hAnsi="Arial"/>
                <w:b/>
                <w:bCs/>
                <w:color w:val="FFFFFF"/>
                <w:sz w:val="16"/>
                <w:szCs w:val="16"/>
              </w:rPr>
              <w:t xml:space="preserve">Summary (Rp tn)</w:t>
            </w:r>
          </w:p>
        </w:tc>
        <w:tc>
          <w:tcPr>
            <w:tcW w:type="dxa" w:w="1060"/>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jc w:val="right"/>
            </w:pPr>
            <w:r>
              <w:rPr>
                <w:rFonts w:ascii="Arial" w:cs="Arial" w:eastAsia="Arial" w:hAnsi="Arial"/>
                <w:b/>
                <w:bCs/>
                <w:color w:val="FFFFFF"/>
                <w:sz w:val="16"/>
                <w:szCs w:val="16"/>
              </w:rPr>
              <w:t xml:space="preserve">Share</w:t>
            </w:r>
          </w:p>
        </w:tc>
        <w:tc>
          <w:tcPr>
            <w:tcW w:type="dxa" w:w="1446"/>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jc w:val="right"/>
            </w:pPr>
            <w:r>
              <w:rPr>
                <w:rFonts w:ascii="Arial" w:cs="Arial" w:eastAsia="Arial" w:hAnsi="Arial"/>
                <w:b/>
                <w:bCs/>
                <w:color w:val="FFFFFF"/>
                <w:sz w:val="16"/>
                <w:szCs w:val="16"/>
              </w:rPr>
              <w:t xml:space="preserve">Detail (Rp tn)</w:t>
            </w:r>
          </w:p>
        </w:tc>
        <w:tc>
          <w:tcPr>
            <w:tcW w:type="dxa" w:w="1060"/>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jc w:val="right"/>
            </w:pPr>
            <w:r>
              <w:rPr>
                <w:rFonts w:ascii="Arial" w:cs="Arial" w:eastAsia="Arial" w:hAnsi="Arial"/>
                <w:b/>
                <w:bCs/>
                <w:color w:val="FFFFFF"/>
                <w:sz w:val="16"/>
                <w:szCs w:val="16"/>
              </w:rPr>
              <w:t xml:space="preserve">Share</w:t>
            </w:r>
          </w:p>
        </w:tc>
        <w:tc>
          <w:tcPr>
            <w:tcW w:type="dxa" w:w="2313"/>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jc w:val="right"/>
            </w:pPr>
            <w:r>
              <w:rPr>
                <w:rFonts w:ascii="Arial" w:cs="Arial" w:eastAsia="Arial" w:hAnsi="Arial"/>
                <w:b/>
                <w:bCs/>
                <w:color w:val="FFFFFF"/>
                <w:sz w:val="16"/>
                <w:szCs w:val="16"/>
              </w:rPr>
              <w:t xml:space="preserve">Difference (Rp tn)</w:t>
            </w:r>
          </w:p>
        </w:tc>
      </w:tr>
      <w:tr>
        <w:trPr>
          <w:cantSplit/>
        </w:trPr>
        <w:tc>
          <w:tcPr>
            <w:tcW w:type="dxa" w:w="2313"/>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7"/>
                <w:szCs w:val="17"/>
              </w:rPr>
              <w:t xml:space="preserve">Minerals</w:t>
            </w:r>
          </w:p>
        </w:tc>
        <w:tc>
          <w:tcPr>
            <w:tcW w:type="dxa" w:w="144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jc w:val="right"/>
            </w:pPr>
            <w:r>
              <w:rPr>
                <w:rFonts w:ascii="Arial" w:cs="Arial" w:eastAsia="Arial" w:hAnsi="Arial"/>
                <w:color w:val="000000"/>
                <w:sz w:val="17"/>
                <w:szCs w:val="17"/>
              </w:rPr>
              <w:t xml:space="preserve">283.85</w:t>
            </w:r>
          </w:p>
        </w:tc>
        <w:tc>
          <w:tcPr>
            <w:tcW w:type="dxa" w:w="106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jc w:val="right"/>
            </w:pPr>
            <w:r>
              <w:rPr>
                <w:rFonts w:ascii="Arial" w:cs="Arial" w:eastAsia="Arial" w:hAnsi="Arial"/>
                <w:color w:val="000000"/>
                <w:sz w:val="17"/>
                <w:szCs w:val="17"/>
              </w:rPr>
              <w:t xml:space="preserve">13.6%</w:t>
            </w:r>
          </w:p>
        </w:tc>
        <w:tc>
          <w:tcPr>
            <w:tcW w:type="dxa" w:w="144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jc w:val="right"/>
            </w:pPr>
            <w:r>
              <w:rPr>
                <w:rFonts w:ascii="Arial" w:cs="Arial" w:eastAsia="Arial" w:hAnsi="Arial"/>
                <w:color w:val="000000"/>
                <w:sz w:val="17"/>
                <w:szCs w:val="17"/>
              </w:rPr>
              <w:t xml:space="preserve">86.87</w:t>
            </w:r>
          </w:p>
        </w:tc>
        <w:tc>
          <w:tcPr>
            <w:tcW w:type="dxa" w:w="106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jc w:val="right"/>
            </w:pPr>
            <w:r>
              <w:rPr>
                <w:rFonts w:ascii="Arial" w:cs="Arial" w:eastAsia="Arial" w:hAnsi="Arial"/>
                <w:color w:val="000000"/>
                <w:sz w:val="17"/>
                <w:szCs w:val="17"/>
              </w:rPr>
              <w:t xml:space="preserve">4.2%</w:t>
            </w:r>
          </w:p>
        </w:tc>
        <w:tc>
          <w:tcPr>
            <w:tcW w:type="dxa" w:w="2313"/>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jc w:val="right"/>
            </w:pPr>
            <w:r>
              <w:rPr>
                <w:rFonts w:ascii="Arial" w:cs="Arial" w:eastAsia="Arial" w:hAnsi="Arial"/>
                <w:color w:val="000000"/>
                <w:sz w:val="17"/>
                <w:szCs w:val="17"/>
              </w:rPr>
              <w:t xml:space="preserve">−196.98</w:t>
            </w:r>
          </w:p>
        </w:tc>
      </w:tr>
      <w:tr>
        <w:trPr>
          <w:cantSplit/>
        </w:trPr>
        <w:tc>
          <w:tcPr>
            <w:tcW w:type="dxa" w:w="2313"/>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7"/>
                <w:szCs w:val="17"/>
              </w:rPr>
              <w:t xml:space="preserve">Infrastructure</w:t>
            </w:r>
          </w:p>
        </w:tc>
        <w:tc>
          <w:tcPr>
            <w:tcW w:type="dxa" w:w="1446"/>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jc w:val="right"/>
            </w:pPr>
            <w:r>
              <w:rPr>
                <w:rFonts w:ascii="Arial" w:cs="Arial" w:eastAsia="Arial" w:hAnsi="Arial"/>
                <w:color w:val="000000"/>
                <w:sz w:val="17"/>
                <w:szCs w:val="17"/>
              </w:rPr>
              <w:t xml:space="preserve">1,274.57</w:t>
            </w:r>
          </w:p>
        </w:tc>
        <w:tc>
          <w:tcPr>
            <w:tcW w:type="dxa" w:w="106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jc w:val="right"/>
            </w:pPr>
            <w:r>
              <w:rPr>
                <w:rFonts w:ascii="Arial" w:cs="Arial" w:eastAsia="Arial" w:hAnsi="Arial"/>
                <w:color w:val="000000"/>
                <w:sz w:val="17"/>
                <w:szCs w:val="17"/>
              </w:rPr>
              <w:t xml:space="preserve">60.9%</w:t>
            </w:r>
          </w:p>
        </w:tc>
        <w:tc>
          <w:tcPr>
            <w:tcW w:type="dxa" w:w="1446"/>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jc w:val="right"/>
            </w:pPr>
            <w:r>
              <w:rPr>
                <w:rFonts w:ascii="Arial" w:cs="Arial" w:eastAsia="Arial" w:hAnsi="Arial"/>
                <w:color w:val="000000"/>
                <w:sz w:val="17"/>
                <w:szCs w:val="17"/>
              </w:rPr>
              <w:t xml:space="preserve">1,217.92</w:t>
            </w:r>
          </w:p>
        </w:tc>
        <w:tc>
          <w:tcPr>
            <w:tcW w:type="dxa" w:w="106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jc w:val="right"/>
            </w:pPr>
            <w:r>
              <w:rPr>
                <w:rFonts w:ascii="Arial" w:cs="Arial" w:eastAsia="Arial" w:hAnsi="Arial"/>
                <w:color w:val="000000"/>
                <w:sz w:val="17"/>
                <w:szCs w:val="17"/>
              </w:rPr>
              <w:t xml:space="preserve">58.8%</w:t>
            </w:r>
          </w:p>
        </w:tc>
        <w:tc>
          <w:tcPr>
            <w:tcW w:type="dxa" w:w="2313"/>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jc w:val="right"/>
            </w:pPr>
            <w:r>
              <w:rPr>
                <w:rFonts w:ascii="Arial" w:cs="Arial" w:eastAsia="Arial" w:hAnsi="Arial"/>
                <w:color w:val="000000"/>
                <w:sz w:val="17"/>
                <w:szCs w:val="17"/>
              </w:rPr>
              <w:t xml:space="preserve">−56.65</w:t>
            </w:r>
          </w:p>
        </w:tc>
      </w:tr>
      <w:tr>
        <w:trPr>
          <w:cantSplit/>
        </w:trPr>
        <w:tc>
          <w:tcPr>
            <w:tcW w:type="dxa" w:w="2313"/>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7"/>
                <w:szCs w:val="17"/>
              </w:rPr>
              <w:t xml:space="preserve">Defence industry</w:t>
            </w:r>
          </w:p>
        </w:tc>
        <w:tc>
          <w:tcPr>
            <w:tcW w:type="dxa" w:w="144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jc w:val="right"/>
            </w:pPr>
            <w:r>
              <w:rPr>
                <w:rFonts w:ascii="Arial" w:cs="Arial" w:eastAsia="Arial" w:hAnsi="Arial"/>
                <w:color w:val="000000"/>
                <w:sz w:val="17"/>
                <w:szCs w:val="17"/>
              </w:rPr>
              <w:t xml:space="preserve">81.10</w:t>
            </w:r>
          </w:p>
        </w:tc>
        <w:tc>
          <w:tcPr>
            <w:tcW w:type="dxa" w:w="106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jc w:val="right"/>
            </w:pPr>
            <w:r>
              <w:rPr>
                <w:rFonts w:ascii="Arial" w:cs="Arial" w:eastAsia="Arial" w:hAnsi="Arial"/>
                <w:color w:val="000000"/>
                <w:sz w:val="17"/>
                <w:szCs w:val="17"/>
              </w:rPr>
              <w:t xml:space="preserve">3.9%</w:t>
            </w:r>
          </w:p>
        </w:tc>
        <w:tc>
          <w:tcPr>
            <w:tcW w:type="dxa" w:w="144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jc w:val="right"/>
            </w:pPr>
            <w:r>
              <w:rPr>
                <w:rFonts w:ascii="Arial" w:cs="Arial" w:eastAsia="Arial" w:hAnsi="Arial"/>
                <w:color w:val="000000"/>
                <w:sz w:val="17"/>
                <w:szCs w:val="17"/>
              </w:rPr>
              <w:t xml:space="preserve">24.36</w:t>
            </w:r>
          </w:p>
        </w:tc>
        <w:tc>
          <w:tcPr>
            <w:tcW w:type="dxa" w:w="106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jc w:val="right"/>
            </w:pPr>
            <w:r>
              <w:rPr>
                <w:rFonts w:ascii="Arial" w:cs="Arial" w:eastAsia="Arial" w:hAnsi="Arial"/>
                <w:color w:val="000000"/>
                <w:sz w:val="17"/>
                <w:szCs w:val="17"/>
              </w:rPr>
              <w:t xml:space="preserve">1.2%</w:t>
            </w:r>
          </w:p>
        </w:tc>
        <w:tc>
          <w:tcPr>
            <w:tcW w:type="dxa" w:w="2313"/>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jc w:val="right"/>
            </w:pPr>
            <w:r>
              <w:rPr>
                <w:rFonts w:ascii="Arial" w:cs="Arial" w:eastAsia="Arial" w:hAnsi="Arial"/>
                <w:color w:val="000000"/>
                <w:sz w:val="17"/>
                <w:szCs w:val="17"/>
              </w:rPr>
              <w:t xml:space="preserve">−56.74</w:t>
            </w:r>
          </w:p>
        </w:tc>
      </w:tr>
      <w:tr>
        <w:trPr>
          <w:cantSplit/>
        </w:trPr>
        <w:tc>
          <w:tcPr>
            <w:tcW w:type="dxa" w:w="2313"/>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7"/>
                <w:szCs w:val="17"/>
              </w:rPr>
              <w:t xml:space="preserve">Others</w:t>
            </w:r>
          </w:p>
        </w:tc>
        <w:tc>
          <w:tcPr>
            <w:tcW w:type="dxa" w:w="1446"/>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jc w:val="right"/>
            </w:pPr>
            <w:r>
              <w:rPr>
                <w:rFonts w:ascii="Arial" w:cs="Arial" w:eastAsia="Arial" w:hAnsi="Arial"/>
                <w:color w:val="000000"/>
                <w:sz w:val="17"/>
                <w:szCs w:val="17"/>
              </w:rPr>
              <w:t xml:space="preserve">451.94</w:t>
            </w:r>
          </w:p>
        </w:tc>
        <w:tc>
          <w:tcPr>
            <w:tcW w:type="dxa" w:w="106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jc w:val="right"/>
            </w:pPr>
            <w:r>
              <w:rPr>
                <w:rFonts w:ascii="Arial" w:cs="Arial" w:eastAsia="Arial" w:hAnsi="Arial"/>
                <w:color w:val="000000"/>
                <w:sz w:val="17"/>
                <w:szCs w:val="17"/>
              </w:rPr>
              <w:t xml:space="preserve">21.6%</w:t>
            </w:r>
          </w:p>
        </w:tc>
        <w:tc>
          <w:tcPr>
            <w:tcW w:type="dxa" w:w="1446"/>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jc w:val="right"/>
            </w:pPr>
            <w:r>
              <w:rPr>
                <w:rFonts w:ascii="Arial" w:cs="Arial" w:eastAsia="Arial" w:hAnsi="Arial"/>
                <w:color w:val="000000"/>
                <w:sz w:val="17"/>
                <w:szCs w:val="17"/>
              </w:rPr>
              <w:t xml:space="preserve">743.38</w:t>
            </w:r>
          </w:p>
        </w:tc>
        <w:tc>
          <w:tcPr>
            <w:tcW w:type="dxa" w:w="106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jc w:val="right"/>
            </w:pPr>
            <w:r>
              <w:rPr>
                <w:rFonts w:ascii="Arial" w:cs="Arial" w:eastAsia="Arial" w:hAnsi="Arial"/>
                <w:color w:val="000000"/>
                <w:sz w:val="17"/>
                <w:szCs w:val="17"/>
              </w:rPr>
              <w:t xml:space="preserve">35.9%</w:t>
            </w:r>
          </w:p>
        </w:tc>
        <w:tc>
          <w:tcPr>
            <w:tcW w:type="dxa" w:w="2313"/>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jc w:val="right"/>
            </w:pPr>
            <w:r>
              <w:rPr>
                <w:rFonts w:ascii="Arial" w:cs="Arial" w:eastAsia="Arial" w:hAnsi="Arial"/>
                <w:color w:val="000000"/>
                <w:sz w:val="17"/>
                <w:szCs w:val="17"/>
              </w:rPr>
              <w:t xml:space="preserve">+291.44</w:t>
            </w:r>
          </w:p>
        </w:tc>
      </w:tr>
      <w:tr>
        <w:trPr>
          <w:cantSplit/>
        </w:trPr>
        <w:tc>
          <w:tcPr>
            <w:tcW w:type="dxa" w:w="2313"/>
            <w:tcBorders>
              <w:top w:val="none" w:color="FFFFFF" w:sz="0"/>
              <w:left w:val="none" w:color="FFFFFF" w:sz="0"/>
              <w:bottom w:val="single" w:color="9CC7EF" w:sz="4"/>
              <w:right w:val="none" w:color="FFFFFF" w:sz="0"/>
            </w:tcBorders>
            <w:shd w:fill="D4E6F7" w:color="auto" w:val="clear"/>
            <w:tcMar>
              <w:top w:type="dxa" w:w="55"/>
              <w:left w:type="dxa" w:w="100"/>
              <w:bottom w:type="dxa" w:w="55"/>
              <w:right w:type="dxa" w:w="100"/>
            </w:tcMar>
            <w:vAlign w:val="top"/>
          </w:tcPr>
          <w:p>
            <w:pPr>
              <w:keepNext/>
              <w:spacing w:after="40" w:line="252"/>
            </w:pPr>
            <w:r>
              <w:rPr>
                <w:rFonts w:ascii="Arial" w:cs="Arial" w:eastAsia="Arial" w:hAnsi="Arial"/>
                <w:b/>
                <w:bCs/>
                <w:color w:val="000000"/>
                <w:sz w:val="17"/>
                <w:szCs w:val="17"/>
              </w:rPr>
              <w:t xml:space="preserve">Total</w:t>
            </w:r>
          </w:p>
        </w:tc>
        <w:tc>
          <w:tcPr>
            <w:tcW w:type="dxa" w:w="1446"/>
            <w:tcBorders>
              <w:top w:val="none" w:color="FFFFFF" w:sz="0"/>
              <w:left w:val="none" w:color="FFFFFF" w:sz="0"/>
              <w:bottom w:val="single" w:color="9CC7EF" w:sz="4"/>
              <w:right w:val="none" w:color="FFFFFF" w:sz="0"/>
            </w:tcBorders>
            <w:shd w:fill="D4E6F7" w:color="auto" w:val="clear"/>
            <w:tcMar>
              <w:top w:type="dxa" w:w="55"/>
              <w:left w:type="dxa" w:w="100"/>
              <w:bottom w:type="dxa" w:w="55"/>
              <w:right w:type="dxa" w:w="100"/>
            </w:tcMar>
            <w:vAlign w:val="top"/>
          </w:tcPr>
          <w:p>
            <w:pPr>
              <w:keepNext/>
              <w:spacing w:after="40" w:line="252"/>
              <w:jc w:val="right"/>
            </w:pPr>
            <w:r>
              <w:rPr>
                <w:rFonts w:ascii="Arial" w:cs="Arial" w:eastAsia="Arial" w:hAnsi="Arial"/>
                <w:b/>
                <w:bCs/>
                <w:color w:val="000000"/>
                <w:sz w:val="17"/>
                <w:szCs w:val="17"/>
              </w:rPr>
              <w:t xml:space="preserve">2,091.46</w:t>
            </w:r>
          </w:p>
        </w:tc>
        <w:tc>
          <w:tcPr>
            <w:tcW w:type="dxa" w:w="1060"/>
            <w:tcBorders>
              <w:top w:val="none" w:color="FFFFFF" w:sz="0"/>
              <w:left w:val="none" w:color="FFFFFF" w:sz="0"/>
              <w:bottom w:val="single" w:color="9CC7EF" w:sz="4"/>
              <w:right w:val="none" w:color="FFFFFF" w:sz="0"/>
            </w:tcBorders>
            <w:shd w:fill="D4E6F7" w:color="auto" w:val="clear"/>
            <w:tcMar>
              <w:top w:type="dxa" w:w="55"/>
              <w:left w:type="dxa" w:w="100"/>
              <w:bottom w:type="dxa" w:w="55"/>
              <w:right w:type="dxa" w:w="100"/>
            </w:tcMar>
            <w:vAlign w:val="top"/>
          </w:tcPr>
          <w:p>
            <w:pPr>
              <w:keepNext/>
              <w:spacing w:after="40" w:line="252"/>
              <w:jc w:val="right"/>
            </w:pPr>
            <w:r>
              <w:rPr>
                <w:rFonts w:ascii="Arial" w:cs="Arial" w:eastAsia="Arial" w:hAnsi="Arial"/>
                <w:b/>
                <w:bCs/>
                <w:color w:val="000000"/>
                <w:sz w:val="17"/>
                <w:szCs w:val="17"/>
              </w:rPr>
              <w:t xml:space="preserve">100%</w:t>
            </w:r>
          </w:p>
        </w:tc>
        <w:tc>
          <w:tcPr>
            <w:tcW w:type="dxa" w:w="1446"/>
            <w:tcBorders>
              <w:top w:val="none" w:color="FFFFFF" w:sz="0"/>
              <w:left w:val="none" w:color="FFFFFF" w:sz="0"/>
              <w:bottom w:val="single" w:color="9CC7EF" w:sz="4"/>
              <w:right w:val="none" w:color="FFFFFF" w:sz="0"/>
            </w:tcBorders>
            <w:shd w:fill="D4E6F7" w:color="auto" w:val="clear"/>
            <w:tcMar>
              <w:top w:type="dxa" w:w="55"/>
              <w:left w:type="dxa" w:w="100"/>
              <w:bottom w:type="dxa" w:w="55"/>
              <w:right w:type="dxa" w:w="100"/>
            </w:tcMar>
            <w:vAlign w:val="top"/>
          </w:tcPr>
          <w:p>
            <w:pPr>
              <w:keepNext/>
              <w:spacing w:after="40" w:line="252"/>
              <w:jc w:val="right"/>
            </w:pPr>
            <w:r>
              <w:rPr>
                <w:rFonts w:ascii="Arial" w:cs="Arial" w:eastAsia="Arial" w:hAnsi="Arial"/>
                <w:b/>
                <w:bCs/>
                <w:color w:val="000000"/>
                <w:sz w:val="17"/>
                <w:szCs w:val="17"/>
              </w:rPr>
              <w:t xml:space="preserve">2,072.53</w:t>
            </w:r>
          </w:p>
        </w:tc>
        <w:tc>
          <w:tcPr>
            <w:tcW w:type="dxa" w:w="1060"/>
            <w:tcBorders>
              <w:top w:val="none" w:color="FFFFFF" w:sz="0"/>
              <w:left w:val="none" w:color="FFFFFF" w:sz="0"/>
              <w:bottom w:val="single" w:color="9CC7EF" w:sz="4"/>
              <w:right w:val="none" w:color="FFFFFF" w:sz="0"/>
            </w:tcBorders>
            <w:shd w:fill="D4E6F7" w:color="auto" w:val="clear"/>
            <w:tcMar>
              <w:top w:type="dxa" w:w="55"/>
              <w:left w:type="dxa" w:w="100"/>
              <w:bottom w:type="dxa" w:w="55"/>
              <w:right w:type="dxa" w:w="100"/>
            </w:tcMar>
            <w:vAlign w:val="top"/>
          </w:tcPr>
          <w:p>
            <w:pPr>
              <w:keepNext/>
              <w:spacing w:after="40" w:line="252"/>
              <w:jc w:val="right"/>
            </w:pPr>
            <w:r>
              <w:rPr>
                <w:rFonts w:ascii="Arial" w:cs="Arial" w:eastAsia="Arial" w:hAnsi="Arial"/>
                <w:b/>
                <w:bCs/>
                <w:color w:val="000000"/>
                <w:sz w:val="17"/>
                <w:szCs w:val="17"/>
              </w:rPr>
              <w:t xml:space="preserve">100%</w:t>
            </w:r>
          </w:p>
        </w:tc>
        <w:tc>
          <w:tcPr>
            <w:tcW w:type="dxa" w:w="2313"/>
            <w:tcBorders>
              <w:top w:val="none" w:color="FFFFFF" w:sz="0"/>
              <w:left w:val="none" w:color="FFFFFF" w:sz="0"/>
              <w:bottom w:val="single" w:color="9CC7EF" w:sz="4"/>
              <w:right w:val="none" w:color="FFFFFF" w:sz="0"/>
            </w:tcBorders>
            <w:shd w:fill="D4E6F7" w:color="auto" w:val="clear"/>
            <w:tcMar>
              <w:top w:type="dxa" w:w="55"/>
              <w:left w:type="dxa" w:w="100"/>
              <w:bottom w:type="dxa" w:w="55"/>
              <w:right w:type="dxa" w:w="100"/>
            </w:tcMar>
            <w:vAlign w:val="top"/>
          </w:tcPr>
          <w:p>
            <w:pPr>
              <w:keepNext/>
              <w:spacing w:after="40" w:line="252"/>
              <w:jc w:val="right"/>
            </w:pPr>
            <w:r>
              <w:rPr>
                <w:rFonts w:ascii="Arial" w:cs="Arial" w:eastAsia="Arial" w:hAnsi="Arial"/>
                <w:b/>
                <w:bCs/>
                <w:color w:val="000000"/>
                <w:sz w:val="17"/>
                <w:szCs w:val="17"/>
              </w:rPr>
              <w:t xml:space="preserve">−18.93</w:t>
            </w:r>
          </w:p>
        </w:tc>
      </w:tr>
    </w:tbl>
    <w:p>
      <w:pPr>
        <w:keepNext w:val="false"/>
        <w:spacing w:after="140"/>
      </w:pPr>
    </w:p>
    <w:p>
      <w:pPr>
        <w:spacing w:after="110" w:before="0" w:line="264"/>
        <w:jc w:val="left"/>
      </w:pPr>
      <w:r>
        <w:rPr>
          <w:rFonts w:ascii="Arial" w:cs="Arial" w:eastAsia="Arial" w:hAnsi="Arial"/>
          <w:color w:val="000000"/>
          <w:sz w:val="20"/>
          <w:szCs w:val="20"/>
        </w:rPr>
        <w:t xml:space="preserve">The totals differ by </w:t>
      </w:r>
      <w:r>
        <w:rPr>
          <w:rFonts w:ascii="Arial" w:cs="Arial" w:eastAsia="Arial" w:hAnsi="Arial"/>
          <w:b/>
          <w:bCs/>
          <w:color w:val="000000"/>
          <w:sz w:val="20"/>
          <w:szCs w:val="20"/>
        </w:rPr>
        <w:t xml:space="preserve">Rp18.93 trillion</w:t>
      </w:r>
      <w:r>
        <w:rPr>
          <w:rFonts w:ascii="Arial" w:cs="Arial" w:eastAsia="Arial" w:hAnsi="Arial"/>
          <w:color w:val="000000"/>
          <w:sz w:val="20"/>
          <w:szCs w:val="20"/>
        </w:rPr>
        <w:t xml:space="preserve">, and the cluster allocations differ far more: “Others” is Rp291 trillion larger in the detail tables, while minerals is Rp197 trillion smaller. Labour figures in the infographic are estimates, not outcomes. Units and scope must be confirmed with the data owner before any figure is used for budget approval [D2]. Until then, completion, mobilisation and impact rates have no valid denominator.</w:t>
      </w:r>
    </w:p>
    <w:p>
      <w:pPr>
        <w:pStyle w:val="Heading2"/>
        <w:keepNext/>
        <w:keepLines/>
        <w:spacing w:after="120" w:before="280"/>
      </w:pPr>
      <w:r>
        <w:rPr>
          <w:rFonts w:ascii="Arial" w:cs="Arial" w:eastAsia="Arial" w:hAnsi="Arial"/>
          <w:b/>
          <w:bCs/>
          <w:color w:val="00338D"/>
          <w:sz w:val="28"/>
          <w:szCs w:val="28"/>
        </w:rPr>
        <w:t xml:space="preserve">4.7 Root causes</w:t>
      </w:r>
    </w:p>
    <w:p>
      <w:pPr>
        <w:spacing w:after="110" w:before="0" w:line="264"/>
        <w:jc w:val="left"/>
      </w:pPr>
      <w:r>
        <w:rPr>
          <w:rFonts w:ascii="Arial" w:cs="Arial" w:eastAsia="Arial" w:hAnsi="Arial"/>
          <w:color w:val="000000"/>
          <w:sz w:val="20"/>
          <w:szCs w:val="20"/>
        </w:rPr>
        <w:t xml:space="preserve">All four strands of the source work point to the same four root causes [D3 p.2; D1; D2; D4]:</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739"/>
        <w:gridCol w:w="160"/>
        <w:gridCol w:w="4739"/>
      </w:tblGrid>
      <w:tr>
        <w:trPr>
          <w:cantSplit/>
        </w:trPr>
        <w:tc>
          <w:tcPr>
            <w:tcW w:type="dxa" w:w="4739"/>
            <w:tcBorders>
              <w:top w:val="none" w:color="FFFFFF" w:sz="0"/>
              <w:left w:val="none" w:color="FFFFFF" w:sz="0"/>
              <w:bottom w:val="none" w:color="FFFFFF" w:sz="0"/>
              <w:right w:val="none" w:color="FFFFFF" w:sz="0"/>
            </w:tcBorders>
            <w:shd w:fill="EAF2FB" w:color="auto" w:val="clear"/>
            <w:tcMar>
              <w:top w:type="dxa" w:w="140"/>
              <w:left w:type="dxa" w:w="160"/>
              <w:bottom w:type="dxa" w:w="120"/>
              <w:right w:type="dxa" w:w="160"/>
            </w:tcMar>
          </w:tcPr>
          <w:p>
            <w:pPr>
              <w:spacing w:after="30"/>
            </w:pPr>
            <w:r>
              <w:rPr>
                <w:rFonts w:ascii="Arial" w:cs="Arial" w:eastAsia="Arial" w:hAnsi="Arial"/>
                <w:b/>
                <w:bCs/>
                <w:color w:val="0091DA"/>
                <w:sz w:val="15"/>
                <w:szCs w:val="15"/>
              </w:rPr>
              <w:t xml:space="preserve">Root cause 1</w:t>
            </w:r>
          </w:p>
          <w:p>
            <w:pPr>
              <w:spacing w:after="70" w:line="250"/>
            </w:pPr>
            <w:r>
              <w:rPr>
                <w:rFonts w:ascii="Arial" w:cs="Arial" w:eastAsia="Arial" w:hAnsi="Arial"/>
                <w:b/>
                <w:bCs/>
                <w:color w:val="00338D"/>
                <w:sz w:val="19"/>
                <w:szCs w:val="19"/>
              </w:rPr>
              <w:t xml:space="preserve">Capital without a conversion mechanism</w:t>
            </w:r>
          </w:p>
          <w:p>
            <w:pPr>
              <w:spacing w:after="50" w:line="252"/>
            </w:pPr>
            <w:r>
              <w:rPr>
                <w:rFonts w:ascii="Arial" w:cs="Arial" w:eastAsia="Arial" w:hAnsi="Arial"/>
                <w:sz w:val="17"/>
                <w:szCs w:val="17"/>
              </w:rPr>
              <w:t xml:space="preserve">Capital is available, but there is no clear mechanism to turn investment into national industrial capability.</w:t>
            </w:r>
          </w:p>
        </w:tc>
        <w:tc>
          <w:tcPr>
            <w:tcW w:type="dxa" w:w="160"/>
            <w:tcBorders>
              <w:top w:val="none" w:color="FFFFFF" w:sz="0"/>
              <w:left w:val="none" w:color="FFFFFF" w:sz="0"/>
              <w:bottom w:val="none" w:color="FFFFFF" w:sz="0"/>
              <w:right w:val="none" w:color="FFFFFF" w:sz="0"/>
            </w:tcBorders>
          </w:tcPr>
          <w:p/>
        </w:tc>
        <w:tc>
          <w:tcPr>
            <w:tcW w:type="dxa" w:w="4739"/>
            <w:tcBorders>
              <w:top w:val="none" w:color="FFFFFF" w:sz="0"/>
              <w:left w:val="none" w:color="FFFFFF" w:sz="0"/>
              <w:bottom w:val="none" w:color="FFFFFF" w:sz="0"/>
              <w:right w:val="none" w:color="FFFFFF" w:sz="0"/>
            </w:tcBorders>
            <w:shd w:fill="EAF2FB" w:color="auto" w:val="clear"/>
            <w:tcMar>
              <w:top w:type="dxa" w:w="140"/>
              <w:left w:type="dxa" w:w="160"/>
              <w:bottom w:type="dxa" w:w="120"/>
              <w:right w:type="dxa" w:w="160"/>
            </w:tcMar>
          </w:tcPr>
          <w:p>
            <w:pPr>
              <w:spacing w:after="30"/>
            </w:pPr>
            <w:r>
              <w:rPr>
                <w:rFonts w:ascii="Arial" w:cs="Arial" w:eastAsia="Arial" w:hAnsi="Arial"/>
                <w:b/>
                <w:bCs/>
                <w:color w:val="0091DA"/>
                <w:sz w:val="15"/>
                <w:szCs w:val="15"/>
              </w:rPr>
              <w:t xml:space="preserve">Root cause 2</w:t>
            </w:r>
          </w:p>
          <w:p>
            <w:pPr>
              <w:spacing w:after="70" w:line="250"/>
            </w:pPr>
            <w:r>
              <w:rPr>
                <w:rFonts w:ascii="Arial" w:cs="Arial" w:eastAsia="Arial" w:hAnsi="Arial"/>
                <w:b/>
                <w:bCs/>
                <w:color w:val="00338D"/>
                <w:sz w:val="19"/>
                <w:szCs w:val="19"/>
              </w:rPr>
              <w:t xml:space="preserve">Import-heavy projects with little transfer</w:t>
            </w:r>
          </w:p>
          <w:p>
            <w:pPr>
              <w:spacing w:after="50" w:line="252"/>
            </w:pPr>
            <w:r>
              <w:rPr>
                <w:rFonts w:ascii="Arial" w:cs="Arial" w:eastAsia="Arial" w:hAnsi="Arial"/>
                <w:sz w:val="17"/>
                <w:szCs w:val="17"/>
              </w:rPr>
              <w:t xml:space="preserve">Many projects are import- and construction-led, with limited technology transfer and supplier development. Examples include PT PAL's reported 75% imported materials [D6] and candidate SMEs at MRL 3–5 [D4].</w:t>
            </w:r>
          </w:p>
        </w:tc>
      </w:tr>
      <w:tr>
        <w:trPr>
          <w:trHeight w:val="160" w:hRule="exact"/>
        </w:trPr>
        <w:tc>
          <w:tcPr>
            <w:tcW w:type="dxa" w:w="4739"/>
            <w:tcBorders>
              <w:top w:val="none" w:color="FFFFFF" w:sz="0"/>
              <w:left w:val="none" w:color="FFFFFF" w:sz="0"/>
              <w:bottom w:val="none" w:color="FFFFFF" w:sz="0"/>
              <w:right w:val="none" w:color="FFFFFF" w:sz="0"/>
            </w:tcBorders>
          </w:tcPr>
          <w:p/>
        </w:tc>
        <w:tc>
          <w:tcPr>
            <w:tcW w:type="dxa" w:w="160"/>
            <w:tcBorders>
              <w:top w:val="none" w:color="FFFFFF" w:sz="0"/>
              <w:left w:val="none" w:color="FFFFFF" w:sz="0"/>
              <w:bottom w:val="none" w:color="FFFFFF" w:sz="0"/>
              <w:right w:val="none" w:color="FFFFFF" w:sz="0"/>
            </w:tcBorders>
          </w:tcPr>
          <w:p/>
        </w:tc>
        <w:tc>
          <w:tcPr>
            <w:tcW w:type="dxa" w:w="4739"/>
            <w:tcBorders>
              <w:top w:val="none" w:color="FFFFFF" w:sz="0"/>
              <w:left w:val="none" w:color="FFFFFF" w:sz="0"/>
              <w:bottom w:val="none" w:color="FFFFFF" w:sz="0"/>
              <w:right w:val="none" w:color="FFFFFF" w:sz="0"/>
            </w:tcBorders>
          </w:tcPr>
          <w:p/>
        </w:tc>
      </w:tr>
      <w:tr>
        <w:trPr>
          <w:cantSplit/>
        </w:trPr>
        <w:tc>
          <w:tcPr>
            <w:tcW w:type="dxa" w:w="4739"/>
            <w:tcBorders>
              <w:top w:val="none" w:color="FFFFFF" w:sz="0"/>
              <w:left w:val="none" w:color="FFFFFF" w:sz="0"/>
              <w:bottom w:val="none" w:color="FFFFFF" w:sz="0"/>
              <w:right w:val="none" w:color="FFFFFF" w:sz="0"/>
            </w:tcBorders>
            <w:shd w:fill="EAF2FB" w:color="auto" w:val="clear"/>
            <w:tcMar>
              <w:top w:type="dxa" w:w="140"/>
              <w:left w:type="dxa" w:w="160"/>
              <w:bottom w:type="dxa" w:w="120"/>
              <w:right w:type="dxa" w:w="160"/>
            </w:tcMar>
          </w:tcPr>
          <w:p>
            <w:pPr>
              <w:spacing w:after="30"/>
            </w:pPr>
            <w:r>
              <w:rPr>
                <w:rFonts w:ascii="Arial" w:cs="Arial" w:eastAsia="Arial" w:hAnsi="Arial"/>
                <w:b/>
                <w:bCs/>
                <w:color w:val="0091DA"/>
                <w:sz w:val="15"/>
                <w:szCs w:val="15"/>
              </w:rPr>
              <w:t xml:space="preserve">Root cause 3</w:t>
            </w:r>
          </w:p>
          <w:p>
            <w:pPr>
              <w:spacing w:after="70" w:line="250"/>
            </w:pPr>
            <w:r>
              <w:rPr>
                <w:rFonts w:ascii="Arial" w:cs="Arial" w:eastAsia="Arial" w:hAnsi="Arial"/>
                <w:b/>
                <w:bCs/>
                <w:color w:val="00338D"/>
                <w:sz w:val="19"/>
                <w:szCs w:val="19"/>
              </w:rPr>
              <w:t xml:space="preserve">SOEs working in silos</w:t>
            </w:r>
          </w:p>
          <w:p>
            <w:pPr>
              <w:spacing w:after="50" w:line="252"/>
            </w:pPr>
            <w:r>
              <w:rPr>
                <w:rFonts w:ascii="Arial" w:cs="Arial" w:eastAsia="Arial" w:hAnsi="Arial"/>
                <w:sz w:val="17"/>
                <w:szCs w:val="17"/>
              </w:rPr>
              <w:t xml:space="preserve">SOEs often act alone and are not integrated into an industrial platform [D3 p.2]. No cross-arm portfolio layer or integrated register was available to the review [D2].</w:t>
            </w:r>
          </w:p>
        </w:tc>
        <w:tc>
          <w:tcPr>
            <w:tcW w:type="dxa" w:w="160"/>
            <w:tcBorders>
              <w:top w:val="none" w:color="FFFFFF" w:sz="0"/>
              <w:left w:val="none" w:color="FFFFFF" w:sz="0"/>
              <w:bottom w:val="none" w:color="FFFFFF" w:sz="0"/>
              <w:right w:val="none" w:color="FFFFFF" w:sz="0"/>
            </w:tcBorders>
          </w:tcPr>
          <w:p/>
        </w:tc>
        <w:tc>
          <w:tcPr>
            <w:tcW w:type="dxa" w:w="4739"/>
            <w:tcBorders>
              <w:top w:val="none" w:color="FFFFFF" w:sz="0"/>
              <w:left w:val="none" w:color="FFFFFF" w:sz="0"/>
              <w:bottom w:val="none" w:color="FFFFFF" w:sz="0"/>
              <w:right w:val="none" w:color="FFFFFF" w:sz="0"/>
            </w:tcBorders>
            <w:shd w:fill="EAF2FB" w:color="auto" w:val="clear"/>
            <w:tcMar>
              <w:top w:type="dxa" w:w="140"/>
              <w:left w:type="dxa" w:w="160"/>
              <w:bottom w:type="dxa" w:w="120"/>
              <w:right w:type="dxa" w:w="160"/>
            </w:tcMar>
          </w:tcPr>
          <w:p>
            <w:pPr>
              <w:spacing w:after="30"/>
            </w:pPr>
            <w:r>
              <w:rPr>
                <w:rFonts w:ascii="Arial" w:cs="Arial" w:eastAsia="Arial" w:hAnsi="Arial"/>
                <w:b/>
                <w:bCs/>
                <w:color w:val="0091DA"/>
                <w:sz w:val="15"/>
                <w:szCs w:val="15"/>
              </w:rPr>
              <w:t xml:space="preserve">Root cause 4</w:t>
            </w:r>
          </w:p>
          <w:p>
            <w:pPr>
              <w:spacing w:after="70" w:line="250"/>
            </w:pPr>
            <w:r>
              <w:rPr>
                <w:rFonts w:ascii="Arial" w:cs="Arial" w:eastAsia="Arial" w:hAnsi="Arial"/>
                <w:b/>
                <w:bCs/>
                <w:color w:val="00338D"/>
                <w:sz w:val="19"/>
                <w:szCs w:val="19"/>
              </w:rPr>
              <w:t xml:space="preserve">Impact not measured</w:t>
            </w:r>
          </w:p>
          <w:p>
            <w:pPr>
              <w:spacing w:after="50" w:line="252"/>
            </w:pPr>
            <w:r>
              <w:rPr>
                <w:rFonts w:ascii="Arial" w:cs="Arial" w:eastAsia="Arial" w:hAnsi="Arial"/>
                <w:sz w:val="17"/>
                <w:szCs w:val="17"/>
              </w:rPr>
              <w:t xml:space="preserve">Effects on GDP, technology and exports are not measured with a defensible method. Announcements stand in for outcomes [D1].</w:t>
            </w:r>
          </w:p>
        </w:tc>
      </w:tr>
    </w:tbl>
    <w:p>
      <w:pPr>
        <w:pageBreakBefore/>
        <w:spacing w:after="0" w:line="240"/>
      </w:pPr>
      <w:r>
        <w:rPr>
          <w:sz w:val="2"/>
          <w:szCs w:val="2"/>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one" w:color="FFFFFF" w:sz="0"/>
              <w:left w:val="none" w:color="FFFFFF" w:sz="0"/>
              <w:bottom w:val="none" w:color="FFFFFF" w:sz="0"/>
              <w:right w:val="none" w:color="FFFFFF" w:sz="0"/>
            </w:tcBorders>
            <w:shd w:fill="00338D" w:color="auto" w:val="clear"/>
            <w:tcMar>
              <w:top w:type="dxa" w:w="260"/>
              <w:left w:type="dxa" w:w="300"/>
              <w:bottom w:type="dxa" w:w="300"/>
              <w:right w:type="dxa" w:w="300"/>
            </w:tcMar>
          </w:tcPr>
          <w:p>
            <w:pPr>
              <w:spacing w:after="0"/>
            </w:pPr>
            <w:r>
              <w:rPr>
                <w:rFonts w:ascii="Arial" w:cs="Arial" w:eastAsia="Arial" w:hAnsi="Arial"/>
                <w:b/>
                <w:bCs/>
                <w:color w:val="9CC7EF"/>
                <w:sz w:val="64"/>
                <w:szCs w:val="64"/>
              </w:rPr>
              <w:t xml:space="preserve">05</w:t>
            </w:r>
          </w:p>
          <w:p>
            <w:pPr>
              <w:pStyle w:val="Heading1"/>
              <w:spacing w:after="100"/>
            </w:pPr>
            <w:r>
              <w:rPr>
                <w:rFonts w:ascii="Arial" w:cs="Arial" w:eastAsia="Arial" w:hAnsi="Arial"/>
                <w:b/>
                <w:bCs/>
                <w:color w:val="FFFFFF"/>
                <w:sz w:val="40"/>
                <w:szCs w:val="40"/>
              </w:rPr>
              <w:t xml:space="preserve">What Danantara is expected to deliver</w:t>
            </w:r>
          </w:p>
          <w:p>
            <w:pPr>
              <w:spacing w:after="0" w:line="276"/>
            </w:pPr>
            <w:r>
              <w:rPr>
                <w:rFonts w:ascii="Arial" w:cs="Arial" w:eastAsia="Arial" w:hAnsi="Arial"/>
                <w:color w:val="FFFFFF"/>
                <w:sz w:val="20"/>
                <w:szCs w:val="20"/>
              </w:rPr>
              <w:t xml:space="preserve">Danantara is expected to strengthen national strategic industries and to contribute measurably to economic indicators and social welfare. This chapter turns that expectation into a target state that can be managed and measured.</w:t>
            </w:r>
          </w:p>
        </w:tc>
      </w:tr>
    </w:tbl>
    <w:p>
      <w:pPr>
        <w:spacing w:after="200"/>
      </w:pPr>
    </w:p>
    <w:p>
      <w:pPr>
        <w:pStyle w:val="Heading2"/>
        <w:keepNext/>
        <w:keepLines/>
        <w:spacing w:after="120" w:before="280"/>
      </w:pPr>
      <w:r>
        <w:rPr>
          <w:rFonts w:ascii="Arial" w:cs="Arial" w:eastAsia="Arial" w:hAnsi="Arial"/>
          <w:b/>
          <w:bCs/>
          <w:color w:val="00338D"/>
          <w:sz w:val="28"/>
          <w:szCs w:val="28"/>
        </w:rPr>
        <w:t xml:space="preserve">5.1 From expectation to measurable outcomes</w:t>
      </w:r>
    </w:p>
    <w:p>
      <w:pPr>
        <w:spacing w:after="110" w:before="0" w:line="264"/>
        <w:jc w:val="left"/>
      </w:pPr>
      <w:r>
        <w:rPr>
          <w:rFonts w:ascii="Arial" w:cs="Arial" w:eastAsia="Arial" w:hAnsi="Arial"/>
          <w:color w:val="000000"/>
          <w:sz w:val="20"/>
          <w:szCs w:val="20"/>
        </w:rPr>
        <w:t xml:space="preserve">The expectation placed on Danantara has three parts. Each must be defined as an </w:t>
      </w:r>
      <w:r>
        <w:rPr>
          <w:rFonts w:ascii="Arial" w:cs="Arial" w:eastAsia="Arial" w:hAnsi="Arial"/>
          <w:b/>
          <w:bCs/>
          <w:color w:val="000000"/>
          <w:sz w:val="20"/>
          <w:szCs w:val="20"/>
        </w:rPr>
        <w:t xml:space="preserve">additional</w:t>
      </w:r>
      <w:r>
        <w:rPr>
          <w:rFonts w:ascii="Arial" w:cs="Arial" w:eastAsia="Arial" w:hAnsi="Arial"/>
          <w:color w:val="000000"/>
          <w:sz w:val="20"/>
          <w:szCs w:val="20"/>
        </w:rPr>
        <w:t xml:space="preserve"> outcome that would not have happened without Danantara. Each needs its own measure, because a single profit or dividend number cannot represent all three [D1].</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20"/>
        <w:gridCol w:w="4048"/>
        <w:gridCol w:w="3470"/>
      </w:tblGrid>
      <w:tr>
        <w:trPr>
          <w:cantSplit/>
          <w:tblHeader/>
        </w:trPr>
        <w:tc>
          <w:tcPr>
            <w:tcW w:type="dxa" w:w="2120"/>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Expectation</w:t>
            </w:r>
          </w:p>
        </w:tc>
        <w:tc>
          <w:tcPr>
            <w:tcW w:type="dxa" w:w="4048"/>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What success looks like</w:t>
            </w:r>
          </w:p>
        </w:tc>
        <w:tc>
          <w:tcPr>
            <w:tcW w:type="dxa" w:w="3470"/>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Primary measures (Chapter 14; definitions in Appendix A)</w:t>
            </w:r>
          </w:p>
        </w:tc>
      </w:tr>
      <w:tr>
        <w:trPr>
          <w:cantSplit/>
        </w:trPr>
        <w:tc>
          <w:tcPr>
            <w:tcW w:type="dxa" w:w="212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pPr>
            <w:r>
              <w:rPr>
                <w:rFonts w:ascii="Arial" w:cs="Arial" w:eastAsia="Arial" w:hAnsi="Arial"/>
                <w:b/>
                <w:bCs/>
                <w:color w:val="000000"/>
                <w:sz w:val="17"/>
                <w:szCs w:val="17"/>
              </w:rPr>
              <w:t xml:space="preserve">Boost national strategic industry capability</w:t>
            </w:r>
          </w:p>
        </w:tc>
        <w:tc>
          <w:tcPr>
            <w:tcW w:type="dxa" w:w="404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7"/>
                <w:szCs w:val="17"/>
              </w:rPr>
              <w:t xml:space="preserve">Domestic firms can design, make, certify, maintain and improve critical products and processes at competitive cost, and repeat sales without permanent protection</w:t>
            </w:r>
          </w:p>
        </w:tc>
        <w:tc>
          <w:tcPr>
            <w:tcW w:type="dxa" w:w="347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7"/>
                <w:szCs w:val="17"/>
              </w:rPr>
              <w:t xml:space="preserve">Suppliers passing DOCK-UP gates; verified technology milestones (D06); domestic value-added share (D05); commercial capacity utilisation (D07)</w:t>
            </w:r>
          </w:p>
        </w:tc>
      </w:tr>
      <w:tr>
        <w:trPr>
          <w:cantSplit/>
        </w:trPr>
        <w:tc>
          <w:tcPr>
            <w:tcW w:type="dxa" w:w="212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pPr>
            <w:r>
              <w:rPr>
                <w:rFonts w:ascii="Arial" w:cs="Arial" w:eastAsia="Arial" w:hAnsi="Arial"/>
                <w:b/>
                <w:bCs/>
                <w:color w:val="000000"/>
                <w:sz w:val="17"/>
                <w:szCs w:val="17"/>
              </w:rPr>
              <w:t xml:space="preserve">Contribute to economic metrics</w:t>
            </w:r>
          </w:p>
        </w:tc>
        <w:tc>
          <w:tcPr>
            <w:tcW w:type="dxa" w:w="4048"/>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7"/>
                <w:szCs w:val="17"/>
              </w:rPr>
              <w:t xml:space="preserve">Additional real value added, net foreign-exchange contribution, productivity growth and private capital mobilised, net of displacement and public support</w:t>
            </w:r>
          </w:p>
        </w:tc>
        <w:tc>
          <w:tcPr>
            <w:tcW w:type="dxa" w:w="347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7"/>
                <w:szCs w:val="17"/>
              </w:rPr>
              <w:t xml:space="preserve">Additional domestic value added (D02); net FX contribution (D04); supplier productivity (D09); attributable private mobilisation (I10); economic return above the social hurdle (D01)</w:t>
            </w:r>
          </w:p>
        </w:tc>
      </w:tr>
      <w:tr>
        <w:trPr>
          <w:cantSplit/>
        </w:trPr>
        <w:tc>
          <w:tcPr>
            <w:tcW w:type="dxa" w:w="212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pPr>
            <w:r>
              <w:rPr>
                <w:rFonts w:ascii="Arial" w:cs="Arial" w:eastAsia="Arial" w:hAnsi="Arial"/>
                <w:b/>
                <w:bCs/>
                <w:color w:val="000000"/>
                <w:sz w:val="17"/>
                <w:szCs w:val="17"/>
              </w:rPr>
              <w:t xml:space="preserve">Social impact</w:t>
            </w:r>
          </w:p>
        </w:tc>
        <w:tc>
          <w:tcPr>
            <w:tcW w:type="dxa" w:w="404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7"/>
                <w:szCs w:val="17"/>
              </w:rPr>
              <w:t xml:space="preserve">Sustained quality jobs, SMEs integrated into strategic supply chains, reliable and affordable services, and verified environmental gains</w:t>
            </w:r>
          </w:p>
        </w:tc>
        <w:tc>
          <w:tcPr>
            <w:tcW w:type="dxa" w:w="347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7"/>
                <w:szCs w:val="17"/>
              </w:rPr>
              <w:t xml:space="preserve">Sustained additional employment (D03); reliable affordable service delivered (D11); net lifecycle GHG reduction (D10); public support per additional outcome (D12)</w:t>
            </w:r>
          </w:p>
        </w:tc>
      </w:tr>
    </w:tbl>
    <w:p>
      <w:pPr>
        <w:keepNext w:val="false"/>
        <w:spacing w:after="140"/>
      </w:pPr>
    </w:p>
    <w:p>
      <w:pPr>
        <w:pStyle w:val="Heading3"/>
        <w:keepNext/>
        <w:keepLines/>
        <w:spacing w:after="80" w:before="200"/>
      </w:pPr>
      <w:r>
        <w:rPr>
          <w:rFonts w:ascii="Arial" w:cs="Arial" w:eastAsia="Arial" w:hAnsi="Arial"/>
          <w:b/>
          <w:bCs/>
          <w:color w:val="005EB8"/>
          <w:sz w:val="22"/>
          <w:szCs w:val="22"/>
        </w:rPr>
        <w:t xml:space="preserve">Order of magnitude: what localisation could contribute</w:t>
      </w:r>
    </w:p>
    <w:p>
      <w:pPr>
        <w:spacing w:after="110" w:before="0" w:line="264"/>
        <w:jc w:val="left"/>
      </w:pPr>
      <w:r>
        <w:rPr>
          <w:rFonts w:ascii="Arial" w:cs="Arial" w:eastAsia="Arial" w:hAnsi="Arial"/>
          <w:color w:val="000000"/>
          <w:sz w:val="20"/>
          <w:szCs w:val="20"/>
        </w:rPr>
        <w:t xml:space="preserve">No baseline exists yet for these indicators. To show the order of magnitude at stake, the table below estimates what shifting part of the anchor portfolio's imported goods to verified domestic suppliers could contribute. It is a </w:t>
      </w:r>
      <w:r>
        <w:rPr>
          <w:rFonts w:ascii="Arial" w:cs="Arial" w:eastAsia="Arial" w:hAnsi="Arial"/>
          <w:b/>
          <w:bCs/>
          <w:color w:val="000000"/>
          <w:sz w:val="20"/>
          <w:szCs w:val="20"/>
        </w:rPr>
        <w:t xml:space="preserve">class D illustration</w:t>
      </w:r>
      <w:r>
        <w:rPr>
          <w:rFonts w:ascii="Arial" w:cs="Arial" w:eastAsia="Arial" w:hAnsi="Arial"/>
          <w:color w:val="000000"/>
          <w:sz w:val="20"/>
          <w:szCs w:val="20"/>
        </w:rPr>
        <w:t xml:space="preserve">: every assumption is stated and must be replaced with project data.</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76"/>
        <w:gridCol w:w="3662"/>
      </w:tblGrid>
      <w:tr>
        <w:trPr>
          <w:cantSplit/>
          <w:tblHeader/>
        </w:trPr>
        <w:tc>
          <w:tcPr>
            <w:tcW w:type="dxa" w:w="5976"/>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Assumption (illustrative)</w:t>
            </w:r>
          </w:p>
        </w:tc>
        <w:tc>
          <w:tcPr>
            <w:tcW w:type="dxa" w:w="3662"/>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Value</w:t>
            </w:r>
          </w:p>
        </w:tc>
      </w:tr>
      <w:tr>
        <w:trPr>
          <w:cantSplit/>
        </w:trPr>
        <w:tc>
          <w:tcPr>
            <w:tcW w:type="dxa" w:w="597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7"/>
                <w:szCs w:val="17"/>
              </w:rPr>
              <w:t xml:space="preserve">Goods and equipment as share of anchor capex</w:t>
            </w:r>
          </w:p>
        </w:tc>
        <w:tc>
          <w:tcPr>
            <w:tcW w:type="dxa" w:w="366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7"/>
                <w:szCs w:val="17"/>
              </w:rPr>
              <w:t xml:space="preserve">45%</w:t>
            </w:r>
          </w:p>
        </w:tc>
      </w:tr>
      <w:tr>
        <w:trPr>
          <w:cantSplit/>
        </w:trPr>
        <w:tc>
          <w:tcPr>
            <w:tcW w:type="dxa" w:w="5976"/>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7"/>
                <w:szCs w:val="17"/>
              </w:rPr>
              <w:t xml:space="preserve">Imported share of those goods today</w:t>
            </w:r>
          </w:p>
        </w:tc>
        <w:tc>
          <w:tcPr>
            <w:tcW w:type="dxa" w:w="366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7"/>
                <w:szCs w:val="17"/>
              </w:rPr>
              <w:t xml:space="preserve">60% (PT PAL reports 75% for its materials [D6])</w:t>
            </w:r>
          </w:p>
        </w:tc>
      </w:tr>
      <w:tr>
        <w:trPr>
          <w:cantSplit/>
        </w:trPr>
        <w:tc>
          <w:tcPr>
            <w:tcW w:type="dxa" w:w="597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7"/>
                <w:szCs w:val="17"/>
              </w:rPr>
              <w:t xml:space="preserve">Domestic value added per rupiah of domestic purchase</w:t>
            </w:r>
          </w:p>
        </w:tc>
        <w:tc>
          <w:tcPr>
            <w:tcW w:type="dxa" w:w="366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7"/>
                <w:szCs w:val="17"/>
              </w:rPr>
              <w:t xml:space="preserve">40%</w:t>
            </w:r>
          </w:p>
        </w:tc>
      </w:tr>
      <w:tr>
        <w:trPr>
          <w:cantSplit/>
        </w:trPr>
        <w:tc>
          <w:tcPr>
            <w:tcW w:type="dxa" w:w="5976"/>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7"/>
                <w:szCs w:val="17"/>
              </w:rPr>
              <w:t xml:space="preserve">Import content of domestic supply</w:t>
            </w:r>
          </w:p>
        </w:tc>
        <w:tc>
          <w:tcPr>
            <w:tcW w:type="dxa" w:w="366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7"/>
                <w:szCs w:val="17"/>
              </w:rPr>
              <w:t xml:space="preserve">30%</w:t>
            </w:r>
          </w:p>
        </w:tc>
      </w:tr>
      <w:tr>
        <w:trPr>
          <w:cantSplit/>
        </w:trPr>
        <w:tc>
          <w:tcPr>
            <w:tcW w:type="dxa" w:w="597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7"/>
                <w:szCs w:val="17"/>
              </w:rPr>
              <w:t xml:space="preserve">Value added per full-time job-year</w:t>
            </w:r>
          </w:p>
        </w:tc>
        <w:tc>
          <w:tcPr>
            <w:tcW w:type="dxa" w:w="366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7"/>
                <w:szCs w:val="17"/>
              </w:rPr>
              <w:t xml:space="preserve">Rp250 million</w:t>
            </w:r>
          </w:p>
        </w:tc>
      </w:tr>
      <w:tr>
        <w:trPr>
          <w:cantSplit/>
        </w:trPr>
        <w:tc>
          <w:tcPr>
            <w:tcW w:type="dxa" w:w="5976"/>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pPr>
            <w:r>
              <w:rPr>
                <w:rFonts w:ascii="Arial" w:cs="Arial" w:eastAsia="Arial" w:hAnsi="Arial"/>
                <w:b/>
                <w:bCs/>
                <w:color w:val="000000"/>
                <w:sz w:val="17"/>
                <w:szCs w:val="17"/>
              </w:rPr>
              <w:t xml:space="preserve">Exchange rate</w:t>
            </w:r>
          </w:p>
        </w:tc>
        <w:tc>
          <w:tcPr>
            <w:tcW w:type="dxa" w:w="366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7"/>
                <w:szCs w:val="17"/>
              </w:rPr>
              <w:t xml:space="preserve">Rp16,500 per US$</w:t>
            </w:r>
          </w:p>
        </w:tc>
      </w:tr>
    </w:tbl>
    <w:p>
      <w:pPr>
        <w:keepNext w:val="false"/>
        <w:spacing w:after="140"/>
      </w:pPr>
    </w:p>
    <w:p>
      <w:pPr>
        <w:keepNext/>
        <w:spacing w:after="80" w:before="120"/>
      </w:pPr>
      <w:r>
        <w:rPr>
          <w:rFonts w:ascii="Arial" w:cs="Arial" w:eastAsia="Arial" w:hAnsi="Arial"/>
          <w:b/>
          <w:bCs/>
          <w:color w:val="00338D"/>
          <w:sz w:val="18"/>
          <w:szCs w:val="18"/>
        </w:rPr>
        <w:t xml:space="preserve">Table 6: </w:t>
      </w:r>
      <w:r>
        <w:rPr>
          <w:rFonts w:ascii="Arial" w:cs="Arial" w:eastAsia="Arial" w:hAnsi="Arial"/>
          <w:b/>
          <w:bCs/>
          <w:color w:val="00338D"/>
          <w:sz w:val="18"/>
          <w:szCs w:val="18"/>
        </w:rPr>
        <w:t xml:space="preserve">Localisation scenarios (class D)</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012"/>
        <w:gridCol w:w="1542"/>
        <w:gridCol w:w="1542"/>
        <w:gridCol w:w="1542"/>
      </w:tblGrid>
      <w:tr>
        <w:trPr>
          <w:cantSplit/>
          <w:tblHeader/>
        </w:trPr>
        <w:tc>
          <w:tcPr>
            <w:tcW w:type="dxa" w:w="5012"/>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Share of imported goods shifted to DOCK-UP suppliers</w:t>
            </w:r>
          </w:p>
        </w:tc>
        <w:tc>
          <w:tcPr>
            <w:tcW w:type="dxa" w:w="1542"/>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jc w:val="right"/>
            </w:pPr>
            <w:r>
              <w:rPr>
                <w:rFonts w:ascii="Arial" w:cs="Arial" w:eastAsia="Arial" w:hAnsi="Arial"/>
                <w:b/>
                <w:bCs/>
                <w:color w:val="FFFFFF"/>
                <w:sz w:val="16"/>
                <w:szCs w:val="16"/>
              </w:rPr>
              <w:t xml:space="preserve">10%</w:t>
            </w:r>
          </w:p>
        </w:tc>
        <w:tc>
          <w:tcPr>
            <w:tcW w:type="dxa" w:w="1542"/>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jc w:val="right"/>
            </w:pPr>
            <w:r>
              <w:rPr>
                <w:rFonts w:ascii="Arial" w:cs="Arial" w:eastAsia="Arial" w:hAnsi="Arial"/>
                <w:b/>
                <w:bCs/>
                <w:color w:val="FFFFFF"/>
                <w:sz w:val="16"/>
                <w:szCs w:val="16"/>
              </w:rPr>
              <w:t xml:space="preserve">20%</w:t>
            </w:r>
          </w:p>
        </w:tc>
        <w:tc>
          <w:tcPr>
            <w:tcW w:type="dxa" w:w="1542"/>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jc w:val="right"/>
            </w:pPr>
            <w:r>
              <w:rPr>
                <w:rFonts w:ascii="Arial" w:cs="Arial" w:eastAsia="Arial" w:hAnsi="Arial"/>
                <w:b/>
                <w:bCs/>
                <w:color w:val="FFFFFF"/>
                <w:sz w:val="16"/>
                <w:szCs w:val="16"/>
              </w:rPr>
              <w:t xml:space="preserve">30%</w:t>
            </w:r>
          </w:p>
        </w:tc>
      </w:tr>
      <w:tr>
        <w:trPr>
          <w:cantSplit/>
        </w:trPr>
        <w:tc>
          <w:tcPr>
            <w:tcW w:type="dxa" w:w="501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7"/>
                <w:szCs w:val="17"/>
              </w:rPr>
              <w:t xml:space="preserve">Domestic purchases per Rp100 tn of capex (Rp tn)</w:t>
            </w:r>
          </w:p>
        </w:tc>
        <w:tc>
          <w:tcPr>
            <w:tcW w:type="dxa" w:w="154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jc w:val="right"/>
            </w:pPr>
            <w:r>
              <w:rPr>
                <w:rFonts w:ascii="Arial" w:cs="Arial" w:eastAsia="Arial" w:hAnsi="Arial"/>
                <w:b w:val="false"/>
                <w:bCs w:val="false"/>
                <w:color w:val="000000"/>
                <w:sz w:val="17"/>
                <w:szCs w:val="17"/>
              </w:rPr>
              <w:t xml:space="preserve">2.7</w:t>
            </w:r>
          </w:p>
        </w:tc>
        <w:tc>
          <w:tcPr>
            <w:tcW w:type="dxa" w:w="154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jc w:val="right"/>
            </w:pPr>
            <w:r>
              <w:rPr>
                <w:rFonts w:ascii="Arial" w:cs="Arial" w:eastAsia="Arial" w:hAnsi="Arial"/>
                <w:b w:val="false"/>
                <w:bCs w:val="false"/>
                <w:color w:val="000000"/>
                <w:sz w:val="17"/>
                <w:szCs w:val="17"/>
              </w:rPr>
              <w:t xml:space="preserve">5.4</w:t>
            </w:r>
          </w:p>
        </w:tc>
        <w:tc>
          <w:tcPr>
            <w:tcW w:type="dxa" w:w="154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jc w:val="right"/>
            </w:pPr>
            <w:r>
              <w:rPr>
                <w:rFonts w:ascii="Arial" w:cs="Arial" w:eastAsia="Arial" w:hAnsi="Arial"/>
                <w:b w:val="false"/>
                <w:bCs w:val="false"/>
                <w:color w:val="000000"/>
                <w:sz w:val="17"/>
                <w:szCs w:val="17"/>
              </w:rPr>
              <w:t xml:space="preserve">8.1</w:t>
            </w:r>
          </w:p>
        </w:tc>
      </w:tr>
      <w:tr>
        <w:trPr>
          <w:cantSplit/>
        </w:trPr>
        <w:tc>
          <w:tcPr>
            <w:tcW w:type="dxa" w:w="501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7"/>
                <w:szCs w:val="17"/>
              </w:rPr>
              <w:t xml:space="preserve">Additional domestic value added per Rp100 tn (Rp tn)</w:t>
            </w:r>
          </w:p>
        </w:tc>
        <w:tc>
          <w:tcPr>
            <w:tcW w:type="dxa" w:w="154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jc w:val="right"/>
            </w:pPr>
            <w:r>
              <w:rPr>
                <w:rFonts w:ascii="Arial" w:cs="Arial" w:eastAsia="Arial" w:hAnsi="Arial"/>
                <w:b w:val="false"/>
                <w:bCs w:val="false"/>
                <w:color w:val="000000"/>
                <w:sz w:val="17"/>
                <w:szCs w:val="17"/>
              </w:rPr>
              <w:t xml:space="preserve">1.1</w:t>
            </w:r>
          </w:p>
        </w:tc>
        <w:tc>
          <w:tcPr>
            <w:tcW w:type="dxa" w:w="154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jc w:val="right"/>
            </w:pPr>
            <w:r>
              <w:rPr>
                <w:rFonts w:ascii="Arial" w:cs="Arial" w:eastAsia="Arial" w:hAnsi="Arial"/>
                <w:b w:val="false"/>
                <w:bCs w:val="false"/>
                <w:color w:val="000000"/>
                <w:sz w:val="17"/>
                <w:szCs w:val="17"/>
              </w:rPr>
              <w:t xml:space="preserve">2.2</w:t>
            </w:r>
          </w:p>
        </w:tc>
        <w:tc>
          <w:tcPr>
            <w:tcW w:type="dxa" w:w="154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jc w:val="right"/>
            </w:pPr>
            <w:r>
              <w:rPr>
                <w:rFonts w:ascii="Arial" w:cs="Arial" w:eastAsia="Arial" w:hAnsi="Arial"/>
                <w:b w:val="false"/>
                <w:bCs w:val="false"/>
                <w:color w:val="000000"/>
                <w:sz w:val="17"/>
                <w:szCs w:val="17"/>
              </w:rPr>
              <w:t xml:space="preserve">3.2</w:t>
            </w:r>
          </w:p>
        </w:tc>
      </w:tr>
      <w:tr>
        <w:trPr>
          <w:cantSplit/>
        </w:trPr>
        <w:tc>
          <w:tcPr>
            <w:tcW w:type="dxa" w:w="501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7"/>
                <w:szCs w:val="17"/>
              </w:rPr>
              <w:t xml:space="preserve">Whole portfolio (Rp2,091 tn): domestic purchases (Rp tn)</w:t>
            </w:r>
          </w:p>
        </w:tc>
        <w:tc>
          <w:tcPr>
            <w:tcW w:type="dxa" w:w="154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jc w:val="right"/>
            </w:pPr>
            <w:r>
              <w:rPr>
                <w:rFonts w:ascii="Arial" w:cs="Arial" w:eastAsia="Arial" w:hAnsi="Arial"/>
                <w:b w:val="false"/>
                <w:bCs w:val="false"/>
                <w:color w:val="000000"/>
                <w:sz w:val="17"/>
                <w:szCs w:val="17"/>
              </w:rPr>
              <w:t xml:space="preserve">56</w:t>
            </w:r>
          </w:p>
        </w:tc>
        <w:tc>
          <w:tcPr>
            <w:tcW w:type="dxa" w:w="154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jc w:val="right"/>
            </w:pPr>
            <w:r>
              <w:rPr>
                <w:rFonts w:ascii="Arial" w:cs="Arial" w:eastAsia="Arial" w:hAnsi="Arial"/>
                <w:b w:val="false"/>
                <w:bCs w:val="false"/>
                <w:color w:val="000000"/>
                <w:sz w:val="17"/>
                <w:szCs w:val="17"/>
              </w:rPr>
              <w:t xml:space="preserve">113</w:t>
            </w:r>
          </w:p>
        </w:tc>
        <w:tc>
          <w:tcPr>
            <w:tcW w:type="dxa" w:w="154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jc w:val="right"/>
            </w:pPr>
            <w:r>
              <w:rPr>
                <w:rFonts w:ascii="Arial" w:cs="Arial" w:eastAsia="Arial" w:hAnsi="Arial"/>
                <w:b w:val="false"/>
                <w:bCs w:val="false"/>
                <w:color w:val="000000"/>
                <w:sz w:val="17"/>
                <w:szCs w:val="17"/>
              </w:rPr>
              <w:t xml:space="preserve">169</w:t>
            </w:r>
          </w:p>
        </w:tc>
      </w:tr>
      <w:tr>
        <w:trPr>
          <w:cantSplit/>
        </w:trPr>
        <w:tc>
          <w:tcPr>
            <w:tcW w:type="dxa" w:w="501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7"/>
                <w:szCs w:val="17"/>
              </w:rPr>
              <w:t xml:space="preserve">Whole portfolio: additional value added (Rp tn)</w:t>
            </w:r>
          </w:p>
        </w:tc>
        <w:tc>
          <w:tcPr>
            <w:tcW w:type="dxa" w:w="154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jc w:val="right"/>
            </w:pPr>
            <w:r>
              <w:rPr>
                <w:rFonts w:ascii="Arial" w:cs="Arial" w:eastAsia="Arial" w:hAnsi="Arial"/>
                <w:b w:val="false"/>
                <w:bCs w:val="false"/>
                <w:color w:val="000000"/>
                <w:sz w:val="17"/>
                <w:szCs w:val="17"/>
              </w:rPr>
              <w:t xml:space="preserve">23</w:t>
            </w:r>
          </w:p>
        </w:tc>
        <w:tc>
          <w:tcPr>
            <w:tcW w:type="dxa" w:w="154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jc w:val="right"/>
            </w:pPr>
            <w:r>
              <w:rPr>
                <w:rFonts w:ascii="Arial" w:cs="Arial" w:eastAsia="Arial" w:hAnsi="Arial"/>
                <w:b w:val="false"/>
                <w:bCs w:val="false"/>
                <w:color w:val="000000"/>
                <w:sz w:val="17"/>
                <w:szCs w:val="17"/>
              </w:rPr>
              <w:t xml:space="preserve">45</w:t>
            </w:r>
          </w:p>
        </w:tc>
        <w:tc>
          <w:tcPr>
            <w:tcW w:type="dxa" w:w="154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jc w:val="right"/>
            </w:pPr>
            <w:r>
              <w:rPr>
                <w:rFonts w:ascii="Arial" w:cs="Arial" w:eastAsia="Arial" w:hAnsi="Arial"/>
                <w:b w:val="false"/>
                <w:bCs w:val="false"/>
                <w:color w:val="000000"/>
                <w:sz w:val="17"/>
                <w:szCs w:val="17"/>
              </w:rPr>
              <w:t xml:space="preserve">68</w:t>
            </w:r>
          </w:p>
        </w:tc>
      </w:tr>
      <w:tr>
        <w:trPr>
          <w:cantSplit/>
        </w:trPr>
        <w:tc>
          <w:tcPr>
            <w:tcW w:type="dxa" w:w="501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7"/>
                <w:szCs w:val="17"/>
              </w:rPr>
              <w:t xml:space="preserve">Whole portfolio: net foreign exchange saved (Rp tn / US$ bn)</w:t>
            </w:r>
          </w:p>
        </w:tc>
        <w:tc>
          <w:tcPr>
            <w:tcW w:type="dxa" w:w="154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jc w:val="right"/>
            </w:pPr>
            <w:r>
              <w:rPr>
                <w:rFonts w:ascii="Arial" w:cs="Arial" w:eastAsia="Arial" w:hAnsi="Arial"/>
                <w:b w:val="false"/>
                <w:bCs w:val="false"/>
                <w:color w:val="000000"/>
                <w:sz w:val="17"/>
                <w:szCs w:val="17"/>
              </w:rPr>
              <w:t xml:space="preserve">40 / 2.4</w:t>
            </w:r>
          </w:p>
        </w:tc>
        <w:tc>
          <w:tcPr>
            <w:tcW w:type="dxa" w:w="154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jc w:val="right"/>
            </w:pPr>
            <w:r>
              <w:rPr>
                <w:rFonts w:ascii="Arial" w:cs="Arial" w:eastAsia="Arial" w:hAnsi="Arial"/>
                <w:b w:val="false"/>
                <w:bCs w:val="false"/>
                <w:color w:val="000000"/>
                <w:sz w:val="17"/>
                <w:szCs w:val="17"/>
              </w:rPr>
              <w:t xml:space="preserve">79 / 4.8</w:t>
            </w:r>
          </w:p>
        </w:tc>
        <w:tc>
          <w:tcPr>
            <w:tcW w:type="dxa" w:w="154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jc w:val="right"/>
            </w:pPr>
            <w:r>
              <w:rPr>
                <w:rFonts w:ascii="Arial" w:cs="Arial" w:eastAsia="Arial" w:hAnsi="Arial"/>
                <w:b w:val="false"/>
                <w:bCs w:val="false"/>
                <w:color w:val="000000"/>
                <w:sz w:val="17"/>
                <w:szCs w:val="17"/>
              </w:rPr>
              <w:t xml:space="preserve">119 / 7.2</w:t>
            </w:r>
          </w:p>
        </w:tc>
      </w:tr>
      <w:tr>
        <w:trPr>
          <w:cantSplit/>
        </w:trPr>
        <w:tc>
          <w:tcPr>
            <w:tcW w:type="dxa" w:w="501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pPr>
            <w:r>
              <w:rPr>
                <w:rFonts w:ascii="Arial" w:cs="Arial" w:eastAsia="Arial" w:hAnsi="Arial"/>
                <w:b/>
                <w:bCs/>
                <w:color w:val="000000"/>
                <w:sz w:val="17"/>
                <w:szCs w:val="17"/>
              </w:rPr>
              <w:t xml:space="preserve">Whole portfolio: job-years supported</w:t>
            </w:r>
          </w:p>
        </w:tc>
        <w:tc>
          <w:tcPr>
            <w:tcW w:type="dxa" w:w="154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jc w:val="right"/>
            </w:pPr>
            <w:r>
              <w:rPr>
                <w:rFonts w:ascii="Arial" w:cs="Arial" w:eastAsia="Arial" w:hAnsi="Arial"/>
                <w:b w:val="false"/>
                <w:bCs w:val="false"/>
                <w:color w:val="000000"/>
                <w:sz w:val="17"/>
                <w:szCs w:val="17"/>
              </w:rPr>
              <w:t xml:space="preserve">≈ 90,000</w:t>
            </w:r>
          </w:p>
        </w:tc>
        <w:tc>
          <w:tcPr>
            <w:tcW w:type="dxa" w:w="154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jc w:val="right"/>
            </w:pPr>
            <w:r>
              <w:rPr>
                <w:rFonts w:ascii="Arial" w:cs="Arial" w:eastAsia="Arial" w:hAnsi="Arial"/>
                <w:b w:val="false"/>
                <w:bCs w:val="false"/>
                <w:color w:val="000000"/>
                <w:sz w:val="17"/>
                <w:szCs w:val="17"/>
              </w:rPr>
              <w:t xml:space="preserve">≈ 181,000</w:t>
            </w:r>
          </w:p>
        </w:tc>
        <w:tc>
          <w:tcPr>
            <w:tcW w:type="dxa" w:w="154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jc w:val="right"/>
            </w:pPr>
            <w:r>
              <w:rPr>
                <w:rFonts w:ascii="Arial" w:cs="Arial" w:eastAsia="Arial" w:hAnsi="Arial"/>
                <w:b w:val="false"/>
                <w:bCs w:val="false"/>
                <w:color w:val="000000"/>
                <w:sz w:val="17"/>
                <w:szCs w:val="17"/>
              </w:rPr>
              <w:t xml:space="preserve">≈ 271,000</w:t>
            </w:r>
          </w:p>
        </w:tc>
      </w:tr>
    </w:tbl>
    <w:p>
      <w:pPr>
        <w:keepNext w:val="false"/>
        <w:spacing w:after="140"/>
      </w:pPr>
    </w:p>
    <w:p>
      <w:pPr>
        <w:spacing w:after="160"/>
      </w:pPr>
      <w:r>
        <w:rPr>
          <w:rFonts w:ascii="Arial" w:cs="Arial" w:eastAsia="Arial" w:hAnsi="Arial"/>
          <w:i/>
          <w:iCs/>
          <w:color w:val="000000"/>
          <w:sz w:val="15"/>
          <w:szCs w:val="15"/>
        </w:rPr>
        <w:t xml:space="preserve">Class D illustration. Whole-portfolio figures accrue over the build period, not per year. They scale the per-Rp100 tn results by 20.9 and use the unreconciled portfolio total.</w:t>
      </w:r>
    </w:p>
    <w:p>
      <w:pPr>
        <w:spacing w:after="110" w:before="0" w:line="264"/>
        <w:jc w:val="left"/>
      </w:pPr>
      <w:r>
        <w:rPr>
          <w:rFonts w:ascii="Arial" w:cs="Arial" w:eastAsia="Arial" w:hAnsi="Arial"/>
          <w:color w:val="000000"/>
          <w:sz w:val="20"/>
          <w:szCs w:val="20"/>
        </w:rPr>
        <w:t xml:space="preserve">Even the modest scenario is likely to exceed the cost of running DOCK-UP by a wide margin, to be confirmed once the pilot is costed. The figures are gross of displacement and must not be reported as GDP added (Section 14.4).</w:t>
      </w:r>
    </w:p>
    <w:p>
      <w:pPr>
        <w:pStyle w:val="Heading2"/>
        <w:keepNext/>
        <w:keepLines/>
        <w:spacing w:after="120" w:before="280"/>
      </w:pPr>
      <w:r>
        <w:rPr>
          <w:rFonts w:ascii="Arial" w:cs="Arial" w:eastAsia="Arial" w:hAnsi="Arial"/>
          <w:b/>
          <w:bCs/>
          <w:color w:val="00338D"/>
          <w:sz w:val="28"/>
          <w:szCs w:val="28"/>
        </w:rPr>
        <w:t xml:space="preserve">5.2 Strategic objective and the five values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one" w:color="FFFFFF" w:sz="0"/>
              <w:left w:val="none" w:color="FFFFFF" w:sz="0"/>
              <w:bottom w:val="none" w:color="FFFFFF" w:sz="0"/>
              <w:right w:val="none" w:color="FFFFFF" w:sz="0"/>
            </w:tcBorders>
            <w:shd w:fill="00338D" w:color="auto" w:val="clear"/>
            <w:tcMar>
              <w:top w:type="dxa" w:w="160"/>
              <w:left w:type="dxa" w:w="220"/>
              <w:bottom w:type="dxa" w:w="120"/>
              <w:right w:type="dxa" w:w="220"/>
            </w:tcMar>
          </w:tcPr>
          <w:p>
            <w:pPr>
              <w:keepNext/>
              <w:spacing w:after="80"/>
            </w:pPr>
            <w:r>
              <w:rPr>
                <w:rFonts w:ascii="Arial" w:cs="Arial" w:eastAsia="Arial" w:hAnsi="Arial"/>
                <w:b/>
                <w:bCs/>
                <w:color w:val="FFFFFF"/>
                <w:sz w:val="20"/>
                <w:szCs w:val="20"/>
              </w:rPr>
              <w:t xml:space="preserve">Proposed strategic objective</w:t>
            </w:r>
          </w:p>
          <w:p>
            <w:pPr>
              <w:spacing w:after="80" w:line="264"/>
            </w:pPr>
            <w:r>
              <w:rPr>
                <w:rFonts w:ascii="Arial" w:cs="Arial" w:eastAsia="Arial" w:hAnsi="Arial"/>
                <w:color w:val="FFFFFF"/>
                <w:sz w:val="19"/>
                <w:szCs w:val="19"/>
              </w:rPr>
              <w:t xml:space="preserve">Generate sustainable returns while building national industrial capability that raises Indonesia's productivity, technology, resilience and competitiveness [D3 p.2].</w:t>
            </w:r>
          </w:p>
        </w:tc>
      </w:tr>
    </w:tbl>
    <w:p>
      <w:pPr>
        <w:spacing w:after="16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35"/>
        <w:gridCol w:w="4530"/>
        <w:gridCol w:w="3373"/>
      </w:tblGrid>
      <w:tr>
        <w:trPr>
          <w:cantSplit/>
          <w:tblHeader/>
        </w:trPr>
        <w:tc>
          <w:tcPr>
            <w:tcW w:type="dxa" w:w="1735"/>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Value</w:t>
            </w:r>
          </w:p>
        </w:tc>
        <w:tc>
          <w:tcPr>
            <w:tcW w:type="dxa" w:w="4530"/>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What Danantara contributes</w:t>
            </w:r>
          </w:p>
        </w:tc>
        <w:tc>
          <w:tcPr>
            <w:tcW w:type="dxa" w:w="3373"/>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Illustrative indicator</w:t>
            </w:r>
          </w:p>
        </w:tc>
      </w:tr>
      <w:tr>
        <w:trPr>
          <w:cantSplit/>
        </w:trPr>
        <w:tc>
          <w:tcPr>
            <w:tcW w:type="dxa" w:w="1735"/>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7"/>
                <w:szCs w:val="17"/>
              </w:rPr>
              <w:t xml:space="preserve">Economic value</w:t>
            </w:r>
          </w:p>
        </w:tc>
        <w:tc>
          <w:tcPr>
            <w:tcW w:type="dxa" w:w="453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7"/>
                <w:szCs w:val="17"/>
              </w:rPr>
              <w:t xml:space="preserve">Returns above the cost of capital; additional value added; private capital mobilised</w:t>
            </w:r>
          </w:p>
        </w:tc>
        <w:tc>
          <w:tcPr>
            <w:tcW w:type="dxa" w:w="3373"/>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7"/>
                <w:szCs w:val="17"/>
              </w:rPr>
              <w:t xml:space="preserve">Net IRR above hurdle; ENPV; mobilisation ratio</w:t>
            </w:r>
          </w:p>
        </w:tc>
      </w:tr>
      <w:tr>
        <w:trPr>
          <w:cantSplit/>
        </w:trPr>
        <w:tc>
          <w:tcPr>
            <w:tcW w:type="dxa" w:w="1735"/>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7"/>
                <w:szCs w:val="17"/>
              </w:rPr>
              <w:t xml:space="preserve">Industrial value</w:t>
            </w:r>
          </w:p>
        </w:tc>
        <w:tc>
          <w:tcPr>
            <w:tcW w:type="dxa" w:w="453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7"/>
                <w:szCs w:val="17"/>
              </w:rPr>
              <w:t xml:space="preserve">New domestic production capacity and qualified suppliers</w:t>
            </w:r>
          </w:p>
        </w:tc>
        <w:tc>
          <w:tcPr>
            <w:tcW w:type="dxa" w:w="3373"/>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7"/>
                <w:szCs w:val="17"/>
              </w:rPr>
              <w:t xml:space="preserve">Qualified suppliers at G3/G4; utilisation of new capacity</w:t>
            </w:r>
          </w:p>
        </w:tc>
      </w:tr>
      <w:tr>
        <w:trPr>
          <w:cantSplit/>
        </w:trPr>
        <w:tc>
          <w:tcPr>
            <w:tcW w:type="dxa" w:w="1735"/>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7"/>
                <w:szCs w:val="17"/>
              </w:rPr>
              <w:t xml:space="preserve">Technology value</w:t>
            </w:r>
          </w:p>
        </w:tc>
        <w:tc>
          <w:tcPr>
            <w:tcW w:type="dxa" w:w="453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7"/>
                <w:szCs w:val="17"/>
              </w:rPr>
              <w:t xml:space="preserve">Technology mastered and IP owned or controlled in Indonesia</w:t>
            </w:r>
          </w:p>
        </w:tc>
        <w:tc>
          <w:tcPr>
            <w:tcW w:type="dxa" w:w="3373"/>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7"/>
                <w:szCs w:val="17"/>
              </w:rPr>
              <w:t xml:space="preserve">Independently accepted capability milestones; enforceable operating and improvement rights</w:t>
            </w:r>
          </w:p>
        </w:tc>
      </w:tr>
      <w:tr>
        <w:trPr>
          <w:cantSplit/>
        </w:trPr>
        <w:tc>
          <w:tcPr>
            <w:tcW w:type="dxa" w:w="1735"/>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7"/>
                <w:szCs w:val="17"/>
              </w:rPr>
              <w:t xml:space="preserve">Strategic value</w:t>
            </w:r>
          </w:p>
        </w:tc>
        <w:tc>
          <w:tcPr>
            <w:tcW w:type="dxa" w:w="453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7"/>
                <w:szCs w:val="17"/>
              </w:rPr>
              <w:t xml:space="preserve">Resilience of critical supply chains, especially defence and energy</w:t>
            </w:r>
          </w:p>
        </w:tc>
        <w:tc>
          <w:tcPr>
            <w:tcW w:type="dxa" w:w="3373"/>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7"/>
                <w:szCs w:val="17"/>
              </w:rPr>
              <w:t xml:space="preserve">Share of critical components with a qualified domestic source; through-life support capacity</w:t>
            </w:r>
          </w:p>
        </w:tc>
      </w:tr>
      <w:tr>
        <w:trPr>
          <w:cantSplit/>
        </w:trPr>
        <w:tc>
          <w:tcPr>
            <w:tcW w:type="dxa" w:w="1735"/>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pPr>
            <w:r>
              <w:rPr>
                <w:rFonts w:ascii="Arial" w:cs="Arial" w:eastAsia="Arial" w:hAnsi="Arial"/>
                <w:b/>
                <w:bCs/>
                <w:color w:val="000000"/>
                <w:sz w:val="17"/>
                <w:szCs w:val="17"/>
              </w:rPr>
              <w:t xml:space="preserve">Social value</w:t>
            </w:r>
          </w:p>
        </w:tc>
        <w:tc>
          <w:tcPr>
            <w:tcW w:type="dxa" w:w="453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7"/>
                <w:szCs w:val="17"/>
              </w:rPr>
              <w:t xml:space="preserve">Quality jobs, SME participation, services, environment</w:t>
            </w:r>
          </w:p>
        </w:tc>
        <w:tc>
          <w:tcPr>
            <w:tcW w:type="dxa" w:w="3373"/>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7"/>
                <w:szCs w:val="17"/>
              </w:rPr>
              <w:t xml:space="preserve">Sustained FTE; SMEs in supply chains; service units; tCO2e reduced</w:t>
            </w:r>
          </w:p>
        </w:tc>
      </w:tr>
    </w:tbl>
    <w:p>
      <w:pPr>
        <w:keepNext w:val="false"/>
        <w:spacing w:after="140"/>
      </w:pPr>
    </w:p>
    <w:p>
      <w:pPr>
        <w:pStyle w:val="Heading2"/>
        <w:keepNext/>
        <w:keepLines/>
        <w:spacing w:after="120" w:before="280"/>
      </w:pPr>
      <w:r>
        <w:rPr>
          <w:rFonts w:ascii="Arial" w:cs="Arial" w:eastAsia="Arial" w:hAnsi="Arial"/>
          <w:b/>
          <w:bCs/>
          <w:color w:val="00338D"/>
          <w:sz w:val="28"/>
          <w:szCs w:val="28"/>
        </w:rPr>
        <w:t xml:space="preserve">5.3 Logic of change</w:t>
      </w:r>
    </w:p>
    <w:p>
      <w:pPr>
        <w:spacing w:after="110" w:before="0" w:line="264"/>
        <w:jc w:val="left"/>
      </w:pPr>
      <w:r>
        <w:rPr>
          <w:rFonts w:ascii="Arial" w:cs="Arial" w:eastAsia="Arial" w:hAnsi="Arial"/>
          <w:color w:val="000000"/>
          <w:sz w:val="20"/>
          <w:szCs w:val="20"/>
        </w:rPr>
        <w:t xml:space="preserve">The platform converts capital into capability through a sequence in which each step must be verified before the next is funded. This is the core of the recommended model.</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89"/>
        <w:gridCol w:w="260"/>
        <w:gridCol w:w="1389"/>
        <w:gridCol w:w="260"/>
        <w:gridCol w:w="1389"/>
        <w:gridCol w:w="260"/>
        <w:gridCol w:w="1389"/>
        <w:gridCol w:w="260"/>
        <w:gridCol w:w="1389"/>
        <w:gridCol w:w="260"/>
        <w:gridCol w:w="1393"/>
      </w:tblGrid>
      <w:tr>
        <w:trPr>
          <w:cantSplit/>
        </w:trPr>
        <w:tc>
          <w:tcPr>
            <w:tcW w:type="dxa" w:w="1389"/>
            <w:tcBorders>
              <w:top w:val="none" w:color="FFFFFF" w:sz="0"/>
              <w:left w:val="none" w:color="FFFFFF" w:sz="0"/>
              <w:bottom w:val="none" w:color="FFFFFF" w:sz="0"/>
              <w:right w:val="none" w:color="FFFFFF" w:sz="0"/>
            </w:tcBorders>
            <w:shd w:fill="00338D" w:color="auto" w:val="clear"/>
            <w:tcMar>
              <w:top w:type="dxa" w:w="100"/>
              <w:left w:type="dxa" w:w="90"/>
              <w:bottom w:type="dxa" w:w="100"/>
              <w:right w:type="dxa" w:w="90"/>
            </w:tcMar>
          </w:tcPr>
          <w:p>
            <w:pPr>
              <w:spacing w:after="40" w:line="240"/>
            </w:pPr>
            <w:r>
              <w:rPr>
                <w:rFonts w:ascii="Arial" w:cs="Arial" w:eastAsia="Arial" w:hAnsi="Arial"/>
                <w:b/>
                <w:bCs/>
                <w:color w:val="FFFFFF"/>
                <w:sz w:val="15"/>
                <w:szCs w:val="15"/>
              </w:rPr>
              <w:t xml:space="preserve">Capital</w:t>
            </w:r>
          </w:p>
          <w:p>
            <w:pPr>
              <w:spacing w:after="0" w:line="236"/>
            </w:pPr>
            <w:r>
              <w:rPr>
                <w:rFonts w:ascii="Arial" w:cs="Arial" w:eastAsia="Arial" w:hAnsi="Arial"/>
                <w:color w:val="FFFFFF"/>
                <w:sz w:val="14"/>
                <w:szCs w:val="14"/>
              </w:rPr>
              <w:t xml:space="preserve">Danantara equity, NRF and tokenised project notes</w:t>
            </w:r>
          </w:p>
        </w:tc>
        <w:tc>
          <w:tcPr>
            <w:tcW w:type="dxa" w:w="26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jc w:val="center"/>
            </w:pPr>
            <w:r>
              <w:rPr>
                <w:rFonts w:ascii="Arial" w:cs="Arial" w:eastAsia="Arial" w:hAnsi="Arial"/>
                <w:color w:val="005EB8"/>
                <w:sz w:val="18"/>
                <w:szCs w:val="18"/>
              </w:rPr>
              <w:t xml:space="preserve">►</w:t>
            </w:r>
          </w:p>
        </w:tc>
        <w:tc>
          <w:tcPr>
            <w:tcW w:type="dxa" w:w="1389"/>
            <w:tcBorders>
              <w:top w:val="none" w:color="FFFFFF" w:sz="0"/>
              <w:left w:val="none" w:color="FFFFFF" w:sz="0"/>
              <w:bottom w:val="none" w:color="FFFFFF" w:sz="0"/>
              <w:right w:val="none" w:color="FFFFFF" w:sz="0"/>
            </w:tcBorders>
            <w:shd w:fill="005EB8" w:color="auto" w:val="clear"/>
            <w:tcMar>
              <w:top w:type="dxa" w:w="100"/>
              <w:left w:type="dxa" w:w="90"/>
              <w:bottom w:type="dxa" w:w="100"/>
              <w:right w:type="dxa" w:w="90"/>
            </w:tcMar>
          </w:tcPr>
          <w:p>
            <w:pPr>
              <w:spacing w:after="40" w:line="240"/>
            </w:pPr>
            <w:r>
              <w:rPr>
                <w:rFonts w:ascii="Arial" w:cs="Arial" w:eastAsia="Arial" w:hAnsi="Arial"/>
                <w:b/>
                <w:bCs/>
                <w:color w:val="FFFFFF"/>
                <w:sz w:val="15"/>
                <w:szCs w:val="15"/>
              </w:rPr>
              <w:t xml:space="preserve">Anchor demand</w:t>
            </w:r>
          </w:p>
          <w:p>
            <w:pPr>
              <w:spacing w:after="0" w:line="236"/>
            </w:pPr>
            <w:r>
              <w:rPr>
                <w:rFonts w:ascii="Arial" w:cs="Arial" w:eastAsia="Arial" w:hAnsi="Arial"/>
                <w:color w:val="FFFFFF"/>
                <w:sz w:val="14"/>
                <w:szCs w:val="14"/>
              </w:rPr>
              <w:t xml:space="preserve">National strategic projects with localisable packages</w:t>
            </w:r>
          </w:p>
        </w:tc>
        <w:tc>
          <w:tcPr>
            <w:tcW w:type="dxa" w:w="26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jc w:val="center"/>
            </w:pPr>
            <w:r>
              <w:rPr>
                <w:rFonts w:ascii="Arial" w:cs="Arial" w:eastAsia="Arial" w:hAnsi="Arial"/>
                <w:color w:val="005EB8"/>
                <w:sz w:val="18"/>
                <w:szCs w:val="18"/>
              </w:rPr>
              <w:t xml:space="preserve">►</w:t>
            </w:r>
          </w:p>
        </w:tc>
        <w:tc>
          <w:tcPr>
            <w:tcW w:type="dxa" w:w="1389"/>
            <w:tcBorders>
              <w:top w:val="none" w:color="FFFFFF" w:sz="0"/>
              <w:left w:val="none" w:color="FFFFFF" w:sz="0"/>
              <w:bottom w:val="none" w:color="FFFFFF" w:sz="0"/>
              <w:right w:val="none" w:color="FFFFFF" w:sz="0"/>
            </w:tcBorders>
            <w:shd w:fill="00338D" w:color="auto" w:val="clear"/>
            <w:tcMar>
              <w:top w:type="dxa" w:w="100"/>
              <w:left w:type="dxa" w:w="90"/>
              <w:bottom w:type="dxa" w:w="100"/>
              <w:right w:type="dxa" w:w="90"/>
            </w:tcMar>
          </w:tcPr>
          <w:p>
            <w:pPr>
              <w:spacing w:after="40" w:line="240"/>
            </w:pPr>
            <w:r>
              <w:rPr>
                <w:rFonts w:ascii="Arial" w:cs="Arial" w:eastAsia="Arial" w:hAnsi="Arial"/>
                <w:b/>
                <w:bCs/>
                <w:color w:val="FFFFFF"/>
                <w:sz w:val="15"/>
                <w:szCs w:val="15"/>
              </w:rPr>
              <w:t xml:space="preserve">Gated orders</w:t>
            </w:r>
          </w:p>
          <w:p>
            <w:pPr>
              <w:spacing w:after="0" w:line="236"/>
            </w:pPr>
            <w:r>
              <w:rPr>
                <w:rFonts w:ascii="Arial" w:cs="Arial" w:eastAsia="Arial" w:hAnsi="Arial"/>
                <w:color w:val="FFFFFF"/>
                <w:sz w:val="14"/>
                <w:szCs w:val="14"/>
              </w:rPr>
              <w:t xml:space="preserve">Framework contracts released at DOCK-UP gates</w:t>
            </w:r>
          </w:p>
        </w:tc>
        <w:tc>
          <w:tcPr>
            <w:tcW w:type="dxa" w:w="26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jc w:val="center"/>
            </w:pPr>
            <w:r>
              <w:rPr>
                <w:rFonts w:ascii="Arial" w:cs="Arial" w:eastAsia="Arial" w:hAnsi="Arial"/>
                <w:color w:val="005EB8"/>
                <w:sz w:val="18"/>
                <w:szCs w:val="18"/>
              </w:rPr>
              <w:t xml:space="preserve">►</w:t>
            </w:r>
          </w:p>
        </w:tc>
        <w:tc>
          <w:tcPr>
            <w:tcW w:type="dxa" w:w="1389"/>
            <w:tcBorders>
              <w:top w:val="none" w:color="FFFFFF" w:sz="0"/>
              <w:left w:val="none" w:color="FFFFFF" w:sz="0"/>
              <w:bottom w:val="none" w:color="FFFFFF" w:sz="0"/>
              <w:right w:val="none" w:color="FFFFFF" w:sz="0"/>
            </w:tcBorders>
            <w:shd w:fill="005EB8" w:color="auto" w:val="clear"/>
            <w:tcMar>
              <w:top w:type="dxa" w:w="100"/>
              <w:left w:type="dxa" w:w="90"/>
              <w:bottom w:type="dxa" w:w="100"/>
              <w:right w:type="dxa" w:w="90"/>
            </w:tcMar>
          </w:tcPr>
          <w:p>
            <w:pPr>
              <w:spacing w:after="40" w:line="240"/>
            </w:pPr>
            <w:r>
              <w:rPr>
                <w:rFonts w:ascii="Arial" w:cs="Arial" w:eastAsia="Arial" w:hAnsi="Arial"/>
                <w:b/>
                <w:bCs/>
                <w:color w:val="FFFFFF"/>
                <w:sz w:val="15"/>
                <w:szCs w:val="15"/>
              </w:rPr>
              <w:t xml:space="preserve">Supplier upgrading</w:t>
            </w:r>
          </w:p>
          <w:p>
            <w:pPr>
              <w:spacing w:after="0" w:line="236"/>
            </w:pPr>
            <w:r>
              <w:rPr>
                <w:rFonts w:ascii="Arial" w:cs="Arial" w:eastAsia="Arial" w:hAnsi="Arial"/>
                <w:color w:val="FFFFFF"/>
                <w:sz w:val="14"/>
                <w:szCs w:val="14"/>
              </w:rPr>
              <w:t xml:space="preserve">Verified TRL/MRL, certification C1–C3</w:t>
            </w:r>
          </w:p>
        </w:tc>
        <w:tc>
          <w:tcPr>
            <w:tcW w:type="dxa" w:w="26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jc w:val="center"/>
            </w:pPr>
            <w:r>
              <w:rPr>
                <w:rFonts w:ascii="Arial" w:cs="Arial" w:eastAsia="Arial" w:hAnsi="Arial"/>
                <w:color w:val="005EB8"/>
                <w:sz w:val="18"/>
                <w:szCs w:val="18"/>
              </w:rPr>
              <w:t xml:space="preserve">►</w:t>
            </w:r>
          </w:p>
        </w:tc>
        <w:tc>
          <w:tcPr>
            <w:tcW w:type="dxa" w:w="1389"/>
            <w:tcBorders>
              <w:top w:val="none" w:color="FFFFFF" w:sz="0"/>
              <w:left w:val="none" w:color="FFFFFF" w:sz="0"/>
              <w:bottom w:val="none" w:color="FFFFFF" w:sz="0"/>
              <w:right w:val="none" w:color="FFFFFF" w:sz="0"/>
            </w:tcBorders>
            <w:shd w:fill="00338D" w:color="auto" w:val="clear"/>
            <w:tcMar>
              <w:top w:type="dxa" w:w="100"/>
              <w:left w:type="dxa" w:w="90"/>
              <w:bottom w:type="dxa" w:w="100"/>
              <w:right w:type="dxa" w:w="90"/>
            </w:tcMar>
          </w:tcPr>
          <w:p>
            <w:pPr>
              <w:spacing w:after="40" w:line="240"/>
            </w:pPr>
            <w:r>
              <w:rPr>
                <w:rFonts w:ascii="Arial" w:cs="Arial" w:eastAsia="Arial" w:hAnsi="Arial"/>
                <w:b/>
                <w:bCs/>
                <w:color w:val="FFFFFF"/>
                <w:sz w:val="15"/>
                <w:szCs w:val="15"/>
              </w:rPr>
              <w:t xml:space="preserve">Capability</w:t>
            </w:r>
          </w:p>
          <w:p>
            <w:pPr>
              <w:spacing w:after="0" w:line="236"/>
            </w:pPr>
            <w:r>
              <w:rPr>
                <w:rFonts w:ascii="Arial" w:cs="Arial" w:eastAsia="Arial" w:hAnsi="Arial"/>
                <w:color w:val="FFFFFF"/>
                <w:sz w:val="14"/>
                <w:szCs w:val="14"/>
              </w:rPr>
              <w:t xml:space="preserve">Production, technology, IP, skills, exports</w:t>
            </w:r>
          </w:p>
        </w:tc>
        <w:tc>
          <w:tcPr>
            <w:tcW w:type="dxa" w:w="26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jc w:val="center"/>
            </w:pPr>
            <w:r>
              <w:rPr>
                <w:rFonts w:ascii="Arial" w:cs="Arial" w:eastAsia="Arial" w:hAnsi="Arial"/>
                <w:color w:val="005EB8"/>
                <w:sz w:val="18"/>
                <w:szCs w:val="18"/>
              </w:rPr>
              <w:t xml:space="preserve">►</w:t>
            </w:r>
          </w:p>
        </w:tc>
        <w:tc>
          <w:tcPr>
            <w:tcW w:type="dxa" w:w="1393"/>
            <w:tcBorders>
              <w:top w:val="none" w:color="FFFFFF" w:sz="0"/>
              <w:left w:val="none" w:color="FFFFFF" w:sz="0"/>
              <w:bottom w:val="none" w:color="FFFFFF" w:sz="0"/>
              <w:right w:val="none" w:color="FFFFFF" w:sz="0"/>
            </w:tcBorders>
            <w:shd w:fill="005EB8" w:color="auto" w:val="clear"/>
            <w:tcMar>
              <w:top w:type="dxa" w:w="100"/>
              <w:left w:type="dxa" w:w="90"/>
              <w:bottom w:type="dxa" w:w="100"/>
              <w:right w:type="dxa" w:w="90"/>
            </w:tcMar>
          </w:tcPr>
          <w:p>
            <w:pPr>
              <w:spacing w:after="40" w:line="240"/>
            </w:pPr>
            <w:r>
              <w:rPr>
                <w:rFonts w:ascii="Arial" w:cs="Arial" w:eastAsia="Arial" w:hAnsi="Arial"/>
                <w:b/>
                <w:bCs/>
                <w:color w:val="FFFFFF"/>
                <w:sz w:val="15"/>
                <w:szCs w:val="15"/>
              </w:rPr>
              <w:t xml:space="preserve">Outcomes</w:t>
            </w:r>
          </w:p>
          <w:p>
            <w:pPr>
              <w:spacing w:after="0" w:line="236"/>
            </w:pPr>
            <w:r>
              <w:rPr>
                <w:rFonts w:ascii="Arial" w:cs="Arial" w:eastAsia="Arial" w:hAnsi="Arial"/>
                <w:color w:val="FFFFFF"/>
                <w:sz w:val="14"/>
                <w:szCs w:val="14"/>
              </w:rPr>
              <w:t xml:space="preserve">Value added, FX, jobs, resilience, returns</w:t>
            </w:r>
          </w:p>
        </w:tc>
      </w:tr>
    </w:tbl>
    <w:p>
      <w:pPr>
        <w:spacing w:after="160"/>
      </w:pPr>
    </w:p>
    <w:p>
      <w:pPr>
        <w:spacing w:after="110" w:before="0" w:line="264"/>
        <w:jc w:val="left"/>
      </w:pPr>
      <w:r>
        <w:rPr>
          <w:rFonts w:ascii="Arial" w:cs="Arial" w:eastAsia="Arial" w:hAnsi="Arial"/>
          <w:color w:val="000000"/>
          <w:sz w:val="20"/>
          <w:szCs w:val="20"/>
        </w:rPr>
        <w:t xml:space="preserve">The transformation is from </w:t>
      </w:r>
      <w:r>
        <w:rPr>
          <w:rFonts w:ascii="Arial" w:cs="Arial" w:eastAsia="Arial" w:hAnsi="Arial"/>
          <w:b/>
          <w:bCs/>
          <w:color w:val="000000"/>
          <w:sz w:val="20"/>
          <w:szCs w:val="20"/>
        </w:rPr>
        <w:t xml:space="preserve">asset manager and investor</w:t>
      </w:r>
      <w:r>
        <w:rPr>
          <w:rFonts w:ascii="Arial" w:cs="Arial" w:eastAsia="Arial" w:hAnsi="Arial"/>
          <w:color w:val="000000"/>
          <w:sz w:val="20"/>
          <w:szCs w:val="20"/>
        </w:rPr>
        <w:t xml:space="preserve"> to </w:t>
      </w:r>
      <w:r>
        <w:rPr>
          <w:rFonts w:ascii="Arial" w:cs="Arial" w:eastAsia="Arial" w:hAnsi="Arial"/>
          <w:b/>
          <w:bCs/>
          <w:color w:val="000000"/>
          <w:sz w:val="20"/>
          <w:szCs w:val="20"/>
        </w:rPr>
        <w:t xml:space="preserve">national industrial capability platform based on strategic projects and domestic demand</w:t>
      </w:r>
      <w:r>
        <w:rPr>
          <w:rFonts w:ascii="Arial" w:cs="Arial" w:eastAsia="Arial" w:hAnsi="Arial"/>
          <w:color w:val="000000"/>
          <w:sz w:val="20"/>
          <w:szCs w:val="20"/>
        </w:rPr>
        <w:t xml:space="preserve">. Danantara contributes capital, governance and mandate; DOCK-UP converts that into production, technology, domestic suppliers, human capital and exports [D3 p.2].</w:t>
      </w:r>
    </w:p>
    <w:p>
      <w:pPr>
        <w:pStyle w:val="Heading2"/>
        <w:keepNext/>
        <w:keepLines/>
        <w:spacing w:after="120" w:before="280"/>
      </w:pPr>
      <w:r>
        <w:rPr>
          <w:rFonts w:ascii="Arial" w:cs="Arial" w:eastAsia="Arial" w:hAnsi="Arial"/>
          <w:b/>
          <w:bCs/>
          <w:color w:val="00338D"/>
          <w:sz w:val="28"/>
          <w:szCs w:val="28"/>
        </w:rPr>
        <w:t xml:space="preserve">5.4 Portfolio architecture</w:t>
      </w:r>
    </w:p>
    <w:p>
      <w:pPr>
        <w:spacing w:after="110" w:before="0" w:line="264"/>
        <w:jc w:val="left"/>
      </w:pPr>
      <w:r>
        <w:rPr>
          <w:rFonts w:ascii="Arial" w:cs="Arial" w:eastAsia="Arial" w:hAnsi="Arial"/>
          <w:color w:val="000000"/>
          <w:sz w:val="20"/>
          <w:szCs w:val="20"/>
        </w:rPr>
        <w:t xml:space="preserve">We recommend organising Danantara's activity into five portfolios, each with a different success measure. This prevents the most common error in mixed-mandate funds: judging a supplier-development programme by the yardstick of a listed-equity portfolio, or the reverse [D3 p.2; D1].</w:t>
      </w:r>
    </w:p>
    <w:p>
      <w:pPr>
        <w:keepNext/>
        <w:spacing w:after="80" w:before="120"/>
      </w:pPr>
      <w:r>
        <w:rPr>
          <w:rFonts w:ascii="Arial" w:cs="Arial" w:eastAsia="Arial" w:hAnsi="Arial"/>
          <w:b/>
          <w:bCs/>
          <w:color w:val="00338D"/>
          <w:sz w:val="18"/>
          <w:szCs w:val="18"/>
        </w:rPr>
        <w:t xml:space="preserve">Table 7: </w:t>
      </w:r>
      <w:r>
        <w:rPr>
          <w:rFonts w:ascii="Arial" w:cs="Arial" w:eastAsia="Arial" w:hAnsi="Arial"/>
          <w:b/>
          <w:bCs/>
          <w:color w:val="00338D"/>
          <w:sz w:val="18"/>
          <w:szCs w:val="18"/>
        </w:rPr>
        <w:t xml:space="preserve">Five portfolios with distinct measures and owners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35"/>
        <w:gridCol w:w="2891"/>
        <w:gridCol w:w="3084"/>
        <w:gridCol w:w="1928"/>
      </w:tblGrid>
      <w:tr>
        <w:trPr>
          <w:cantSplit/>
          <w:tblHeader/>
        </w:trPr>
        <w:tc>
          <w:tcPr>
            <w:tcW w:type="dxa" w:w="1735"/>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Portfolio</w:t>
            </w:r>
          </w:p>
        </w:tc>
        <w:tc>
          <w:tcPr>
            <w:tcW w:type="dxa" w:w="2891"/>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Scope</w:t>
            </w:r>
          </w:p>
        </w:tc>
        <w:tc>
          <w:tcPr>
            <w:tcW w:type="dxa" w:w="3084"/>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Primary success measure</w:t>
            </w:r>
          </w:p>
        </w:tc>
        <w:tc>
          <w:tcPr>
            <w:tcW w:type="dxa" w:w="1928"/>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Proposed lead</w:t>
            </w:r>
          </w:p>
        </w:tc>
      </w:tr>
      <w:tr>
        <w:trPr>
          <w:cantSplit/>
        </w:trPr>
        <w:tc>
          <w:tcPr>
            <w:tcW w:type="dxa" w:w="1735"/>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7"/>
                <w:szCs w:val="17"/>
              </w:rPr>
              <w:t xml:space="preserve">Wealth preservation</w:t>
            </w:r>
          </w:p>
        </w:tc>
        <w:tc>
          <w:tcPr>
            <w:tcW w:type="dxa" w:w="2891"/>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7"/>
                <w:szCs w:val="17"/>
              </w:rPr>
              <w:t xml:space="preserve">Public equities, bonds and mature global assets</w:t>
            </w:r>
          </w:p>
        </w:tc>
        <w:tc>
          <w:tcPr>
            <w:tcW w:type="dxa" w:w="3084"/>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7"/>
                <w:szCs w:val="17"/>
              </w:rPr>
              <w:t xml:space="preserve">Net time-weighted return versus policy benchmark; liquidity and drawdown</w:t>
            </w:r>
          </w:p>
        </w:tc>
        <w:tc>
          <w:tcPr>
            <w:tcW w:type="dxa" w:w="192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7"/>
                <w:szCs w:val="17"/>
              </w:rPr>
              <w:t xml:space="preserve">DIM</w:t>
            </w:r>
          </w:p>
        </w:tc>
      </w:tr>
      <w:tr>
        <w:trPr>
          <w:cantSplit/>
        </w:trPr>
        <w:tc>
          <w:tcPr>
            <w:tcW w:type="dxa" w:w="1735"/>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7"/>
                <w:szCs w:val="17"/>
              </w:rPr>
              <w:t xml:space="preserve">Strategic infrastructure</w:t>
            </w:r>
          </w:p>
        </w:tc>
        <w:tc>
          <w:tcPr>
            <w:tcW w:type="dxa" w:w="2891"/>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7"/>
                <w:szCs w:val="17"/>
              </w:rPr>
              <w:t xml:space="preserve">Energy, ports, logistics, industrial estates, data centres</w:t>
            </w:r>
          </w:p>
        </w:tc>
        <w:tc>
          <w:tcPr>
            <w:tcW w:type="dxa" w:w="3084"/>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7"/>
                <w:szCs w:val="17"/>
              </w:rPr>
              <w:t xml:space="preserve">Financial NPV and ENPV; availability and service reliability</w:t>
            </w:r>
          </w:p>
        </w:tc>
        <w:tc>
          <w:tcPr>
            <w:tcW w:type="dxa" w:w="1928"/>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7"/>
                <w:szCs w:val="17"/>
              </w:rPr>
              <w:t xml:space="preserve">DDMF with DIM</w:t>
            </w:r>
          </w:p>
        </w:tc>
      </w:tr>
      <w:tr>
        <w:trPr>
          <w:cantSplit/>
        </w:trPr>
        <w:tc>
          <w:tcPr>
            <w:tcW w:type="dxa" w:w="1735"/>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7"/>
                <w:szCs w:val="17"/>
              </w:rPr>
              <w:t xml:space="preserve">Industrial platform</w:t>
            </w:r>
          </w:p>
        </w:tc>
        <w:tc>
          <w:tcPr>
            <w:tcW w:type="dxa" w:w="2891"/>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7"/>
                <w:szCs w:val="17"/>
              </w:rPr>
              <w:t xml:space="preserve">Anchor projects: Giant Sea Wall, 3 Million Homes, maritime, defence (D3); we propose adding mineral downstreaming</w:t>
            </w:r>
          </w:p>
        </w:tc>
        <w:tc>
          <w:tcPr>
            <w:tcW w:type="dxa" w:w="3084"/>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7"/>
                <w:szCs w:val="17"/>
              </w:rPr>
              <w:t xml:space="preserve">Localisation achieved through DOCK-UP; verified domestic value added; on-time, on-budget commissioning</w:t>
            </w:r>
          </w:p>
        </w:tc>
        <w:tc>
          <w:tcPr>
            <w:tcW w:type="dxa" w:w="192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7"/>
                <w:szCs w:val="17"/>
              </w:rPr>
              <w:t xml:space="preserve">Strategic Industry unit with project sponsors</w:t>
            </w:r>
          </w:p>
        </w:tc>
      </w:tr>
      <w:tr>
        <w:trPr>
          <w:cantSplit/>
        </w:trPr>
        <w:tc>
          <w:tcPr>
            <w:tcW w:type="dxa" w:w="1735"/>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7"/>
                <w:szCs w:val="17"/>
              </w:rPr>
              <w:t xml:space="preserve">Innovation</w:t>
            </w:r>
          </w:p>
        </w:tc>
        <w:tc>
          <w:tcPr>
            <w:tcW w:type="dxa" w:w="2891"/>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7"/>
                <w:szCs w:val="17"/>
              </w:rPr>
              <w:t xml:space="preserve">Semiconductors, AI, advanced materials, R&amp;D and future technologies</w:t>
            </w:r>
          </w:p>
        </w:tc>
        <w:tc>
          <w:tcPr>
            <w:tcW w:type="dxa" w:w="3084"/>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7"/>
                <w:szCs w:val="17"/>
              </w:rPr>
              <w:t xml:space="preserve">Stage-gated uncertainty reduction; independently accepted technology milestones</w:t>
            </w:r>
          </w:p>
        </w:tc>
        <w:tc>
          <w:tcPr>
            <w:tcW w:type="dxa" w:w="1928"/>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7"/>
                <w:szCs w:val="17"/>
              </w:rPr>
              <w:t xml:space="preserve">CTO</w:t>
            </w:r>
          </w:p>
        </w:tc>
      </w:tr>
      <w:tr>
        <w:trPr>
          <w:cantSplit/>
        </w:trPr>
        <w:tc>
          <w:tcPr>
            <w:tcW w:type="dxa" w:w="1735"/>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pPr>
            <w:r>
              <w:rPr>
                <w:rFonts w:ascii="Arial" w:cs="Arial" w:eastAsia="Arial" w:hAnsi="Arial"/>
                <w:b/>
                <w:bCs/>
                <w:color w:val="000000"/>
                <w:sz w:val="17"/>
                <w:szCs w:val="17"/>
              </w:rPr>
              <w:t xml:space="preserve">Supplier development</w:t>
            </w:r>
          </w:p>
        </w:tc>
        <w:tc>
          <w:tcPr>
            <w:tcW w:type="dxa" w:w="2891"/>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7"/>
                <w:szCs w:val="17"/>
              </w:rPr>
              <w:t xml:space="preserve">MSMEs and Tier 1–3 suppliers of equipment, components and fabrication</w:t>
            </w:r>
          </w:p>
        </w:tc>
        <w:tc>
          <w:tcPr>
            <w:tcW w:type="dxa" w:w="3084"/>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7"/>
                <w:szCs w:val="17"/>
              </w:rPr>
              <w:t xml:space="preserve">Suppliers passing G1–G4; supplier productivity; cost parity with imports</w:t>
            </w:r>
          </w:p>
        </w:tc>
        <w:tc>
          <w:tcPr>
            <w:tcW w:type="dxa" w:w="192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7"/>
                <w:szCs w:val="17"/>
              </w:rPr>
              <w:t xml:space="preserve">DOCK-UP office with integrators and banks</w:t>
            </w:r>
          </w:p>
        </w:tc>
      </w:tr>
    </w:tbl>
    <w:p>
      <w:pPr>
        <w:keepNext w:val="false"/>
        <w:spacing w:after="140"/>
      </w:pPr>
    </w:p>
    <w:p>
      <w:pPr>
        <w:pStyle w:val="Heading3"/>
        <w:keepNext/>
        <w:keepLines/>
        <w:spacing w:after="80" w:before="200"/>
      </w:pPr>
      <w:r>
        <w:rPr>
          <w:rFonts w:ascii="Arial" w:cs="Arial" w:eastAsia="Arial" w:hAnsi="Arial"/>
          <w:b/>
          <w:bCs/>
          <w:color w:val="005EB8"/>
          <w:sz w:val="22"/>
          <w:szCs w:val="22"/>
        </w:rPr>
        <w:t xml:space="preserve">One map from anchor project to portfolio</w:t>
      </w:r>
    </w:p>
    <w:p>
      <w:pPr>
        <w:spacing w:after="110" w:before="0" w:line="264"/>
        <w:jc w:val="left"/>
      </w:pPr>
      <w:r>
        <w:rPr>
          <w:rFonts w:ascii="Arial" w:cs="Arial" w:eastAsia="Arial" w:hAnsi="Arial"/>
          <w:color w:val="000000"/>
          <w:sz w:val="20"/>
          <w:szCs w:val="20"/>
        </w:rPr>
        <w:t xml:space="preserve">Readers meet several groupings in this report: anchor projects (Chapter 7), the four clusters in D2, and the five portfolios above. The table below maps them onto each other. The industrial-platform portfolio's financial returns remain the responsibility of the investing entity (DIM, DDMF or the sponsoring SOE). The unit is accountable for integration and capability outcomes, not for capital approval.</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28"/>
        <w:gridCol w:w="1928"/>
        <w:gridCol w:w="2120"/>
        <w:gridCol w:w="1928"/>
        <w:gridCol w:w="1734"/>
      </w:tblGrid>
      <w:tr>
        <w:trPr>
          <w:cantSplit/>
          <w:tblHeader/>
        </w:trPr>
        <w:tc>
          <w:tcPr>
            <w:tcW w:type="dxa" w:w="1928"/>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Anchor project</w:t>
            </w:r>
          </w:p>
        </w:tc>
        <w:tc>
          <w:tcPr>
            <w:tcW w:type="dxa" w:w="1928"/>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Cluster (D2)</w:t>
            </w:r>
          </w:p>
        </w:tc>
        <w:tc>
          <w:tcPr>
            <w:tcW w:type="dxa" w:w="2120"/>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Portfolio</w:t>
            </w:r>
          </w:p>
        </w:tc>
        <w:tc>
          <w:tcPr>
            <w:tcW w:type="dxa" w:w="1928"/>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Lead for capability</w:t>
            </w:r>
          </w:p>
        </w:tc>
        <w:tc>
          <w:tcPr>
            <w:tcW w:type="dxa" w:w="1734"/>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Accountable for returns</w:t>
            </w:r>
          </w:p>
        </w:tc>
      </w:tr>
      <w:tr>
        <w:trPr>
          <w:cantSplit/>
        </w:trPr>
        <w:tc>
          <w:tcPr>
            <w:tcW w:type="dxa" w:w="192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Mineral downstreaming</w:t>
            </w:r>
          </w:p>
        </w:tc>
        <w:tc>
          <w:tcPr>
            <w:tcW w:type="dxa" w:w="192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Minerals and materials</w:t>
            </w:r>
          </w:p>
        </w:tc>
        <w:tc>
          <w:tcPr>
            <w:tcW w:type="dxa" w:w="212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Industrial platform</w:t>
            </w:r>
          </w:p>
        </w:tc>
        <w:tc>
          <w:tcPr>
            <w:tcW w:type="dxa" w:w="192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Cluster leader, minerals</w:t>
            </w:r>
          </w:p>
        </w:tc>
        <w:tc>
          <w:tcPr>
            <w:tcW w:type="dxa" w:w="1734"/>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Sponsoring SOE / DIM</w:t>
            </w:r>
          </w:p>
        </w:tc>
      </w:tr>
      <w:tr>
        <w:trPr>
          <w:cantSplit/>
        </w:trPr>
        <w:tc>
          <w:tcPr>
            <w:tcW w:type="dxa" w:w="1928"/>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Giant Sea Wall</w:t>
            </w:r>
          </w:p>
        </w:tc>
        <w:tc>
          <w:tcPr>
            <w:tcW w:type="dxa" w:w="1928"/>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Energy and industrial infrastructure</w:t>
            </w:r>
          </w:p>
        </w:tc>
        <w:tc>
          <w:tcPr>
            <w:tcW w:type="dxa" w:w="212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Strategic infrastructure + Industrial platform</w:t>
            </w:r>
          </w:p>
        </w:tc>
        <w:tc>
          <w:tcPr>
            <w:tcW w:type="dxa" w:w="1928"/>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Cluster leader, infrastructure</w:t>
            </w:r>
          </w:p>
        </w:tc>
        <w:tc>
          <w:tcPr>
            <w:tcW w:type="dxa" w:w="1734"/>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Project company / DDMF</w:t>
            </w:r>
          </w:p>
        </w:tc>
      </w:tr>
      <w:tr>
        <w:trPr>
          <w:cantSplit/>
        </w:trPr>
        <w:tc>
          <w:tcPr>
            <w:tcW w:type="dxa" w:w="192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3 Million Homes</w:t>
            </w:r>
          </w:p>
        </w:tc>
        <w:tc>
          <w:tcPr>
            <w:tcW w:type="dxa" w:w="192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Energy and industrial infrastructure</w:t>
            </w:r>
          </w:p>
        </w:tc>
        <w:tc>
          <w:tcPr>
            <w:tcW w:type="dxa" w:w="212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Industrial platform</w:t>
            </w:r>
          </w:p>
        </w:tc>
        <w:tc>
          <w:tcPr>
            <w:tcW w:type="dxa" w:w="192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Cluster leader, infrastructure</w:t>
            </w:r>
          </w:p>
        </w:tc>
        <w:tc>
          <w:tcPr>
            <w:tcW w:type="dxa" w:w="1734"/>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Programme owner / sponsoring SOE</w:t>
            </w:r>
          </w:p>
        </w:tc>
      </w:tr>
      <w:tr>
        <w:trPr>
          <w:cantSplit/>
        </w:trPr>
        <w:tc>
          <w:tcPr>
            <w:tcW w:type="dxa" w:w="1928"/>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Maritime (shipyards, MRO)</w:t>
            </w:r>
          </w:p>
        </w:tc>
        <w:tc>
          <w:tcPr>
            <w:tcW w:type="dxa" w:w="1928"/>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Defence and maritime</w:t>
            </w:r>
          </w:p>
        </w:tc>
        <w:tc>
          <w:tcPr>
            <w:tcW w:type="dxa" w:w="212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Industrial platform</w:t>
            </w:r>
          </w:p>
        </w:tc>
        <w:tc>
          <w:tcPr>
            <w:tcW w:type="dxa" w:w="1928"/>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Cluster leader, defence and maritime</w:t>
            </w:r>
          </w:p>
        </w:tc>
        <w:tc>
          <w:tcPr>
            <w:tcW w:type="dxa" w:w="1734"/>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PT PAL / DEFEND ID / DIM</w:t>
            </w:r>
          </w:p>
        </w:tc>
      </w:tr>
      <w:tr>
        <w:trPr>
          <w:cantSplit/>
        </w:trPr>
        <w:tc>
          <w:tcPr>
            <w:tcW w:type="dxa" w:w="192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Defence programmes</w:t>
            </w:r>
          </w:p>
        </w:tc>
        <w:tc>
          <w:tcPr>
            <w:tcW w:type="dxa" w:w="192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Defence and maritime</w:t>
            </w:r>
          </w:p>
        </w:tc>
        <w:tc>
          <w:tcPr>
            <w:tcW w:type="dxa" w:w="212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Industrial platform</w:t>
            </w:r>
          </w:p>
        </w:tc>
        <w:tc>
          <w:tcPr>
            <w:tcW w:type="dxa" w:w="192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Cluster leader, defence and maritime</w:t>
            </w:r>
          </w:p>
        </w:tc>
        <w:tc>
          <w:tcPr>
            <w:tcW w:type="dxa" w:w="1734"/>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Integrator / Ministry of Defence contract</w:t>
            </w:r>
          </w:p>
        </w:tc>
      </w:tr>
      <w:tr>
        <w:trPr>
          <w:cantSplit/>
        </w:trPr>
        <w:tc>
          <w:tcPr>
            <w:tcW w:type="dxa" w:w="1928"/>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Chemicals, WtE, data centres, food</w:t>
            </w:r>
          </w:p>
        </w:tc>
        <w:tc>
          <w:tcPr>
            <w:tcW w:type="dxa" w:w="1928"/>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Other strategic manufacturing</w:t>
            </w:r>
          </w:p>
        </w:tc>
        <w:tc>
          <w:tcPr>
            <w:tcW w:type="dxa" w:w="212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Strategic infrastructure or Industrial platform</w:t>
            </w:r>
          </w:p>
        </w:tc>
        <w:tc>
          <w:tcPr>
            <w:tcW w:type="dxa" w:w="1928"/>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Sector leads once split</w:t>
            </w:r>
          </w:p>
        </w:tc>
        <w:tc>
          <w:tcPr>
            <w:tcW w:type="dxa" w:w="1734"/>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DIM / DDMF / sponsoring SOE</w:t>
            </w:r>
          </w:p>
        </w:tc>
      </w:tr>
      <w:tr>
        <w:trPr>
          <w:cantSplit/>
        </w:trPr>
        <w:tc>
          <w:tcPr>
            <w:tcW w:type="dxa" w:w="192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pPr>
            <w:r>
              <w:rPr>
                <w:rFonts w:ascii="Arial" w:cs="Arial" w:eastAsia="Arial" w:hAnsi="Arial"/>
                <w:b/>
                <w:bCs/>
                <w:color w:val="000000"/>
                <w:sz w:val="16"/>
                <w:szCs w:val="16"/>
              </w:rPr>
              <w:t xml:space="preserve">MSME and Tier 1–3 suppliers</w:t>
            </w:r>
          </w:p>
        </w:tc>
        <w:tc>
          <w:tcPr>
            <w:tcW w:type="dxa" w:w="192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6"/>
                <w:szCs w:val="16"/>
              </w:rPr>
              <w:t xml:space="preserve">All clusters</w:t>
            </w:r>
          </w:p>
        </w:tc>
        <w:tc>
          <w:tcPr>
            <w:tcW w:type="dxa" w:w="212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6"/>
                <w:szCs w:val="16"/>
              </w:rPr>
              <w:t xml:space="preserve">Supplier development</w:t>
            </w:r>
          </w:p>
        </w:tc>
        <w:tc>
          <w:tcPr>
            <w:tcW w:type="dxa" w:w="192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6"/>
                <w:szCs w:val="16"/>
              </w:rPr>
              <w:t xml:space="preserve">DOCK-UP office in the unit</w:t>
            </w:r>
          </w:p>
        </w:tc>
        <w:tc>
          <w:tcPr>
            <w:tcW w:type="dxa" w:w="1734"/>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6"/>
                <w:szCs w:val="16"/>
              </w:rPr>
              <w:t xml:space="preserve">Banks and guarantors for credit risk</w:t>
            </w:r>
          </w:p>
        </w:tc>
      </w:tr>
    </w:tbl>
    <w:p>
      <w:pPr>
        <w:keepNext w:val="false"/>
        <w:spacing w:after="140"/>
      </w:pPr>
    </w:p>
    <w:p>
      <w:pPr>
        <w:spacing w:after="80" w:before="0" w:line="264"/>
        <w:jc w:val="left"/>
      </w:pPr>
      <w:r>
        <w:rPr>
          <w:rFonts w:ascii="Arial" w:cs="Arial" w:eastAsia="Arial" w:hAnsi="Arial"/>
          <w:color w:val="000000"/>
          <w:sz w:val="16"/>
          <w:szCs w:val="16"/>
        </w:rPr>
        <w:t xml:space="preserve">Whether the Giant Sea Wall and the 3 Million Homes programme are in the 40-project register must be confirmed during reconciliation.</w:t>
      </w:r>
    </w:p>
    <w:p>
      <w:pPr>
        <w:pStyle w:val="Heading2"/>
        <w:keepNext/>
        <w:keepLines/>
        <w:spacing w:after="120" w:before="280"/>
      </w:pPr>
      <w:r>
        <w:rPr>
          <w:rFonts w:ascii="Arial" w:cs="Arial" w:eastAsia="Arial" w:hAnsi="Arial"/>
          <w:b/>
          <w:bCs/>
          <w:color w:val="00338D"/>
          <w:sz w:val="28"/>
          <w:szCs w:val="28"/>
        </w:rPr>
        <w:t xml:space="preserve">5.5 Cross-sector technology enablers</w:t>
      </w:r>
    </w:p>
    <w:p>
      <w:pPr>
        <w:spacing w:after="110" w:before="0" w:line="264"/>
        <w:jc w:val="left"/>
      </w:pPr>
      <w:r>
        <w:rPr>
          <w:rFonts w:ascii="Arial" w:cs="Arial" w:eastAsia="Arial" w:hAnsi="Arial"/>
          <w:color w:val="000000"/>
          <w:sz w:val="20"/>
          <w:szCs w:val="20"/>
        </w:rPr>
        <w:t xml:space="preserve">Six enabling technologies named in D3 p.2 cut across the anchor projects (descriptions ours). They should be prioritised in the innovation portfolio because they raise capability in several clusters at once:</w:t>
      </w:r>
    </w:p>
    <w:p>
      <w:pPr>
        <w:pStyle w:val="ListParagraph"/>
        <w:numPr>
          <w:ilvl w:val="0"/>
          <w:numId w:val="2"/>
        </w:numPr>
        <w:spacing w:after="60" w:line="264"/>
      </w:pPr>
      <w:r>
        <w:rPr>
          <w:rFonts w:ascii="Arial" w:cs="Arial" w:eastAsia="Arial" w:hAnsi="Arial"/>
          <w:b/>
          <w:bCs/>
          <w:sz w:val="20"/>
          <w:szCs w:val="20"/>
        </w:rPr>
        <w:t xml:space="preserve">Power electronics and semiconductor design</w:t>
      </w:r>
      <w:r>
        <w:rPr>
          <w:rFonts w:ascii="Arial" w:cs="Arial" w:eastAsia="Arial" w:hAnsi="Arial"/>
          <w:sz w:val="20"/>
          <w:szCs w:val="20"/>
        </w:rPr>
        <w:t xml:space="preserve">: drives, converters and control boards used in ships, energy systems and defence electronics.</w:t>
      </w:r>
    </w:p>
    <w:p>
      <w:pPr>
        <w:pStyle w:val="ListParagraph"/>
        <w:numPr>
          <w:ilvl w:val="0"/>
          <w:numId w:val="2"/>
        </w:numPr>
        <w:spacing w:after="60" w:line="264"/>
      </w:pPr>
      <w:r>
        <w:rPr>
          <w:rFonts w:ascii="Arial" w:cs="Arial" w:eastAsia="Arial" w:hAnsi="Arial"/>
          <w:b/>
          <w:bCs/>
          <w:sz w:val="20"/>
          <w:szCs w:val="20"/>
        </w:rPr>
        <w:t xml:space="preserve">Industrial AI and automation</w:t>
      </w:r>
      <w:r>
        <w:rPr>
          <w:rFonts w:ascii="Arial" w:cs="Arial" w:eastAsia="Arial" w:hAnsi="Arial"/>
          <w:sz w:val="20"/>
          <w:szCs w:val="20"/>
        </w:rPr>
        <w:t xml:space="preserve">: process control, quality inspection and the project operating system described in Chapter 12.</w:t>
      </w:r>
    </w:p>
    <w:p>
      <w:pPr>
        <w:pStyle w:val="ListParagraph"/>
        <w:numPr>
          <w:ilvl w:val="0"/>
          <w:numId w:val="2"/>
        </w:numPr>
        <w:spacing w:after="60" w:line="264"/>
      </w:pPr>
      <w:r>
        <w:rPr>
          <w:rFonts w:ascii="Arial" w:cs="Arial" w:eastAsia="Arial" w:hAnsi="Arial"/>
          <w:b/>
          <w:bCs/>
          <w:sz w:val="20"/>
          <w:szCs w:val="20"/>
        </w:rPr>
        <w:t xml:space="preserve">Advanced materials (steel, composites)</w:t>
      </w:r>
      <w:r>
        <w:rPr>
          <w:rFonts w:ascii="Arial" w:cs="Arial" w:eastAsia="Arial" w:hAnsi="Arial"/>
          <w:sz w:val="20"/>
          <w:szCs w:val="20"/>
        </w:rPr>
        <w:t xml:space="preserve">: marine-grade steel, armour and composite structures.</w:t>
      </w:r>
    </w:p>
    <w:p>
      <w:pPr>
        <w:pStyle w:val="ListParagraph"/>
        <w:numPr>
          <w:ilvl w:val="0"/>
          <w:numId w:val="2"/>
        </w:numPr>
        <w:spacing w:after="60" w:line="264"/>
      </w:pPr>
      <w:r>
        <w:rPr>
          <w:rFonts w:ascii="Arial" w:cs="Arial" w:eastAsia="Arial" w:hAnsi="Arial"/>
          <w:b/>
          <w:bCs/>
          <w:sz w:val="20"/>
          <w:szCs w:val="20"/>
        </w:rPr>
        <w:t xml:space="preserve">Renewable energy and energy storage</w:t>
      </w:r>
      <w:r>
        <w:rPr>
          <w:rFonts w:ascii="Arial" w:cs="Arial" w:eastAsia="Arial" w:hAnsi="Arial"/>
          <w:sz w:val="20"/>
          <w:szCs w:val="20"/>
        </w:rPr>
        <w:t xml:space="preserve">: battery materials and storage linked to mineral downstreaming.</w:t>
      </w:r>
    </w:p>
    <w:p>
      <w:pPr>
        <w:pStyle w:val="ListParagraph"/>
        <w:numPr>
          <w:ilvl w:val="0"/>
          <w:numId w:val="2"/>
        </w:numPr>
        <w:spacing w:after="60" w:line="264"/>
      </w:pPr>
      <w:r>
        <w:rPr>
          <w:rFonts w:ascii="Arial" w:cs="Arial" w:eastAsia="Arial" w:hAnsi="Arial"/>
          <w:b/>
          <w:bCs/>
          <w:sz w:val="20"/>
          <w:szCs w:val="20"/>
        </w:rPr>
        <w:t xml:space="preserve">Machine-tool industry</w:t>
      </w:r>
      <w:r>
        <w:rPr>
          <w:rFonts w:ascii="Arial" w:cs="Arial" w:eastAsia="Arial" w:hAnsi="Arial"/>
          <w:sz w:val="20"/>
          <w:szCs w:val="20"/>
        </w:rPr>
        <w:t xml:space="preserve">: the capital goods that let SMEs move from MRL 5 to MRL 8.</w:t>
      </w:r>
    </w:p>
    <w:p>
      <w:pPr>
        <w:pStyle w:val="ListParagraph"/>
        <w:numPr>
          <w:ilvl w:val="0"/>
          <w:numId w:val="2"/>
        </w:numPr>
        <w:spacing w:after="60" w:line="264"/>
      </w:pPr>
      <w:r>
        <w:rPr>
          <w:rFonts w:ascii="Arial" w:cs="Arial" w:eastAsia="Arial" w:hAnsi="Arial"/>
          <w:b/>
          <w:bCs/>
          <w:sz w:val="20"/>
          <w:szCs w:val="20"/>
        </w:rPr>
        <w:t xml:space="preserve">Digital industry and software</w:t>
      </w:r>
      <w:r>
        <w:rPr>
          <w:rFonts w:ascii="Arial" w:cs="Arial" w:eastAsia="Arial" w:hAnsi="Arial"/>
          <w:sz w:val="20"/>
          <w:szCs w:val="20"/>
        </w:rPr>
        <w:t xml:space="preserve">: engineering software, PLM, supplier portals and cybersecurity.</w:t>
      </w:r>
    </w:p>
    <w:p>
      <w:pPr>
        <w:pStyle w:val="Heading2"/>
        <w:keepNext/>
        <w:keepLines/>
        <w:spacing w:after="120" w:before="280"/>
      </w:pPr>
      <w:r>
        <w:rPr>
          <w:rFonts w:ascii="Arial" w:cs="Arial" w:eastAsia="Arial" w:hAnsi="Arial"/>
          <w:b/>
          <w:bCs/>
          <w:color w:val="00338D"/>
          <w:sz w:val="28"/>
          <w:szCs w:val="28"/>
        </w:rPr>
        <w:t xml:space="preserve">5.6 Design principles</w:t>
      </w:r>
    </w:p>
    <w:p>
      <w:pPr>
        <w:pStyle w:val="ListParagraph"/>
        <w:numPr>
          <w:ilvl w:val="0"/>
          <w:numId w:val="3"/>
        </w:numPr>
        <w:spacing w:after="60" w:line="264"/>
      </w:pPr>
      <w:r>
        <w:rPr>
          <w:rFonts w:ascii="Arial" w:cs="Arial" w:eastAsia="Arial" w:hAnsi="Arial"/>
          <w:b/>
          <w:bCs/>
          <w:sz w:val="20"/>
          <w:szCs w:val="20"/>
        </w:rPr>
        <w:t xml:space="preserve">Demand before subsidy.</w:t>
      </w:r>
      <w:r>
        <w:rPr>
          <w:rFonts w:ascii="Arial" w:cs="Arial" w:eastAsia="Arial" w:hAnsi="Arial"/>
          <w:sz w:val="20"/>
          <w:szCs w:val="20"/>
        </w:rPr>
        <w:t xml:space="preserve"> Support follows a real order book from an anchor project, not the reverse.</w:t>
      </w:r>
    </w:p>
    <w:p>
      <w:pPr>
        <w:pStyle w:val="ListParagraph"/>
        <w:numPr>
          <w:ilvl w:val="0"/>
          <w:numId w:val="3"/>
        </w:numPr>
        <w:spacing w:after="60" w:line="264"/>
      </w:pPr>
      <w:r>
        <w:rPr>
          <w:rFonts w:ascii="Arial" w:cs="Arial" w:eastAsia="Arial" w:hAnsi="Arial"/>
          <w:b/>
          <w:bCs/>
          <w:sz w:val="20"/>
          <w:szCs w:val="20"/>
        </w:rPr>
        <w:t xml:space="preserve">Readiness before volume.</w:t>
      </w:r>
      <w:r>
        <w:rPr>
          <w:rFonts w:ascii="Arial" w:cs="Arial" w:eastAsia="Arial" w:hAnsi="Arial"/>
          <w:sz w:val="20"/>
          <w:szCs w:val="20"/>
        </w:rPr>
        <w:t xml:space="preserve"> Orders, finance and certificates are released by verified readiness, never by quota [D4].</w:t>
      </w:r>
    </w:p>
    <w:p>
      <w:pPr>
        <w:pStyle w:val="ListParagraph"/>
        <w:numPr>
          <w:ilvl w:val="0"/>
          <w:numId w:val="3"/>
        </w:numPr>
        <w:spacing w:after="60" w:line="264"/>
      </w:pPr>
      <w:r>
        <w:rPr>
          <w:rFonts w:ascii="Arial" w:cs="Arial" w:eastAsia="Arial" w:hAnsi="Arial"/>
          <w:b/>
          <w:bCs/>
          <w:sz w:val="20"/>
          <w:szCs w:val="20"/>
        </w:rPr>
        <w:t xml:space="preserve">One register, one denominator.</w:t>
      </w:r>
      <w:r>
        <w:rPr>
          <w:rFonts w:ascii="Arial" w:cs="Arial" w:eastAsia="Arial" w:hAnsi="Arial"/>
          <w:sz w:val="20"/>
          <w:szCs w:val="20"/>
        </w:rPr>
        <w:t xml:space="preserve"> Every project, phase, supplier and financing instrument has one identifier in one register [D1, D2].</w:t>
      </w:r>
    </w:p>
    <w:p>
      <w:pPr>
        <w:pStyle w:val="ListParagraph"/>
        <w:numPr>
          <w:ilvl w:val="0"/>
          <w:numId w:val="3"/>
        </w:numPr>
        <w:spacing w:after="60" w:line="264"/>
      </w:pPr>
      <w:r>
        <w:rPr>
          <w:rFonts w:ascii="Arial" w:cs="Arial" w:eastAsia="Arial" w:hAnsi="Arial"/>
          <w:b/>
          <w:bCs/>
          <w:sz w:val="20"/>
          <w:szCs w:val="20"/>
        </w:rPr>
        <w:t xml:space="preserve">Finance follows the gate.</w:t>
      </w:r>
      <w:r>
        <w:rPr>
          <w:rFonts w:ascii="Arial" w:cs="Arial" w:eastAsia="Arial" w:hAnsi="Arial"/>
          <w:sz w:val="20"/>
          <w:szCs w:val="20"/>
        </w:rPr>
        <w:t xml:space="preserve"> Each financing instrument is matched to the gate a project or supplier has reached.</w:t>
      </w:r>
    </w:p>
    <w:p>
      <w:pPr>
        <w:pStyle w:val="ListParagraph"/>
        <w:numPr>
          <w:ilvl w:val="0"/>
          <w:numId w:val="3"/>
        </w:numPr>
        <w:spacing w:after="60" w:line="264"/>
      </w:pPr>
      <w:r>
        <w:rPr>
          <w:rFonts w:ascii="Arial" w:cs="Arial" w:eastAsia="Arial" w:hAnsi="Arial"/>
          <w:b/>
          <w:bCs/>
          <w:sz w:val="20"/>
          <w:szCs w:val="20"/>
        </w:rPr>
        <w:t xml:space="preserve">Substance over label.</w:t>
      </w:r>
      <w:r>
        <w:rPr>
          <w:rFonts w:ascii="Arial" w:cs="Arial" w:eastAsia="Arial" w:hAnsi="Arial"/>
          <w:sz w:val="20"/>
          <w:szCs w:val="20"/>
        </w:rPr>
        <w:t xml:space="preserve"> An instrument that must be repaid is a liability, whatever it is called and wherever it is booked [D1, D2].</w:t>
      </w:r>
    </w:p>
    <w:p>
      <w:pPr>
        <w:pStyle w:val="ListParagraph"/>
        <w:numPr>
          <w:ilvl w:val="0"/>
          <w:numId w:val="3"/>
        </w:numPr>
        <w:spacing w:after="60" w:line="264"/>
      </w:pPr>
      <w:r>
        <w:rPr>
          <w:rFonts w:ascii="Arial" w:cs="Arial" w:eastAsia="Arial" w:hAnsi="Arial"/>
          <w:b/>
          <w:bCs/>
          <w:sz w:val="20"/>
          <w:szCs w:val="20"/>
        </w:rPr>
        <w:t xml:space="preserve">Protection is temporary.</w:t>
      </w:r>
      <w:r>
        <w:rPr>
          <w:rFonts w:ascii="Arial" w:cs="Arial" w:eastAsia="Arial" w:hAnsi="Arial"/>
          <w:sz w:val="20"/>
          <w:szCs w:val="20"/>
        </w:rPr>
        <w:t xml:space="preserve"> Preference for domestic suppliers must be temporary [D4]; we propose a defined exit.</w:t>
      </w:r>
    </w:p>
    <w:p>
      <w:pPr>
        <w:pStyle w:val="ListParagraph"/>
        <w:numPr>
          <w:ilvl w:val="0"/>
          <w:numId w:val="3"/>
        </w:numPr>
        <w:spacing w:after="60" w:line="264"/>
      </w:pPr>
      <w:r>
        <w:rPr>
          <w:rFonts w:ascii="Arial" w:cs="Arial" w:eastAsia="Arial" w:hAnsi="Arial"/>
          <w:b/>
          <w:bCs/>
          <w:sz w:val="20"/>
          <w:szCs w:val="20"/>
        </w:rPr>
        <w:t xml:space="preserve">Measure the additional, not the gross.</w:t>
      </w:r>
      <w:r>
        <w:rPr>
          <w:rFonts w:ascii="Arial" w:cs="Arial" w:eastAsia="Arial" w:hAnsi="Arial"/>
          <w:sz w:val="20"/>
          <w:szCs w:val="20"/>
        </w:rPr>
        <w:t xml:space="preserve"> Report Danantara's estimated contribution with ranges, not gross project totals [D1].</w:t>
      </w:r>
    </w:p>
    <w:p>
      <w:pPr>
        <w:pageBreakBefore/>
        <w:spacing w:after="0" w:line="240"/>
      </w:pPr>
      <w:r>
        <w:rPr>
          <w:sz w:val="2"/>
          <w:szCs w:val="2"/>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one" w:color="FFFFFF" w:sz="0"/>
              <w:left w:val="none" w:color="FFFFFF" w:sz="0"/>
              <w:bottom w:val="none" w:color="FFFFFF" w:sz="0"/>
              <w:right w:val="none" w:color="FFFFFF" w:sz="0"/>
            </w:tcBorders>
            <w:shd w:fill="00338D" w:color="auto" w:val="clear"/>
            <w:tcMar>
              <w:top w:type="dxa" w:w="260"/>
              <w:left w:type="dxa" w:w="300"/>
              <w:bottom w:type="dxa" w:w="300"/>
              <w:right w:type="dxa" w:w="300"/>
            </w:tcMar>
          </w:tcPr>
          <w:p>
            <w:pPr>
              <w:spacing w:after="0"/>
            </w:pPr>
            <w:r>
              <w:rPr>
                <w:rFonts w:ascii="Arial" w:cs="Arial" w:eastAsia="Arial" w:hAnsi="Arial"/>
                <w:b/>
                <w:bCs/>
                <w:color w:val="9CC7EF"/>
                <w:sz w:val="64"/>
                <w:szCs w:val="64"/>
              </w:rPr>
              <w:t xml:space="preserve">06</w:t>
            </w:r>
          </w:p>
          <w:p>
            <w:pPr>
              <w:pStyle w:val="Heading1"/>
              <w:spacing w:after="100"/>
            </w:pPr>
            <w:r>
              <w:rPr>
                <w:rFonts w:ascii="Arial" w:cs="Arial" w:eastAsia="Arial" w:hAnsi="Arial"/>
                <w:b/>
                <w:bCs/>
                <w:color w:val="FFFFFF"/>
                <w:sz w:val="40"/>
                <w:szCs w:val="40"/>
              </w:rPr>
              <w:t xml:space="preserve">DOCK-UP: building national industrial capability</w:t>
            </w:r>
          </w:p>
          <w:p>
            <w:pPr>
              <w:spacing w:after="0" w:line="276"/>
            </w:pPr>
            <w:r>
              <w:rPr>
                <w:rFonts w:ascii="Arial" w:cs="Arial" w:eastAsia="Arial" w:hAnsi="Arial"/>
                <w:color w:val="FFFFFF"/>
                <w:sz w:val="20"/>
                <w:szCs w:val="20"/>
              </w:rPr>
              <w:t xml:space="preserve">A gated framework that turns guaranteed domestic demand into qualified, production-ready suppliers, measured with Technology Readiness Levels (TRL) and Manufacturing Readiness Levels (MRL).</w:t>
            </w:r>
          </w:p>
        </w:tc>
      </w:tr>
    </w:tbl>
    <w:p>
      <w:pPr>
        <w:spacing w:after="200"/>
      </w:pPr>
    </w:p>
    <w:p>
      <w:pPr>
        <w:pStyle w:val="Heading2"/>
        <w:keepNext/>
        <w:keepLines/>
        <w:spacing w:after="120" w:before="280"/>
      </w:pPr>
      <w:r>
        <w:rPr>
          <w:rFonts w:ascii="Arial" w:cs="Arial" w:eastAsia="Arial" w:hAnsi="Arial"/>
          <w:b/>
          <w:bCs/>
          <w:color w:val="00338D"/>
          <w:sz w:val="28"/>
          <w:szCs w:val="28"/>
        </w:rPr>
        <w:t xml:space="preserve">6.1 The problem: demand exists in law, the supplier base does not</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12"/>
        <w:gridCol w:w="3212"/>
        <w:gridCol w:w="3214"/>
      </w:tblGrid>
      <w:tr>
        <w:trPr>
          <w:cantSplit/>
        </w:trPr>
        <w:tc>
          <w:tcPr>
            <w:tcW w:type="dxa" w:w="3212"/>
            <w:tcBorders>
              <w:top w:val="single" w:color="FFFFFF" w:sz="24"/>
              <w:left w:val="single" w:color="FFFFFF" w:sz="24"/>
              <w:bottom w:val="single" w:color="FFFFFF" w:sz="24"/>
              <w:right w:val="single" w:color="FFFFFF" w:sz="24"/>
            </w:tcBorders>
            <w:shd w:fill="00338D" w:color="auto" w:val="clear"/>
            <w:tcMar>
              <w:top w:type="dxa" w:w="140"/>
              <w:left w:type="dxa" w:w="160"/>
              <w:bottom w:type="dxa" w:w="140"/>
              <w:right w:type="dxa" w:w="160"/>
            </w:tcMar>
          </w:tcPr>
          <w:p>
            <w:pPr>
              <w:spacing w:after="40"/>
            </w:pPr>
            <w:r>
              <w:rPr>
                <w:rFonts w:ascii="Arial" w:cs="Arial" w:eastAsia="Arial" w:hAnsi="Arial"/>
                <w:b/>
                <w:bCs/>
                <w:color w:val="FFFFFF"/>
                <w:sz w:val="34"/>
                <w:szCs w:val="34"/>
              </w:rPr>
              <w:t xml:space="preserve">85% / 35%</w:t>
            </w:r>
          </w:p>
          <w:p>
            <w:pPr>
              <w:spacing w:after="0" w:line="240"/>
            </w:pPr>
            <w:r>
              <w:rPr>
                <w:rFonts w:ascii="Arial" w:cs="Arial" w:eastAsia="Arial" w:hAnsi="Arial"/>
                <w:color w:val="FFFFFF"/>
                <w:sz w:val="16"/>
                <w:szCs w:val="16"/>
              </w:rPr>
              <w:t xml:space="preserve">Minimum trade-return and local content / offset for imported defence equipment (Law 16/2012 Art. 43), rising 10 points every 5 years</w:t>
            </w:r>
          </w:p>
        </w:tc>
        <w:tc>
          <w:tcPr>
            <w:tcW w:type="dxa" w:w="3212"/>
            <w:tcBorders>
              <w:top w:val="single" w:color="FFFFFF" w:sz="24"/>
              <w:left w:val="single" w:color="FFFFFF" w:sz="24"/>
              <w:bottom w:val="single" w:color="FFFFFF" w:sz="24"/>
              <w:right w:val="single" w:color="FFFFFF" w:sz="24"/>
            </w:tcBorders>
            <w:shd w:fill="005EB8" w:color="auto" w:val="clear"/>
            <w:tcMar>
              <w:top w:type="dxa" w:w="140"/>
              <w:left w:type="dxa" w:w="160"/>
              <w:bottom w:type="dxa" w:w="140"/>
              <w:right w:type="dxa" w:w="160"/>
            </w:tcMar>
          </w:tcPr>
          <w:p>
            <w:pPr>
              <w:spacing w:after="40"/>
            </w:pPr>
            <w:r>
              <w:rPr>
                <w:rFonts w:ascii="Arial" w:cs="Arial" w:eastAsia="Arial" w:hAnsi="Arial"/>
                <w:b/>
                <w:bCs/>
                <w:color w:val="FFFFFF"/>
                <w:sz w:val="34"/>
                <w:szCs w:val="34"/>
              </w:rPr>
              <w:t xml:space="preserve">64.2 million</w:t>
            </w:r>
          </w:p>
          <w:p>
            <w:pPr>
              <w:spacing w:after="0" w:line="240"/>
            </w:pPr>
            <w:r>
              <w:rPr>
                <w:rFonts w:ascii="Arial" w:cs="Arial" w:eastAsia="Arial" w:hAnsi="Arial"/>
                <w:color w:val="FFFFFF"/>
                <w:sz w:val="16"/>
                <w:szCs w:val="16"/>
              </w:rPr>
              <w:t xml:space="preserve">MSMEs in Indonesia: ~62% of GDP and ~97% of employment (KemenkopUKM, 2021), yet few are in strategic supply chains</w:t>
            </w:r>
          </w:p>
        </w:tc>
        <w:tc>
          <w:tcPr>
            <w:tcW w:type="dxa" w:w="3214"/>
            <w:tcBorders>
              <w:top w:val="single" w:color="FFFFFF" w:sz="24"/>
              <w:left w:val="single" w:color="FFFFFF" w:sz="24"/>
              <w:bottom w:val="single" w:color="FFFFFF" w:sz="24"/>
              <w:right w:val="single" w:color="FFFFFF" w:sz="24"/>
            </w:tcBorders>
            <w:shd w:fill="00338D" w:color="auto" w:val="clear"/>
            <w:tcMar>
              <w:top w:type="dxa" w:w="140"/>
              <w:left w:type="dxa" w:w="160"/>
              <w:bottom w:type="dxa" w:w="140"/>
              <w:right w:type="dxa" w:w="160"/>
            </w:tcMar>
          </w:tcPr>
          <w:p>
            <w:pPr>
              <w:spacing w:after="40"/>
            </w:pPr>
            <w:r>
              <w:rPr>
                <w:rFonts w:ascii="Arial" w:cs="Arial" w:eastAsia="Arial" w:hAnsi="Arial"/>
                <w:b/>
                <w:bCs/>
                <w:color w:val="FFFFFF"/>
                <w:sz w:val="34"/>
                <w:szCs w:val="34"/>
              </w:rPr>
              <w:t xml:space="preserve">25–30 years</w:t>
            </w:r>
          </w:p>
          <w:p>
            <w:pPr>
              <w:spacing w:after="0" w:line="240"/>
            </w:pPr>
            <w:r>
              <w:rPr>
                <w:rFonts w:ascii="Arial" w:cs="Arial" w:eastAsia="Arial" w:hAnsi="Arial"/>
                <w:color w:val="FFFFFF"/>
                <w:sz w:val="16"/>
                <w:szCs w:val="16"/>
              </w:rPr>
              <w:t xml:space="preserve">Service life of a warship; maintenance, spares and upgrades often cost more than construction</w:t>
            </w:r>
          </w:p>
        </w:tc>
      </w:tr>
    </w:tbl>
    <w:p>
      <w:pPr>
        <w:spacing w:after="160"/>
      </w:pPr>
    </w:p>
    <w:p>
      <w:pPr>
        <w:spacing w:after="160"/>
      </w:pPr>
      <w:r>
        <w:rPr>
          <w:rFonts w:ascii="Arial" w:cs="Arial" w:eastAsia="Arial" w:hAnsi="Arial"/>
          <w:i/>
          <w:iCs/>
          <w:color w:val="000000"/>
          <w:sz w:val="15"/>
          <w:szCs w:val="15"/>
        </w:rPr>
        <w:t xml:space="preserve">Source: D4 p.2.</w:t>
      </w:r>
    </w:p>
    <w:p>
      <w:pPr>
        <w:spacing w:after="110" w:before="0" w:line="264"/>
        <w:jc w:val="left"/>
      </w:pPr>
      <w:r>
        <w:rPr>
          <w:rFonts w:ascii="Arial" w:cs="Arial" w:eastAsia="Arial" w:hAnsi="Arial"/>
          <w:color w:val="000000"/>
          <w:sz w:val="20"/>
          <w:szCs w:val="20"/>
        </w:rPr>
        <w:t xml:space="preserve">D4 describes a vicious circle that can only be broken by a concrete programme in which development, off-take, certification and upgrading are linked by gates that combine TRL and MRL [D4]. In our reading, the circle works like this. Integrators will not order from SMEs that are not qualified. SMEs cannot invest in qualification without orders. Banks will not lend without either.</w:t>
      </w:r>
    </w:p>
    <w:p>
      <w:pPr>
        <w:pStyle w:val="Heading2"/>
        <w:keepNext/>
        <w:keepLines/>
        <w:spacing w:after="120" w:before="280"/>
      </w:pPr>
      <w:r>
        <w:rPr>
          <w:rFonts w:ascii="Arial" w:cs="Arial" w:eastAsia="Arial" w:hAnsi="Arial"/>
          <w:b/>
          <w:bCs/>
          <w:color w:val="00338D"/>
          <w:sz w:val="28"/>
          <w:szCs w:val="28"/>
        </w:rPr>
        <w:t xml:space="preserve">6.2 A common language: TRL and MRL</w:t>
      </w:r>
    </w:p>
    <w:p>
      <w:pPr>
        <w:spacing w:after="110" w:before="0" w:line="264"/>
        <w:jc w:val="left"/>
      </w:pPr>
      <w:r>
        <w:rPr>
          <w:rFonts w:ascii="Arial" w:cs="Arial" w:eastAsia="Arial" w:hAnsi="Arial"/>
          <w:color w:val="000000"/>
          <w:sz w:val="20"/>
          <w:szCs w:val="20"/>
        </w:rPr>
        <w:t xml:space="preserve">TRL answers “does it work?”. MRL answers “can it be made every time?”. For SMEs, the recurring problem is scale-up (MRL) of technology they already master; large industry is needed to help with proven methods. Large industry is also needed to mature technology (TRL) [D4].</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67"/>
        <w:gridCol w:w="3952"/>
        <w:gridCol w:w="867"/>
        <w:gridCol w:w="3952"/>
      </w:tblGrid>
      <w:tr>
        <w:trPr>
          <w:cantSplit/>
          <w:tblHeader/>
        </w:trPr>
        <w:tc>
          <w:tcPr>
            <w:tcW w:type="dxa" w:w="867"/>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TRL</w:t>
            </w:r>
          </w:p>
        </w:tc>
        <w:tc>
          <w:tcPr>
            <w:tcW w:type="dxa" w:w="3952"/>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Technology readiness</w:t>
            </w:r>
          </w:p>
        </w:tc>
        <w:tc>
          <w:tcPr>
            <w:tcW w:type="dxa" w:w="867"/>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MRL</w:t>
            </w:r>
          </w:p>
        </w:tc>
        <w:tc>
          <w:tcPr>
            <w:tcW w:type="dxa" w:w="3952"/>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Manufacturing readiness</w:t>
            </w:r>
          </w:p>
        </w:tc>
      </w:tr>
      <w:tr>
        <w:trPr>
          <w:cantSplit/>
        </w:trPr>
        <w:tc>
          <w:tcPr>
            <w:tcW w:type="dxa" w:w="867"/>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7"/>
                <w:szCs w:val="17"/>
              </w:rPr>
              <w:t xml:space="preserve">1–2</w:t>
            </w:r>
          </w:p>
        </w:tc>
        <w:tc>
          <w:tcPr>
            <w:tcW w:type="dxa" w:w="395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7"/>
                <w:szCs w:val="17"/>
              </w:rPr>
              <w:t xml:space="preserve">Principles observed; nothing built</w:t>
            </w:r>
          </w:p>
        </w:tc>
        <w:tc>
          <w:tcPr>
            <w:tcW w:type="dxa" w:w="867"/>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7"/>
                <w:szCs w:val="17"/>
              </w:rPr>
              <w:t xml:space="preserve">1–3</w:t>
            </w:r>
          </w:p>
        </w:tc>
        <w:tc>
          <w:tcPr>
            <w:tcW w:type="dxa" w:w="395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7"/>
                <w:szCs w:val="17"/>
              </w:rPr>
              <w:t xml:space="preserve">Feasibility discussed; no process</w:t>
            </w:r>
          </w:p>
        </w:tc>
      </w:tr>
      <w:tr>
        <w:trPr>
          <w:cantSplit/>
        </w:trPr>
        <w:tc>
          <w:tcPr>
            <w:tcW w:type="dxa" w:w="867"/>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7"/>
                <w:szCs w:val="17"/>
              </w:rPr>
              <w:t xml:space="preserve">3</w:t>
            </w:r>
          </w:p>
        </w:tc>
        <w:tc>
          <w:tcPr>
            <w:tcW w:type="dxa" w:w="395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7"/>
                <w:szCs w:val="17"/>
              </w:rPr>
              <w:t xml:space="preserve">Proof of concept: laboratory experiment succeeds</w:t>
            </w:r>
          </w:p>
        </w:tc>
        <w:tc>
          <w:tcPr>
            <w:tcW w:type="dxa" w:w="867"/>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7"/>
                <w:szCs w:val="17"/>
              </w:rPr>
              <w:t xml:space="preserve">4</w:t>
            </w:r>
          </w:p>
        </w:tc>
        <w:tc>
          <w:tcPr>
            <w:tcW w:type="dxa" w:w="395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7"/>
                <w:szCs w:val="17"/>
              </w:rPr>
              <w:t xml:space="preserve">Laboratory scale; hand-made or basic tools</w:t>
            </w:r>
          </w:p>
        </w:tc>
      </w:tr>
      <w:tr>
        <w:trPr>
          <w:cantSplit/>
        </w:trPr>
        <w:tc>
          <w:tcPr>
            <w:tcW w:type="dxa" w:w="867"/>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7"/>
                <w:szCs w:val="17"/>
              </w:rPr>
              <w:t xml:space="preserve">4–5</w:t>
            </w:r>
          </w:p>
        </w:tc>
        <w:tc>
          <w:tcPr>
            <w:tcW w:type="dxa" w:w="395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7"/>
                <w:szCs w:val="17"/>
              </w:rPr>
              <w:t xml:space="preserve">Validated in a controlled lab, then a simulated environment</w:t>
            </w:r>
          </w:p>
        </w:tc>
        <w:tc>
          <w:tcPr>
            <w:tcW w:type="dxa" w:w="867"/>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7"/>
                <w:szCs w:val="17"/>
              </w:rPr>
              <w:t xml:space="preserve">5–6</w:t>
            </w:r>
          </w:p>
        </w:tc>
        <w:tc>
          <w:tcPr>
            <w:tcW w:type="dxa" w:w="395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7"/>
                <w:szCs w:val="17"/>
              </w:rPr>
              <w:t xml:space="preserve">Pilot process using production-representative methods</w:t>
            </w:r>
          </w:p>
        </w:tc>
      </w:tr>
      <w:tr>
        <w:trPr>
          <w:cantSplit/>
        </w:trPr>
        <w:tc>
          <w:tcPr>
            <w:tcW w:type="dxa" w:w="867"/>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7"/>
                <w:szCs w:val="17"/>
              </w:rPr>
              <w:t xml:space="preserve">6–7</w:t>
            </w:r>
          </w:p>
        </w:tc>
        <w:tc>
          <w:tcPr>
            <w:tcW w:type="dxa" w:w="395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7"/>
                <w:szCs w:val="17"/>
              </w:rPr>
              <w:t xml:space="preserve">Prototype demonstrated in a relevant environment; actual testing</w:t>
            </w:r>
          </w:p>
        </w:tc>
        <w:tc>
          <w:tcPr>
            <w:tcW w:type="dxa" w:w="867"/>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7"/>
                <w:szCs w:val="17"/>
              </w:rPr>
              <w:t xml:space="preserve">7</w:t>
            </w:r>
          </w:p>
        </w:tc>
        <w:tc>
          <w:tcPr>
            <w:tcW w:type="dxa" w:w="395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7"/>
                <w:szCs w:val="17"/>
              </w:rPr>
              <w:t xml:space="preserve">Low rate; repeatable quality at low volume</w:t>
            </w:r>
          </w:p>
        </w:tc>
      </w:tr>
      <w:tr>
        <w:trPr>
          <w:cantSplit/>
        </w:trPr>
        <w:tc>
          <w:tcPr>
            <w:tcW w:type="dxa" w:w="867"/>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7"/>
                <w:szCs w:val="17"/>
              </w:rPr>
              <w:t xml:space="preserve">8–9</w:t>
            </w:r>
          </w:p>
        </w:tc>
        <w:tc>
          <w:tcPr>
            <w:tcW w:type="dxa" w:w="395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7"/>
                <w:szCs w:val="17"/>
              </w:rPr>
              <w:t xml:space="preserve">Proven, qualified and in routine use</w:t>
            </w:r>
          </w:p>
        </w:tc>
        <w:tc>
          <w:tcPr>
            <w:tcW w:type="dxa" w:w="867"/>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7"/>
                <w:szCs w:val="17"/>
              </w:rPr>
              <w:t xml:space="preserve">8</w:t>
            </w:r>
          </w:p>
        </w:tc>
        <w:tc>
          <w:tcPr>
            <w:tcW w:type="dxa" w:w="395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7"/>
                <w:szCs w:val="17"/>
              </w:rPr>
              <w:t xml:space="preserve">Pre-production: tooling, supply chain and quality control proven</w:t>
            </w:r>
          </w:p>
        </w:tc>
      </w:tr>
      <w:tr>
        <w:trPr>
          <w:cantSplit/>
        </w:trPr>
        <w:tc>
          <w:tcPr>
            <w:tcW w:type="dxa" w:w="867"/>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pPr>
          </w:p>
        </w:tc>
        <w:tc>
          <w:tcPr>
            <w:tcW w:type="dxa" w:w="395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pPr>
          </w:p>
        </w:tc>
        <w:tc>
          <w:tcPr>
            <w:tcW w:type="dxa" w:w="867"/>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7"/>
                <w:szCs w:val="17"/>
              </w:rPr>
              <w:t xml:space="preserve">9–10</w:t>
            </w:r>
          </w:p>
        </w:tc>
        <w:tc>
          <w:tcPr>
            <w:tcW w:type="dxa" w:w="395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7"/>
                <w:szCs w:val="17"/>
              </w:rPr>
              <w:t xml:space="preserve">Full sustained production at competitive cost</w:t>
            </w:r>
          </w:p>
        </w:tc>
      </w:tr>
    </w:tbl>
    <w:p>
      <w:pPr>
        <w:keepNext w:val="false"/>
        <w:spacing w:after="140"/>
      </w:pPr>
    </w:p>
    <w:p>
      <w:pPr>
        <w:pStyle w:val="Heading2"/>
        <w:keepNext/>
        <w:keepLines/>
        <w:spacing w:after="120" w:before="280"/>
      </w:pPr>
      <w:r>
        <w:rPr>
          <w:rFonts w:ascii="Arial" w:cs="Arial" w:eastAsia="Arial" w:hAnsi="Arial"/>
          <w:b/>
          <w:bCs/>
          <w:color w:val="00338D"/>
          <w:sz w:val="28"/>
          <w:szCs w:val="28"/>
        </w:rPr>
        <w:t xml:space="preserve">6.3 Diagnosis: four supplier profiles</w:t>
      </w:r>
    </w:p>
    <w:p>
      <w:pPr>
        <w:spacing w:after="110" w:before="0" w:line="264"/>
        <w:jc w:val="left"/>
      </w:pPr>
      <w:r>
        <w:rPr>
          <w:rFonts w:ascii="Arial" w:cs="Arial" w:eastAsia="Arial" w:hAnsi="Arial"/>
          <w:color w:val="000000"/>
          <w:sz w:val="20"/>
          <w:szCs w:val="20"/>
        </w:rPr>
        <w:t xml:space="preserve">Each SME is mapped on both scales to determine the next form of help. The four profiles are archetypes, not a complete partition of every TRL/MRL combination [D4].</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739"/>
        <w:gridCol w:w="160"/>
        <w:gridCol w:w="4739"/>
      </w:tblGrid>
      <w:tr>
        <w:trPr>
          <w:cantSplit/>
        </w:trPr>
        <w:tc>
          <w:tcPr>
            <w:tcW w:type="dxa" w:w="4739"/>
            <w:tcBorders>
              <w:top w:val="none" w:color="FFFFFF" w:sz="0"/>
              <w:left w:val="none" w:color="FFFFFF" w:sz="0"/>
              <w:bottom w:val="none" w:color="FFFFFF" w:sz="0"/>
              <w:right w:val="none" w:color="FFFFFF" w:sz="0"/>
            </w:tcBorders>
            <w:shd w:fill="EAF2FB" w:color="auto" w:val="clear"/>
            <w:tcMar>
              <w:top w:type="dxa" w:w="140"/>
              <w:left w:type="dxa" w:w="160"/>
              <w:bottom w:type="dxa" w:w="120"/>
              <w:right w:type="dxa" w:w="160"/>
            </w:tcMar>
          </w:tcPr>
          <w:p>
            <w:pPr>
              <w:spacing w:after="30"/>
            </w:pPr>
            <w:r>
              <w:rPr>
                <w:rFonts w:ascii="Arial" w:cs="Arial" w:eastAsia="Arial" w:hAnsi="Arial"/>
                <w:b/>
                <w:bCs/>
                <w:color w:val="0091DA"/>
                <w:sz w:val="15"/>
                <w:szCs w:val="15"/>
              </w:rPr>
              <w:t xml:space="preserve">TRL 1–4 · MRL 1–3</w:t>
            </w:r>
          </w:p>
          <w:p>
            <w:pPr>
              <w:spacing w:after="70" w:line="250"/>
            </w:pPr>
            <w:r>
              <w:rPr>
                <w:rFonts w:ascii="Arial" w:cs="Arial" w:eastAsia="Arial" w:hAnsi="Arial"/>
                <w:b/>
                <w:bCs/>
                <w:color w:val="00338D"/>
                <w:sz w:val="19"/>
                <w:szCs w:val="19"/>
              </w:rPr>
              <w:t xml:space="preserve">Explorer</w:t>
            </w:r>
          </w:p>
          <w:p>
            <w:pPr>
              <w:spacing w:after="50" w:line="252"/>
            </w:pPr>
            <w:r>
              <w:rPr>
                <w:rFonts w:ascii="Arial" w:cs="Arial" w:eastAsia="Arial" w:hAnsi="Arial"/>
                <w:sz w:val="17"/>
                <w:szCs w:val="17"/>
              </w:rPr>
              <w:t xml:space="preserve">The idea still has to be proven. Right support: research grants, BRIN and university laboratories.</w:t>
            </w:r>
          </w:p>
        </w:tc>
        <w:tc>
          <w:tcPr>
            <w:tcW w:type="dxa" w:w="160"/>
            <w:tcBorders>
              <w:top w:val="none" w:color="FFFFFF" w:sz="0"/>
              <w:left w:val="none" w:color="FFFFFF" w:sz="0"/>
              <w:bottom w:val="none" w:color="FFFFFF" w:sz="0"/>
              <w:right w:val="none" w:color="FFFFFF" w:sz="0"/>
            </w:tcBorders>
          </w:tcPr>
          <w:p/>
        </w:tc>
        <w:tc>
          <w:tcPr>
            <w:tcW w:type="dxa" w:w="4739"/>
            <w:tcBorders>
              <w:top w:val="none" w:color="FFFFFF" w:sz="0"/>
              <w:left w:val="none" w:color="FFFFFF" w:sz="0"/>
              <w:bottom w:val="none" w:color="FFFFFF" w:sz="0"/>
              <w:right w:val="none" w:color="FFFFFF" w:sz="0"/>
            </w:tcBorders>
            <w:shd w:fill="EAF2FB" w:color="auto" w:val="clear"/>
            <w:tcMar>
              <w:top w:type="dxa" w:w="140"/>
              <w:left w:type="dxa" w:w="160"/>
              <w:bottom w:type="dxa" w:w="120"/>
              <w:right w:type="dxa" w:w="160"/>
            </w:tcMar>
          </w:tcPr>
          <w:p>
            <w:pPr>
              <w:spacing w:after="30"/>
            </w:pPr>
            <w:r>
              <w:rPr>
                <w:rFonts w:ascii="Arial" w:cs="Arial" w:eastAsia="Arial" w:hAnsi="Arial"/>
                <w:b/>
                <w:bCs/>
                <w:color w:val="0091DA"/>
                <w:sz w:val="15"/>
                <w:szCs w:val="15"/>
              </w:rPr>
              <w:t xml:space="preserve">TRL 6–8 · MRL 3–5</w:t>
            </w:r>
          </w:p>
          <w:p>
            <w:pPr>
              <w:spacing w:after="70" w:line="250"/>
            </w:pPr>
            <w:r>
              <w:rPr>
                <w:rFonts w:ascii="Arial" w:cs="Arial" w:eastAsia="Arial" w:hAnsi="Arial"/>
                <w:b/>
                <w:bCs/>
                <w:color w:val="00338D"/>
                <w:sz w:val="19"/>
                <w:szCs w:val="19"/>
              </w:rPr>
              <w:t xml:space="preserve">Prototype-rich, production-weak</w:t>
            </w:r>
          </w:p>
          <w:p>
            <w:pPr>
              <w:spacing w:after="50" w:line="252"/>
            </w:pPr>
            <w:r>
              <w:rPr>
                <w:rFonts w:ascii="Arial" w:cs="Arial" w:eastAsia="Arial" w:hAnsi="Arial"/>
                <w:b/>
                <w:bCs/>
                <w:sz w:val="17"/>
                <w:szCs w:val="17"/>
              </w:rPr>
              <w:t xml:space="preserve">Most SMEs are stuck here.</w:t>
            </w:r>
            <w:r>
              <w:rPr>
                <w:rFonts w:ascii="Arial" w:cs="Arial" w:eastAsia="Arial" w:hAnsi="Arial"/>
                <w:sz w:val="17"/>
                <w:szCs w:val="17"/>
              </w:rPr>
              <w:t xml:space="preserve"> Right support: anchor orders, shared equipment and companion engineers. This is the core of DOCK-UP.</w:t>
            </w:r>
          </w:p>
        </w:tc>
      </w:tr>
      <w:tr>
        <w:trPr>
          <w:trHeight w:val="160" w:hRule="exact"/>
        </w:trPr>
        <w:tc>
          <w:tcPr>
            <w:tcW w:type="dxa" w:w="4739"/>
            <w:tcBorders>
              <w:top w:val="none" w:color="FFFFFF" w:sz="0"/>
              <w:left w:val="none" w:color="FFFFFF" w:sz="0"/>
              <w:bottom w:val="none" w:color="FFFFFF" w:sz="0"/>
              <w:right w:val="none" w:color="FFFFFF" w:sz="0"/>
            </w:tcBorders>
          </w:tcPr>
          <w:p/>
        </w:tc>
        <w:tc>
          <w:tcPr>
            <w:tcW w:type="dxa" w:w="160"/>
            <w:tcBorders>
              <w:top w:val="none" w:color="FFFFFF" w:sz="0"/>
              <w:left w:val="none" w:color="FFFFFF" w:sz="0"/>
              <w:bottom w:val="none" w:color="FFFFFF" w:sz="0"/>
              <w:right w:val="none" w:color="FFFFFF" w:sz="0"/>
            </w:tcBorders>
          </w:tcPr>
          <w:p/>
        </w:tc>
        <w:tc>
          <w:tcPr>
            <w:tcW w:type="dxa" w:w="4739"/>
            <w:tcBorders>
              <w:top w:val="none" w:color="FFFFFF" w:sz="0"/>
              <w:left w:val="none" w:color="FFFFFF" w:sz="0"/>
              <w:bottom w:val="none" w:color="FFFFFF" w:sz="0"/>
              <w:right w:val="none" w:color="FFFFFF" w:sz="0"/>
            </w:tcBorders>
          </w:tcPr>
          <w:p/>
        </w:tc>
      </w:tr>
      <w:tr>
        <w:trPr>
          <w:cantSplit/>
        </w:trPr>
        <w:tc>
          <w:tcPr>
            <w:tcW w:type="dxa" w:w="4739"/>
            <w:tcBorders>
              <w:top w:val="none" w:color="FFFFFF" w:sz="0"/>
              <w:left w:val="none" w:color="FFFFFF" w:sz="0"/>
              <w:bottom w:val="none" w:color="FFFFFF" w:sz="0"/>
              <w:right w:val="none" w:color="FFFFFF" w:sz="0"/>
            </w:tcBorders>
            <w:shd w:fill="EAF2FB" w:color="auto" w:val="clear"/>
            <w:tcMar>
              <w:top w:type="dxa" w:w="140"/>
              <w:left w:type="dxa" w:w="160"/>
              <w:bottom w:type="dxa" w:w="120"/>
              <w:right w:type="dxa" w:w="160"/>
            </w:tcMar>
          </w:tcPr>
          <w:p>
            <w:pPr>
              <w:spacing w:after="30"/>
            </w:pPr>
            <w:r>
              <w:rPr>
                <w:rFonts w:ascii="Arial" w:cs="Arial" w:eastAsia="Arial" w:hAnsi="Arial"/>
                <w:b/>
                <w:bCs/>
                <w:color w:val="0091DA"/>
                <w:sz w:val="15"/>
                <w:szCs w:val="15"/>
              </w:rPr>
              <w:t xml:space="preserve">TRL 4–5 · MRL 6–8</w:t>
            </w:r>
          </w:p>
          <w:p>
            <w:pPr>
              <w:spacing w:after="70" w:line="250"/>
            </w:pPr>
            <w:r>
              <w:rPr>
                <w:rFonts w:ascii="Arial" w:cs="Arial" w:eastAsia="Arial" w:hAnsi="Arial"/>
                <w:b/>
                <w:bCs/>
                <w:color w:val="00338D"/>
                <w:sz w:val="19"/>
                <w:szCs w:val="19"/>
              </w:rPr>
              <w:t xml:space="preserve">Production-ready, shallow technology</w:t>
            </w:r>
          </w:p>
          <w:p>
            <w:pPr>
              <w:spacing w:after="50" w:line="252"/>
            </w:pPr>
            <w:r>
              <w:rPr>
                <w:rFonts w:ascii="Arial" w:cs="Arial" w:eastAsia="Arial" w:hAnsi="Arial"/>
                <w:sz w:val="17"/>
                <w:szCs w:val="17"/>
              </w:rPr>
              <w:t xml:space="preserve">Reliable production; own product not yet validated. Right support: R&amp;D partners and product certification.</w:t>
            </w:r>
          </w:p>
        </w:tc>
        <w:tc>
          <w:tcPr>
            <w:tcW w:type="dxa" w:w="160"/>
            <w:tcBorders>
              <w:top w:val="none" w:color="FFFFFF" w:sz="0"/>
              <w:left w:val="none" w:color="FFFFFF" w:sz="0"/>
              <w:bottom w:val="none" w:color="FFFFFF" w:sz="0"/>
              <w:right w:val="none" w:color="FFFFFF" w:sz="0"/>
            </w:tcBorders>
          </w:tcPr>
          <w:p/>
        </w:tc>
        <w:tc>
          <w:tcPr>
            <w:tcW w:type="dxa" w:w="4739"/>
            <w:tcBorders>
              <w:top w:val="none" w:color="FFFFFF" w:sz="0"/>
              <w:left w:val="none" w:color="FFFFFF" w:sz="0"/>
              <w:bottom w:val="none" w:color="FFFFFF" w:sz="0"/>
              <w:right w:val="none" w:color="FFFFFF" w:sz="0"/>
            </w:tcBorders>
            <w:shd w:fill="EAF2FB" w:color="auto" w:val="clear"/>
            <w:tcMar>
              <w:top w:type="dxa" w:w="140"/>
              <w:left w:type="dxa" w:w="160"/>
              <w:bottom w:type="dxa" w:w="120"/>
              <w:right w:type="dxa" w:w="160"/>
            </w:tcMar>
          </w:tcPr>
          <w:p>
            <w:pPr>
              <w:spacing w:after="30"/>
            </w:pPr>
            <w:r>
              <w:rPr>
                <w:rFonts w:ascii="Arial" w:cs="Arial" w:eastAsia="Arial" w:hAnsi="Arial"/>
                <w:b/>
                <w:bCs/>
                <w:color w:val="0091DA"/>
                <w:sz w:val="15"/>
                <w:szCs w:val="15"/>
              </w:rPr>
              <w:t xml:space="preserve">TRL 8–9 · MRL 8–10</w:t>
            </w:r>
          </w:p>
          <w:p>
            <w:pPr>
              <w:spacing w:after="70" w:line="250"/>
            </w:pPr>
            <w:r>
              <w:rPr>
                <w:rFonts w:ascii="Arial" w:cs="Arial" w:eastAsia="Arial" w:hAnsi="Arial"/>
                <w:b/>
                <w:bCs/>
                <w:color w:val="00338D"/>
                <w:sz w:val="19"/>
                <w:szCs w:val="19"/>
              </w:rPr>
              <w:t xml:space="preserve">Qualified supplier</w:t>
            </w:r>
          </w:p>
          <w:p>
            <w:pPr>
              <w:spacing w:after="50" w:line="252"/>
            </w:pPr>
            <w:r>
              <w:rPr>
                <w:rFonts w:ascii="Arial" w:cs="Arial" w:eastAsia="Arial" w:hAnsi="Arial"/>
                <w:sz w:val="17"/>
                <w:szCs w:val="17"/>
              </w:rPr>
              <w:t xml:space="preserve">Both proven. Right support: long-term framework contracts and exports.</w:t>
            </w:r>
          </w:p>
        </w:tc>
      </w:tr>
    </w:tbl>
    <w:p>
      <w:pPr>
        <w:spacing w:after="160"/>
      </w:pPr>
    </w:p>
    <w:p>
      <w:pPr>
        <w:pStyle w:val="Heading2"/>
        <w:keepNext/>
        <w:keepLines/>
        <w:spacing w:after="120" w:before="280"/>
      </w:pPr>
      <w:r>
        <w:rPr>
          <w:rFonts w:ascii="Arial" w:cs="Arial" w:eastAsia="Arial" w:hAnsi="Arial"/>
          <w:b/>
          <w:bCs/>
          <w:color w:val="00338D"/>
          <w:sz w:val="28"/>
          <w:szCs w:val="28"/>
        </w:rPr>
        <w:t xml:space="preserve">6.4 The four elements of DOCK-UP</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46"/>
        <w:gridCol w:w="5590"/>
        <w:gridCol w:w="2602"/>
      </w:tblGrid>
      <w:tr>
        <w:trPr>
          <w:cantSplit/>
          <w:tblHeader/>
        </w:trPr>
        <w:tc>
          <w:tcPr>
            <w:tcW w:type="dxa" w:w="1446"/>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Element</w:t>
            </w:r>
          </w:p>
        </w:tc>
        <w:tc>
          <w:tcPr>
            <w:tcW w:type="dxa" w:w="5590"/>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What it does</w:t>
            </w:r>
          </w:p>
        </w:tc>
        <w:tc>
          <w:tcPr>
            <w:tcW w:type="dxa" w:w="2602"/>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Exit or milestone</w:t>
            </w:r>
          </w:p>
        </w:tc>
      </w:tr>
      <w:tr>
        <w:trPr>
          <w:cantSplit/>
        </w:trPr>
        <w:tc>
          <w:tcPr>
            <w:tcW w:type="dxa" w:w="144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7"/>
                <w:szCs w:val="17"/>
              </w:rPr>
              <w:t xml:space="preserve">D: Develop</w:t>
            </w:r>
          </w:p>
        </w:tc>
        <w:tc>
          <w:tcPr>
            <w:tcW w:type="dxa" w:w="559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7"/>
                <w:szCs w:val="17"/>
              </w:rPr>
              <w:t xml:space="preserve">Baseline TRL/MRL; support targeted at the weakest MRL aspect. At platform level: identify industrial opportunities, design projects with domestic content, prepare pre-FEED and FEED [D3 p.2].</w:t>
            </w:r>
          </w:p>
        </w:tc>
        <w:tc>
          <w:tcPr>
            <w:tcW w:type="dxa" w:w="260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7"/>
                <w:szCs w:val="17"/>
              </w:rPr>
              <w:t xml:space="preserve">Exit at G1 when MRL 6 is reached</w:t>
            </w:r>
          </w:p>
        </w:tc>
      </w:tr>
      <w:tr>
        <w:trPr>
          <w:cantSplit/>
        </w:trPr>
        <w:tc>
          <w:tcPr>
            <w:tcW w:type="dxa" w:w="1446"/>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7"/>
                <w:szCs w:val="17"/>
              </w:rPr>
              <w:t xml:space="preserve">O: Off-taker</w:t>
            </w:r>
          </w:p>
        </w:tc>
        <w:tc>
          <w:tcPr>
            <w:tcW w:type="dxa" w:w="559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7"/>
                <w:szCs w:val="17"/>
              </w:rPr>
              <w:t xml:space="preserve">3–5 year framework contracts; volume released in stages at G1, G2 and G3. At platform level: aggregate demand from government, SOEs and anchor projects to give volume certainty to local suppliers.</w:t>
            </w:r>
          </w:p>
        </w:tc>
        <w:tc>
          <w:tcPr>
            <w:tcW w:type="dxa" w:w="260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7"/>
                <w:szCs w:val="17"/>
              </w:rPr>
              <w:t xml:space="preserve">Tranche 1 pilot order (G1) → low-rate supply (G2) → serial supply and spares (G3)</w:t>
            </w:r>
          </w:p>
        </w:tc>
      </w:tr>
      <w:tr>
        <w:trPr>
          <w:cantSplit/>
        </w:trPr>
        <w:tc>
          <w:tcPr>
            <w:tcW w:type="dxa" w:w="144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7"/>
                <w:szCs w:val="17"/>
              </w:rPr>
              <w:t xml:space="preserve">C: Certification</w:t>
            </w:r>
          </w:p>
        </w:tc>
        <w:tc>
          <w:tcPr>
            <w:tcW w:type="dxa" w:w="559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7"/>
                <w:szCs w:val="17"/>
              </w:rPr>
              <w:t xml:space="preserve">C1 quality = MRL 7 (ISO 9001); C2 class = MRL 8 (user approval, ISO 3834/9606 welding, traceability); C3 defence-industry quality plus security. At platform level: technical standards, TKDN based on capability, testing and validation of domestic products.</w:t>
            </w:r>
          </w:p>
        </w:tc>
        <w:tc>
          <w:tcPr>
            <w:tcW w:type="dxa" w:w="260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7"/>
                <w:szCs w:val="17"/>
              </w:rPr>
              <w:t xml:space="preserve">C1 at G2; C2 at G3; C3 for defence-grade, sensitive items</w:t>
            </w:r>
          </w:p>
        </w:tc>
      </w:tr>
      <w:tr>
        <w:trPr>
          <w:cantSplit/>
        </w:trPr>
        <w:tc>
          <w:tcPr>
            <w:tcW w:type="dxa" w:w="1446"/>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pPr>
            <w:r>
              <w:rPr>
                <w:rFonts w:ascii="Arial" w:cs="Arial" w:eastAsia="Arial" w:hAnsi="Arial"/>
                <w:b/>
                <w:bCs/>
                <w:color w:val="000000"/>
                <w:sz w:val="17"/>
                <w:szCs w:val="17"/>
              </w:rPr>
              <w:t xml:space="preserve">UP: Upgrading</w:t>
            </w:r>
          </w:p>
        </w:tc>
        <w:tc>
          <w:tcPr>
            <w:tcW w:type="dxa" w:w="559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pPr>
            <w:r>
              <w:rPr>
                <w:rFonts w:ascii="Arial" w:cs="Arial" w:eastAsia="Arial" w:hAnsi="Arial"/>
                <w:color w:val="000000"/>
                <w:sz w:val="17"/>
                <w:szCs w:val="17"/>
              </w:rPr>
              <w:t xml:space="preserve">Progression from build-to-print → build-to-spec → design-and-build. At G4 the SME's own TRL counts. At platform level: technology transfer, innovation and efficiency, exports and IP.</w:t>
            </w:r>
          </w:p>
        </w:tc>
        <w:tc>
          <w:tcPr>
            <w:tcW w:type="dxa" w:w="260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pPr>
            <w:r>
              <w:rPr>
                <w:rFonts w:ascii="Arial" w:cs="Arial" w:eastAsia="Arial" w:hAnsi="Arial"/>
                <w:color w:val="000000"/>
                <w:sz w:val="17"/>
                <w:szCs w:val="17"/>
              </w:rPr>
              <w:t xml:space="preserve">G4: own product TRL 7+, MRL 9, adopted on a ship class</w:t>
            </w:r>
          </w:p>
        </w:tc>
      </w:tr>
    </w:tbl>
    <w:p>
      <w:pPr>
        <w:keepNext w:val="false"/>
        <w:spacing w:after="14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one" w:color="FFFFFF" w:sz="0"/>
              <w:left w:val="none" w:color="FFFFFF" w:sz="0"/>
              <w:bottom w:val="none" w:color="FFFFFF" w:sz="0"/>
              <w:right w:val="none" w:color="FFFFFF" w:sz="0"/>
            </w:tcBorders>
            <w:shd w:fill="00338D" w:color="auto" w:val="clear"/>
            <w:tcMar>
              <w:top w:type="dxa" w:w="160"/>
              <w:left w:type="dxa" w:w="220"/>
              <w:bottom w:type="dxa" w:w="120"/>
              <w:right w:type="dxa" w:w="220"/>
            </w:tcMar>
          </w:tcPr>
          <w:p>
            <w:pPr>
              <w:keepNext/>
              <w:spacing w:after="80"/>
            </w:pPr>
            <w:r>
              <w:rPr>
                <w:rFonts w:ascii="Arial" w:cs="Arial" w:eastAsia="Arial" w:hAnsi="Arial"/>
                <w:b/>
                <w:bCs/>
                <w:color w:val="FFFFFF"/>
                <w:sz w:val="20"/>
                <w:szCs w:val="20"/>
              </w:rPr>
              <w:t xml:space="preserve">The governing rule</w:t>
            </w:r>
          </w:p>
          <w:p>
            <w:pPr>
              <w:spacing w:after="80" w:line="264"/>
            </w:pPr>
            <w:r>
              <w:rPr>
                <w:rFonts w:ascii="Arial" w:cs="Arial" w:eastAsia="Arial" w:hAnsi="Arial"/>
                <w:b/>
                <w:bCs/>
                <w:color w:val="FFFFFF"/>
                <w:sz w:val="19"/>
                <w:szCs w:val="19"/>
              </w:rPr>
              <w:t xml:space="preserve">Readiness, not promises or commitments, unlocks the next step.</w:t>
            </w:r>
            <w:r>
              <w:rPr>
                <w:rFonts w:ascii="Arial" w:cs="Arial" w:eastAsia="Arial" w:hAnsi="Arial"/>
                <w:color w:val="FFFFFF"/>
                <w:sz w:val="19"/>
                <w:szCs w:val="19"/>
              </w:rPr>
              <w:t xml:space="preserve"> An integrator may not order more than the SME has been proven able to deliver. Scores are never self-declared: independent assessors verify, the integrator reviews the evidence, and scores are reassessed every year [D4].</w:t>
            </w:r>
          </w:p>
        </w:tc>
      </w:tr>
    </w:tbl>
    <w:p>
      <w:pPr>
        <w:spacing w:after="160"/>
      </w:pPr>
    </w:p>
    <w:p>
      <w:pPr>
        <w:pStyle w:val="Heading2"/>
        <w:keepNext/>
        <w:keepLines/>
        <w:spacing w:after="120" w:before="280"/>
      </w:pPr>
      <w:r>
        <w:rPr>
          <w:rFonts w:ascii="Arial" w:cs="Arial" w:eastAsia="Arial" w:hAnsi="Arial"/>
          <w:b/>
          <w:bCs/>
          <w:color w:val="00338D"/>
          <w:sz w:val="28"/>
          <w:szCs w:val="28"/>
        </w:rPr>
        <w:t xml:space="preserve">6.5 Integrated gate model</w:t>
      </w:r>
    </w:p>
    <w:p>
      <w:pPr>
        <w:spacing w:after="110" w:before="0" w:line="264"/>
        <w:jc w:val="left"/>
      </w:pPr>
      <w:r>
        <w:rPr>
          <w:rFonts w:ascii="Arial" w:cs="Arial" w:eastAsia="Arial" w:hAnsi="Arial"/>
          <w:color w:val="000000"/>
          <w:sz w:val="20"/>
          <w:szCs w:val="20"/>
        </w:rPr>
        <w:t xml:space="preserve">Each gate sends the same message to the SME, the buyer and the bank. That shared signal is what allows non-government finance to enter.</w:t>
      </w:r>
    </w:p>
    <w:p>
      <w:pPr>
        <w:keepNext/>
        <w:spacing w:after="80" w:before="120"/>
      </w:pPr>
      <w:r>
        <w:rPr>
          <w:rFonts w:ascii="Arial" w:cs="Arial" w:eastAsia="Arial" w:hAnsi="Arial"/>
          <w:b/>
          <w:bCs/>
          <w:color w:val="00338D"/>
          <w:sz w:val="18"/>
          <w:szCs w:val="18"/>
        </w:rPr>
        <w:t xml:space="preserve">Table 8: </w:t>
      </w:r>
      <w:r>
        <w:rPr>
          <w:rFonts w:ascii="Arial" w:cs="Arial" w:eastAsia="Arial" w:hAnsi="Arial"/>
          <w:b/>
          <w:bCs/>
          <w:color w:val="00338D"/>
          <w:sz w:val="18"/>
          <w:szCs w:val="18"/>
        </w:rPr>
        <w:t xml:space="preserve">DOCK-UP gates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71"/>
        <w:gridCol w:w="1638"/>
        <w:gridCol w:w="2602"/>
        <w:gridCol w:w="2313"/>
        <w:gridCol w:w="2314"/>
      </w:tblGrid>
      <w:tr>
        <w:trPr>
          <w:cantSplit/>
          <w:tblHeader/>
        </w:trPr>
        <w:tc>
          <w:tcPr>
            <w:tcW w:type="dxa" w:w="771"/>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Gate</w:t>
            </w:r>
          </w:p>
        </w:tc>
        <w:tc>
          <w:tcPr>
            <w:tcW w:type="dxa" w:w="1638"/>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Readiness</w:t>
            </w:r>
          </w:p>
        </w:tc>
        <w:tc>
          <w:tcPr>
            <w:tcW w:type="dxa" w:w="2602"/>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Evidence</w:t>
            </w:r>
          </w:p>
        </w:tc>
        <w:tc>
          <w:tcPr>
            <w:tcW w:type="dxa" w:w="2313"/>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Unlocks</w:t>
            </w:r>
          </w:p>
        </w:tc>
        <w:tc>
          <w:tcPr>
            <w:tcW w:type="dxa" w:w="2314"/>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Main support</w:t>
            </w:r>
          </w:p>
        </w:tc>
      </w:tr>
      <w:tr>
        <w:trPr>
          <w:cantSplit/>
        </w:trPr>
        <w:tc>
          <w:tcPr>
            <w:tcW w:type="dxa" w:w="771"/>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7"/>
                <w:szCs w:val="17"/>
              </w:rPr>
              <w:t xml:space="preserve">Entry</w:t>
            </w:r>
          </w:p>
        </w:tc>
        <w:tc>
          <w:tcPr>
            <w:tcW w:type="dxa" w:w="163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7"/>
                <w:szCs w:val="17"/>
              </w:rPr>
              <w:t xml:space="preserve">Baseline TRL/MRL</w:t>
            </w:r>
          </w:p>
        </w:tc>
        <w:tc>
          <w:tcPr>
            <w:tcW w:type="dxa" w:w="260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7"/>
                <w:szCs w:val="17"/>
              </w:rPr>
              <w:t xml:space="preserve">Self-assessment verified by an independent assessor</w:t>
            </w:r>
          </w:p>
        </w:tc>
        <w:tc>
          <w:tcPr>
            <w:tcW w:type="dxa" w:w="2313"/>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7"/>
                <w:szCs w:val="17"/>
              </w:rPr>
              <w:t xml:space="preserve">Development plan and mentoring</w:t>
            </w:r>
          </w:p>
        </w:tc>
        <w:tc>
          <w:tcPr>
            <w:tcW w:type="dxa" w:w="2314"/>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7"/>
                <w:szCs w:val="17"/>
              </w:rPr>
              <w:t xml:space="preserve">Companion engineers, training</w:t>
            </w:r>
          </w:p>
        </w:tc>
      </w:tr>
      <w:tr>
        <w:trPr>
          <w:cantSplit/>
        </w:trPr>
        <w:tc>
          <w:tcPr>
            <w:tcW w:type="dxa" w:w="771"/>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7"/>
                <w:szCs w:val="17"/>
              </w:rPr>
              <w:t xml:space="preserve">G1</w:t>
            </w:r>
          </w:p>
        </w:tc>
        <w:tc>
          <w:tcPr>
            <w:tcW w:type="dxa" w:w="1638"/>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7"/>
                <w:szCs w:val="17"/>
              </w:rPr>
              <w:t xml:space="preserve">MRL 6</w:t>
            </w:r>
          </w:p>
        </w:tc>
        <w:tc>
          <w:tcPr>
            <w:tcW w:type="dxa" w:w="260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7"/>
                <w:szCs w:val="17"/>
              </w:rPr>
              <w:t xml:space="preserve">First-article inspection passed</w:t>
            </w:r>
          </w:p>
        </w:tc>
        <w:tc>
          <w:tcPr>
            <w:tcW w:type="dxa" w:w="2313"/>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7"/>
                <w:szCs w:val="17"/>
              </w:rPr>
              <w:t xml:space="preserve">Tranche 1: pilot order</w:t>
            </w:r>
          </w:p>
        </w:tc>
        <w:tc>
          <w:tcPr>
            <w:tcW w:type="dxa" w:w="2314"/>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7"/>
                <w:szCs w:val="17"/>
              </w:rPr>
              <w:t xml:space="preserve">Matching grant, shared facilities</w:t>
            </w:r>
          </w:p>
        </w:tc>
      </w:tr>
      <w:tr>
        <w:trPr>
          <w:cantSplit/>
        </w:trPr>
        <w:tc>
          <w:tcPr>
            <w:tcW w:type="dxa" w:w="771"/>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7"/>
                <w:szCs w:val="17"/>
              </w:rPr>
              <w:t xml:space="preserve">G2</w:t>
            </w:r>
          </w:p>
        </w:tc>
        <w:tc>
          <w:tcPr>
            <w:tcW w:type="dxa" w:w="163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7"/>
                <w:szCs w:val="17"/>
              </w:rPr>
              <w:t xml:space="preserve">MRL 7 + C1</w:t>
            </w:r>
          </w:p>
        </w:tc>
        <w:tc>
          <w:tcPr>
            <w:tcW w:type="dxa" w:w="260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7"/>
                <w:szCs w:val="17"/>
              </w:rPr>
              <w:t xml:space="preserve">Small repetitive batch; ISO 9001</w:t>
            </w:r>
          </w:p>
        </w:tc>
        <w:tc>
          <w:tcPr>
            <w:tcW w:type="dxa" w:w="2313"/>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7"/>
                <w:szCs w:val="17"/>
              </w:rPr>
              <w:t xml:space="preserve">Tranche 2: low-rate supply</w:t>
            </w:r>
          </w:p>
        </w:tc>
        <w:tc>
          <w:tcPr>
            <w:tcW w:type="dxa" w:w="2314"/>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7"/>
                <w:szCs w:val="17"/>
              </w:rPr>
              <w:t xml:space="preserve">Supply-chain finance, KUR</w:t>
            </w:r>
          </w:p>
        </w:tc>
      </w:tr>
      <w:tr>
        <w:trPr>
          <w:cantSplit/>
        </w:trPr>
        <w:tc>
          <w:tcPr>
            <w:tcW w:type="dxa" w:w="771"/>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7"/>
                <w:szCs w:val="17"/>
              </w:rPr>
              <w:t xml:space="preserve">G3</w:t>
            </w:r>
          </w:p>
        </w:tc>
        <w:tc>
          <w:tcPr>
            <w:tcW w:type="dxa" w:w="1638"/>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7"/>
                <w:szCs w:val="17"/>
              </w:rPr>
              <w:t xml:space="preserve">MRL 8 + C2</w:t>
            </w:r>
          </w:p>
        </w:tc>
        <w:tc>
          <w:tcPr>
            <w:tcW w:type="dxa" w:w="260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7"/>
                <w:szCs w:val="17"/>
              </w:rPr>
              <w:t xml:space="preserve">User approval; ISO 3834/9606; traceability</w:t>
            </w:r>
          </w:p>
        </w:tc>
        <w:tc>
          <w:tcPr>
            <w:tcW w:type="dxa" w:w="2313"/>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7"/>
                <w:szCs w:val="17"/>
              </w:rPr>
              <w:t xml:space="preserve">Tranche 3: serial supply and spares</w:t>
            </w:r>
          </w:p>
        </w:tc>
        <w:tc>
          <w:tcPr>
            <w:tcW w:type="dxa" w:w="2314"/>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7"/>
                <w:szCs w:val="17"/>
              </w:rPr>
              <w:t xml:space="preserve">Investment credit, first-loss guarantee</w:t>
            </w:r>
          </w:p>
        </w:tc>
      </w:tr>
      <w:tr>
        <w:trPr>
          <w:cantSplit/>
        </w:trPr>
        <w:tc>
          <w:tcPr>
            <w:tcW w:type="dxa" w:w="771"/>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pPr>
            <w:r>
              <w:rPr>
                <w:rFonts w:ascii="Arial" w:cs="Arial" w:eastAsia="Arial" w:hAnsi="Arial"/>
                <w:b/>
                <w:bCs/>
                <w:color w:val="000000"/>
                <w:sz w:val="17"/>
                <w:szCs w:val="17"/>
              </w:rPr>
              <w:t xml:space="preserve">G4</w:t>
            </w:r>
          </w:p>
        </w:tc>
        <w:tc>
          <w:tcPr>
            <w:tcW w:type="dxa" w:w="163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7"/>
                <w:szCs w:val="17"/>
              </w:rPr>
              <w:t xml:space="preserve">Own product TRL 7+; MRL 9</w:t>
            </w:r>
          </w:p>
        </w:tc>
        <w:tc>
          <w:tcPr>
            <w:tcW w:type="dxa" w:w="260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7"/>
                <w:szCs w:val="17"/>
              </w:rPr>
              <w:t xml:space="preserve">Product adopted on one ship class</w:t>
            </w:r>
          </w:p>
        </w:tc>
        <w:tc>
          <w:tcPr>
            <w:tcW w:type="dxa" w:w="2313"/>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7"/>
                <w:szCs w:val="17"/>
              </w:rPr>
              <w:t xml:space="preserve">Build-to-spec, design-and-build, exports</w:t>
            </w:r>
          </w:p>
        </w:tc>
        <w:tc>
          <w:tcPr>
            <w:tcW w:type="dxa" w:w="2314"/>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7"/>
                <w:szCs w:val="17"/>
              </w:rPr>
              <w:t xml:space="preserve">Corporate venture, R&amp;D super-deduction, LPEI</w:t>
            </w:r>
          </w:p>
        </w:tc>
      </w:tr>
    </w:tbl>
    <w:p>
      <w:pPr>
        <w:keepNext w:val="false"/>
        <w:spacing w:after="140"/>
      </w:pPr>
    </w:p>
    <w:p>
      <w:pPr>
        <w:spacing w:after="160"/>
      </w:pPr>
      <w:r>
        <w:rPr>
          <w:rFonts w:ascii="Arial" w:cs="Arial" w:eastAsia="Arial" w:hAnsi="Arial"/>
          <w:i/>
          <w:iCs/>
          <w:color w:val="000000"/>
          <w:sz w:val="15"/>
          <w:szCs w:val="15"/>
        </w:rPr>
        <w:t xml:space="preserve">Source: D4 p.6.</w:t>
      </w:r>
    </w:p>
    <w:p>
      <w:pPr>
        <w:pStyle w:val="Heading2"/>
        <w:keepNext/>
        <w:keepLines/>
        <w:spacing w:after="120" w:before="280"/>
      </w:pPr>
      <w:r>
        <w:rPr>
          <w:rFonts w:ascii="Arial" w:cs="Arial" w:eastAsia="Arial" w:hAnsi="Arial"/>
          <w:b/>
          <w:bCs/>
          <w:color w:val="00338D"/>
          <w:sz w:val="28"/>
          <w:szCs w:val="28"/>
        </w:rPr>
        <w:t xml:space="preserve">6.6 Two routes through DOCK-UP</w:t>
      </w:r>
    </w:p>
    <w:p>
      <w:pPr>
        <w:spacing w:after="110" w:before="0" w:line="264"/>
        <w:jc w:val="left"/>
      </w:pPr>
      <w:r>
        <w:rPr>
          <w:rFonts w:ascii="Arial" w:cs="Arial" w:eastAsia="Arial" w:hAnsi="Arial"/>
          <w:color w:val="000000"/>
          <w:sz w:val="20"/>
          <w:szCs w:val="20"/>
        </w:rPr>
        <w:t xml:space="preserve">The instruments are the same; the order differs. A build-to-print SME follows the </w:t>
      </w:r>
      <w:r>
        <w:rPr>
          <w:rFonts w:ascii="Arial" w:cs="Arial" w:eastAsia="Arial" w:hAnsi="Arial"/>
          <w:b/>
          <w:bCs/>
          <w:color w:val="000000"/>
          <w:sz w:val="20"/>
          <w:szCs w:val="20"/>
        </w:rPr>
        <w:t xml:space="preserve">MRL route</w:t>
      </w:r>
      <w:r>
        <w:rPr>
          <w:rFonts w:ascii="Arial" w:cs="Arial" w:eastAsia="Arial" w:hAnsi="Arial"/>
          <w:color w:val="000000"/>
          <w:sz w:val="20"/>
          <w:szCs w:val="20"/>
        </w:rPr>
        <w:t xml:space="preserve">; an SME with its own product follows the </w:t>
      </w:r>
      <w:r>
        <w:rPr>
          <w:rFonts w:ascii="Arial" w:cs="Arial" w:eastAsia="Arial" w:hAnsi="Arial"/>
          <w:b/>
          <w:bCs/>
          <w:color w:val="000000"/>
          <w:sz w:val="20"/>
          <w:szCs w:val="20"/>
        </w:rPr>
        <w:t xml:space="preserve">TRL route</w:t>
      </w:r>
      <w:r>
        <w:rPr>
          <w:rFonts w:ascii="Arial" w:cs="Arial" w:eastAsia="Arial" w:hAnsi="Arial"/>
          <w:color w:val="000000"/>
          <w:sz w:val="20"/>
          <w:szCs w:val="20"/>
        </w:rPr>
        <w:t xml:space="preserve">. The two illustrative SMEs below are taken from D4 and are not real companies.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49"/>
        <w:gridCol w:w="4144"/>
        <w:gridCol w:w="4145"/>
      </w:tblGrid>
      <w:tr>
        <w:trPr>
          <w:cantSplit/>
          <w:tblHeader/>
        </w:trPr>
        <w:tc>
          <w:tcPr>
            <w:tcW w:type="dxa" w:w="1349"/>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Stage</w:t>
            </w:r>
          </w:p>
        </w:tc>
        <w:tc>
          <w:tcPr>
            <w:tcW w:type="dxa" w:w="4144"/>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MRL route: “Sidoarjo Steel Manufacturing” (bearings and valves, from household goods to frigates)</w:t>
            </w:r>
          </w:p>
        </w:tc>
        <w:tc>
          <w:tcPr>
            <w:tcW w:type="dxa" w:w="4145"/>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TRL route: “Sensor Karya Mandiri” (infrared sensors, from handheld cameras to warships and missiles)</w:t>
            </w:r>
          </w:p>
        </w:tc>
      </w:tr>
      <w:tr>
        <w:trPr>
          <w:cantSplit/>
        </w:trPr>
        <w:tc>
          <w:tcPr>
            <w:tcW w:type="dxa" w:w="1349"/>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7"/>
                <w:szCs w:val="17"/>
              </w:rPr>
              <w:t xml:space="preserve">Baseline</w:t>
            </w:r>
          </w:p>
        </w:tc>
        <w:tc>
          <w:tcPr>
            <w:tcW w:type="dxa" w:w="4144"/>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7"/>
                <w:szCs w:val="17"/>
              </w:rPr>
              <w:t xml:space="preserve">Civil MRL 7, warship MRL 4. Mass production for bicycles and household goods; weak on materials and testing.</w:t>
            </w:r>
          </w:p>
        </w:tc>
        <w:tc>
          <w:tcPr>
            <w:tcW w:type="dxa" w:w="4145"/>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7"/>
                <w:szCs w:val="17"/>
              </w:rPr>
              <w:t xml:space="preserve">Civil foothold: TRL 8–9 handheld thermal cameras generating revenue.</w:t>
            </w:r>
          </w:p>
        </w:tc>
      </w:tr>
      <w:tr>
        <w:trPr>
          <w:cantSplit/>
        </w:trPr>
        <w:tc>
          <w:tcPr>
            <w:tcW w:type="dxa" w:w="1349"/>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7"/>
                <w:szCs w:val="17"/>
              </w:rPr>
              <w:t xml:space="preserve">Build capability</w:t>
            </w:r>
          </w:p>
        </w:tc>
        <w:tc>
          <w:tcPr>
            <w:tcW w:type="dxa" w:w="4144"/>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7"/>
                <w:szCs w:val="17"/>
              </w:rPr>
              <w:t xml:space="preserve">Months 1–6: companion engineer; certified marine-grade material, qualified machining, hydrostatic testing.</w:t>
            </w:r>
          </w:p>
        </w:tc>
        <w:tc>
          <w:tcPr>
            <w:tcW w:type="dxa" w:w="4145"/>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7"/>
                <w:szCs w:val="17"/>
              </w:rPr>
              <w:t xml:space="preserve">Defence requalification, TRL 5 → 7: shock, vibration, salt spray, EMC; IRST sea testing.</w:t>
            </w:r>
          </w:p>
        </w:tc>
      </w:tr>
      <w:tr>
        <w:trPr>
          <w:cantSplit/>
        </w:trPr>
        <w:tc>
          <w:tcPr>
            <w:tcW w:type="dxa" w:w="1349"/>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7"/>
                <w:szCs w:val="17"/>
              </w:rPr>
              <w:t xml:space="preserve">First gate</w:t>
            </w:r>
          </w:p>
        </w:tc>
        <w:tc>
          <w:tcPr>
            <w:tcW w:type="dxa" w:w="4144"/>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7"/>
                <w:szCs w:val="17"/>
              </w:rPr>
              <w:t xml:space="preserve">Month 7, </w:t>
            </w:r>
            <w:r>
              <w:rPr>
                <w:rFonts w:ascii="Arial" w:cs="Arial" w:eastAsia="Arial" w:hAnsi="Arial"/>
                <w:b/>
                <w:bCs/>
                <w:color w:val="000000"/>
                <w:sz w:val="17"/>
                <w:szCs w:val="17"/>
              </w:rPr>
              <w:t xml:space="preserve">G1 (MRL 6)</w:t>
            </w:r>
            <w:r>
              <w:rPr>
                <w:rFonts w:ascii="Arial" w:cs="Arial" w:eastAsia="Arial" w:hAnsi="Arial"/>
                <w:b w:val="false"/>
                <w:bCs w:val="false"/>
                <w:color w:val="000000"/>
                <w:sz w:val="17"/>
                <w:szCs w:val="17"/>
              </w:rPr>
              <w:t xml:space="preserve">: first warship valve passes inspection; pilot order of 20 valves.</w:t>
            </w:r>
          </w:p>
        </w:tc>
        <w:tc>
          <w:tcPr>
            <w:tcW w:type="dxa" w:w="4145"/>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7"/>
                <w:szCs w:val="17"/>
              </w:rPr>
              <w:t xml:space="preserve">Defence-grade production, MRL 5 → 8: calibration, traceability, C3, export control.</w:t>
            </w:r>
          </w:p>
        </w:tc>
      </w:tr>
      <w:tr>
        <w:trPr>
          <w:cantSplit/>
        </w:trPr>
        <w:tc>
          <w:tcPr>
            <w:tcW w:type="dxa" w:w="1349"/>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7"/>
                <w:szCs w:val="17"/>
              </w:rPr>
              <w:t xml:space="preserve">Scale</w:t>
            </w:r>
          </w:p>
        </w:tc>
        <w:tc>
          <w:tcPr>
            <w:tcW w:type="dxa" w:w="4144"/>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7"/>
                <w:szCs w:val="17"/>
              </w:rPr>
              <w:t xml:space="preserve">Months 8–14, </w:t>
            </w:r>
            <w:r>
              <w:rPr>
                <w:rFonts w:ascii="Arial" w:cs="Arial" w:eastAsia="Arial" w:hAnsi="Arial"/>
                <w:b/>
                <w:bCs/>
                <w:color w:val="000000"/>
                <w:sz w:val="17"/>
                <w:szCs w:val="17"/>
              </w:rPr>
              <w:t xml:space="preserve">G2 (MRL 7 + C1)</w:t>
            </w:r>
            <w:r>
              <w:rPr>
                <w:rFonts w:ascii="Arial" w:cs="Arial" w:eastAsia="Arial" w:hAnsi="Arial"/>
                <w:b w:val="false"/>
                <w:bCs w:val="false"/>
                <w:color w:val="000000"/>
                <w:sz w:val="17"/>
                <w:szCs w:val="17"/>
              </w:rPr>
              <w:t xml:space="preserve">: on-time batches; valves and bearings for one ship set.</w:t>
            </w:r>
          </w:p>
        </w:tc>
        <w:tc>
          <w:tcPr>
            <w:tcW w:type="dxa" w:w="4145"/>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7"/>
                <w:szCs w:val="17"/>
              </w:rPr>
              <w:t xml:space="preserve">IRST on a warship, TRL 8, </w:t>
            </w:r>
            <w:r>
              <w:rPr>
                <w:rFonts w:ascii="Arial" w:cs="Arial" w:eastAsia="Arial" w:hAnsi="Arial"/>
                <w:b/>
                <w:bCs/>
                <w:color w:val="000000"/>
                <w:sz w:val="17"/>
                <w:szCs w:val="17"/>
              </w:rPr>
              <w:t xml:space="preserve">G4</w:t>
            </w:r>
            <w:r>
              <w:rPr>
                <w:rFonts w:ascii="Arial" w:cs="Arial" w:eastAsia="Arial" w:hAnsi="Arial"/>
                <w:b w:val="false"/>
                <w:bCs w:val="false"/>
                <w:color w:val="000000"/>
                <w:sz w:val="17"/>
                <w:szCs w:val="17"/>
              </w:rPr>
              <w:t xml:space="preserve">: sea trials on a warship.</w:t>
            </w:r>
          </w:p>
        </w:tc>
      </w:tr>
      <w:tr>
        <w:trPr>
          <w:cantSplit/>
        </w:trPr>
        <w:tc>
          <w:tcPr>
            <w:tcW w:type="dxa" w:w="1349"/>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pPr>
            <w:r>
              <w:rPr>
                <w:rFonts w:ascii="Arial" w:cs="Arial" w:eastAsia="Arial" w:hAnsi="Arial"/>
                <w:b/>
                <w:bCs/>
                <w:color w:val="000000"/>
                <w:sz w:val="17"/>
                <w:szCs w:val="17"/>
              </w:rPr>
              <w:t xml:space="preserve">Mature</w:t>
            </w:r>
          </w:p>
        </w:tc>
        <w:tc>
          <w:tcPr>
            <w:tcW w:type="dxa" w:w="4144"/>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7"/>
                <w:szCs w:val="17"/>
              </w:rPr>
              <w:t xml:space="preserve">Months 15–24, </w:t>
            </w:r>
            <w:r>
              <w:rPr>
                <w:rFonts w:ascii="Arial" w:cs="Arial" w:eastAsia="Arial" w:hAnsi="Arial"/>
                <w:b/>
                <w:bCs/>
                <w:color w:val="000000"/>
                <w:sz w:val="17"/>
                <w:szCs w:val="17"/>
              </w:rPr>
              <w:t xml:space="preserve">G3 (MRL 8 + C2)</w:t>
            </w:r>
            <w:r>
              <w:rPr>
                <w:rFonts w:ascii="Arial" w:cs="Arial" w:eastAsia="Arial" w:hAnsi="Arial"/>
                <w:b w:val="false"/>
                <w:bCs w:val="false"/>
                <w:color w:val="000000"/>
                <w:sz w:val="17"/>
                <w:szCs w:val="17"/>
              </w:rPr>
              <w:t xml:space="preserve">: standardised for one frigate class.</w:t>
            </w:r>
          </w:p>
        </w:tc>
        <w:tc>
          <w:tcPr>
            <w:tcW w:type="dxa" w:w="4145"/>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7"/>
                <w:szCs w:val="17"/>
              </w:rPr>
              <w:t xml:space="preserve">Heat-seeking missile sensor: sub-supplier to the DEFEND ID missile programme.</w:t>
            </w:r>
          </w:p>
        </w:tc>
      </w:tr>
    </w:tbl>
    <w:p>
      <w:pPr>
        <w:keepNext w:val="false"/>
        <w:spacing w:after="140"/>
      </w:pPr>
    </w:p>
    <w:p>
      <w:pPr>
        <w:pStyle w:val="Heading2"/>
        <w:keepNext/>
        <w:keepLines/>
        <w:spacing w:after="120" w:before="280"/>
      </w:pPr>
      <w:r>
        <w:rPr>
          <w:rFonts w:ascii="Arial" w:cs="Arial" w:eastAsia="Arial" w:hAnsi="Arial"/>
          <w:b/>
          <w:bCs/>
          <w:color w:val="00338D"/>
          <w:sz w:val="28"/>
          <w:szCs w:val="28"/>
        </w:rPr>
        <w:t xml:space="preserve">6.7 Economics: why verified readiness brings in private finance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739"/>
        <w:gridCol w:w="160"/>
        <w:gridCol w:w="4739"/>
      </w:tblGrid>
      <w:tr>
        <w:trPr>
          <w:cantSplit/>
        </w:trPr>
        <w:tc>
          <w:tcPr>
            <w:tcW w:type="dxa" w:w="4739"/>
            <w:tcBorders>
              <w:top w:val="none" w:color="FFFFFF" w:sz="0"/>
              <w:left w:val="none" w:color="FFFFFF" w:sz="0"/>
              <w:bottom w:val="none" w:color="FFFFFF" w:sz="0"/>
              <w:right w:val="none" w:color="FFFFFF" w:sz="0"/>
            </w:tcBorders>
            <w:shd w:fill="EAF2FB" w:color="auto" w:val="clear"/>
            <w:tcMar>
              <w:top w:type="dxa" w:w="140"/>
              <w:left w:type="dxa" w:w="160"/>
              <w:bottom w:type="dxa" w:w="120"/>
              <w:right w:type="dxa" w:w="160"/>
            </w:tcMar>
          </w:tcPr>
          <w:p>
            <w:pPr>
              <w:spacing w:after="70" w:line="250"/>
            </w:pPr>
            <w:r>
              <w:rPr>
                <w:rFonts w:ascii="Arial" w:cs="Arial" w:eastAsia="Arial" w:hAnsi="Arial"/>
                <w:b/>
                <w:bCs/>
                <w:color w:val="00338D"/>
                <w:sz w:val="19"/>
                <w:szCs w:val="19"/>
              </w:rPr>
              <w:t xml:space="preserve">Lower cost of capital</w:t>
            </w:r>
          </w:p>
          <w:p>
            <w:pPr>
              <w:spacing w:after="50" w:line="252"/>
            </w:pPr>
            <w:r>
              <w:rPr>
                <w:rFonts w:ascii="Arial" w:cs="Arial" w:eastAsia="Arial" w:hAnsi="Arial"/>
                <w:sz w:val="17"/>
                <w:szCs w:val="17"/>
              </w:rPr>
              <w:t xml:space="preserve">A multi-year off-take plus a verified MRL score gives banks a basis for credit assessment.</w:t>
            </w:r>
          </w:p>
        </w:tc>
        <w:tc>
          <w:tcPr>
            <w:tcW w:type="dxa" w:w="160"/>
            <w:tcBorders>
              <w:top w:val="none" w:color="FFFFFF" w:sz="0"/>
              <w:left w:val="none" w:color="FFFFFF" w:sz="0"/>
              <w:bottom w:val="none" w:color="FFFFFF" w:sz="0"/>
              <w:right w:val="none" w:color="FFFFFF" w:sz="0"/>
            </w:tcBorders>
          </w:tcPr>
          <w:p/>
        </w:tc>
        <w:tc>
          <w:tcPr>
            <w:tcW w:type="dxa" w:w="4739"/>
            <w:tcBorders>
              <w:top w:val="none" w:color="FFFFFF" w:sz="0"/>
              <w:left w:val="none" w:color="FFFFFF" w:sz="0"/>
              <w:bottom w:val="none" w:color="FFFFFF" w:sz="0"/>
              <w:right w:val="none" w:color="FFFFFF" w:sz="0"/>
            </w:tcBorders>
            <w:shd w:fill="EAF2FB" w:color="auto" w:val="clear"/>
            <w:tcMar>
              <w:top w:type="dxa" w:w="140"/>
              <w:left w:type="dxa" w:w="160"/>
              <w:bottom w:type="dxa" w:w="120"/>
              <w:right w:type="dxa" w:w="160"/>
            </w:tcMar>
          </w:tcPr>
          <w:p>
            <w:pPr>
              <w:spacing w:after="70" w:line="250"/>
            </w:pPr>
            <w:r>
              <w:rPr>
                <w:rFonts w:ascii="Arial" w:cs="Arial" w:eastAsia="Arial" w:hAnsi="Arial"/>
                <w:b/>
                <w:bCs/>
                <w:color w:val="00338D"/>
                <w:sz w:val="19"/>
                <w:szCs w:val="19"/>
              </w:rPr>
              <w:t xml:space="preserve">Economic lot sizes</w:t>
            </w:r>
          </w:p>
          <w:p>
            <w:pPr>
              <w:spacing w:after="50" w:line="252"/>
            </w:pPr>
            <w:r>
              <w:rPr>
                <w:rFonts w:ascii="Arial" w:cs="Arial" w:eastAsia="Arial" w:hAnsi="Arial"/>
                <w:sz w:val="17"/>
                <w:szCs w:val="17"/>
              </w:rPr>
              <w:t xml:space="preserve">Standard components across several ship types and DEFEND ID companies allow pooled volume.</w:t>
            </w:r>
          </w:p>
        </w:tc>
      </w:tr>
      <w:tr>
        <w:trPr>
          <w:trHeight w:val="160" w:hRule="exact"/>
        </w:trPr>
        <w:tc>
          <w:tcPr>
            <w:tcW w:type="dxa" w:w="4739"/>
            <w:tcBorders>
              <w:top w:val="none" w:color="FFFFFF" w:sz="0"/>
              <w:left w:val="none" w:color="FFFFFF" w:sz="0"/>
              <w:bottom w:val="none" w:color="FFFFFF" w:sz="0"/>
              <w:right w:val="none" w:color="FFFFFF" w:sz="0"/>
            </w:tcBorders>
          </w:tcPr>
          <w:p/>
        </w:tc>
        <w:tc>
          <w:tcPr>
            <w:tcW w:type="dxa" w:w="160"/>
            <w:tcBorders>
              <w:top w:val="none" w:color="FFFFFF" w:sz="0"/>
              <w:left w:val="none" w:color="FFFFFF" w:sz="0"/>
              <w:bottom w:val="none" w:color="FFFFFF" w:sz="0"/>
              <w:right w:val="none" w:color="FFFFFF" w:sz="0"/>
            </w:tcBorders>
          </w:tcPr>
          <w:p/>
        </w:tc>
        <w:tc>
          <w:tcPr>
            <w:tcW w:type="dxa" w:w="4739"/>
            <w:tcBorders>
              <w:top w:val="none" w:color="FFFFFF" w:sz="0"/>
              <w:left w:val="none" w:color="FFFFFF" w:sz="0"/>
              <w:bottom w:val="none" w:color="FFFFFF" w:sz="0"/>
              <w:right w:val="none" w:color="FFFFFF" w:sz="0"/>
            </w:tcBorders>
          </w:tcPr>
          <w:p/>
        </w:tc>
      </w:tr>
      <w:tr>
        <w:trPr>
          <w:cantSplit/>
        </w:trPr>
        <w:tc>
          <w:tcPr>
            <w:tcW w:type="dxa" w:w="4739"/>
            <w:tcBorders>
              <w:top w:val="none" w:color="FFFFFF" w:sz="0"/>
              <w:left w:val="none" w:color="FFFFFF" w:sz="0"/>
              <w:bottom w:val="none" w:color="FFFFFF" w:sz="0"/>
              <w:right w:val="none" w:color="FFFFFF" w:sz="0"/>
            </w:tcBorders>
            <w:shd w:fill="EAF2FB" w:color="auto" w:val="clear"/>
            <w:tcMar>
              <w:top w:type="dxa" w:w="140"/>
              <w:left w:type="dxa" w:w="160"/>
              <w:bottom w:type="dxa" w:w="120"/>
              <w:right w:type="dxa" w:w="160"/>
            </w:tcMar>
          </w:tcPr>
          <w:p>
            <w:pPr>
              <w:spacing w:after="70" w:line="250"/>
            </w:pPr>
            <w:r>
              <w:rPr>
                <w:rFonts w:ascii="Arial" w:cs="Arial" w:eastAsia="Arial" w:hAnsi="Arial"/>
                <w:b/>
                <w:bCs/>
                <w:color w:val="00338D"/>
                <w:sz w:val="19"/>
                <w:szCs w:val="19"/>
              </w:rPr>
              <w:t xml:space="preserve">FX and multiplier effects</w:t>
            </w:r>
          </w:p>
          <w:p>
            <w:pPr>
              <w:spacing w:after="50" w:line="252"/>
            </w:pPr>
            <w:r>
              <w:rPr>
                <w:rFonts w:ascii="Arial" w:cs="Arial" w:eastAsia="Arial" w:hAnsi="Arial"/>
                <w:sz w:val="17"/>
                <w:szCs w:val="17"/>
              </w:rPr>
              <w:t xml:space="preserve">Local content stays in the country and cannot be withheld by another state.</w:t>
            </w:r>
          </w:p>
        </w:tc>
        <w:tc>
          <w:tcPr>
            <w:tcW w:type="dxa" w:w="160"/>
            <w:tcBorders>
              <w:top w:val="none" w:color="FFFFFF" w:sz="0"/>
              <w:left w:val="none" w:color="FFFFFF" w:sz="0"/>
              <w:bottom w:val="none" w:color="FFFFFF" w:sz="0"/>
              <w:right w:val="none" w:color="FFFFFF" w:sz="0"/>
            </w:tcBorders>
          </w:tcPr>
          <w:p/>
        </w:tc>
        <w:tc>
          <w:tcPr>
            <w:tcW w:type="dxa" w:w="4739"/>
            <w:tcBorders>
              <w:top w:val="none" w:color="FFFFFF" w:sz="0"/>
              <w:left w:val="none" w:color="FFFFFF" w:sz="0"/>
              <w:bottom w:val="none" w:color="FFFFFF" w:sz="0"/>
              <w:right w:val="none" w:color="FFFFFF" w:sz="0"/>
            </w:tcBorders>
            <w:shd w:fill="EAF2FB" w:color="auto" w:val="clear"/>
            <w:tcMar>
              <w:top w:type="dxa" w:w="140"/>
              <w:left w:type="dxa" w:w="160"/>
              <w:bottom w:type="dxa" w:w="120"/>
              <w:right w:type="dxa" w:w="160"/>
            </w:tcMar>
          </w:tcPr>
          <w:p>
            <w:pPr>
              <w:spacing w:after="70" w:line="250"/>
            </w:pPr>
            <w:r>
              <w:rPr>
                <w:rFonts w:ascii="Arial" w:cs="Arial" w:eastAsia="Arial" w:hAnsi="Arial"/>
                <w:b/>
                <w:bCs/>
                <w:color w:val="00338D"/>
                <w:sz w:val="19"/>
                <w:szCs w:val="19"/>
              </w:rPr>
              <w:t xml:space="preserve">Through-life value</w:t>
            </w:r>
          </w:p>
          <w:p>
            <w:pPr>
              <w:spacing w:after="50" w:line="252"/>
            </w:pPr>
            <w:r>
              <w:rPr>
                <w:rFonts w:ascii="Arial" w:cs="Arial" w:eastAsia="Arial" w:hAnsi="Arial"/>
                <w:sz w:val="17"/>
                <w:szCs w:val="17"/>
              </w:rPr>
              <w:t xml:space="preserve">Law 16/2012 mandates domestic MRO; Tranche 3 includes spares, which over a 25–30 year life can exceed the build value.</w:t>
            </w:r>
          </w:p>
        </w:tc>
      </w:tr>
    </w:tbl>
    <w:p>
      <w:pPr>
        <w:spacing w:after="160"/>
      </w:pPr>
    </w:p>
    <w:p>
      <w:pPr>
        <w:pStyle w:val="Heading3"/>
        <w:keepNext/>
        <w:keepLines/>
        <w:spacing w:after="80" w:before="200"/>
      </w:pPr>
      <w:r>
        <w:rPr>
          <w:rFonts w:ascii="Arial" w:cs="Arial" w:eastAsia="Arial" w:hAnsi="Arial"/>
          <w:b/>
          <w:bCs/>
          <w:color w:val="005EB8"/>
          <w:sz w:val="22"/>
          <w:szCs w:val="22"/>
        </w:rPr>
        <w:t xml:space="preserve">Learning-curve illustration</w:t>
      </w:r>
    </w:p>
    <w:p>
      <w:pPr>
        <w:spacing w:after="110" w:before="0" w:line="264"/>
        <w:jc w:val="left"/>
      </w:pPr>
      <w:r>
        <w:rPr>
          <w:rFonts w:ascii="Arial" w:cs="Arial" w:eastAsia="Arial" w:hAnsi="Arial"/>
          <w:color w:val="000000"/>
          <w:sz w:val="20"/>
          <w:szCs w:val="20"/>
        </w:rPr>
        <w:t xml:space="preserve">D4 illustrates an </w:t>
      </w:r>
      <w:r>
        <w:rPr>
          <w:rFonts w:ascii="Arial" w:cs="Arial" w:eastAsia="Arial" w:hAnsi="Arial"/>
          <w:b/>
          <w:bCs/>
          <w:color w:val="000000"/>
          <w:sz w:val="20"/>
          <w:szCs w:val="20"/>
        </w:rPr>
        <w:t xml:space="preserve">85% learning curve</w:t>
      </w:r>
      <w:r>
        <w:rPr>
          <w:rFonts w:ascii="Arial" w:cs="Arial" w:eastAsia="Arial" w:hAnsi="Arial"/>
          <w:color w:val="000000"/>
          <w:sz w:val="20"/>
          <w:szCs w:val="20"/>
        </w:rPr>
        <w:t xml:space="preserve">: each doubling of cumulative volume lowers unit cost to 85% of its previous level. Pooling orders across DEFEND ID companies moves SMEs down the curve faster. The table shows what that implies (class D illustration).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77"/>
        <w:gridCol w:w="1272"/>
        <w:gridCol w:w="1272"/>
        <w:gridCol w:w="1272"/>
        <w:gridCol w:w="1272"/>
        <w:gridCol w:w="1273"/>
      </w:tblGrid>
      <w:tr>
        <w:trPr>
          <w:cantSplit/>
          <w:tblHeader/>
        </w:trPr>
        <w:tc>
          <w:tcPr>
            <w:tcW w:type="dxa" w:w="3277"/>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Cumulative volume (× first lot)</w:t>
            </w:r>
          </w:p>
        </w:tc>
        <w:tc>
          <w:tcPr>
            <w:tcW w:type="dxa" w:w="1272"/>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jc w:val="center"/>
            </w:pPr>
            <w:r>
              <w:rPr>
                <w:rFonts w:ascii="Arial" w:cs="Arial" w:eastAsia="Arial" w:hAnsi="Arial"/>
                <w:b/>
                <w:bCs/>
                <w:color w:val="FFFFFF"/>
                <w:sz w:val="16"/>
                <w:szCs w:val="16"/>
              </w:rPr>
              <w:t xml:space="preserve">1×</w:t>
            </w:r>
          </w:p>
        </w:tc>
        <w:tc>
          <w:tcPr>
            <w:tcW w:type="dxa" w:w="1272"/>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jc w:val="center"/>
            </w:pPr>
            <w:r>
              <w:rPr>
                <w:rFonts w:ascii="Arial" w:cs="Arial" w:eastAsia="Arial" w:hAnsi="Arial"/>
                <w:b/>
                <w:bCs/>
                <w:color w:val="FFFFFF"/>
                <w:sz w:val="16"/>
                <w:szCs w:val="16"/>
              </w:rPr>
              <w:t xml:space="preserve">2×</w:t>
            </w:r>
          </w:p>
        </w:tc>
        <w:tc>
          <w:tcPr>
            <w:tcW w:type="dxa" w:w="1272"/>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jc w:val="center"/>
            </w:pPr>
            <w:r>
              <w:rPr>
                <w:rFonts w:ascii="Arial" w:cs="Arial" w:eastAsia="Arial" w:hAnsi="Arial"/>
                <w:b/>
                <w:bCs/>
                <w:color w:val="FFFFFF"/>
                <w:sz w:val="16"/>
                <w:szCs w:val="16"/>
              </w:rPr>
              <w:t xml:space="preserve">4×</w:t>
            </w:r>
          </w:p>
        </w:tc>
        <w:tc>
          <w:tcPr>
            <w:tcW w:type="dxa" w:w="1272"/>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jc w:val="center"/>
            </w:pPr>
            <w:r>
              <w:rPr>
                <w:rFonts w:ascii="Arial" w:cs="Arial" w:eastAsia="Arial" w:hAnsi="Arial"/>
                <w:b/>
                <w:bCs/>
                <w:color w:val="FFFFFF"/>
                <w:sz w:val="16"/>
                <w:szCs w:val="16"/>
              </w:rPr>
              <w:t xml:space="preserve">8×</w:t>
            </w:r>
          </w:p>
        </w:tc>
        <w:tc>
          <w:tcPr>
            <w:tcW w:type="dxa" w:w="1273"/>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jc w:val="center"/>
            </w:pPr>
            <w:r>
              <w:rPr>
                <w:rFonts w:ascii="Arial" w:cs="Arial" w:eastAsia="Arial" w:hAnsi="Arial"/>
                <w:b/>
                <w:bCs/>
                <w:color w:val="FFFFFF"/>
                <w:sz w:val="16"/>
                <w:szCs w:val="16"/>
              </w:rPr>
              <w:t xml:space="preserve">16×</w:t>
            </w:r>
          </w:p>
        </w:tc>
      </w:tr>
      <w:tr>
        <w:trPr>
          <w:cantSplit/>
        </w:trPr>
        <w:tc>
          <w:tcPr>
            <w:tcW w:type="dxa" w:w="3277"/>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pPr>
            <w:r>
              <w:rPr>
                <w:rFonts w:ascii="Arial" w:cs="Arial" w:eastAsia="Arial" w:hAnsi="Arial"/>
                <w:b/>
                <w:bCs/>
                <w:color w:val="000000"/>
                <w:sz w:val="17"/>
                <w:szCs w:val="17"/>
              </w:rPr>
              <w:t xml:space="preserve">Unit cost (% of first lot)</w:t>
            </w:r>
          </w:p>
        </w:tc>
        <w:tc>
          <w:tcPr>
            <w:tcW w:type="dxa" w:w="127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jc w:val="center"/>
            </w:pPr>
            <w:r>
              <w:rPr>
                <w:rFonts w:ascii="Arial" w:cs="Arial" w:eastAsia="Arial" w:hAnsi="Arial"/>
                <w:b w:val="false"/>
                <w:bCs w:val="false"/>
                <w:color w:val="000000"/>
                <w:sz w:val="17"/>
                <w:szCs w:val="17"/>
              </w:rPr>
              <w:t xml:space="preserve">100</w:t>
            </w:r>
          </w:p>
        </w:tc>
        <w:tc>
          <w:tcPr>
            <w:tcW w:type="dxa" w:w="127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jc w:val="center"/>
            </w:pPr>
            <w:r>
              <w:rPr>
                <w:rFonts w:ascii="Arial" w:cs="Arial" w:eastAsia="Arial" w:hAnsi="Arial"/>
                <w:b w:val="false"/>
                <w:bCs w:val="false"/>
                <w:color w:val="000000"/>
                <w:sz w:val="17"/>
                <w:szCs w:val="17"/>
              </w:rPr>
              <w:t xml:space="preserve">85.0</w:t>
            </w:r>
          </w:p>
        </w:tc>
        <w:tc>
          <w:tcPr>
            <w:tcW w:type="dxa" w:w="127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jc w:val="center"/>
            </w:pPr>
            <w:r>
              <w:rPr>
                <w:rFonts w:ascii="Arial" w:cs="Arial" w:eastAsia="Arial" w:hAnsi="Arial"/>
                <w:b w:val="false"/>
                <w:bCs w:val="false"/>
                <w:color w:val="000000"/>
                <w:sz w:val="17"/>
                <w:szCs w:val="17"/>
              </w:rPr>
              <w:t xml:space="preserve">72.3</w:t>
            </w:r>
          </w:p>
        </w:tc>
        <w:tc>
          <w:tcPr>
            <w:tcW w:type="dxa" w:w="127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jc w:val="center"/>
            </w:pPr>
            <w:r>
              <w:rPr>
                <w:rFonts w:ascii="Arial" w:cs="Arial" w:eastAsia="Arial" w:hAnsi="Arial"/>
                <w:b w:val="false"/>
                <w:bCs w:val="false"/>
                <w:color w:val="000000"/>
                <w:sz w:val="17"/>
                <w:szCs w:val="17"/>
              </w:rPr>
              <w:t xml:space="preserve">61.4</w:t>
            </w:r>
          </w:p>
        </w:tc>
        <w:tc>
          <w:tcPr>
            <w:tcW w:type="dxa" w:w="1273"/>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jc w:val="center"/>
            </w:pPr>
            <w:r>
              <w:rPr>
                <w:rFonts w:ascii="Arial" w:cs="Arial" w:eastAsia="Arial" w:hAnsi="Arial"/>
                <w:b w:val="false"/>
                <w:bCs w:val="false"/>
                <w:color w:val="000000"/>
                <w:sz w:val="17"/>
                <w:szCs w:val="17"/>
              </w:rPr>
              <w:t xml:space="preserve">52.2</w:t>
            </w:r>
          </w:p>
        </w:tc>
      </w:tr>
      <w:tr>
        <w:trPr>
          <w:cantSplit/>
        </w:trPr>
        <w:tc>
          <w:tcPr>
            <w:tcW w:type="dxa" w:w="3277"/>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pPr>
            <w:r>
              <w:rPr>
                <w:rFonts w:ascii="Arial" w:cs="Arial" w:eastAsia="Arial" w:hAnsi="Arial"/>
                <w:b/>
                <w:bCs/>
                <w:color w:val="000000"/>
                <w:sz w:val="17"/>
                <w:szCs w:val="17"/>
              </w:rPr>
              <w:t xml:space="preserve">If first-lot cost is 140% of import price</w:t>
            </w:r>
          </w:p>
        </w:tc>
        <w:tc>
          <w:tcPr>
            <w:tcW w:type="dxa" w:w="127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jc w:val="center"/>
            </w:pPr>
            <w:r>
              <w:rPr>
                <w:rFonts w:ascii="Arial" w:cs="Arial" w:eastAsia="Arial" w:hAnsi="Arial"/>
                <w:b w:val="false"/>
                <w:bCs w:val="false"/>
                <w:color w:val="000000"/>
                <w:sz w:val="17"/>
                <w:szCs w:val="17"/>
              </w:rPr>
              <w:t xml:space="preserve">140</w:t>
            </w:r>
          </w:p>
        </w:tc>
        <w:tc>
          <w:tcPr>
            <w:tcW w:type="dxa" w:w="127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jc w:val="center"/>
            </w:pPr>
            <w:r>
              <w:rPr>
                <w:rFonts w:ascii="Arial" w:cs="Arial" w:eastAsia="Arial" w:hAnsi="Arial"/>
                <w:b w:val="false"/>
                <w:bCs w:val="false"/>
                <w:color w:val="000000"/>
                <w:sz w:val="17"/>
                <w:szCs w:val="17"/>
              </w:rPr>
              <w:t xml:space="preserve">119</w:t>
            </w:r>
          </w:p>
        </w:tc>
        <w:tc>
          <w:tcPr>
            <w:tcW w:type="dxa" w:w="127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jc w:val="center"/>
            </w:pPr>
            <w:r>
              <w:rPr>
                <w:rFonts w:ascii="Arial" w:cs="Arial" w:eastAsia="Arial" w:hAnsi="Arial"/>
                <w:b w:val="false"/>
                <w:bCs w:val="false"/>
                <w:color w:val="000000"/>
                <w:sz w:val="17"/>
                <w:szCs w:val="17"/>
              </w:rPr>
              <w:t xml:space="preserve">101</w:t>
            </w:r>
          </w:p>
        </w:tc>
        <w:tc>
          <w:tcPr>
            <w:tcW w:type="dxa" w:w="127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jc w:val="center"/>
            </w:pPr>
            <w:r>
              <w:rPr>
                <w:rFonts w:ascii="Arial" w:cs="Arial" w:eastAsia="Arial" w:hAnsi="Arial"/>
                <w:b w:val="false"/>
                <w:bCs w:val="false"/>
                <w:color w:val="000000"/>
                <w:sz w:val="17"/>
                <w:szCs w:val="17"/>
              </w:rPr>
              <w:t xml:space="preserve">86</w:t>
            </w:r>
          </w:p>
        </w:tc>
        <w:tc>
          <w:tcPr>
            <w:tcW w:type="dxa" w:w="1273"/>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jc w:val="center"/>
            </w:pPr>
            <w:r>
              <w:rPr>
                <w:rFonts w:ascii="Arial" w:cs="Arial" w:eastAsia="Arial" w:hAnsi="Arial"/>
                <w:b w:val="false"/>
                <w:bCs w:val="false"/>
                <w:color w:val="000000"/>
                <w:sz w:val="17"/>
                <w:szCs w:val="17"/>
              </w:rPr>
              <w:t xml:space="preserve">73</w:t>
            </w:r>
          </w:p>
        </w:tc>
      </w:tr>
    </w:tbl>
    <w:p>
      <w:pPr>
        <w:keepNext w:val="false"/>
        <w:spacing w:after="140"/>
      </w:pPr>
    </w:p>
    <w:p>
      <w:pPr>
        <w:spacing w:after="110" w:before="0" w:line="264"/>
        <w:jc w:val="left"/>
      </w:pPr>
      <w:r>
        <w:rPr>
          <w:rFonts w:ascii="Arial" w:cs="Arial" w:eastAsia="Arial" w:hAnsi="Arial"/>
          <w:color w:val="000000"/>
          <w:sz w:val="20"/>
          <w:szCs w:val="20"/>
        </w:rPr>
        <w:t xml:space="preserve">On these assumptions, an SME starting 40% above the import price reaches parity after about 2.1 doublings, roughly </w:t>
      </w:r>
      <w:r>
        <w:rPr>
          <w:rFonts w:ascii="Arial" w:cs="Arial" w:eastAsia="Arial" w:hAnsi="Arial"/>
          <w:b/>
          <w:bCs/>
          <w:color w:val="000000"/>
          <w:sz w:val="20"/>
          <w:szCs w:val="20"/>
        </w:rPr>
        <w:t xml:space="preserve">4× the first-lot volume</w:t>
      </w:r>
      <w:r>
        <w:rPr>
          <w:rFonts w:ascii="Arial" w:cs="Arial" w:eastAsia="Arial" w:hAnsi="Arial"/>
          <w:color w:val="000000"/>
          <w:sz w:val="20"/>
          <w:szCs w:val="20"/>
        </w:rPr>
        <w:t xml:space="preserve">. This is why order aggregation across integrators matters more than any single subsidy, and why protection should be </w:t>
      </w:r>
      <w:r>
        <w:rPr>
          <w:rFonts w:ascii="Arial" w:cs="Arial" w:eastAsia="Arial" w:hAnsi="Arial"/>
          <w:b/>
          <w:bCs/>
          <w:color w:val="000000"/>
          <w:sz w:val="20"/>
          <w:szCs w:val="20"/>
        </w:rPr>
        <w:t xml:space="preserve">temporary</w:t>
      </w:r>
      <w:r>
        <w:rPr>
          <w:rFonts w:ascii="Arial" w:cs="Arial" w:eastAsia="Arial" w:hAnsi="Arial"/>
          <w:color w:val="000000"/>
          <w:sz w:val="20"/>
          <w:szCs w:val="20"/>
        </w:rPr>
        <w:t xml:space="preserve">: once parity is reached, the SME must sustain MRL 8 on efficiency, and the integrator can open DOCK-UP to the next cohort [D4].</w:t>
      </w:r>
    </w:p>
    <w:p>
      <w:pPr>
        <w:pStyle w:val="Heading3"/>
        <w:keepNext/>
        <w:keepLines/>
        <w:spacing w:after="80" w:before="200"/>
      </w:pPr>
      <w:r>
        <w:rPr>
          <w:rFonts w:ascii="Arial" w:cs="Arial" w:eastAsia="Arial" w:hAnsi="Arial"/>
          <w:b/>
          <w:bCs/>
          <w:color w:val="005EB8"/>
          <w:sz w:val="22"/>
          <w:szCs w:val="22"/>
        </w:rPr>
        <w:t xml:space="preserve">Finance matched to gates</w:t>
      </w:r>
    </w:p>
    <w:p>
      <w:pPr>
        <w:spacing w:after="110" w:before="0" w:line="264"/>
        <w:jc w:val="left"/>
      </w:pPr>
      <w:r>
        <w:rPr>
          <w:rFonts w:ascii="Arial" w:cs="Arial" w:eastAsia="Arial" w:hAnsi="Arial"/>
          <w:color w:val="000000"/>
          <w:sz w:val="20"/>
          <w:szCs w:val="20"/>
        </w:rPr>
        <w:t xml:space="preserve">D4 links finance instruments to gates: matching grants, KUR (people's business credit), supply-chain finance, first-loss guarantees, the R&amp;D super-deduction under PP 45/2019, and LPEI export finance. Chapter 10 integrates these into the wider financing architecture.</w:t>
      </w:r>
    </w:p>
    <w:p>
      <w:pPr>
        <w:pStyle w:val="Heading2"/>
        <w:keepNext/>
        <w:keepLines/>
        <w:spacing w:after="120" w:before="280"/>
      </w:pPr>
      <w:r>
        <w:rPr>
          <w:rFonts w:ascii="Arial" w:cs="Arial" w:eastAsia="Arial" w:hAnsi="Arial"/>
          <w:b/>
          <w:bCs/>
          <w:color w:val="00338D"/>
          <w:sz w:val="28"/>
          <w:szCs w:val="28"/>
        </w:rPr>
        <w:t xml:space="preserve">6.8 Technology and assessment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99"/>
        <w:gridCol w:w="6939"/>
      </w:tblGrid>
      <w:tr>
        <w:trPr>
          <w:cantSplit/>
          <w:tblHeader/>
        </w:trPr>
        <w:tc>
          <w:tcPr>
            <w:tcW w:type="dxa" w:w="2699"/>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Technology priority</w:t>
            </w:r>
          </w:p>
        </w:tc>
        <w:tc>
          <w:tcPr>
            <w:tcW w:type="dxa" w:w="6939"/>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Content</w:t>
            </w:r>
          </w:p>
        </w:tc>
      </w:tr>
      <w:tr>
        <w:trPr>
          <w:cantSplit/>
        </w:trPr>
        <w:tc>
          <w:tcPr>
            <w:tcW w:type="dxa" w:w="2699"/>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7"/>
                <w:szCs w:val="17"/>
              </w:rPr>
              <w:t xml:space="preserve">Process quality first</w:t>
            </w:r>
          </w:p>
        </w:tc>
        <w:tc>
          <w:tcPr>
            <w:tcW w:type="dxa" w:w="6939"/>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7"/>
                <w:szCs w:val="17"/>
              </w:rPr>
              <w:t xml:space="preserve">Qualified welding, heat treatment, navy-standard coating and non-destructive testing (NDT)</w:t>
            </w:r>
          </w:p>
        </w:tc>
      </w:tr>
      <w:tr>
        <w:trPr>
          <w:cantSplit/>
        </w:trPr>
        <w:tc>
          <w:tcPr>
            <w:tcW w:type="dxa" w:w="2699"/>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7"/>
                <w:szCs w:val="17"/>
              </w:rPr>
              <w:t xml:space="preserve">Tiered technology transfer</w:t>
            </w:r>
          </w:p>
        </w:tc>
        <w:tc>
          <w:tcPr>
            <w:tcW w:type="dxa" w:w="6939"/>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7"/>
                <w:szCs w:val="17"/>
              </w:rPr>
              <w:t xml:space="preserve">Offset agreements name the packages that are sub-licensed to DOCK-UP suppliers</w:t>
            </w:r>
          </w:p>
        </w:tc>
      </w:tr>
      <w:tr>
        <w:trPr>
          <w:cantSplit/>
        </w:trPr>
        <w:tc>
          <w:tcPr>
            <w:tcW w:type="dxa" w:w="2699"/>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7"/>
                <w:szCs w:val="17"/>
              </w:rPr>
              <w:t xml:space="preserve">Digital integration</w:t>
            </w:r>
          </w:p>
        </w:tc>
        <w:tc>
          <w:tcPr>
            <w:tcW w:type="dxa" w:w="6939"/>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7"/>
                <w:szCs w:val="17"/>
              </w:rPr>
              <w:t xml:space="preserve">Supplier portal connected to the integrator's ERP: drawings, revisions, traceability and gate records</w:t>
            </w:r>
          </w:p>
        </w:tc>
      </w:tr>
      <w:tr>
        <w:trPr>
          <w:cantSplit/>
        </w:trPr>
        <w:tc>
          <w:tcPr>
            <w:tcW w:type="dxa" w:w="2699"/>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pPr>
            <w:r>
              <w:rPr>
                <w:rFonts w:ascii="Arial" w:cs="Arial" w:eastAsia="Arial" w:hAnsi="Arial"/>
                <w:b/>
                <w:bCs/>
                <w:color w:val="000000"/>
                <w:sz w:val="17"/>
                <w:szCs w:val="17"/>
              </w:rPr>
              <w:t xml:space="preserve">Information security</w:t>
            </w:r>
          </w:p>
        </w:tc>
        <w:tc>
          <w:tcPr>
            <w:tcW w:type="dxa" w:w="6939"/>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7"/>
                <w:szCs w:val="17"/>
              </w:rPr>
              <w:t xml:space="preserve">Controlled access and cybersecurity, included in C3 (defence grade) according to sensitivity</w:t>
            </w:r>
          </w:p>
        </w:tc>
      </w:tr>
    </w:tbl>
    <w:p>
      <w:pPr>
        <w:keepNext w:val="false"/>
        <w:spacing w:after="14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14"/>
        <w:gridCol w:w="260"/>
        <w:gridCol w:w="2214"/>
        <w:gridCol w:w="260"/>
        <w:gridCol w:w="2214"/>
        <w:gridCol w:w="260"/>
        <w:gridCol w:w="2216"/>
      </w:tblGrid>
      <w:tr>
        <w:trPr>
          <w:cantSplit/>
        </w:trPr>
        <w:tc>
          <w:tcPr>
            <w:tcW w:type="dxa" w:w="2214"/>
            <w:tcBorders>
              <w:top w:val="none" w:color="FFFFFF" w:sz="0"/>
              <w:left w:val="none" w:color="FFFFFF" w:sz="0"/>
              <w:bottom w:val="none" w:color="FFFFFF" w:sz="0"/>
              <w:right w:val="none" w:color="FFFFFF" w:sz="0"/>
            </w:tcBorders>
            <w:shd w:fill="00338D" w:color="auto" w:val="clear"/>
            <w:tcMar>
              <w:top w:type="dxa" w:w="100"/>
              <w:left w:type="dxa" w:w="90"/>
              <w:bottom w:type="dxa" w:w="100"/>
              <w:right w:type="dxa" w:w="90"/>
            </w:tcMar>
          </w:tcPr>
          <w:p>
            <w:pPr>
              <w:spacing w:after="40" w:line="240"/>
            </w:pPr>
            <w:r>
              <w:rPr>
                <w:rFonts w:ascii="Arial" w:cs="Arial" w:eastAsia="Arial" w:hAnsi="Arial"/>
                <w:b/>
                <w:bCs/>
                <w:color w:val="FFFFFF"/>
                <w:sz w:val="17"/>
                <w:szCs w:val="17"/>
              </w:rPr>
              <w:t xml:space="preserve">1. Structured self-assessment</w:t>
            </w:r>
          </w:p>
          <w:p>
            <w:pPr>
              <w:spacing w:after="0" w:line="236"/>
            </w:pPr>
            <w:r>
              <w:rPr>
                <w:rFonts w:ascii="Arial" w:cs="Arial" w:eastAsia="Arial" w:hAnsi="Arial"/>
                <w:color w:val="FFFFFF"/>
                <w:sz w:val="15"/>
                <w:szCs w:val="15"/>
              </w:rPr>
              <w:t xml:space="preserve">Against published TRL criteria and nine MRL aspects</w:t>
            </w:r>
          </w:p>
        </w:tc>
        <w:tc>
          <w:tcPr>
            <w:tcW w:type="dxa" w:w="26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jc w:val="center"/>
            </w:pPr>
            <w:r>
              <w:rPr>
                <w:rFonts w:ascii="Arial" w:cs="Arial" w:eastAsia="Arial" w:hAnsi="Arial"/>
                <w:color w:val="005EB8"/>
                <w:sz w:val="18"/>
                <w:szCs w:val="18"/>
              </w:rPr>
              <w:t xml:space="preserve">►</w:t>
            </w:r>
          </w:p>
        </w:tc>
        <w:tc>
          <w:tcPr>
            <w:tcW w:type="dxa" w:w="2214"/>
            <w:tcBorders>
              <w:top w:val="none" w:color="FFFFFF" w:sz="0"/>
              <w:left w:val="none" w:color="FFFFFF" w:sz="0"/>
              <w:bottom w:val="none" w:color="FFFFFF" w:sz="0"/>
              <w:right w:val="none" w:color="FFFFFF" w:sz="0"/>
            </w:tcBorders>
            <w:shd w:fill="005EB8" w:color="auto" w:val="clear"/>
            <w:tcMar>
              <w:top w:type="dxa" w:w="100"/>
              <w:left w:type="dxa" w:w="90"/>
              <w:bottom w:type="dxa" w:w="100"/>
              <w:right w:type="dxa" w:w="90"/>
            </w:tcMar>
          </w:tcPr>
          <w:p>
            <w:pPr>
              <w:spacing w:after="40" w:line="240"/>
            </w:pPr>
            <w:r>
              <w:rPr>
                <w:rFonts w:ascii="Arial" w:cs="Arial" w:eastAsia="Arial" w:hAnsi="Arial"/>
                <w:b/>
                <w:bCs/>
                <w:color w:val="FFFFFF"/>
                <w:sz w:val="17"/>
                <w:szCs w:val="17"/>
              </w:rPr>
              <w:t xml:space="preserve">2. Independent verification</w:t>
            </w:r>
          </w:p>
          <w:p>
            <w:pPr>
              <w:spacing w:after="0" w:line="236"/>
            </w:pPr>
            <w:r>
              <w:rPr>
                <w:rFonts w:ascii="Arial" w:cs="Arial" w:eastAsia="Arial" w:hAnsi="Arial"/>
                <w:color w:val="FFFFFF"/>
                <w:sz w:val="15"/>
                <w:szCs w:val="15"/>
              </w:rPr>
              <w:t xml:space="preserve">Universities, test laboratories, BKI or accredited assessor pool</w:t>
            </w:r>
          </w:p>
        </w:tc>
        <w:tc>
          <w:tcPr>
            <w:tcW w:type="dxa" w:w="26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jc w:val="center"/>
            </w:pPr>
            <w:r>
              <w:rPr>
                <w:rFonts w:ascii="Arial" w:cs="Arial" w:eastAsia="Arial" w:hAnsi="Arial"/>
                <w:color w:val="005EB8"/>
                <w:sz w:val="18"/>
                <w:szCs w:val="18"/>
              </w:rPr>
              <w:t xml:space="preserve">►</w:t>
            </w:r>
          </w:p>
        </w:tc>
        <w:tc>
          <w:tcPr>
            <w:tcW w:type="dxa" w:w="2214"/>
            <w:tcBorders>
              <w:top w:val="none" w:color="FFFFFF" w:sz="0"/>
              <w:left w:val="none" w:color="FFFFFF" w:sz="0"/>
              <w:bottom w:val="none" w:color="FFFFFF" w:sz="0"/>
              <w:right w:val="none" w:color="FFFFFF" w:sz="0"/>
            </w:tcBorders>
            <w:shd w:fill="00338D" w:color="auto" w:val="clear"/>
            <w:tcMar>
              <w:top w:type="dxa" w:w="100"/>
              <w:left w:type="dxa" w:w="90"/>
              <w:bottom w:type="dxa" w:w="100"/>
              <w:right w:type="dxa" w:w="90"/>
            </w:tcMar>
          </w:tcPr>
          <w:p>
            <w:pPr>
              <w:spacing w:after="40" w:line="240"/>
            </w:pPr>
            <w:r>
              <w:rPr>
                <w:rFonts w:ascii="Arial" w:cs="Arial" w:eastAsia="Arial" w:hAnsi="Arial"/>
                <w:b/>
                <w:bCs/>
                <w:color w:val="FFFFFF"/>
                <w:sz w:val="17"/>
                <w:szCs w:val="17"/>
              </w:rPr>
              <w:t xml:space="preserve">3. Integrator reviews evidence</w:t>
            </w:r>
          </w:p>
          <w:p>
            <w:pPr>
              <w:spacing w:after="0" w:line="236"/>
            </w:pPr>
            <w:r>
              <w:rPr>
                <w:rFonts w:ascii="Arial" w:cs="Arial" w:eastAsia="Arial" w:hAnsi="Arial"/>
                <w:color w:val="FFFFFF"/>
                <w:sz w:val="15"/>
                <w:szCs w:val="15"/>
              </w:rPr>
              <w:t xml:space="preserve">First-article inspection, low-rate batch, audit</w:t>
            </w:r>
          </w:p>
        </w:tc>
        <w:tc>
          <w:tcPr>
            <w:tcW w:type="dxa" w:w="26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jc w:val="center"/>
            </w:pPr>
            <w:r>
              <w:rPr>
                <w:rFonts w:ascii="Arial" w:cs="Arial" w:eastAsia="Arial" w:hAnsi="Arial"/>
                <w:color w:val="005EB8"/>
                <w:sz w:val="18"/>
                <w:szCs w:val="18"/>
              </w:rPr>
              <w:t xml:space="preserve">►</w:t>
            </w:r>
          </w:p>
        </w:tc>
        <w:tc>
          <w:tcPr>
            <w:tcW w:type="dxa" w:w="2216"/>
            <w:tcBorders>
              <w:top w:val="none" w:color="FFFFFF" w:sz="0"/>
              <w:left w:val="none" w:color="FFFFFF" w:sz="0"/>
              <w:bottom w:val="none" w:color="FFFFFF" w:sz="0"/>
              <w:right w:val="none" w:color="FFFFFF" w:sz="0"/>
            </w:tcBorders>
            <w:shd w:fill="005EB8" w:color="auto" w:val="clear"/>
            <w:tcMar>
              <w:top w:type="dxa" w:w="100"/>
              <w:left w:type="dxa" w:w="90"/>
              <w:bottom w:type="dxa" w:w="100"/>
              <w:right w:type="dxa" w:w="90"/>
            </w:tcMar>
          </w:tcPr>
          <w:p>
            <w:pPr>
              <w:spacing w:after="40" w:line="240"/>
            </w:pPr>
            <w:r>
              <w:rPr>
                <w:rFonts w:ascii="Arial" w:cs="Arial" w:eastAsia="Arial" w:hAnsi="Arial"/>
                <w:b/>
                <w:bCs/>
                <w:color w:val="FFFFFF"/>
                <w:sz w:val="17"/>
                <w:szCs w:val="17"/>
              </w:rPr>
              <w:t xml:space="preserve">4. Annual reassessment</w:t>
            </w:r>
          </w:p>
          <w:p>
            <w:pPr>
              <w:spacing w:after="0" w:line="236"/>
            </w:pPr>
            <w:r>
              <w:rPr>
                <w:rFonts w:ascii="Arial" w:cs="Arial" w:eastAsia="Arial" w:hAnsi="Arial"/>
                <w:color w:val="FFFFFF"/>
                <w:sz w:val="15"/>
                <w:szCs w:val="15"/>
              </w:rPr>
              <w:t xml:space="preserve">Or at each tranche request; recorded in a shared register</w:t>
            </w:r>
          </w:p>
        </w:tc>
      </w:tr>
    </w:tbl>
    <w:p>
      <w:pPr>
        <w:spacing w:after="160"/>
      </w:pPr>
    </w:p>
    <w:p>
      <w:pPr>
        <w:pStyle w:val="Heading2"/>
        <w:keepNext/>
        <w:keepLines/>
        <w:spacing w:after="120" w:before="280"/>
      </w:pPr>
      <w:r>
        <w:rPr>
          <w:rFonts w:ascii="Arial" w:cs="Arial" w:eastAsia="Arial" w:hAnsi="Arial"/>
          <w:b/>
          <w:bCs/>
          <w:color w:val="00338D"/>
          <w:sz w:val="28"/>
          <w:szCs w:val="28"/>
        </w:rPr>
        <w:t xml:space="preserve">6.9 Way forward and the single biggest risk</w:t>
      </w:r>
    </w:p>
    <w:p>
      <w:pPr>
        <w:pStyle w:val="ListParagraph"/>
        <w:numPr>
          <w:ilvl w:val="0"/>
          <w:numId w:val="4"/>
        </w:numPr>
        <w:spacing w:after="60" w:line="264"/>
      </w:pPr>
      <w:r>
        <w:rPr>
          <w:rFonts w:ascii="Arial" w:cs="Arial" w:eastAsia="Arial" w:hAnsi="Arial"/>
          <w:sz w:val="20"/>
          <w:szCs w:val="20"/>
        </w:rPr>
        <w:t xml:space="preserve">Establish DOCK-UP as the standard model for SME participation, coordinated by KKIP (Defence Industry Policy Committee).</w:t>
      </w:r>
    </w:p>
    <w:p>
      <w:pPr>
        <w:pStyle w:val="ListParagraph"/>
        <w:numPr>
          <w:ilvl w:val="0"/>
          <w:numId w:val="4"/>
        </w:numPr>
        <w:spacing w:after="60" w:line="264"/>
      </w:pPr>
      <w:r>
        <w:rPr>
          <w:rFonts w:ascii="Arial" w:cs="Arial" w:eastAsia="Arial" w:hAnsi="Arial"/>
          <w:sz w:val="20"/>
          <w:szCs w:val="20"/>
        </w:rPr>
        <w:t xml:space="preserve">Make TRL (TKT) and MRL assessment the entry screen.</w:t>
      </w:r>
    </w:p>
    <w:p>
      <w:pPr>
        <w:pStyle w:val="ListParagraph"/>
        <w:numPr>
          <w:ilvl w:val="0"/>
          <w:numId w:val="4"/>
        </w:numPr>
        <w:spacing w:after="60" w:line="264"/>
      </w:pPr>
      <w:r>
        <w:rPr>
          <w:rFonts w:ascii="Arial" w:cs="Arial" w:eastAsia="Arial" w:hAnsi="Arial"/>
          <w:sz w:val="20"/>
          <w:szCs w:val="20"/>
        </w:rPr>
        <w:t xml:space="preserve">Adopt gates G1–G4 as common rules across integrators.</w:t>
      </w:r>
    </w:p>
    <w:p>
      <w:pPr>
        <w:pStyle w:val="ListParagraph"/>
        <w:numPr>
          <w:ilvl w:val="0"/>
          <w:numId w:val="4"/>
        </w:numPr>
        <w:spacing w:after="60" w:line="264"/>
      </w:pPr>
      <w:r>
        <w:rPr>
          <w:rFonts w:ascii="Arial" w:cs="Arial" w:eastAsia="Arial" w:hAnsi="Arial"/>
          <w:sz w:val="20"/>
          <w:szCs w:val="20"/>
        </w:rPr>
        <w:t xml:space="preserve">Pilot with one integrator, 20–30 SMEs and 3–5 component groups.</w:t>
      </w:r>
    </w:p>
    <w:p>
      <w:pPr>
        <w:pStyle w:val="ListParagraph"/>
        <w:numPr>
          <w:ilvl w:val="0"/>
          <w:numId w:val="4"/>
        </w:numPr>
        <w:spacing w:after="60" w:line="264"/>
      </w:pPr>
      <w:r>
        <w:rPr>
          <w:rFonts w:ascii="Arial" w:cs="Arial" w:eastAsia="Arial" w:hAnsi="Arial"/>
          <w:sz w:val="20"/>
          <w:szCs w:val="20"/>
        </w:rPr>
        <w:t xml:space="preserve">Write DOCK-UP packages, by gate, into framework contracts and offset agreements.</w:t>
      </w:r>
    </w:p>
    <w:p>
      <w:pPr>
        <w:pStyle w:val="ListParagraph"/>
        <w:numPr>
          <w:ilvl w:val="0"/>
          <w:numId w:val="4"/>
        </w:numPr>
        <w:spacing w:after="60" w:line="264"/>
      </w:pPr>
      <w:r>
        <w:rPr>
          <w:rFonts w:ascii="Arial" w:cs="Arial" w:eastAsia="Arial" w:hAnsi="Arial"/>
          <w:sz w:val="20"/>
          <w:szCs w:val="20"/>
        </w:rPr>
        <w:t xml:space="preserve">Co-fund C1–C3 certification; tie KUR, supply-chain finance and LPEI to gate achievement.</w:t>
      </w:r>
    </w:p>
    <w:p>
      <w:pPr>
        <w:pStyle w:val="ListParagraph"/>
        <w:numPr>
          <w:ilvl w:val="0"/>
          <w:numId w:val="4"/>
        </w:numPr>
        <w:spacing w:after="60" w:line="264"/>
      </w:pPr>
      <w:r>
        <w:rPr>
          <w:rFonts w:ascii="Arial" w:cs="Arial" w:eastAsia="Arial" w:hAnsi="Arial"/>
          <w:sz w:val="20"/>
          <w:szCs w:val="20"/>
        </w:rPr>
        <w:t xml:space="preserve">Build an independent assessor pool and a shared readiness register.</w:t>
      </w:r>
    </w:p>
    <w:p>
      <w:pPr>
        <w:pStyle w:val="Heading3"/>
        <w:keepNext/>
        <w:keepLines/>
        <w:spacing w:after="80" w:before="200"/>
      </w:pPr>
      <w:r>
        <w:rPr>
          <w:rFonts w:ascii="Arial" w:cs="Arial" w:eastAsia="Arial" w:hAnsi="Arial"/>
          <w:b/>
          <w:bCs/>
          <w:color w:val="005EB8"/>
          <w:sz w:val="22"/>
          <w:szCs w:val="22"/>
        </w:rPr>
        <w:t xml:space="preserve">Who runs DOCK-UP</w:t>
      </w:r>
    </w:p>
    <w:p>
      <w:pPr>
        <w:spacing w:after="110" w:before="0" w:line="264"/>
        <w:jc w:val="left"/>
      </w:pPr>
      <w:r>
        <w:rPr>
          <w:rFonts w:ascii="Arial" w:cs="Arial" w:eastAsia="Arial" w:hAnsi="Arial"/>
          <w:color w:val="000000"/>
          <w:sz w:val="20"/>
          <w:szCs w:val="20"/>
        </w:rPr>
        <w:t xml:space="preserve">KKIP sets defence-industry policy. Under the unit, a cross-sector </w:t>
      </w:r>
      <w:r>
        <w:rPr>
          <w:rFonts w:ascii="Arial" w:cs="Arial" w:eastAsia="Arial" w:hAnsi="Arial"/>
          <w:b/>
          <w:bCs/>
          <w:color w:val="000000"/>
          <w:sz w:val="20"/>
          <w:szCs w:val="20"/>
        </w:rPr>
        <w:t xml:space="preserve">DOCK-UP office</w:t>
      </w:r>
      <w:r>
        <w:rPr>
          <w:rFonts w:ascii="Arial" w:cs="Arial" w:eastAsia="Arial" w:hAnsi="Arial"/>
          <w:color w:val="000000"/>
          <w:sz w:val="20"/>
          <w:szCs w:val="20"/>
        </w:rPr>
        <w:t xml:space="preserve"> maintains the gate rules, the assessor pool and the shared readiness register. Integrators and anchor-project sponsors place orders and manage supplier performance. Banks and guarantors take credit decisions on the basis of verified gates.</w:t>
      </w:r>
    </w:p>
    <w:p>
      <w:pPr>
        <w:pStyle w:val="Heading3"/>
        <w:keepNext/>
        <w:keepLines/>
        <w:spacing w:after="80" w:before="200"/>
      </w:pPr>
      <w:r>
        <w:rPr>
          <w:rFonts w:ascii="Arial" w:cs="Arial" w:eastAsia="Arial" w:hAnsi="Arial"/>
          <w:b/>
          <w:bCs/>
          <w:color w:val="005EB8"/>
          <w:sz w:val="22"/>
          <w:szCs w:val="22"/>
        </w:rPr>
        <w:t xml:space="preserve">Gates and statutory minimums</w:t>
      </w:r>
    </w:p>
    <w:p>
      <w:pPr>
        <w:spacing w:after="110" w:before="0" w:line="264"/>
        <w:jc w:val="left"/>
      </w:pPr>
      <w:r>
        <w:rPr>
          <w:rFonts w:ascii="Arial" w:cs="Arial" w:eastAsia="Arial" w:hAnsi="Arial"/>
          <w:color w:val="000000"/>
          <w:sz w:val="20"/>
          <w:szCs w:val="20"/>
        </w:rPr>
        <w:t xml:space="preserve">Law 16/2012 sets quantitative minimums for trade return, local content and offset. Readiness gates do not replace those minimums. They decide </w:t>
      </w:r>
      <w:r>
        <w:rPr>
          <w:rFonts w:ascii="Arial" w:cs="Arial" w:eastAsia="Arial" w:hAnsi="Arial"/>
          <w:b/>
          <w:bCs/>
          <w:color w:val="000000"/>
          <w:sz w:val="20"/>
          <w:szCs w:val="20"/>
        </w:rPr>
        <w:t xml:space="preserve">which</w:t>
      </w:r>
      <w:r>
        <w:rPr>
          <w:rFonts w:ascii="Arial" w:cs="Arial" w:eastAsia="Arial" w:hAnsi="Arial"/>
          <w:color w:val="000000"/>
          <w:sz w:val="20"/>
          <w:szCs w:val="20"/>
        </w:rPr>
        <w:t xml:space="preserve"> suppliers receive volume. Where verified domestic readiness falls short of the legal minimum, the gap should be closed through offset and technology-transfer packages that feed DOCK-UP suppliers, not by orders to suppliers who are not ready. Compliance with the minimums continues to be certified by the competent authority.</w:t>
      </w:r>
    </w:p>
    <w:p>
      <w:pPr>
        <w:pStyle w:val="Heading3"/>
        <w:keepNext/>
        <w:keepLines/>
        <w:spacing w:after="80" w:before="200"/>
      </w:pPr>
      <w:r>
        <w:rPr>
          <w:rFonts w:ascii="Arial" w:cs="Arial" w:eastAsia="Arial" w:hAnsi="Arial"/>
          <w:b/>
          <w:bCs/>
          <w:color w:val="005EB8"/>
          <w:sz w:val="22"/>
          <w:szCs w:val="22"/>
        </w:rPr>
        <w:t xml:space="preserve">Pilot budget structure and exit targets (proposed)</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13"/>
        <w:gridCol w:w="4626"/>
        <w:gridCol w:w="2699"/>
      </w:tblGrid>
      <w:tr>
        <w:trPr>
          <w:cantSplit/>
          <w:tblHeader/>
        </w:trPr>
        <w:tc>
          <w:tcPr>
            <w:tcW w:type="dxa" w:w="2313"/>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Cost element</w:t>
            </w:r>
          </w:p>
        </w:tc>
        <w:tc>
          <w:tcPr>
            <w:tcW w:type="dxa" w:w="4626"/>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Driver for a 20–30 SME pilot</w:t>
            </w:r>
          </w:p>
        </w:tc>
        <w:tc>
          <w:tcPr>
            <w:tcW w:type="dxa" w:w="2699"/>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Funding source</w:t>
            </w:r>
          </w:p>
        </w:tc>
      </w:tr>
      <w:tr>
        <w:trPr>
          <w:cantSplit/>
        </w:trPr>
        <w:tc>
          <w:tcPr>
            <w:tcW w:type="dxa" w:w="2313"/>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7"/>
                <w:szCs w:val="17"/>
              </w:rPr>
              <w:t xml:space="preserve">Independent assessors</w:t>
            </w:r>
          </w:p>
        </w:tc>
        <w:tc>
          <w:tcPr>
            <w:tcW w:type="dxa" w:w="462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7"/>
                <w:szCs w:val="17"/>
              </w:rPr>
              <w:t xml:space="preserve">Pool of about 10–15 accredited assessors; entry assessment plus annual reassessment per SME</w:t>
            </w:r>
          </w:p>
        </w:tc>
        <w:tc>
          <w:tcPr>
            <w:tcW w:type="dxa" w:w="2699"/>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7"/>
                <w:szCs w:val="17"/>
              </w:rPr>
              <w:t xml:space="preserve">Danantara / KKIP programme budget</w:t>
            </w:r>
          </w:p>
        </w:tc>
      </w:tr>
      <w:tr>
        <w:trPr>
          <w:cantSplit/>
        </w:trPr>
        <w:tc>
          <w:tcPr>
            <w:tcW w:type="dxa" w:w="2313"/>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7"/>
                <w:szCs w:val="17"/>
              </w:rPr>
              <w:t xml:space="preserve">Companion engineers</w:t>
            </w:r>
          </w:p>
        </w:tc>
        <w:tc>
          <w:tcPr>
            <w:tcW w:type="dxa" w:w="4626"/>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7"/>
                <w:szCs w:val="17"/>
              </w:rPr>
              <w:t xml:space="preserve">About 1 engineer per 4 SMEs (5–8 engineers) for 12–24 months</w:t>
            </w:r>
          </w:p>
        </w:tc>
        <w:tc>
          <w:tcPr>
            <w:tcW w:type="dxa" w:w="2699"/>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7"/>
                <w:szCs w:val="17"/>
              </w:rPr>
              <w:t xml:space="preserve">Integrator and Danantara, shared</w:t>
            </w:r>
          </w:p>
        </w:tc>
      </w:tr>
      <w:tr>
        <w:trPr>
          <w:cantSplit/>
        </w:trPr>
        <w:tc>
          <w:tcPr>
            <w:tcW w:type="dxa" w:w="2313"/>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7"/>
                <w:szCs w:val="17"/>
              </w:rPr>
              <w:t xml:space="preserve">Matching grants and shared facilities</w:t>
            </w:r>
          </w:p>
        </w:tc>
        <w:tc>
          <w:tcPr>
            <w:tcW w:type="dxa" w:w="462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7"/>
                <w:szCs w:val="17"/>
              </w:rPr>
              <w:t xml:space="preserve">First-article tooling and test equipment for SMEs approaching G1</w:t>
            </w:r>
          </w:p>
        </w:tc>
        <w:tc>
          <w:tcPr>
            <w:tcW w:type="dxa" w:w="2699"/>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7"/>
                <w:szCs w:val="17"/>
              </w:rPr>
              <w:t xml:space="preserve">Danantara grant window; NRF supplier window once open</w:t>
            </w:r>
          </w:p>
        </w:tc>
      </w:tr>
      <w:tr>
        <w:trPr>
          <w:cantSplit/>
        </w:trPr>
        <w:tc>
          <w:tcPr>
            <w:tcW w:type="dxa" w:w="2313"/>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7"/>
                <w:szCs w:val="17"/>
              </w:rPr>
              <w:t xml:space="preserve">Certification co-funding</w:t>
            </w:r>
          </w:p>
        </w:tc>
        <w:tc>
          <w:tcPr>
            <w:tcW w:type="dxa" w:w="4626"/>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7"/>
                <w:szCs w:val="17"/>
              </w:rPr>
              <w:t xml:space="preserve">C1 (ISO 9001) for all SMEs reaching G2; C2 and C3 for those approaching G3</w:t>
            </w:r>
          </w:p>
        </w:tc>
        <w:tc>
          <w:tcPr>
            <w:tcW w:type="dxa" w:w="2699"/>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7"/>
                <w:szCs w:val="17"/>
              </w:rPr>
              <w:t xml:space="preserve">Integrator, Danantara and SME, shared</w:t>
            </w:r>
          </w:p>
        </w:tc>
      </w:tr>
      <w:tr>
        <w:trPr>
          <w:cantSplit/>
        </w:trPr>
        <w:tc>
          <w:tcPr>
            <w:tcW w:type="dxa" w:w="2313"/>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pPr>
            <w:r>
              <w:rPr>
                <w:rFonts w:ascii="Arial" w:cs="Arial" w:eastAsia="Arial" w:hAnsi="Arial"/>
                <w:b/>
                <w:bCs/>
                <w:color w:val="000000"/>
                <w:sz w:val="17"/>
                <w:szCs w:val="17"/>
              </w:rPr>
              <w:t xml:space="preserve">First-loss guarantees</w:t>
            </w:r>
          </w:p>
        </w:tc>
        <w:tc>
          <w:tcPr>
            <w:tcW w:type="dxa" w:w="462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7"/>
                <w:szCs w:val="17"/>
              </w:rPr>
              <w:t xml:space="preserve">A first-loss tranche on bank credit to SMEs at G2–G3</w:t>
            </w:r>
          </w:p>
        </w:tc>
        <w:tc>
          <w:tcPr>
            <w:tcW w:type="dxa" w:w="2699"/>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7"/>
                <w:szCs w:val="17"/>
              </w:rPr>
              <w:t xml:space="preserve">Guarantee provider and banks; NRF supplier window once open</w:t>
            </w:r>
          </w:p>
        </w:tc>
      </w:tr>
    </w:tbl>
    <w:p>
      <w:pPr>
        <w:keepNext w:val="false"/>
        <w:spacing w:after="14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855"/>
        <w:gridCol w:w="1928"/>
        <w:gridCol w:w="1928"/>
        <w:gridCol w:w="1927"/>
      </w:tblGrid>
      <w:tr>
        <w:trPr>
          <w:cantSplit/>
          <w:tblHeader/>
        </w:trPr>
        <w:tc>
          <w:tcPr>
            <w:tcW w:type="dxa" w:w="3855"/>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Exit target (to be confirmed), months from pilot start</w:t>
            </w:r>
          </w:p>
        </w:tc>
        <w:tc>
          <w:tcPr>
            <w:tcW w:type="dxa" w:w="1928"/>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Month 12</w:t>
            </w:r>
          </w:p>
        </w:tc>
        <w:tc>
          <w:tcPr>
            <w:tcW w:type="dxa" w:w="1928"/>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Month 18</w:t>
            </w:r>
          </w:p>
        </w:tc>
        <w:tc>
          <w:tcPr>
            <w:tcW w:type="dxa" w:w="1927"/>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Month 24</w:t>
            </w:r>
          </w:p>
        </w:tc>
      </w:tr>
      <w:tr>
        <w:trPr>
          <w:cantSplit/>
        </w:trPr>
        <w:tc>
          <w:tcPr>
            <w:tcW w:type="dxa" w:w="3855"/>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7"/>
                <w:szCs w:val="17"/>
              </w:rPr>
              <w:t xml:space="preserve">Pilot SMEs at G1 or above</w:t>
            </w:r>
          </w:p>
        </w:tc>
        <w:tc>
          <w:tcPr>
            <w:tcW w:type="dxa" w:w="192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7"/>
                <w:szCs w:val="17"/>
              </w:rPr>
              <w:t xml:space="preserve">≥ 60%</w:t>
            </w:r>
          </w:p>
        </w:tc>
        <w:tc>
          <w:tcPr>
            <w:tcW w:type="dxa" w:w="192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7"/>
                <w:szCs w:val="17"/>
              </w:rPr>
              <w:t xml:space="preserve">≥ 75%</w:t>
            </w:r>
          </w:p>
        </w:tc>
        <w:tc>
          <w:tcPr>
            <w:tcW w:type="dxa" w:w="1927"/>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7"/>
                <w:szCs w:val="17"/>
              </w:rPr>
              <w:t xml:space="preserve">≥ 80%</w:t>
            </w:r>
          </w:p>
        </w:tc>
      </w:tr>
      <w:tr>
        <w:trPr>
          <w:cantSplit/>
        </w:trPr>
        <w:tc>
          <w:tcPr>
            <w:tcW w:type="dxa" w:w="3855"/>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7"/>
                <w:szCs w:val="17"/>
              </w:rPr>
              <w:t xml:space="preserve">Pilot SMEs at G2 or above</w:t>
            </w:r>
          </w:p>
        </w:tc>
        <w:tc>
          <w:tcPr>
            <w:tcW w:type="dxa" w:w="1928"/>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7"/>
                <w:szCs w:val="17"/>
              </w:rPr>
              <w:t xml:space="preserve">–</w:t>
            </w:r>
          </w:p>
        </w:tc>
        <w:tc>
          <w:tcPr>
            <w:tcW w:type="dxa" w:w="1928"/>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7"/>
                <w:szCs w:val="17"/>
              </w:rPr>
              <w:t xml:space="preserve">≥ 25%</w:t>
            </w:r>
          </w:p>
        </w:tc>
        <w:tc>
          <w:tcPr>
            <w:tcW w:type="dxa" w:w="1927"/>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7"/>
                <w:szCs w:val="17"/>
              </w:rPr>
              <w:t xml:space="preserve">≥ 40%</w:t>
            </w:r>
          </w:p>
        </w:tc>
      </w:tr>
      <w:tr>
        <w:trPr>
          <w:cantSplit/>
        </w:trPr>
        <w:tc>
          <w:tcPr>
            <w:tcW w:type="dxa" w:w="3855"/>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7"/>
                <w:szCs w:val="17"/>
              </w:rPr>
              <w:t xml:space="preserve">First-article or batch rejection rate</w:t>
            </w:r>
          </w:p>
        </w:tc>
        <w:tc>
          <w:tcPr>
            <w:tcW w:type="dxa" w:w="192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7"/>
                <w:szCs w:val="17"/>
              </w:rPr>
              <w:t xml:space="preserve">Baseline set</w:t>
            </w:r>
          </w:p>
        </w:tc>
        <w:tc>
          <w:tcPr>
            <w:tcW w:type="dxa" w:w="192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7"/>
                <w:szCs w:val="17"/>
              </w:rPr>
              <w:t xml:space="preserve">Below agreed limit</w:t>
            </w:r>
          </w:p>
        </w:tc>
        <w:tc>
          <w:tcPr>
            <w:tcW w:type="dxa" w:w="1927"/>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7"/>
                <w:szCs w:val="17"/>
              </w:rPr>
              <w:t xml:space="preserve">Below agreed limit</w:t>
            </w:r>
          </w:p>
        </w:tc>
      </w:tr>
      <w:tr>
        <w:trPr>
          <w:cantSplit/>
        </w:trPr>
        <w:tc>
          <w:tcPr>
            <w:tcW w:type="dxa" w:w="3855"/>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pPr>
            <w:r>
              <w:rPr>
                <w:rFonts w:ascii="Arial" w:cs="Arial" w:eastAsia="Arial" w:hAnsi="Arial"/>
                <w:b/>
                <w:bCs/>
                <w:color w:val="000000"/>
                <w:sz w:val="17"/>
                <w:szCs w:val="17"/>
              </w:rPr>
              <w:t xml:space="preserve">Bank credit extended on gate evidence</w:t>
            </w:r>
          </w:p>
        </w:tc>
        <w:tc>
          <w:tcPr>
            <w:tcW w:type="dxa" w:w="1928"/>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7"/>
                <w:szCs w:val="17"/>
              </w:rPr>
              <w:t xml:space="preserve">First facilities</w:t>
            </w:r>
          </w:p>
        </w:tc>
        <w:tc>
          <w:tcPr>
            <w:tcW w:type="dxa" w:w="1928"/>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7"/>
                <w:szCs w:val="17"/>
              </w:rPr>
              <w:t xml:space="preserve">Growing</w:t>
            </w:r>
          </w:p>
        </w:tc>
        <w:tc>
          <w:tcPr>
            <w:tcW w:type="dxa" w:w="1927"/>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7"/>
                <w:szCs w:val="17"/>
              </w:rPr>
              <w:t xml:space="preserve">Without grant support for G2+</w:t>
            </w:r>
          </w:p>
        </w:tc>
      </w:tr>
    </w:tbl>
    <w:p>
      <w:pPr>
        <w:keepNext w:val="false"/>
        <w:spacing w:after="140"/>
      </w:pPr>
    </w:p>
    <w:p>
      <w:pPr>
        <w:spacing w:after="80" w:before="0" w:line="264"/>
        <w:jc w:val="left"/>
      </w:pPr>
      <w:r>
        <w:rPr>
          <w:rFonts w:ascii="Arial" w:cs="Arial" w:eastAsia="Arial" w:hAnsi="Arial"/>
          <w:color w:val="000000"/>
          <w:sz w:val="16"/>
          <w:szCs w:val="16"/>
        </w:rPr>
        <w:t xml:space="preserve">Costs are not estimated here because unit rates for assessors, engineers and certification must come from the integrator and KKIP. The table gives the cost drivers for budgeting.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single" w:color="005EB8" w:sz="8"/>
              <w:left w:val="single" w:color="005EB8" w:sz="8"/>
              <w:bottom w:val="single" w:color="005EB8" w:sz="8"/>
              <w:right w:val="single" w:color="005EB8" w:sz="8"/>
            </w:tcBorders>
            <w:tcMar>
              <w:top w:type="dxa" w:w="160"/>
              <w:left w:type="dxa" w:w="220"/>
              <w:bottom w:type="dxa" w:w="120"/>
              <w:right w:type="dxa" w:w="220"/>
            </w:tcMar>
          </w:tcPr>
          <w:p>
            <w:pPr>
              <w:keepNext/>
              <w:spacing w:after="80"/>
            </w:pPr>
            <w:r>
              <w:rPr>
                <w:rFonts w:ascii="Arial" w:cs="Arial" w:eastAsia="Arial" w:hAnsi="Arial"/>
                <w:b/>
                <w:bCs/>
                <w:color w:val="00338D"/>
                <w:sz w:val="20"/>
                <w:szCs w:val="20"/>
              </w:rPr>
              <w:t xml:space="preserve">Single biggest risk</w:t>
            </w:r>
          </w:p>
          <w:p>
            <w:pPr>
              <w:spacing w:after="80" w:line="264"/>
            </w:pPr>
            <w:r>
              <w:rPr>
                <w:rFonts w:ascii="Arial" w:cs="Arial" w:eastAsia="Arial" w:hAnsi="Arial"/>
                <w:color w:val="000000"/>
                <w:sz w:val="19"/>
                <w:szCs w:val="19"/>
              </w:rPr>
              <w:t xml:space="preserve">Treating DOCK-UP as a </w:t>
            </w:r>
            <w:r>
              <w:rPr>
                <w:rFonts w:ascii="Arial" w:cs="Arial" w:eastAsia="Arial" w:hAnsi="Arial"/>
                <w:b/>
                <w:bCs/>
                <w:color w:val="000000"/>
                <w:sz w:val="19"/>
                <w:szCs w:val="19"/>
              </w:rPr>
              <w:t xml:space="preserve">quota</w:t>
            </w:r>
            <w:r>
              <w:rPr>
                <w:rFonts w:ascii="Arial" w:cs="Arial" w:eastAsia="Arial" w:hAnsi="Arial"/>
                <w:color w:val="000000"/>
                <w:sz w:val="19"/>
                <w:szCs w:val="19"/>
              </w:rPr>
              <w:t xml:space="preserve"> rather than a gated path of technology and manufacturing readiness would destroy the model. Orders placed before verified readiness can cause quality failures on warships and damage the credibility of the whole programme. Integrators must mitigate volume and quality risk [D4].</w:t>
            </w:r>
          </w:p>
        </w:tc>
      </w:tr>
    </w:tbl>
    <w:p>
      <w:pPr>
        <w:spacing w:after="160"/>
      </w:pPr>
    </w:p>
    <w:p>
      <w:pPr>
        <w:pStyle w:val="Heading2"/>
        <w:keepNext/>
        <w:keepLines/>
        <w:spacing w:after="120" w:before="280"/>
      </w:pPr>
      <w:r>
        <w:rPr>
          <w:rFonts w:ascii="Arial" w:cs="Arial" w:eastAsia="Arial" w:hAnsi="Arial"/>
          <w:b/>
          <w:bCs/>
          <w:color w:val="00338D"/>
          <w:sz w:val="28"/>
          <w:szCs w:val="28"/>
        </w:rPr>
        <w:t xml:space="preserve">6.10 Extending DOCK-UP to every anchor project</w:t>
      </w:r>
    </w:p>
    <w:p>
      <w:pPr>
        <w:spacing w:after="110" w:before="0" w:line="264"/>
        <w:jc w:val="left"/>
      </w:pPr>
      <w:r>
        <w:rPr>
          <w:rFonts w:ascii="Arial" w:cs="Arial" w:eastAsia="Arial" w:hAnsi="Arial"/>
          <w:color w:val="000000"/>
          <w:sz w:val="20"/>
          <w:szCs w:val="20"/>
        </w:rPr>
        <w:t xml:space="preserve">DOCK-UP was designed for maritime and defence. D3 proposes </w:t>
      </w:r>
      <w:r>
        <w:rPr>
          <w:rFonts w:ascii="Arial" w:cs="Arial" w:eastAsia="Arial" w:hAnsi="Arial"/>
          <w:b/>
          <w:bCs/>
          <w:color w:val="000000"/>
          <w:sz w:val="20"/>
          <w:szCs w:val="20"/>
        </w:rPr>
        <w:t xml:space="preserve">one DOCK-UP scheme for all anchor projects</w:t>
      </w:r>
      <w:r>
        <w:rPr>
          <w:rFonts w:ascii="Arial" w:cs="Arial" w:eastAsia="Arial" w:hAnsi="Arial"/>
          <w:color w:val="000000"/>
          <w:sz w:val="20"/>
          <w:szCs w:val="20"/>
        </w:rPr>
        <w:t xml:space="preserve">. The gates transfer directly; what changes by sector is the certifying body, the qualification evidence and the off-taker.</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28"/>
        <w:gridCol w:w="2891"/>
        <w:gridCol w:w="2699"/>
        <w:gridCol w:w="2120"/>
      </w:tblGrid>
      <w:tr>
        <w:trPr>
          <w:cantSplit/>
          <w:tblHeader/>
        </w:trPr>
        <w:tc>
          <w:tcPr>
            <w:tcW w:type="dxa" w:w="1928"/>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Sector</w:t>
            </w:r>
          </w:p>
        </w:tc>
        <w:tc>
          <w:tcPr>
            <w:tcW w:type="dxa" w:w="2891"/>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Typical DOCK-UP packages</w:t>
            </w:r>
          </w:p>
        </w:tc>
        <w:tc>
          <w:tcPr>
            <w:tcW w:type="dxa" w:w="2699"/>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C1/C2 evidence (illustrative)</w:t>
            </w:r>
          </w:p>
        </w:tc>
        <w:tc>
          <w:tcPr>
            <w:tcW w:type="dxa" w:w="2120"/>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Off-taker</w:t>
            </w:r>
          </w:p>
        </w:tc>
      </w:tr>
      <w:tr>
        <w:trPr>
          <w:cantSplit/>
        </w:trPr>
        <w:tc>
          <w:tcPr>
            <w:tcW w:type="dxa" w:w="192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7"/>
                <w:szCs w:val="17"/>
              </w:rPr>
              <w:t xml:space="preserve">Maritime and defence</w:t>
            </w:r>
          </w:p>
        </w:tc>
        <w:tc>
          <w:tcPr>
            <w:tcW w:type="dxa" w:w="2891"/>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7"/>
                <w:szCs w:val="17"/>
              </w:rPr>
              <w:t xml:space="preserve">Valves, bearings, piping, cable harnesses, sensors, coatings, MRO</w:t>
            </w:r>
          </w:p>
        </w:tc>
        <w:tc>
          <w:tcPr>
            <w:tcW w:type="dxa" w:w="2699"/>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7"/>
                <w:szCs w:val="17"/>
              </w:rPr>
              <w:t xml:space="preserve">ISO 9001; class approval (BKI); welding ISO 3834/9606; C3 security</w:t>
            </w:r>
          </w:p>
        </w:tc>
        <w:tc>
          <w:tcPr>
            <w:tcW w:type="dxa" w:w="212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7"/>
                <w:szCs w:val="17"/>
              </w:rPr>
              <w:t xml:space="preserve">PT PAL and DEFEND ID integrators; MoD programmes</w:t>
            </w:r>
          </w:p>
        </w:tc>
      </w:tr>
      <w:tr>
        <w:trPr>
          <w:cantSplit/>
        </w:trPr>
        <w:tc>
          <w:tcPr>
            <w:tcW w:type="dxa" w:w="1928"/>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7"/>
                <w:szCs w:val="17"/>
              </w:rPr>
              <w:t xml:space="preserve">Coastal infrastructure (Giant Sea Wall)</w:t>
            </w:r>
          </w:p>
        </w:tc>
        <w:tc>
          <w:tcPr>
            <w:tcW w:type="dxa" w:w="2891"/>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7"/>
                <w:szCs w:val="17"/>
              </w:rPr>
              <w:t xml:space="preserve">Precast concrete, steel piles, sheet piles, gates, pumps, dredging support</w:t>
            </w:r>
          </w:p>
        </w:tc>
        <w:tc>
          <w:tcPr>
            <w:tcW w:type="dxa" w:w="2699"/>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7"/>
                <w:szCs w:val="17"/>
              </w:rPr>
              <w:t xml:space="preserve">Product standards and material test certificates; owner's engineer approval</w:t>
            </w:r>
          </w:p>
        </w:tc>
        <w:tc>
          <w:tcPr>
            <w:tcW w:type="dxa" w:w="212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7"/>
                <w:szCs w:val="17"/>
              </w:rPr>
              <w:t xml:space="preserve">Project companies and EPC contractors</w:t>
            </w:r>
          </w:p>
        </w:tc>
      </w:tr>
      <w:tr>
        <w:trPr>
          <w:cantSplit/>
        </w:trPr>
        <w:tc>
          <w:tcPr>
            <w:tcW w:type="dxa" w:w="192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7"/>
                <w:szCs w:val="17"/>
              </w:rPr>
              <w:t xml:space="preserve">Housing (3 Million Homes)</w:t>
            </w:r>
          </w:p>
        </w:tc>
        <w:tc>
          <w:tcPr>
            <w:tcW w:type="dxa" w:w="2891"/>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7"/>
                <w:szCs w:val="17"/>
              </w:rPr>
              <w:t xml:space="preserve">Modular and prefabricated components, HVAC, electrical systems, fittings and pumps. Mature bulk materials such as cement are, in our assumption, lower DOCK-UP priorities.</w:t>
            </w:r>
          </w:p>
        </w:tc>
        <w:tc>
          <w:tcPr>
            <w:tcW w:type="dxa" w:w="2699"/>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7"/>
                <w:szCs w:val="17"/>
              </w:rPr>
              <w:t xml:space="preserve">Product standards; factory production control for modular units</w:t>
            </w:r>
          </w:p>
        </w:tc>
        <w:tc>
          <w:tcPr>
            <w:tcW w:type="dxa" w:w="212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7"/>
                <w:szCs w:val="17"/>
              </w:rPr>
              <w:t xml:space="preserve">Housing programme developers and construction SOEs</w:t>
            </w:r>
          </w:p>
        </w:tc>
      </w:tr>
      <w:tr>
        <w:trPr>
          <w:cantSplit/>
        </w:trPr>
        <w:tc>
          <w:tcPr>
            <w:tcW w:type="dxa" w:w="1928"/>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7"/>
                <w:szCs w:val="17"/>
              </w:rPr>
              <w:t xml:space="preserve">Minerals and downstreaming</w:t>
            </w:r>
          </w:p>
        </w:tc>
        <w:tc>
          <w:tcPr>
            <w:tcW w:type="dxa" w:w="2891"/>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7"/>
                <w:szCs w:val="17"/>
              </w:rPr>
              <w:t xml:space="preserve">Process equipment parts, refractories, wear parts, electrical, maintenance services</w:t>
            </w:r>
          </w:p>
        </w:tc>
        <w:tc>
          <w:tcPr>
            <w:tcW w:type="dxa" w:w="2699"/>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7"/>
                <w:szCs w:val="17"/>
              </w:rPr>
              <w:t xml:space="preserve">Owner qualification; plant-specific vendor approval</w:t>
            </w:r>
          </w:p>
        </w:tc>
        <w:tc>
          <w:tcPr>
            <w:tcW w:type="dxa" w:w="212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7"/>
                <w:szCs w:val="17"/>
              </w:rPr>
              <w:t xml:space="preserve">Smelter and refinery operators</w:t>
            </w:r>
          </w:p>
        </w:tc>
      </w:tr>
      <w:tr>
        <w:trPr>
          <w:cantSplit/>
        </w:trPr>
        <w:tc>
          <w:tcPr>
            <w:tcW w:type="dxa" w:w="192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pPr>
            <w:r>
              <w:rPr>
                <w:rFonts w:ascii="Arial" w:cs="Arial" w:eastAsia="Arial" w:hAnsi="Arial"/>
                <w:b/>
                <w:bCs/>
                <w:color w:val="000000"/>
                <w:sz w:val="17"/>
                <w:szCs w:val="17"/>
              </w:rPr>
              <w:t xml:space="preserve">Energy and WtE</w:t>
            </w:r>
          </w:p>
        </w:tc>
        <w:tc>
          <w:tcPr>
            <w:tcW w:type="dxa" w:w="2891"/>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7"/>
                <w:szCs w:val="17"/>
              </w:rPr>
              <w:t xml:space="preserve">Boiler and grate parts, electrical balance of plant, control panels, O&amp;M services</w:t>
            </w:r>
          </w:p>
        </w:tc>
        <w:tc>
          <w:tcPr>
            <w:tcW w:type="dxa" w:w="2699"/>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7"/>
                <w:szCs w:val="17"/>
              </w:rPr>
              <w:t xml:space="preserve">Utility vendor qualification</w:t>
            </w:r>
          </w:p>
        </w:tc>
        <w:tc>
          <w:tcPr>
            <w:tcW w:type="dxa" w:w="212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7"/>
                <w:szCs w:val="17"/>
              </w:rPr>
              <w:t xml:space="preserve">Project companies; utility</w:t>
            </w:r>
          </w:p>
        </w:tc>
      </w:tr>
    </w:tbl>
    <w:p>
      <w:pPr>
        <w:keepNext w:val="false"/>
        <w:spacing w:after="140"/>
      </w:pPr>
    </w:p>
    <w:p>
      <w:pPr>
        <w:spacing w:after="80" w:before="0" w:line="264"/>
        <w:jc w:val="left"/>
      </w:pPr>
      <w:r>
        <w:rPr>
          <w:rFonts w:ascii="Arial" w:cs="Arial" w:eastAsia="Arial" w:hAnsi="Arial"/>
          <w:color w:val="000000"/>
          <w:sz w:val="16"/>
          <w:szCs w:val="16"/>
        </w:rPr>
        <w:t xml:space="preserve">Certification evidence for sectors other than maritime and defence is our illustrative proposal and must be confirmed with the relevant authorities and owners.</w:t>
      </w:r>
    </w:p>
    <w:p>
      <w:pPr>
        <w:pageBreakBefore/>
        <w:spacing w:after="0" w:line="240"/>
      </w:pPr>
      <w:r>
        <w:rPr>
          <w:sz w:val="2"/>
          <w:szCs w:val="2"/>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one" w:color="FFFFFF" w:sz="0"/>
              <w:left w:val="none" w:color="FFFFFF" w:sz="0"/>
              <w:bottom w:val="none" w:color="FFFFFF" w:sz="0"/>
              <w:right w:val="none" w:color="FFFFFF" w:sz="0"/>
            </w:tcBorders>
            <w:shd w:fill="00338D" w:color="auto" w:val="clear"/>
            <w:tcMar>
              <w:top w:type="dxa" w:w="260"/>
              <w:left w:type="dxa" w:w="300"/>
              <w:bottom w:type="dxa" w:w="300"/>
              <w:right w:type="dxa" w:w="300"/>
            </w:tcMar>
          </w:tcPr>
          <w:p>
            <w:pPr>
              <w:spacing w:after="0"/>
            </w:pPr>
            <w:r>
              <w:rPr>
                <w:rFonts w:ascii="Arial" w:cs="Arial" w:eastAsia="Arial" w:hAnsi="Arial"/>
                <w:b/>
                <w:bCs/>
                <w:color w:val="9CC7EF"/>
                <w:sz w:val="64"/>
                <w:szCs w:val="64"/>
              </w:rPr>
              <w:t xml:space="preserve">07</w:t>
            </w:r>
          </w:p>
          <w:p>
            <w:pPr>
              <w:pStyle w:val="Heading1"/>
              <w:spacing w:after="100"/>
            </w:pPr>
            <w:r>
              <w:rPr>
                <w:rFonts w:ascii="Arial" w:cs="Arial" w:eastAsia="Arial" w:hAnsi="Arial"/>
                <w:b/>
                <w:bCs/>
                <w:color w:val="FFFFFF"/>
                <w:sz w:val="40"/>
                <w:szCs w:val="40"/>
              </w:rPr>
              <w:t xml:space="preserve">Anchor projects as the demand engine</w:t>
            </w:r>
          </w:p>
          <w:p>
            <w:pPr>
              <w:spacing w:after="0" w:line="276"/>
            </w:pPr>
            <w:r>
              <w:rPr>
                <w:rFonts w:ascii="Arial" w:cs="Arial" w:eastAsia="Arial" w:hAnsi="Arial"/>
                <w:color w:val="FFFFFF"/>
                <w:sz w:val="20"/>
                <w:szCs w:val="20"/>
              </w:rPr>
              <w:t xml:space="preserve">National strategic projects in minerals, infrastructure, maritime, defence and other industries are used as guaranteed demand to build domestic supply chains.</w:t>
            </w:r>
          </w:p>
        </w:tc>
      </w:tr>
    </w:tbl>
    <w:p>
      <w:pPr>
        <w:spacing w:after="200"/>
      </w:pPr>
    </w:p>
    <w:p>
      <w:pPr>
        <w:pStyle w:val="Heading2"/>
        <w:keepNext/>
        <w:keepLines/>
        <w:spacing w:after="120" w:before="280"/>
      </w:pPr>
      <w:r>
        <w:rPr>
          <w:rFonts w:ascii="Arial" w:cs="Arial" w:eastAsia="Arial" w:hAnsi="Arial"/>
          <w:b/>
          <w:bCs/>
          <w:color w:val="00338D"/>
          <w:sz w:val="28"/>
          <w:szCs w:val="28"/>
        </w:rPr>
        <w:t xml:space="preserve">7.1 The anchor-project principle</w:t>
      </w:r>
    </w:p>
    <w:p>
      <w:pPr>
        <w:spacing w:after="110" w:before="0" w:line="264"/>
        <w:jc w:val="left"/>
      </w:pPr>
      <w:r>
        <w:rPr>
          <w:rFonts w:ascii="Arial" w:cs="Arial" w:eastAsia="Arial" w:hAnsi="Arial"/>
          <w:color w:val="000000"/>
          <w:sz w:val="20"/>
          <w:szCs w:val="20"/>
        </w:rPr>
        <w:t xml:space="preserve">An anchor project is a large, long-duration programme with predictable procurement in which Danantara or its SOEs participate. Its value to industrial policy is not only the asset it builds but the </w:t>
      </w:r>
      <w:r>
        <w:rPr>
          <w:rFonts w:ascii="Arial" w:cs="Arial" w:eastAsia="Arial" w:hAnsi="Arial"/>
          <w:b/>
          <w:bCs/>
          <w:color w:val="000000"/>
          <w:sz w:val="20"/>
          <w:szCs w:val="20"/>
        </w:rPr>
        <w:t xml:space="preserve">order book it creates</w:t>
      </w:r>
      <w:r>
        <w:rPr>
          <w:rFonts w:ascii="Arial" w:cs="Arial" w:eastAsia="Arial" w:hAnsi="Arial"/>
          <w:color w:val="000000"/>
          <w:sz w:val="20"/>
          <w:szCs w:val="20"/>
        </w:rPr>
        <w:t xml:space="preserve">. Each anchor project should publish a localisation plan identifying which packages can be supplied domestically, at which gate, and when.</w:t>
      </w:r>
    </w:p>
    <w:p>
      <w:pPr>
        <w:keepNext/>
        <w:spacing w:after="80" w:before="120"/>
      </w:pPr>
      <w:r>
        <w:rPr>
          <w:rFonts w:ascii="Arial" w:cs="Arial" w:eastAsia="Arial" w:hAnsi="Arial"/>
          <w:b/>
          <w:bCs/>
          <w:color w:val="00338D"/>
          <w:sz w:val="18"/>
          <w:szCs w:val="18"/>
        </w:rPr>
        <w:t xml:space="preserve">Table 9: </w:t>
      </w:r>
      <w:r>
        <w:rPr>
          <w:rFonts w:ascii="Arial" w:cs="Arial" w:eastAsia="Arial" w:hAnsi="Arial"/>
          <w:b/>
          <w:bCs/>
          <w:color w:val="00338D"/>
          <w:sz w:val="18"/>
          <w:szCs w:val="18"/>
        </w:rPr>
        <w:t xml:space="preserve">Anchor projects and the industrial demand they create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20"/>
        <w:gridCol w:w="2313"/>
        <w:gridCol w:w="5205"/>
      </w:tblGrid>
      <w:tr>
        <w:trPr>
          <w:cantSplit/>
          <w:tblHeader/>
        </w:trPr>
        <w:tc>
          <w:tcPr>
            <w:tcW w:type="dxa" w:w="2120"/>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Anchor project</w:t>
            </w:r>
          </w:p>
        </w:tc>
        <w:tc>
          <w:tcPr>
            <w:tcW w:type="dxa" w:w="2313"/>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Industrial platform</w:t>
            </w:r>
          </w:p>
        </w:tc>
        <w:tc>
          <w:tcPr>
            <w:tcW w:type="dxa" w:w="5205"/>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Demand created for domestic industry</w:t>
            </w:r>
          </w:p>
        </w:tc>
      </w:tr>
      <w:tr>
        <w:trPr>
          <w:cantSplit/>
        </w:trPr>
        <w:tc>
          <w:tcPr>
            <w:tcW w:type="dxa" w:w="212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7"/>
                <w:szCs w:val="17"/>
              </w:rPr>
              <w:t xml:space="preserve">Giant Sea Wall</w:t>
            </w:r>
          </w:p>
        </w:tc>
        <w:tc>
          <w:tcPr>
            <w:tcW w:type="dxa" w:w="2313"/>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7"/>
                <w:szCs w:val="17"/>
              </w:rPr>
              <w:t xml:space="preserve">Maritime and coastal industry platform</w:t>
            </w:r>
          </w:p>
        </w:tc>
        <w:tc>
          <w:tcPr>
            <w:tcW w:type="dxa" w:w="5205"/>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7"/>
                <w:szCs w:val="17"/>
              </w:rPr>
              <w:t xml:space="preserve">Concrete and steel structures; shipyards and marine equipment; pumps, water gates and local materials; flood protection and coastal resilience</w:t>
            </w:r>
          </w:p>
        </w:tc>
      </w:tr>
      <w:tr>
        <w:trPr>
          <w:cantSplit/>
        </w:trPr>
        <w:tc>
          <w:tcPr>
            <w:tcW w:type="dxa" w:w="212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7"/>
                <w:szCs w:val="17"/>
              </w:rPr>
              <w:t xml:space="preserve">3 Million Homes programme</w:t>
            </w:r>
          </w:p>
        </w:tc>
        <w:tc>
          <w:tcPr>
            <w:tcW w:type="dxa" w:w="2313"/>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7"/>
                <w:szCs w:val="17"/>
              </w:rPr>
              <w:t xml:space="preserve">National housing industry platform</w:t>
            </w:r>
          </w:p>
        </w:tc>
        <w:tc>
          <w:tcPr>
            <w:tcW w:type="dxa" w:w="5205"/>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7"/>
                <w:szCs w:val="17"/>
              </w:rPr>
              <w:t xml:space="preserve">Cement, steel, glass and ceramics; modular housing components; plumbing, electrical and HVAC systems; environmentally friendly materials</w:t>
            </w:r>
          </w:p>
        </w:tc>
      </w:tr>
      <w:tr>
        <w:trPr>
          <w:cantSplit/>
        </w:trPr>
        <w:tc>
          <w:tcPr>
            <w:tcW w:type="dxa" w:w="212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7"/>
                <w:szCs w:val="17"/>
              </w:rPr>
              <w:t xml:space="preserve">Maritime industry</w:t>
            </w:r>
          </w:p>
        </w:tc>
        <w:tc>
          <w:tcPr>
            <w:tcW w:type="dxa" w:w="2313"/>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7"/>
                <w:szCs w:val="17"/>
              </w:rPr>
              <w:t xml:space="preserve">Shipyards, components and MRO</w:t>
            </w:r>
          </w:p>
        </w:tc>
        <w:tc>
          <w:tcPr>
            <w:tcW w:type="dxa" w:w="5205"/>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7"/>
                <w:szCs w:val="17"/>
              </w:rPr>
              <w:t xml:space="preserve">Commercial and special-purpose vessels; engines, propulsion and marine systems; MRO and docking; ship components, electronics and equipment</w:t>
            </w:r>
          </w:p>
        </w:tc>
      </w:tr>
      <w:tr>
        <w:trPr>
          <w:cantSplit/>
        </w:trPr>
        <w:tc>
          <w:tcPr>
            <w:tcW w:type="dxa" w:w="212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7"/>
                <w:szCs w:val="17"/>
              </w:rPr>
              <w:t xml:space="preserve">Defence industry</w:t>
            </w:r>
          </w:p>
        </w:tc>
        <w:tc>
          <w:tcPr>
            <w:tcW w:type="dxa" w:w="2313"/>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7"/>
                <w:szCs w:val="17"/>
              </w:rPr>
              <w:t xml:space="preserve">Defence equipment and support systems</w:t>
            </w:r>
          </w:p>
        </w:tc>
        <w:tc>
          <w:tcPr>
            <w:tcW w:type="dxa" w:w="5205"/>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7"/>
                <w:szCs w:val="17"/>
              </w:rPr>
              <w:t xml:space="preserve">Land, sea and air platforms; electronics, sensors and radar; engines, propulsion and special materials; system integration and maintenance</w:t>
            </w:r>
          </w:p>
        </w:tc>
      </w:tr>
      <w:tr>
        <w:trPr>
          <w:cantSplit/>
        </w:trPr>
        <w:tc>
          <w:tcPr>
            <w:tcW w:type="dxa" w:w="212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7"/>
                <w:szCs w:val="17"/>
              </w:rPr>
              <w:t xml:space="preserve">Mineral downstreaming</w:t>
            </w:r>
          </w:p>
        </w:tc>
        <w:tc>
          <w:tcPr>
            <w:tcW w:type="dxa" w:w="2313"/>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7"/>
                <w:szCs w:val="17"/>
              </w:rPr>
              <w:t xml:space="preserve">Minerals and materials platform</w:t>
            </w:r>
          </w:p>
        </w:tc>
        <w:tc>
          <w:tcPr>
            <w:tcW w:type="dxa" w:w="5205"/>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7"/>
                <w:szCs w:val="17"/>
              </w:rPr>
              <w:t xml:space="preserve">Nickel, aluminium, bauxite and copper processing: smelters, alumina, caustic soda; process equipment, maintenance and logistics services</w:t>
            </w:r>
          </w:p>
        </w:tc>
      </w:tr>
      <w:tr>
        <w:trPr>
          <w:cantSplit/>
        </w:trPr>
        <w:tc>
          <w:tcPr>
            <w:tcW w:type="dxa" w:w="212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pPr>
            <w:r>
              <w:rPr>
                <w:rFonts w:ascii="Arial" w:cs="Arial" w:eastAsia="Arial" w:hAnsi="Arial"/>
                <w:b/>
                <w:bCs/>
                <w:color w:val="000000"/>
                <w:sz w:val="17"/>
                <w:szCs w:val="17"/>
              </w:rPr>
              <w:t xml:space="preserve">Other strategic industries</w:t>
            </w:r>
          </w:p>
        </w:tc>
        <w:tc>
          <w:tcPr>
            <w:tcW w:type="dxa" w:w="2313"/>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pPr>
            <w:r>
              <w:rPr>
                <w:rFonts w:ascii="Arial" w:cs="Arial" w:eastAsia="Arial" w:hAnsi="Arial"/>
                <w:color w:val="000000"/>
                <w:sz w:val="17"/>
                <w:szCs w:val="17"/>
              </w:rPr>
              <w:t xml:space="preserve">Chemicals, energy, digital, food</w:t>
            </w:r>
          </w:p>
        </w:tc>
        <w:tc>
          <w:tcPr>
            <w:tcW w:type="dxa" w:w="5205"/>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pPr>
            <w:r>
              <w:rPr>
                <w:rFonts w:ascii="Arial" w:cs="Arial" w:eastAsia="Arial" w:hAnsi="Arial"/>
                <w:color w:val="000000"/>
                <w:sz w:val="17"/>
                <w:szCs w:val="17"/>
              </w:rPr>
              <w:t xml:space="preserve">CA–EDC chemicals, waste-to-energy, data centres, agriculture and fertiliser; to be split into proper clusters once the register is complete</w:t>
            </w:r>
          </w:p>
        </w:tc>
      </w:tr>
    </w:tbl>
    <w:p>
      <w:pPr>
        <w:keepNext w:val="false"/>
        <w:spacing w:after="140"/>
      </w:pPr>
    </w:p>
    <w:p>
      <w:pPr>
        <w:spacing w:after="160"/>
      </w:pPr>
      <w:r>
        <w:rPr>
          <w:rFonts w:ascii="Arial" w:cs="Arial" w:eastAsia="Arial" w:hAnsi="Arial"/>
          <w:i/>
          <w:iCs/>
          <w:color w:val="000000"/>
          <w:sz w:val="15"/>
          <w:szCs w:val="15"/>
        </w:rPr>
        <w:t xml:space="preserve">Source: D3 pp.1–2; D1/S06–S08; D2 §9.</w:t>
      </w:r>
    </w:p>
    <w:p>
      <w:pPr>
        <w:pStyle w:val="Heading2"/>
        <w:keepNext/>
        <w:keepLines/>
        <w:spacing w:after="120" w:before="280"/>
      </w:pPr>
      <w:r>
        <w:rPr>
          <w:rFonts w:ascii="Arial" w:cs="Arial" w:eastAsia="Arial" w:hAnsi="Arial"/>
          <w:b/>
          <w:bCs/>
          <w:color w:val="00338D"/>
          <w:sz w:val="28"/>
          <w:szCs w:val="28"/>
        </w:rPr>
        <w:t xml:space="preserve">7.2 Four initial clusters</w:t>
      </w:r>
    </w:p>
    <w:p>
      <w:pPr>
        <w:spacing w:after="110" w:before="0" w:line="264"/>
        <w:jc w:val="left"/>
      </w:pPr>
      <w:r>
        <w:rPr>
          <w:rFonts w:ascii="Arial" w:cs="Arial" w:eastAsia="Arial" w:hAnsi="Arial"/>
          <w:color w:val="000000"/>
          <w:sz w:val="20"/>
          <w:szCs w:val="20"/>
        </w:rPr>
        <w:t xml:space="preserve">D2 proposes four initial clusters aligned with the portfolio material. “Others” must be split once a complete register exists, because food, digital, health and other projects need different expertise. Civil shipbuilding and defence should be organised as separate work packages even within one cluster [D2].</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28"/>
        <w:gridCol w:w="3181"/>
        <w:gridCol w:w="1831"/>
        <w:gridCol w:w="2698"/>
      </w:tblGrid>
      <w:tr>
        <w:trPr>
          <w:cantSplit/>
          <w:tblHeader/>
        </w:trPr>
        <w:tc>
          <w:tcPr>
            <w:tcW w:type="dxa" w:w="1928"/>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Cluster</w:t>
            </w:r>
          </w:p>
        </w:tc>
        <w:tc>
          <w:tcPr>
            <w:tcW w:type="dxa" w:w="3181"/>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Anchor projects (examples)</w:t>
            </w:r>
          </w:p>
        </w:tc>
        <w:tc>
          <w:tcPr>
            <w:tcW w:type="dxa" w:w="1831"/>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Portfolio value, summary table (Rp tn)</w:t>
            </w:r>
          </w:p>
        </w:tc>
        <w:tc>
          <w:tcPr>
            <w:tcW w:type="dxa" w:w="2698"/>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Cluster leader's first tasks</w:t>
            </w:r>
          </w:p>
        </w:tc>
      </w:tr>
      <w:tr>
        <w:trPr>
          <w:cantSplit/>
        </w:trPr>
        <w:tc>
          <w:tcPr>
            <w:tcW w:type="dxa" w:w="192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7"/>
                <w:szCs w:val="17"/>
              </w:rPr>
              <w:t xml:space="preserve">Minerals and materials</w:t>
            </w:r>
          </w:p>
        </w:tc>
        <w:tc>
          <w:tcPr>
            <w:tcW w:type="dxa" w:w="3181"/>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7"/>
                <w:szCs w:val="17"/>
              </w:rPr>
              <w:t xml:space="preserve">Nickel, bauxite–alumina–aluminium, copper, battery materials</w:t>
            </w:r>
          </w:p>
        </w:tc>
        <w:tc>
          <w:tcPr>
            <w:tcW w:type="dxa" w:w="1831"/>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7"/>
                <w:szCs w:val="17"/>
              </w:rPr>
              <w:t xml:space="preserve">283.85</w:t>
            </w:r>
          </w:p>
        </w:tc>
        <w:tc>
          <w:tcPr>
            <w:tcW w:type="dxa" w:w="269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7"/>
                <w:szCs w:val="17"/>
              </w:rPr>
              <w:t xml:space="preserve">Map raw materials, markets, technology and shared facilities; set capability tests</w:t>
            </w:r>
          </w:p>
        </w:tc>
      </w:tr>
      <w:tr>
        <w:trPr>
          <w:cantSplit/>
        </w:trPr>
        <w:tc>
          <w:tcPr>
            <w:tcW w:type="dxa" w:w="1928"/>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7"/>
                <w:szCs w:val="17"/>
              </w:rPr>
              <w:t xml:space="preserve">Energy and industrial infrastructure</w:t>
            </w:r>
          </w:p>
        </w:tc>
        <w:tc>
          <w:tcPr>
            <w:tcW w:type="dxa" w:w="3181"/>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7"/>
                <w:szCs w:val="17"/>
              </w:rPr>
              <w:t xml:space="preserve">Giant Sea Wall, energy, WtE, ports, industrial estates, 3 Million Homes</w:t>
            </w:r>
          </w:p>
        </w:tc>
        <w:tc>
          <w:tcPr>
            <w:tcW w:type="dxa" w:w="1831"/>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7"/>
                <w:szCs w:val="17"/>
              </w:rPr>
              <w:t xml:space="preserve">1,274.57 (infrastructure)</w:t>
            </w:r>
          </w:p>
        </w:tc>
        <w:tc>
          <w:tcPr>
            <w:tcW w:type="dxa" w:w="2698"/>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7"/>
                <w:szCs w:val="17"/>
              </w:rPr>
              <w:t xml:space="preserve">Package localisable items; align construction SOEs with DOCK-UP</w:t>
            </w:r>
          </w:p>
        </w:tc>
      </w:tr>
      <w:tr>
        <w:trPr>
          <w:cantSplit/>
        </w:trPr>
        <w:tc>
          <w:tcPr>
            <w:tcW w:type="dxa" w:w="192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7"/>
                <w:szCs w:val="17"/>
              </w:rPr>
              <w:t xml:space="preserve">Defence and maritime</w:t>
            </w:r>
          </w:p>
        </w:tc>
        <w:tc>
          <w:tcPr>
            <w:tcW w:type="dxa" w:w="3181"/>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7"/>
                <w:szCs w:val="17"/>
              </w:rPr>
              <w:t xml:space="preserve">Submarines, frigates, LPDs, hospital ships, MRO, DEFEND ID programmes</w:t>
            </w:r>
          </w:p>
        </w:tc>
        <w:tc>
          <w:tcPr>
            <w:tcW w:type="dxa" w:w="1831"/>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7"/>
                <w:szCs w:val="17"/>
              </w:rPr>
              <w:t xml:space="preserve">81.10</w:t>
            </w:r>
          </w:p>
        </w:tc>
        <w:tc>
          <w:tcPr>
            <w:tcW w:type="dxa" w:w="269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7"/>
                <w:szCs w:val="17"/>
              </w:rPr>
              <w:t xml:space="preserve">Launch the DOCK-UP pilot; link offsets to packages</w:t>
            </w:r>
          </w:p>
        </w:tc>
      </w:tr>
      <w:tr>
        <w:trPr>
          <w:cantSplit/>
        </w:trPr>
        <w:tc>
          <w:tcPr>
            <w:tcW w:type="dxa" w:w="1928"/>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pPr>
            <w:r>
              <w:rPr>
                <w:rFonts w:ascii="Arial" w:cs="Arial" w:eastAsia="Arial" w:hAnsi="Arial"/>
                <w:b/>
                <w:bCs/>
                <w:color w:val="000000"/>
                <w:sz w:val="17"/>
                <w:szCs w:val="17"/>
              </w:rPr>
              <w:t xml:space="preserve">Other strategic manufacturing</w:t>
            </w:r>
          </w:p>
        </w:tc>
        <w:tc>
          <w:tcPr>
            <w:tcW w:type="dxa" w:w="3181"/>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7"/>
                <w:szCs w:val="17"/>
              </w:rPr>
              <w:t xml:space="preserve">Chemicals (CA–EDC), digital, food, health</w:t>
            </w:r>
          </w:p>
        </w:tc>
        <w:tc>
          <w:tcPr>
            <w:tcW w:type="dxa" w:w="1831"/>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7"/>
                <w:szCs w:val="17"/>
              </w:rPr>
              <w:t xml:space="preserve">451.94 (others)</w:t>
            </w:r>
          </w:p>
        </w:tc>
        <w:tc>
          <w:tcPr>
            <w:tcW w:type="dxa" w:w="2698"/>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7"/>
                <w:szCs w:val="17"/>
              </w:rPr>
              <w:t xml:space="preserve">Split by sector; assign specialist leads</w:t>
            </w:r>
          </w:p>
        </w:tc>
      </w:tr>
    </w:tbl>
    <w:p>
      <w:pPr>
        <w:keepNext w:val="false"/>
        <w:spacing w:after="140"/>
      </w:pPr>
    </w:p>
    <w:p>
      <w:pPr>
        <w:spacing w:after="80" w:before="0" w:line="264"/>
        <w:jc w:val="left"/>
      </w:pPr>
      <w:r>
        <w:rPr>
          <w:rFonts w:ascii="Arial" w:cs="Arial" w:eastAsia="Arial" w:hAnsi="Arial"/>
          <w:color w:val="000000"/>
          <w:sz w:val="16"/>
          <w:szCs w:val="16"/>
        </w:rPr>
        <w:t xml:space="preserve">Values are from the unreconciled summary table and are shown for orientation only (see Section 4.6).</w:t>
      </w:r>
    </w:p>
    <w:p>
      <w:pPr>
        <w:pStyle w:val="Heading2"/>
        <w:keepNext/>
        <w:keepLines/>
        <w:spacing w:after="120" w:before="280"/>
      </w:pPr>
      <w:r>
        <w:rPr>
          <w:rFonts w:ascii="Arial" w:cs="Arial" w:eastAsia="Arial" w:hAnsi="Arial"/>
          <w:b/>
          <w:bCs/>
          <w:color w:val="00338D"/>
          <w:sz w:val="28"/>
          <w:szCs w:val="28"/>
        </w:rPr>
        <w:t xml:space="preserve">7.3 Capability tests by cluster</w:t>
      </w:r>
    </w:p>
    <w:p>
      <w:pPr>
        <w:spacing w:after="110" w:before="0" w:line="264"/>
        <w:jc w:val="left"/>
      </w:pPr>
      <w:r>
        <w:rPr>
          <w:rFonts w:ascii="Arial" w:cs="Arial" w:eastAsia="Arial" w:hAnsi="Arial"/>
          <w:color w:val="000000"/>
          <w:sz w:val="20"/>
          <w:szCs w:val="20"/>
        </w:rPr>
        <w:t xml:space="preserve">Each cluster needs two sets of tests: financial and operating tests, and industrial-capability tests. A pilot or demonstration must never be mistaken for industrial success [D1].</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20"/>
        <w:gridCol w:w="3759"/>
        <w:gridCol w:w="3759"/>
      </w:tblGrid>
      <w:tr>
        <w:trPr>
          <w:cantSplit/>
          <w:tblHeader/>
        </w:trPr>
        <w:tc>
          <w:tcPr>
            <w:tcW w:type="dxa" w:w="2120"/>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Cluster</w:t>
            </w:r>
          </w:p>
        </w:tc>
        <w:tc>
          <w:tcPr>
            <w:tcW w:type="dxa" w:w="3759"/>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Financial and operating tests</w:t>
            </w:r>
          </w:p>
        </w:tc>
        <w:tc>
          <w:tcPr>
            <w:tcW w:type="dxa" w:w="3759"/>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Industrial capability and outcome tests</w:t>
            </w:r>
          </w:p>
        </w:tc>
      </w:tr>
      <w:tr>
        <w:trPr>
          <w:cantSplit/>
        </w:trPr>
        <w:tc>
          <w:tcPr>
            <w:tcW w:type="dxa" w:w="212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7"/>
                <w:szCs w:val="17"/>
              </w:rPr>
              <w:t xml:space="preserve">Battery materials, recycling, storage</w:t>
            </w:r>
          </w:p>
        </w:tc>
        <w:tc>
          <w:tcPr>
            <w:tcW w:type="dxa" w:w="3759"/>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7"/>
                <w:szCs w:val="17"/>
              </w:rPr>
              <w:t xml:space="preserve">Yield, recovery, delivered cost, qualification costs, working capital, offtake, IRR, scale-up capex</w:t>
            </w:r>
          </w:p>
        </w:tc>
        <w:tc>
          <w:tcPr>
            <w:tcW w:type="dxa" w:w="3759"/>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7"/>
                <w:szCs w:val="17"/>
              </w:rPr>
              <w:t xml:space="preserve">Battery-grade qualified output, verified local value added, operating IP rights, repeat sales, lifecycle emissions</w:t>
            </w:r>
          </w:p>
        </w:tc>
      </w:tr>
      <w:tr>
        <w:trPr>
          <w:cantSplit/>
        </w:trPr>
        <w:tc>
          <w:tcPr>
            <w:tcW w:type="dxa" w:w="212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7"/>
                <w:szCs w:val="17"/>
              </w:rPr>
              <w:t xml:space="preserve">Alumina, aluminium, minerals</w:t>
            </w:r>
          </w:p>
        </w:tc>
        <w:tc>
          <w:tcPr>
            <w:tcW w:type="dxa" w:w="3759"/>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7"/>
                <w:szCs w:val="17"/>
              </w:rPr>
              <w:t xml:space="preserve">Ore and energy costs, recovery, utilisation, logistics, downside metal-price returns</w:t>
            </w:r>
          </w:p>
        </w:tc>
        <w:tc>
          <w:tcPr>
            <w:tcW w:type="dxa" w:w="3759"/>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7"/>
                <w:szCs w:val="17"/>
              </w:rPr>
              <w:t xml:space="preserve">Incremental domestic processing value, net FX after imported inputs, supplier capability, energy and carbon intensity</w:t>
            </w:r>
          </w:p>
        </w:tc>
      </w:tr>
      <w:tr>
        <w:trPr>
          <w:cantSplit/>
        </w:trPr>
        <w:tc>
          <w:tcPr>
            <w:tcW w:type="dxa" w:w="212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7"/>
                <w:szCs w:val="17"/>
              </w:rPr>
              <w:t xml:space="preserve">CA–EDC and chemicals</w:t>
            </w:r>
          </w:p>
        </w:tc>
        <w:tc>
          <w:tcPr>
            <w:tcW w:type="dxa" w:w="3759"/>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7"/>
                <w:szCs w:val="17"/>
              </w:rPr>
              <w:t xml:space="preserve">Power and feedstock intensity, utilisation, product spreads, safety, cash generation</w:t>
            </w:r>
          </w:p>
        </w:tc>
        <w:tc>
          <w:tcPr>
            <w:tcW w:type="dxa" w:w="3759"/>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7"/>
                <w:szCs w:val="17"/>
              </w:rPr>
              <w:t xml:space="preserve">Commercial import displacement, export competitiveness, reliable domestic supply</w:t>
            </w:r>
          </w:p>
        </w:tc>
      </w:tr>
      <w:tr>
        <w:trPr>
          <w:cantSplit/>
        </w:trPr>
        <w:tc>
          <w:tcPr>
            <w:tcW w:type="dxa" w:w="212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7"/>
                <w:szCs w:val="17"/>
              </w:rPr>
              <w:t xml:space="preserve">Waste-to-energy and clean infrastructure</w:t>
            </w:r>
          </w:p>
        </w:tc>
        <w:tc>
          <w:tcPr>
            <w:tcW w:type="dxa" w:w="3759"/>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7"/>
                <w:szCs w:val="17"/>
              </w:rPr>
              <w:t xml:space="preserve">Whole-life service cost, contracted revenue, debt service, residual waste liabilities</w:t>
            </w:r>
          </w:p>
        </w:tc>
        <w:tc>
          <w:tcPr>
            <w:tcW w:type="dxa" w:w="3759"/>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7"/>
                <w:szCs w:val="17"/>
              </w:rPr>
              <w:t xml:space="preserve">Waste actually processed, net lifecycle GHG, local air quality, affordability, recycling effects</w:t>
            </w:r>
          </w:p>
        </w:tc>
      </w:tr>
      <w:tr>
        <w:trPr>
          <w:cantSplit/>
        </w:trPr>
        <w:tc>
          <w:tcPr>
            <w:tcW w:type="dxa" w:w="212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7"/>
                <w:szCs w:val="17"/>
              </w:rPr>
              <w:t xml:space="preserve">Maritime, shipbuilding, logistics</w:t>
            </w:r>
          </w:p>
        </w:tc>
        <w:tc>
          <w:tcPr>
            <w:tcW w:type="dxa" w:w="3759"/>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7"/>
                <w:szCs w:val="17"/>
              </w:rPr>
              <w:t xml:space="preserve">Order-book quality, on-time delivery, lifecycle cost, repair turnaround, warranty liabilities</w:t>
            </w:r>
          </w:p>
        </w:tc>
        <w:tc>
          <w:tcPr>
            <w:tcW w:type="dxa" w:w="3759"/>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7"/>
                <w:szCs w:val="17"/>
              </w:rPr>
              <w:t xml:space="preserve">Certified design and manufacturing capability, domestic component value, export orders, logistics productivity</w:t>
            </w:r>
          </w:p>
        </w:tc>
      </w:tr>
      <w:tr>
        <w:trPr>
          <w:cantSplit/>
        </w:trPr>
        <w:tc>
          <w:tcPr>
            <w:tcW w:type="dxa" w:w="212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pPr>
            <w:r>
              <w:rPr>
                <w:rFonts w:ascii="Arial" w:cs="Arial" w:eastAsia="Arial" w:hAnsi="Arial"/>
                <w:b/>
                <w:bCs/>
                <w:color w:val="000000"/>
                <w:sz w:val="17"/>
                <w:szCs w:val="17"/>
              </w:rPr>
              <w:t xml:space="preserve">Advanced technology, strategic manufacturing</w:t>
            </w:r>
          </w:p>
        </w:tc>
        <w:tc>
          <w:tcPr>
            <w:tcW w:type="dxa" w:w="3759"/>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7"/>
                <w:szCs w:val="17"/>
              </w:rPr>
              <w:t xml:space="preserve">Stage-gated R&amp;D capital, qualified demand, cost-down path, commercial-scale readiness</w:t>
            </w:r>
          </w:p>
        </w:tc>
        <w:tc>
          <w:tcPr>
            <w:tcW w:type="dxa" w:w="3759"/>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7"/>
                <w:szCs w:val="17"/>
              </w:rPr>
              <w:t xml:space="preserve">Production quality, domestic engineering autonomy, competitive repeat orders</w:t>
            </w:r>
          </w:p>
        </w:tc>
      </w:tr>
    </w:tbl>
    <w:p>
      <w:pPr>
        <w:keepNext w:val="false"/>
        <w:spacing w:after="140"/>
      </w:pPr>
    </w:p>
    <w:p>
      <w:pPr>
        <w:spacing w:after="160"/>
      </w:pPr>
      <w:r>
        <w:rPr>
          <w:rFonts w:ascii="Arial" w:cs="Arial" w:eastAsia="Arial" w:hAnsi="Arial"/>
          <w:i/>
          <w:iCs/>
          <w:color w:val="000000"/>
          <w:sz w:val="15"/>
          <w:szCs w:val="15"/>
        </w:rPr>
        <w:t xml:space="preserve">Source: D1, “Apply the framework to strategic industries”.</w:t>
      </w:r>
    </w:p>
    <w:p>
      <w:pPr>
        <w:pStyle w:val="Heading2"/>
        <w:keepNext/>
        <w:keepLines/>
        <w:spacing w:after="120" w:before="280"/>
      </w:pPr>
      <w:r>
        <w:rPr>
          <w:rFonts w:ascii="Arial" w:cs="Arial" w:eastAsia="Arial" w:hAnsi="Arial"/>
          <w:b/>
          <w:bCs/>
          <w:color w:val="00338D"/>
          <w:sz w:val="28"/>
          <w:szCs w:val="28"/>
        </w:rPr>
        <w:t xml:space="preserve">7.4 Linking project gates and supplier gates</w:t>
      </w:r>
    </w:p>
    <w:p>
      <w:pPr>
        <w:spacing w:after="110" w:before="0" w:line="264"/>
        <w:jc w:val="left"/>
      </w:pPr>
      <w:r>
        <w:rPr>
          <w:rFonts w:ascii="Arial" w:cs="Arial" w:eastAsia="Arial" w:hAnsi="Arial"/>
          <w:color w:val="000000"/>
          <w:sz w:val="20"/>
          <w:szCs w:val="20"/>
        </w:rPr>
        <w:t xml:space="preserve">Two gate systems must interlock. Project gates (D2's G0–G6, here labelled </w:t>
      </w:r>
      <w:r>
        <w:rPr>
          <w:rFonts w:ascii="Arial" w:cs="Arial" w:eastAsia="Arial" w:hAnsi="Arial"/>
          <w:b/>
          <w:bCs/>
          <w:color w:val="000000"/>
          <w:sz w:val="20"/>
          <w:szCs w:val="20"/>
        </w:rPr>
        <w:t xml:space="preserve">P0–P6</w:t>
      </w:r>
      <w:r>
        <w:rPr>
          <w:rFonts w:ascii="Arial" w:cs="Arial" w:eastAsia="Arial" w:hAnsi="Arial"/>
          <w:color w:val="000000"/>
          <w:sz w:val="20"/>
          <w:szCs w:val="20"/>
        </w:rPr>
        <w:t xml:space="preserve"> to avoid confusion) govern whether a project proceeds. Supplier gates (D4's </w:t>
      </w:r>
      <w:r>
        <w:rPr>
          <w:rFonts w:ascii="Arial" w:cs="Arial" w:eastAsia="Arial" w:hAnsi="Arial"/>
          <w:b/>
          <w:bCs/>
          <w:color w:val="000000"/>
          <w:sz w:val="20"/>
          <w:szCs w:val="20"/>
        </w:rPr>
        <w:t xml:space="preserve">G1–G4</w:t>
      </w:r>
      <w:r>
        <w:rPr>
          <w:rFonts w:ascii="Arial" w:cs="Arial" w:eastAsia="Arial" w:hAnsi="Arial"/>
          <w:color w:val="000000"/>
          <w:sz w:val="20"/>
          <w:szCs w:val="20"/>
        </w:rPr>
        <w:t xml:space="preserve">) govern whether a supplier receives volume. The </w:t>
      </w:r>
      <w:r>
        <w:rPr>
          <w:rFonts w:ascii="Arial" w:cs="Arial" w:eastAsia="Arial" w:hAnsi="Arial"/>
          <w:b/>
          <w:bCs/>
          <w:color w:val="000000"/>
          <w:sz w:val="20"/>
          <w:szCs w:val="20"/>
        </w:rPr>
        <w:t xml:space="preserve">localisation plan</w:t>
      </w:r>
      <w:r>
        <w:rPr>
          <w:rFonts w:ascii="Arial" w:cs="Arial" w:eastAsia="Arial" w:hAnsi="Arial"/>
          <w:color w:val="000000"/>
          <w:sz w:val="20"/>
          <w:szCs w:val="20"/>
        </w:rPr>
        <w:t xml:space="preserve"> is the document that connects them.</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20"/>
        <w:gridCol w:w="3855"/>
        <w:gridCol w:w="3663"/>
      </w:tblGrid>
      <w:tr>
        <w:trPr>
          <w:cantSplit/>
          <w:tblHeader/>
        </w:trPr>
        <w:tc>
          <w:tcPr>
            <w:tcW w:type="dxa" w:w="2120"/>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Project gate</w:t>
            </w:r>
          </w:p>
        </w:tc>
        <w:tc>
          <w:tcPr>
            <w:tcW w:type="dxa" w:w="3855"/>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Evidence to proceed (D2)</w:t>
            </w:r>
          </w:p>
        </w:tc>
        <w:tc>
          <w:tcPr>
            <w:tcW w:type="dxa" w:w="3663"/>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Localisation requirement (proposed)</w:t>
            </w:r>
          </w:p>
        </w:tc>
      </w:tr>
      <w:tr>
        <w:trPr>
          <w:cantSplit/>
        </w:trPr>
        <w:tc>
          <w:tcPr>
            <w:tcW w:type="dxa" w:w="212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7"/>
                <w:szCs w:val="17"/>
              </w:rPr>
              <w:t xml:space="preserve">P0 Mandate validation</w:t>
            </w:r>
          </w:p>
        </w:tc>
        <w:tc>
          <w:tcPr>
            <w:tcW w:type="dxa" w:w="3855"/>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7"/>
                <w:szCs w:val="17"/>
              </w:rPr>
              <w:t xml:space="preserve">Project identity, mandate basis, sponsor, scope, cost data, decision path</w:t>
            </w:r>
          </w:p>
        </w:tc>
        <w:tc>
          <w:tcPr>
            <w:tcW w:type="dxa" w:w="3663"/>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7"/>
                <w:szCs w:val="17"/>
              </w:rPr>
              <w:t xml:space="preserve">Flag whether the project is an anchor with localisable packages</w:t>
            </w:r>
          </w:p>
        </w:tc>
      </w:tr>
      <w:tr>
        <w:trPr>
          <w:cantSplit/>
        </w:trPr>
        <w:tc>
          <w:tcPr>
            <w:tcW w:type="dxa" w:w="212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7"/>
                <w:szCs w:val="17"/>
              </w:rPr>
              <w:t xml:space="preserve">P1 Priority and options</w:t>
            </w:r>
          </w:p>
        </w:tc>
        <w:tc>
          <w:tcPr>
            <w:tcW w:type="dxa" w:w="3855"/>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7"/>
                <w:szCs w:val="17"/>
              </w:rPr>
              <w:t xml:space="preserve">Financial case and national-impact case; alternatives including not building; links between projects</w:t>
            </w:r>
          </w:p>
        </w:tc>
        <w:tc>
          <w:tcPr>
            <w:tcW w:type="dxa" w:w="3663"/>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7"/>
                <w:szCs w:val="17"/>
              </w:rPr>
              <w:t xml:space="preserve">Long list of localisable packages with current import share</w:t>
            </w:r>
          </w:p>
        </w:tc>
      </w:tr>
      <w:tr>
        <w:trPr>
          <w:cantSplit/>
        </w:trPr>
        <w:tc>
          <w:tcPr>
            <w:tcW w:type="dxa" w:w="212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7"/>
                <w:szCs w:val="17"/>
              </w:rPr>
              <w:t xml:space="preserve">P2 Investment readiness</w:t>
            </w:r>
          </w:p>
        </w:tc>
        <w:tc>
          <w:tcPr>
            <w:tcW w:type="dxa" w:w="3855"/>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7"/>
                <w:szCs w:val="17"/>
              </w:rPr>
              <w:t xml:space="preserve">Studies, technical, land, permits, IP, E&amp;S, market, offtake, risk, cost, sources of capital</w:t>
            </w:r>
          </w:p>
        </w:tc>
        <w:tc>
          <w:tcPr>
            <w:tcW w:type="dxa" w:w="3663"/>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7"/>
                <w:szCs w:val="17"/>
              </w:rPr>
              <w:t xml:space="preserve">Localisation plan: packages by PBS, candidate suppliers with verified TRL/MRL baselines, required-on-site dates</w:t>
            </w:r>
          </w:p>
        </w:tc>
      </w:tr>
      <w:tr>
        <w:trPr>
          <w:cantSplit/>
        </w:trPr>
        <w:tc>
          <w:tcPr>
            <w:tcW w:type="dxa" w:w="212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7"/>
                <w:szCs w:val="17"/>
              </w:rPr>
              <w:t xml:space="preserve">P3 Capital decision</w:t>
            </w:r>
          </w:p>
        </w:tc>
        <w:tc>
          <w:tcPr>
            <w:tcW w:type="dxa" w:w="3855"/>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7"/>
                <w:szCs w:val="17"/>
              </w:rPr>
              <w:t xml:space="preserve">Committee recommendation, dissent, conflicts, reserved approvals, conditions</w:t>
            </w:r>
          </w:p>
        </w:tc>
        <w:tc>
          <w:tcPr>
            <w:tcW w:type="dxa" w:w="3663"/>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7"/>
                <w:szCs w:val="17"/>
              </w:rPr>
              <w:t xml:space="preserve">Framework contracts and offset packages written into the EPC/supply contracts, with tranches tied to G1–G3</w:t>
            </w:r>
          </w:p>
        </w:tc>
      </w:tr>
      <w:tr>
        <w:trPr>
          <w:cantSplit/>
        </w:trPr>
        <w:tc>
          <w:tcPr>
            <w:tcW w:type="dxa" w:w="212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7"/>
                <w:szCs w:val="17"/>
              </w:rPr>
              <w:t xml:space="preserve">P4 Financial close and construction</w:t>
            </w:r>
          </w:p>
        </w:tc>
        <w:tc>
          <w:tcPr>
            <w:tcW w:type="dxa" w:w="3855"/>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7"/>
                <w:szCs w:val="17"/>
              </w:rPr>
              <w:t xml:space="preserve">Binding funding, conditions precedent, effective contracts, permits, baseline schedule, change control</w:t>
            </w:r>
          </w:p>
        </w:tc>
        <w:tc>
          <w:tcPr>
            <w:tcW w:type="dxa" w:w="3663"/>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7"/>
                <w:szCs w:val="17"/>
              </w:rPr>
              <w:t xml:space="preserve">Tranches released only as suppliers pass gates; fall-back import route pre-approved for schedule protection</w:t>
            </w:r>
          </w:p>
        </w:tc>
      </w:tr>
      <w:tr>
        <w:trPr>
          <w:cantSplit/>
        </w:trPr>
        <w:tc>
          <w:tcPr>
            <w:tcW w:type="dxa" w:w="212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7"/>
                <w:szCs w:val="17"/>
              </w:rPr>
              <w:t xml:space="preserve">P5 Commissioning and operation</w:t>
            </w:r>
          </w:p>
        </w:tc>
        <w:tc>
          <w:tcPr>
            <w:tcW w:type="dxa" w:w="3855"/>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7"/>
                <w:szCs w:val="17"/>
              </w:rPr>
              <w:t xml:space="preserve">Performance tests, safety, asset acceptance, operator, supply-chain readiness, certification</w:t>
            </w:r>
          </w:p>
        </w:tc>
        <w:tc>
          <w:tcPr>
            <w:tcW w:type="dxa" w:w="3663"/>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7"/>
                <w:szCs w:val="17"/>
              </w:rPr>
              <w:t xml:space="preserve">Supplier performance and spares readiness verified; through-life support contracts</w:t>
            </w:r>
          </w:p>
        </w:tc>
      </w:tr>
      <w:tr>
        <w:trPr>
          <w:cantSplit/>
        </w:trPr>
        <w:tc>
          <w:tcPr>
            <w:tcW w:type="dxa" w:w="212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pPr>
            <w:r>
              <w:rPr>
                <w:rFonts w:ascii="Arial" w:cs="Arial" w:eastAsia="Arial" w:hAnsi="Arial"/>
                <w:b/>
                <w:bCs/>
                <w:color w:val="000000"/>
                <w:sz w:val="17"/>
                <w:szCs w:val="17"/>
              </w:rPr>
              <w:t xml:space="preserve">P6 Results evaluation</w:t>
            </w:r>
          </w:p>
        </w:tc>
        <w:tc>
          <w:tcPr>
            <w:tcW w:type="dxa" w:w="3855"/>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7"/>
                <w:szCs w:val="17"/>
              </w:rPr>
              <w:t xml:space="preserve">Final cost, actual benefits, capacity, technology, emissions, corrective action or exit</w:t>
            </w:r>
          </w:p>
        </w:tc>
        <w:tc>
          <w:tcPr>
            <w:tcW w:type="dxa" w:w="3663"/>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7"/>
                <w:szCs w:val="17"/>
              </w:rPr>
              <w:t xml:space="preserve">Verified domestic value added and capability milestones reported against the plan</w:t>
            </w:r>
          </w:p>
        </w:tc>
      </w:tr>
    </w:tbl>
    <w:p>
      <w:pPr>
        <w:keepNext w:val="false"/>
        <w:spacing w:after="140"/>
      </w:pPr>
    </w:p>
    <w:p>
      <w:pPr>
        <w:pStyle w:val="Heading3"/>
        <w:keepNext/>
        <w:keepLines/>
        <w:spacing w:after="80" w:before="200"/>
      </w:pPr>
      <w:r>
        <w:rPr>
          <w:rFonts w:ascii="Arial" w:cs="Arial" w:eastAsia="Arial" w:hAnsi="Arial"/>
          <w:b/>
          <w:bCs/>
          <w:color w:val="005EB8"/>
          <w:sz w:val="22"/>
          <w:szCs w:val="22"/>
        </w:rPr>
        <w:t xml:space="preserve">Contents of a localisation plan</w:t>
      </w:r>
    </w:p>
    <w:p>
      <w:pPr>
        <w:pStyle w:val="ListParagraph"/>
        <w:numPr>
          <w:ilvl w:val="0"/>
          <w:numId w:val="2"/>
        </w:numPr>
        <w:spacing w:after="60" w:line="264"/>
      </w:pPr>
      <w:r>
        <w:rPr>
          <w:rFonts w:ascii="Arial" w:cs="Arial" w:eastAsia="Arial" w:hAnsi="Arial"/>
          <w:sz w:val="20"/>
          <w:szCs w:val="20"/>
        </w:rPr>
        <w:t xml:space="preserve">Package list structured by the project's product breakdown structure (PBS), so each package has a cost code, quantity and required-on-site date.</w:t>
      </w:r>
    </w:p>
    <w:p>
      <w:pPr>
        <w:pStyle w:val="ListParagraph"/>
        <w:numPr>
          <w:ilvl w:val="0"/>
          <w:numId w:val="2"/>
        </w:numPr>
        <w:spacing w:after="60" w:line="264"/>
      </w:pPr>
      <w:r>
        <w:rPr>
          <w:rFonts w:ascii="Arial" w:cs="Arial" w:eastAsia="Arial" w:hAnsi="Arial"/>
          <w:sz w:val="20"/>
          <w:szCs w:val="20"/>
        </w:rPr>
        <w:t xml:space="preserve">Current import share and target domestic share per package, by supplier gate.</w:t>
      </w:r>
    </w:p>
    <w:p>
      <w:pPr>
        <w:pStyle w:val="ListParagraph"/>
        <w:numPr>
          <w:ilvl w:val="0"/>
          <w:numId w:val="2"/>
        </w:numPr>
        <w:spacing w:after="60" w:line="264"/>
      </w:pPr>
      <w:r>
        <w:rPr>
          <w:rFonts w:ascii="Arial" w:cs="Arial" w:eastAsia="Arial" w:hAnsi="Arial"/>
          <w:sz w:val="20"/>
          <w:szCs w:val="20"/>
        </w:rPr>
        <w:t xml:space="preserve">Candidate suppliers with independently verified TRL/MRL baseline and development plan.</w:t>
      </w:r>
    </w:p>
    <w:p>
      <w:pPr>
        <w:pStyle w:val="ListParagraph"/>
        <w:numPr>
          <w:ilvl w:val="0"/>
          <w:numId w:val="2"/>
        </w:numPr>
        <w:spacing w:after="60" w:line="264"/>
      </w:pPr>
      <w:r>
        <w:rPr>
          <w:rFonts w:ascii="Arial" w:cs="Arial" w:eastAsia="Arial" w:hAnsi="Arial"/>
          <w:sz w:val="20"/>
          <w:szCs w:val="20"/>
        </w:rPr>
        <w:t xml:space="preserve">Off-take terms: framework contract, volume tranches, pricing formula and price-parity path.</w:t>
      </w:r>
    </w:p>
    <w:p>
      <w:pPr>
        <w:pStyle w:val="ListParagraph"/>
        <w:numPr>
          <w:ilvl w:val="0"/>
          <w:numId w:val="2"/>
        </w:numPr>
        <w:spacing w:after="60" w:line="264"/>
      </w:pPr>
      <w:r>
        <w:rPr>
          <w:rFonts w:ascii="Arial" w:cs="Arial" w:eastAsia="Arial" w:hAnsi="Arial"/>
          <w:sz w:val="20"/>
          <w:szCs w:val="20"/>
        </w:rPr>
        <w:t xml:space="preserve">Certification route (C1–C3) and who pays for it.</w:t>
      </w:r>
    </w:p>
    <w:p>
      <w:pPr>
        <w:pStyle w:val="ListParagraph"/>
        <w:numPr>
          <w:ilvl w:val="0"/>
          <w:numId w:val="2"/>
        </w:numPr>
        <w:spacing w:after="60" w:line="264"/>
      </w:pPr>
      <w:r>
        <w:rPr>
          <w:rFonts w:ascii="Arial" w:cs="Arial" w:eastAsia="Arial" w:hAnsi="Arial"/>
          <w:sz w:val="20"/>
          <w:szCs w:val="20"/>
        </w:rPr>
        <w:t xml:space="preserve">Financing instrument matched to each gate (Chapter 10).</w:t>
      </w:r>
    </w:p>
    <w:p>
      <w:pPr>
        <w:pStyle w:val="ListParagraph"/>
        <w:numPr>
          <w:ilvl w:val="0"/>
          <w:numId w:val="2"/>
        </w:numPr>
        <w:spacing w:after="60" w:line="264"/>
      </w:pPr>
      <w:r>
        <w:rPr>
          <w:rFonts w:ascii="Arial" w:cs="Arial" w:eastAsia="Arial" w:hAnsi="Arial"/>
          <w:sz w:val="20"/>
          <w:szCs w:val="20"/>
        </w:rPr>
        <w:t xml:space="preserve">Schedule protection: a pre-approved fall-back source if a supplier misses a gate, so that localisation never delays the anchor project's critical path.</w:t>
      </w:r>
    </w:p>
    <w:p>
      <w:pPr>
        <w:pStyle w:val="ListParagraph"/>
        <w:numPr>
          <w:ilvl w:val="0"/>
          <w:numId w:val="2"/>
        </w:numPr>
        <w:spacing w:after="60" w:line="264"/>
      </w:pPr>
      <w:r>
        <w:rPr>
          <w:rFonts w:ascii="Arial" w:cs="Arial" w:eastAsia="Arial" w:hAnsi="Arial"/>
          <w:sz w:val="20"/>
          <w:szCs w:val="20"/>
        </w:rPr>
        <w:t xml:space="preserve">Indicators: domestic value-added share (D05), suppliers per gate, supplier productivity (D09).</w:t>
      </w:r>
    </w:p>
    <w:p>
      <w:pPr>
        <w:pStyle w:val="Heading2"/>
        <w:keepNext/>
        <w:keepLines/>
        <w:spacing w:after="120" w:before="280"/>
      </w:pPr>
      <w:r>
        <w:rPr>
          <w:rFonts w:ascii="Arial" w:cs="Arial" w:eastAsia="Arial" w:hAnsi="Arial"/>
          <w:b/>
          <w:bCs/>
          <w:color w:val="00338D"/>
          <w:sz w:val="28"/>
          <w:szCs w:val="28"/>
        </w:rPr>
        <w:t xml:space="preserve">7.5 Worked example: the maritime anchor</w:t>
      </w:r>
    </w:p>
    <w:p>
      <w:pPr>
        <w:spacing w:after="110" w:before="0" w:line="264"/>
        <w:jc w:val="left"/>
      </w:pPr>
      <w:r>
        <w:rPr>
          <w:rFonts w:ascii="Arial" w:cs="Arial" w:eastAsia="Arial" w:hAnsi="Arial"/>
          <w:color w:val="000000"/>
          <w:sz w:val="20"/>
          <w:szCs w:val="20"/>
        </w:rPr>
        <w:t xml:space="preserve">PT PAL's sovereign backlog, comprising two Scorpène Evolved submarines (US$2.16 bn), two Merah Putih frigates (AH-140, US$1.2 bn), LPDs and hospital ships, illustrates how the pieces fit. About </w:t>
      </w:r>
      <w:r>
        <w:rPr>
          <w:rFonts w:ascii="Arial" w:cs="Arial" w:eastAsia="Arial" w:hAnsi="Arial"/>
          <w:b/>
          <w:bCs/>
          <w:color w:val="000000"/>
          <w:sz w:val="20"/>
          <w:szCs w:val="20"/>
        </w:rPr>
        <w:t xml:space="preserve">75% of materials are imported</w:t>
      </w:r>
      <w:r>
        <w:rPr>
          <w:rFonts w:ascii="Arial" w:cs="Arial" w:eastAsia="Arial" w:hAnsi="Arial"/>
          <w:color w:val="000000"/>
          <w:sz w:val="20"/>
          <w:szCs w:val="20"/>
        </w:rPr>
        <w:t xml:space="preserve">, and each programme faces a working-capital gap of </w:t>
      </w:r>
      <w:r>
        <w:rPr>
          <w:rFonts w:ascii="Arial" w:cs="Arial" w:eastAsia="Arial" w:hAnsi="Arial"/>
          <w:b/>
          <w:bCs/>
          <w:color w:val="000000"/>
          <w:sz w:val="20"/>
          <w:szCs w:val="20"/>
        </w:rPr>
        <w:t xml:space="preserve">US$150–300 m</w:t>
      </w:r>
      <w:r>
        <w:rPr>
          <w:rFonts w:ascii="Arial" w:cs="Arial" w:eastAsia="Arial" w:hAnsi="Arial"/>
          <w:color w:val="000000"/>
          <w:sz w:val="20"/>
          <w:szCs w:val="20"/>
        </w:rPr>
        <w:t xml:space="preserve"> because materials must be paid before milestone payments arrive [D6].</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19"/>
        <w:gridCol w:w="260"/>
        <w:gridCol w:w="1719"/>
        <w:gridCol w:w="260"/>
        <w:gridCol w:w="1719"/>
        <w:gridCol w:w="260"/>
        <w:gridCol w:w="1719"/>
        <w:gridCol w:w="260"/>
        <w:gridCol w:w="1722"/>
      </w:tblGrid>
      <w:tr>
        <w:trPr>
          <w:cantSplit/>
        </w:trPr>
        <w:tc>
          <w:tcPr>
            <w:tcW w:type="dxa" w:w="1719"/>
            <w:tcBorders>
              <w:top w:val="none" w:color="FFFFFF" w:sz="0"/>
              <w:left w:val="none" w:color="FFFFFF" w:sz="0"/>
              <w:bottom w:val="none" w:color="FFFFFF" w:sz="0"/>
              <w:right w:val="none" w:color="FFFFFF" w:sz="0"/>
            </w:tcBorders>
            <w:shd w:fill="00338D" w:color="auto" w:val="clear"/>
            <w:tcMar>
              <w:top w:type="dxa" w:w="100"/>
              <w:left w:type="dxa" w:w="90"/>
              <w:bottom w:type="dxa" w:w="100"/>
              <w:right w:type="dxa" w:w="90"/>
            </w:tcMar>
          </w:tcPr>
          <w:p>
            <w:pPr>
              <w:spacing w:after="40" w:line="240"/>
            </w:pPr>
            <w:r>
              <w:rPr>
                <w:rFonts w:ascii="Arial" w:cs="Arial" w:eastAsia="Arial" w:hAnsi="Arial"/>
                <w:b/>
                <w:bCs/>
                <w:color w:val="FFFFFF"/>
                <w:sz w:val="17"/>
                <w:szCs w:val="17"/>
              </w:rPr>
              <w:t xml:space="preserve">Anchor demand</w:t>
            </w:r>
          </w:p>
          <w:p>
            <w:pPr>
              <w:spacing w:after="0" w:line="236"/>
            </w:pPr>
            <w:r>
              <w:rPr>
                <w:rFonts w:ascii="Arial" w:cs="Arial" w:eastAsia="Arial" w:hAnsi="Arial"/>
                <w:color w:val="FFFFFF"/>
                <w:sz w:val="15"/>
                <w:szCs w:val="15"/>
              </w:rPr>
              <w:t xml:space="preserve">MoD contracts with 60–96 month build cycles</w:t>
            </w:r>
          </w:p>
        </w:tc>
        <w:tc>
          <w:tcPr>
            <w:tcW w:type="dxa" w:w="26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jc w:val="center"/>
            </w:pPr>
            <w:r>
              <w:rPr>
                <w:rFonts w:ascii="Arial" w:cs="Arial" w:eastAsia="Arial" w:hAnsi="Arial"/>
                <w:color w:val="005EB8"/>
                <w:sz w:val="18"/>
                <w:szCs w:val="18"/>
              </w:rPr>
              <w:t xml:space="preserve">►</w:t>
            </w:r>
          </w:p>
        </w:tc>
        <w:tc>
          <w:tcPr>
            <w:tcW w:type="dxa" w:w="1719"/>
            <w:tcBorders>
              <w:top w:val="none" w:color="FFFFFF" w:sz="0"/>
              <w:left w:val="none" w:color="FFFFFF" w:sz="0"/>
              <w:bottom w:val="none" w:color="FFFFFF" w:sz="0"/>
              <w:right w:val="none" w:color="FFFFFF" w:sz="0"/>
            </w:tcBorders>
            <w:shd w:fill="005EB8" w:color="auto" w:val="clear"/>
            <w:tcMar>
              <w:top w:type="dxa" w:w="100"/>
              <w:left w:type="dxa" w:w="90"/>
              <w:bottom w:type="dxa" w:w="100"/>
              <w:right w:type="dxa" w:w="90"/>
            </w:tcMar>
          </w:tcPr>
          <w:p>
            <w:pPr>
              <w:spacing w:after="40" w:line="240"/>
            </w:pPr>
            <w:r>
              <w:rPr>
                <w:rFonts w:ascii="Arial" w:cs="Arial" w:eastAsia="Arial" w:hAnsi="Arial"/>
                <w:b/>
                <w:bCs/>
                <w:color w:val="FFFFFF"/>
                <w:sz w:val="17"/>
                <w:szCs w:val="17"/>
              </w:rPr>
              <w:t xml:space="preserve">Localisation plan</w:t>
            </w:r>
          </w:p>
          <w:p>
            <w:pPr>
              <w:spacing w:after="0" w:line="236"/>
            </w:pPr>
            <w:r>
              <w:rPr>
                <w:rFonts w:ascii="Arial" w:cs="Arial" w:eastAsia="Arial" w:hAnsi="Arial"/>
                <w:color w:val="FFFFFF"/>
                <w:sz w:val="15"/>
                <w:szCs w:val="15"/>
              </w:rPr>
              <w:t xml:space="preserve">Valves, bearings, piping, cabling, sensors as DOCK-UP packages</w:t>
            </w:r>
          </w:p>
        </w:tc>
        <w:tc>
          <w:tcPr>
            <w:tcW w:type="dxa" w:w="26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jc w:val="center"/>
            </w:pPr>
            <w:r>
              <w:rPr>
                <w:rFonts w:ascii="Arial" w:cs="Arial" w:eastAsia="Arial" w:hAnsi="Arial"/>
                <w:color w:val="005EB8"/>
                <w:sz w:val="18"/>
                <w:szCs w:val="18"/>
              </w:rPr>
              <w:t xml:space="preserve">►</w:t>
            </w:r>
          </w:p>
        </w:tc>
        <w:tc>
          <w:tcPr>
            <w:tcW w:type="dxa" w:w="1719"/>
            <w:tcBorders>
              <w:top w:val="none" w:color="FFFFFF" w:sz="0"/>
              <w:left w:val="none" w:color="FFFFFF" w:sz="0"/>
              <w:bottom w:val="none" w:color="FFFFFF" w:sz="0"/>
              <w:right w:val="none" w:color="FFFFFF" w:sz="0"/>
            </w:tcBorders>
            <w:shd w:fill="00338D" w:color="auto" w:val="clear"/>
            <w:tcMar>
              <w:top w:type="dxa" w:w="100"/>
              <w:left w:type="dxa" w:w="90"/>
              <w:bottom w:type="dxa" w:w="100"/>
              <w:right w:type="dxa" w:w="90"/>
            </w:tcMar>
          </w:tcPr>
          <w:p>
            <w:pPr>
              <w:spacing w:after="40" w:line="240"/>
            </w:pPr>
            <w:r>
              <w:rPr>
                <w:rFonts w:ascii="Arial" w:cs="Arial" w:eastAsia="Arial" w:hAnsi="Arial"/>
                <w:b/>
                <w:bCs/>
                <w:color w:val="FFFFFF"/>
                <w:sz w:val="17"/>
                <w:szCs w:val="17"/>
              </w:rPr>
              <w:t xml:space="preserve">Supplier gates</w:t>
            </w:r>
          </w:p>
          <w:p>
            <w:pPr>
              <w:spacing w:after="0" w:line="236"/>
            </w:pPr>
            <w:r>
              <w:rPr>
                <w:rFonts w:ascii="Arial" w:cs="Arial" w:eastAsia="Arial" w:hAnsi="Arial"/>
                <w:color w:val="FFFFFF"/>
                <w:sz w:val="15"/>
                <w:szCs w:val="15"/>
              </w:rPr>
              <w:t xml:space="preserve">20–30 SMEs enter; volume released at G1–G3</w:t>
            </w:r>
          </w:p>
        </w:tc>
        <w:tc>
          <w:tcPr>
            <w:tcW w:type="dxa" w:w="26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jc w:val="center"/>
            </w:pPr>
            <w:r>
              <w:rPr>
                <w:rFonts w:ascii="Arial" w:cs="Arial" w:eastAsia="Arial" w:hAnsi="Arial"/>
                <w:color w:val="005EB8"/>
                <w:sz w:val="18"/>
                <w:szCs w:val="18"/>
              </w:rPr>
              <w:t xml:space="preserve">►</w:t>
            </w:r>
          </w:p>
        </w:tc>
        <w:tc>
          <w:tcPr>
            <w:tcW w:type="dxa" w:w="1719"/>
            <w:tcBorders>
              <w:top w:val="none" w:color="FFFFFF" w:sz="0"/>
              <w:left w:val="none" w:color="FFFFFF" w:sz="0"/>
              <w:bottom w:val="none" w:color="FFFFFF" w:sz="0"/>
              <w:right w:val="none" w:color="FFFFFF" w:sz="0"/>
            </w:tcBorders>
            <w:shd w:fill="005EB8" w:color="auto" w:val="clear"/>
            <w:tcMar>
              <w:top w:type="dxa" w:w="100"/>
              <w:left w:type="dxa" w:w="90"/>
              <w:bottom w:type="dxa" w:w="100"/>
              <w:right w:type="dxa" w:w="90"/>
            </w:tcMar>
          </w:tcPr>
          <w:p>
            <w:pPr>
              <w:spacing w:after="40" w:line="240"/>
            </w:pPr>
            <w:r>
              <w:rPr>
                <w:rFonts w:ascii="Arial" w:cs="Arial" w:eastAsia="Arial" w:hAnsi="Arial"/>
                <w:b/>
                <w:bCs/>
                <w:color w:val="FFFFFF"/>
                <w:sz w:val="17"/>
                <w:szCs w:val="17"/>
              </w:rPr>
              <w:t xml:space="preserve">Milestone finance</w:t>
            </w:r>
          </w:p>
          <w:p>
            <w:pPr>
              <w:spacing w:after="0" w:line="236"/>
            </w:pPr>
            <w:r>
              <w:rPr>
                <w:rFonts w:ascii="Arial" w:cs="Arial" w:eastAsia="Arial" w:hAnsi="Arial"/>
                <w:color w:val="FFFFFF"/>
                <w:sz w:val="15"/>
                <w:szCs w:val="15"/>
              </w:rPr>
              <w:t xml:space="preserve">Tokenised receivable escrow pays verified suppliers directly</w:t>
            </w:r>
          </w:p>
        </w:tc>
        <w:tc>
          <w:tcPr>
            <w:tcW w:type="dxa" w:w="26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jc w:val="center"/>
            </w:pPr>
            <w:r>
              <w:rPr>
                <w:rFonts w:ascii="Arial" w:cs="Arial" w:eastAsia="Arial" w:hAnsi="Arial"/>
                <w:color w:val="005EB8"/>
                <w:sz w:val="18"/>
                <w:szCs w:val="18"/>
              </w:rPr>
              <w:t xml:space="preserve">►</w:t>
            </w:r>
          </w:p>
        </w:tc>
        <w:tc>
          <w:tcPr>
            <w:tcW w:type="dxa" w:w="1722"/>
            <w:tcBorders>
              <w:top w:val="none" w:color="FFFFFF" w:sz="0"/>
              <w:left w:val="none" w:color="FFFFFF" w:sz="0"/>
              <w:bottom w:val="none" w:color="FFFFFF" w:sz="0"/>
              <w:right w:val="none" w:color="FFFFFF" w:sz="0"/>
            </w:tcBorders>
            <w:shd w:fill="00338D" w:color="auto" w:val="clear"/>
            <w:tcMar>
              <w:top w:type="dxa" w:w="100"/>
              <w:left w:type="dxa" w:w="90"/>
              <w:bottom w:type="dxa" w:w="100"/>
              <w:right w:type="dxa" w:w="90"/>
            </w:tcMar>
          </w:tcPr>
          <w:p>
            <w:pPr>
              <w:spacing w:after="40" w:line="240"/>
            </w:pPr>
            <w:r>
              <w:rPr>
                <w:rFonts w:ascii="Arial" w:cs="Arial" w:eastAsia="Arial" w:hAnsi="Arial"/>
                <w:b/>
                <w:bCs/>
                <w:color w:val="FFFFFF"/>
                <w:sz w:val="17"/>
                <w:szCs w:val="17"/>
              </w:rPr>
              <w:t xml:space="preserve">Capability</w:t>
            </w:r>
          </w:p>
          <w:p>
            <w:pPr>
              <w:spacing w:after="0" w:line="236"/>
            </w:pPr>
            <w:r>
              <w:rPr>
                <w:rFonts w:ascii="Arial" w:cs="Arial" w:eastAsia="Arial" w:hAnsi="Arial"/>
                <w:color w:val="FFFFFF"/>
                <w:sz w:val="15"/>
                <w:szCs w:val="15"/>
              </w:rPr>
              <w:t xml:space="preserve">Ship-class standard components; domestic MRO and spares</w:t>
            </w:r>
          </w:p>
        </w:tc>
      </w:tr>
    </w:tbl>
    <w:p>
      <w:pPr>
        <w:spacing w:after="160"/>
      </w:pPr>
    </w:p>
    <w:p>
      <w:pPr>
        <w:spacing w:after="110" w:before="0" w:line="264"/>
        <w:jc w:val="left"/>
      </w:pPr>
      <w:r>
        <w:rPr>
          <w:rFonts w:ascii="Arial" w:cs="Arial" w:eastAsia="Arial" w:hAnsi="Arial"/>
          <w:color w:val="000000"/>
          <w:sz w:val="20"/>
          <w:szCs w:val="20"/>
        </w:rPr>
        <w:t xml:space="preserve">This is the integration point of the whole study. The </w:t>
      </w:r>
      <w:r>
        <w:rPr>
          <w:rFonts w:ascii="Arial" w:cs="Arial" w:eastAsia="Arial" w:hAnsi="Arial"/>
          <w:b/>
          <w:bCs/>
          <w:color w:val="000000"/>
          <w:sz w:val="20"/>
          <w:szCs w:val="20"/>
        </w:rPr>
        <w:t xml:space="preserve">demand</w:t>
      </w:r>
      <w:r>
        <w:rPr>
          <w:rFonts w:ascii="Arial" w:cs="Arial" w:eastAsia="Arial" w:hAnsi="Arial"/>
          <w:color w:val="000000"/>
          <w:sz w:val="20"/>
          <w:szCs w:val="20"/>
        </w:rPr>
        <w:t xml:space="preserve"> is the defence programme; </w:t>
      </w:r>
      <w:r>
        <w:rPr>
          <w:rFonts w:ascii="Arial" w:cs="Arial" w:eastAsia="Arial" w:hAnsi="Arial"/>
          <w:b/>
          <w:bCs/>
          <w:color w:val="000000"/>
          <w:sz w:val="20"/>
          <w:szCs w:val="20"/>
        </w:rPr>
        <w:t xml:space="preserve">DOCK-UP</w:t>
      </w:r>
      <w:r>
        <w:rPr>
          <w:rFonts w:ascii="Arial" w:cs="Arial" w:eastAsia="Arial" w:hAnsi="Arial"/>
          <w:color w:val="000000"/>
          <w:sz w:val="20"/>
          <w:szCs w:val="20"/>
        </w:rPr>
        <w:t xml:space="preserve"> qualifies the suppliers; </w:t>
      </w:r>
      <w:r>
        <w:rPr>
          <w:rFonts w:ascii="Arial" w:cs="Arial" w:eastAsia="Arial" w:hAnsi="Arial"/>
          <w:b/>
          <w:bCs/>
          <w:color w:val="000000"/>
          <w:sz w:val="20"/>
          <w:szCs w:val="20"/>
        </w:rPr>
        <w:t xml:space="preserve">project tokenisation</w:t>
      </w:r>
      <w:r>
        <w:rPr>
          <w:rFonts w:ascii="Arial" w:cs="Arial" w:eastAsia="Arial" w:hAnsi="Arial"/>
          <w:color w:val="000000"/>
          <w:sz w:val="20"/>
          <w:szCs w:val="20"/>
        </w:rPr>
        <w:t xml:space="preserve"> finances the working capital and pays suppliers directly from escrow on verified milestones; and the </w:t>
      </w:r>
      <w:r>
        <w:rPr>
          <w:rFonts w:ascii="Arial" w:cs="Arial" w:eastAsia="Arial" w:hAnsi="Arial"/>
          <w:b/>
          <w:bCs/>
          <w:color w:val="000000"/>
          <w:sz w:val="20"/>
          <w:szCs w:val="20"/>
        </w:rPr>
        <w:t xml:space="preserve">AI project operating system</w:t>
      </w:r>
      <w:r>
        <w:rPr>
          <w:rFonts w:ascii="Arial" w:cs="Arial" w:eastAsia="Arial" w:hAnsi="Arial"/>
          <w:color w:val="000000"/>
          <w:sz w:val="20"/>
          <w:szCs w:val="20"/>
        </w:rPr>
        <w:t xml:space="preserve"> provides the evidence trail. Chapter 9 assesses the financing instrument in detail.</w:t>
      </w:r>
    </w:p>
    <w:p>
      <w:pPr>
        <w:pStyle w:val="Heading2"/>
        <w:keepNext/>
        <w:keepLines/>
        <w:spacing w:after="120" w:before="280"/>
      </w:pPr>
      <w:r>
        <w:rPr>
          <w:rFonts w:ascii="Arial" w:cs="Arial" w:eastAsia="Arial" w:hAnsi="Arial"/>
          <w:b/>
          <w:bCs/>
          <w:color w:val="00338D"/>
          <w:sz w:val="28"/>
          <w:szCs w:val="28"/>
        </w:rPr>
        <w:t xml:space="preserve">7.6 Worked examples for other anchors</w:t>
      </w:r>
    </w:p>
    <w:p>
      <w:pPr>
        <w:spacing w:after="110" w:before="0" w:line="264"/>
        <w:jc w:val="left"/>
      </w:pPr>
      <w:r>
        <w:rPr>
          <w:rFonts w:ascii="Arial" w:cs="Arial" w:eastAsia="Arial" w:hAnsi="Arial"/>
          <w:color w:val="000000"/>
          <w:sz w:val="20"/>
          <w:szCs w:val="20"/>
        </w:rPr>
        <w:t xml:space="preserve">The same steps apply to other anchors. The examples below are </w:t>
      </w:r>
      <w:r>
        <w:rPr>
          <w:rFonts w:ascii="Arial" w:cs="Arial" w:eastAsia="Arial" w:hAnsi="Arial"/>
          <w:b/>
          <w:bCs/>
          <w:color w:val="000000"/>
          <w:sz w:val="20"/>
          <w:szCs w:val="20"/>
        </w:rPr>
        <w:t xml:space="preserve">illustrative (class D)</w:t>
      </w:r>
      <w:r>
        <w:rPr>
          <w:rFonts w:ascii="Arial" w:cs="Arial" w:eastAsia="Arial" w:hAnsi="Arial"/>
          <w:color w:val="000000"/>
          <w:sz w:val="20"/>
          <w:szCs w:val="20"/>
        </w:rPr>
        <w:t xml:space="preserve">. They show the packages a localisation plan would examine first, chosen because they are commonly imported. Actual import shares must come from each project's bill of materials.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35"/>
        <w:gridCol w:w="2699"/>
        <w:gridCol w:w="2699"/>
        <w:gridCol w:w="2505"/>
      </w:tblGrid>
      <w:tr>
        <w:trPr>
          <w:cantSplit/>
          <w:tblHeader/>
        </w:trPr>
        <w:tc>
          <w:tcPr>
            <w:tcW w:type="dxa" w:w="1735"/>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Step</w:t>
            </w:r>
          </w:p>
        </w:tc>
        <w:tc>
          <w:tcPr>
            <w:tcW w:type="dxa" w:w="2699"/>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Nickel or alumina smelter</w:t>
            </w:r>
          </w:p>
        </w:tc>
        <w:tc>
          <w:tcPr>
            <w:tcW w:type="dxa" w:w="2699"/>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Giant Sea Wall</w:t>
            </w:r>
          </w:p>
        </w:tc>
        <w:tc>
          <w:tcPr>
            <w:tcW w:type="dxa" w:w="2505"/>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3 Million Homes</w:t>
            </w:r>
          </w:p>
        </w:tc>
      </w:tr>
      <w:tr>
        <w:trPr>
          <w:cantSplit/>
        </w:trPr>
        <w:tc>
          <w:tcPr>
            <w:tcW w:type="dxa" w:w="1735"/>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Localisable packages to examine first</w:t>
            </w:r>
          </w:p>
        </w:tc>
        <w:tc>
          <w:tcPr>
            <w:tcW w:type="dxa" w:w="2699"/>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Wear parts, refractories, conveyors, pumps and valves, electrical panels, maintenance services</w:t>
            </w:r>
          </w:p>
        </w:tc>
        <w:tc>
          <w:tcPr>
            <w:tcW w:type="dxa" w:w="2699"/>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Pumps and water gates, steel sheet piles, mechanical and electrical works for pump stations, dredging support</w:t>
            </w:r>
          </w:p>
        </w:tc>
        <w:tc>
          <w:tcPr>
            <w:tcW w:type="dxa" w:w="2505"/>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Prefabricated and modular units, HVAC, electrical and plumbing fittings</w:t>
            </w:r>
          </w:p>
        </w:tc>
      </w:tr>
      <w:tr>
        <w:trPr>
          <w:cantSplit/>
        </w:trPr>
        <w:tc>
          <w:tcPr>
            <w:tcW w:type="dxa" w:w="1735"/>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Typical supplier starting point</w:t>
            </w:r>
          </w:p>
        </w:tc>
        <w:tc>
          <w:tcPr>
            <w:tcW w:type="dxa" w:w="2699"/>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Fabricators with general industrial MRL; process-grade quality not yet proven</w:t>
            </w:r>
          </w:p>
        </w:tc>
        <w:tc>
          <w:tcPr>
            <w:tcW w:type="dxa" w:w="2699"/>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Steel fabricators and pump assemblers; large-diameter pumps and gates largely imported</w:t>
            </w:r>
          </w:p>
        </w:tc>
        <w:tc>
          <w:tcPr>
            <w:tcW w:type="dxa" w:w="2505"/>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Many domestic producers; the gap is consistent quality at volume</w:t>
            </w:r>
          </w:p>
        </w:tc>
      </w:tr>
      <w:tr>
        <w:trPr>
          <w:cantSplit/>
        </w:trPr>
        <w:tc>
          <w:tcPr>
            <w:tcW w:type="dxa" w:w="1735"/>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Gate emphasis</w:t>
            </w:r>
          </w:p>
        </w:tc>
        <w:tc>
          <w:tcPr>
            <w:tcW w:type="dxa" w:w="2699"/>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MRL route: material traceability and wear-life testing</w:t>
            </w:r>
          </w:p>
        </w:tc>
        <w:tc>
          <w:tcPr>
            <w:tcW w:type="dxa" w:w="2699"/>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TRL and MRL routes: hydraulic performance testing for pumps and gates</w:t>
            </w:r>
          </w:p>
        </w:tc>
        <w:tc>
          <w:tcPr>
            <w:tcW w:type="dxa" w:w="2505"/>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MRL route: factory production control and logistics</w:t>
            </w:r>
          </w:p>
        </w:tc>
      </w:tr>
      <w:tr>
        <w:trPr>
          <w:cantSplit/>
        </w:trPr>
        <w:tc>
          <w:tcPr>
            <w:tcW w:type="dxa" w:w="1735"/>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Off-taker</w:t>
            </w:r>
          </w:p>
        </w:tc>
        <w:tc>
          <w:tcPr>
            <w:tcW w:type="dxa" w:w="2699"/>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Smelter operator under a 3–5 year framework contract</w:t>
            </w:r>
          </w:p>
        </w:tc>
        <w:tc>
          <w:tcPr>
            <w:tcW w:type="dxa" w:w="2699"/>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Project company or EPC contractor</w:t>
            </w:r>
          </w:p>
        </w:tc>
        <w:tc>
          <w:tcPr>
            <w:tcW w:type="dxa" w:w="2505"/>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Developers and construction SOEs through aggregated programme demand</w:t>
            </w:r>
          </w:p>
        </w:tc>
      </w:tr>
      <w:tr>
        <w:trPr>
          <w:cantSplit/>
        </w:trPr>
        <w:tc>
          <w:tcPr>
            <w:tcW w:type="dxa" w:w="1735"/>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pPr>
            <w:r>
              <w:rPr>
                <w:rFonts w:ascii="Arial" w:cs="Arial" w:eastAsia="Arial" w:hAnsi="Arial"/>
                <w:b/>
                <w:bCs/>
                <w:color w:val="000000"/>
                <w:sz w:val="16"/>
                <w:szCs w:val="16"/>
              </w:rPr>
              <w:t xml:space="preserve">Key indicator</w:t>
            </w:r>
          </w:p>
        </w:tc>
        <w:tc>
          <w:tcPr>
            <w:tcW w:type="dxa" w:w="2699"/>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6"/>
                <w:szCs w:val="16"/>
              </w:rPr>
              <w:t xml:space="preserve">Domestic share of maintenance spend; unplanned downtime from local parts</w:t>
            </w:r>
          </w:p>
        </w:tc>
        <w:tc>
          <w:tcPr>
            <w:tcW w:type="dxa" w:w="2699"/>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6"/>
                <w:szCs w:val="16"/>
              </w:rPr>
              <w:t xml:space="preserve">Domestic share of pump-station value; through-life O&amp;M by local firms</w:t>
            </w:r>
          </w:p>
        </w:tc>
        <w:tc>
          <w:tcPr>
            <w:tcW w:type="dxa" w:w="2505"/>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6"/>
                <w:szCs w:val="16"/>
              </w:rPr>
              <w:t xml:space="preserve">Unit cost and defect rate of modular components</w:t>
            </w:r>
          </w:p>
        </w:tc>
      </w:tr>
    </w:tbl>
    <w:p>
      <w:pPr>
        <w:pageBreakBefore/>
        <w:spacing w:after="0" w:line="240"/>
      </w:pPr>
      <w:r>
        <w:rPr>
          <w:sz w:val="2"/>
          <w:szCs w:val="2"/>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one" w:color="FFFFFF" w:sz="0"/>
              <w:left w:val="none" w:color="FFFFFF" w:sz="0"/>
              <w:bottom w:val="none" w:color="FFFFFF" w:sz="0"/>
              <w:right w:val="none" w:color="FFFFFF" w:sz="0"/>
            </w:tcBorders>
            <w:shd w:fill="00338D" w:color="auto" w:val="clear"/>
            <w:tcMar>
              <w:top w:type="dxa" w:w="260"/>
              <w:left w:type="dxa" w:w="300"/>
              <w:bottom w:type="dxa" w:w="300"/>
              <w:right w:type="dxa" w:w="300"/>
            </w:tcMar>
          </w:tcPr>
          <w:p>
            <w:pPr>
              <w:spacing w:after="0"/>
            </w:pPr>
            <w:r>
              <w:rPr>
                <w:rFonts w:ascii="Arial" w:cs="Arial" w:eastAsia="Arial" w:hAnsi="Arial"/>
                <w:b/>
                <w:bCs/>
                <w:color w:val="9CC7EF"/>
                <w:sz w:val="64"/>
                <w:szCs w:val="64"/>
              </w:rPr>
              <w:t xml:space="preserve">08</w:t>
            </w:r>
          </w:p>
          <w:p>
            <w:pPr>
              <w:pStyle w:val="Heading1"/>
              <w:spacing w:after="100"/>
            </w:pPr>
            <w:r>
              <w:rPr>
                <w:rFonts w:ascii="Arial" w:cs="Arial" w:eastAsia="Arial" w:hAnsi="Arial"/>
                <w:b/>
                <w:bCs/>
                <w:color w:val="FFFFFF"/>
                <w:sz w:val="40"/>
                <w:szCs w:val="40"/>
              </w:rPr>
              <w:t xml:space="preserve">Financing channel 1: the Natural Resource Fund</w:t>
            </w:r>
          </w:p>
          <w:p>
            <w:pPr>
              <w:spacing w:after="0" w:line="276"/>
            </w:pPr>
            <w:r>
              <w:rPr>
                <w:rFonts w:ascii="Arial" w:cs="Arial" w:eastAsia="Arial" w:hAnsi="Arial"/>
                <w:color w:val="FFFFFF"/>
                <w:sz w:val="20"/>
                <w:szCs w:val="20"/>
              </w:rPr>
              <w:t xml:space="preserve">A fund-level channel that converts the state's share of natural-resource wealth into long-term capital. It is assessed here for rationale, design, valuation, legal basis, fiscal substance and governance.</w:t>
            </w:r>
          </w:p>
        </w:tc>
      </w:tr>
    </w:tbl>
    <w:p>
      <w:pPr>
        <w:spacing w:after="200"/>
      </w:pPr>
    </w:p>
    <w:p>
      <w:pPr>
        <w:pStyle w:val="Heading2"/>
        <w:keepNext/>
        <w:keepLines/>
        <w:spacing w:after="120" w:before="280"/>
      </w:pPr>
      <w:r>
        <w:rPr>
          <w:rFonts w:ascii="Arial" w:cs="Arial" w:eastAsia="Arial" w:hAnsi="Arial"/>
          <w:b/>
          <w:bCs/>
          <w:color w:val="00338D"/>
          <w:sz w:val="28"/>
          <w:szCs w:val="28"/>
        </w:rPr>
        <w:t xml:space="preserve">8.1 The proposal</w:t>
      </w:r>
    </w:p>
    <w:p>
      <w:pPr>
        <w:spacing w:after="110" w:before="0" w:line="264"/>
        <w:jc w:val="left"/>
      </w:pPr>
      <w:r>
        <w:rPr>
          <w:rFonts w:ascii="Arial" w:cs="Arial" w:eastAsia="Arial" w:hAnsi="Arial"/>
          <w:color w:val="000000"/>
          <w:sz w:val="20"/>
          <w:szCs w:val="20"/>
        </w:rPr>
        <w:t xml:space="preserve">The NRF executive summary positions the fund as a strategic fiscal instrument that implements Article 33 of the 1945 Constitution (“natural resources for the greatest prosperity of the people”). Through eight strategic steps it targets </w:t>
      </w:r>
      <w:r>
        <w:rPr>
          <w:rFonts w:ascii="Arial" w:cs="Arial" w:eastAsia="Arial" w:hAnsi="Arial"/>
          <w:b/>
          <w:bCs/>
          <w:color w:val="000000"/>
          <w:sz w:val="20"/>
          <w:szCs w:val="20"/>
        </w:rPr>
        <w:t xml:space="preserve">direct fiscal benefits of Rp100 trillion in the first year and Rp1,000 trillion within three years</w:t>
      </w:r>
      <w:r>
        <w:rPr>
          <w:rFonts w:ascii="Arial" w:cs="Arial" w:eastAsia="Arial" w:hAnsi="Arial"/>
          <w:color w:val="000000"/>
          <w:sz w:val="20"/>
          <w:szCs w:val="20"/>
        </w:rPr>
        <w:t xml:space="preserve"> [D5].</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6"/>
        <w:gridCol w:w="7132"/>
      </w:tblGrid>
      <w:tr>
        <w:trPr>
          <w:cantSplit/>
          <w:tblHeader/>
        </w:trPr>
        <w:tc>
          <w:tcPr>
            <w:tcW w:type="dxa" w:w="2506"/>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Design element</w:t>
            </w:r>
          </w:p>
        </w:tc>
        <w:tc>
          <w:tcPr>
            <w:tcW w:type="dxa" w:w="7132"/>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As proposed in D5</w:t>
            </w:r>
          </w:p>
        </w:tc>
      </w:tr>
      <w:tr>
        <w:trPr>
          <w:cantSplit/>
        </w:trPr>
        <w:tc>
          <w:tcPr>
            <w:tcW w:type="dxa" w:w="250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7"/>
                <w:szCs w:val="17"/>
              </w:rPr>
              <w:t xml:space="preserve">Position</w:t>
            </w:r>
          </w:p>
        </w:tc>
        <w:tc>
          <w:tcPr>
            <w:tcW w:type="dxa" w:w="713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7"/>
                <w:szCs w:val="17"/>
              </w:rPr>
              <w:t xml:space="preserve">Directly under the President</w:t>
            </w:r>
          </w:p>
        </w:tc>
      </w:tr>
      <w:tr>
        <w:trPr>
          <w:cantSplit/>
        </w:trPr>
        <w:tc>
          <w:tcPr>
            <w:tcW w:type="dxa" w:w="2506"/>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7"/>
                <w:szCs w:val="17"/>
              </w:rPr>
              <w:t xml:space="preserve">Scope</w:t>
            </w:r>
          </w:p>
        </w:tc>
        <w:tc>
          <w:tcPr>
            <w:tcW w:type="dxa" w:w="713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7"/>
                <w:szCs w:val="17"/>
              </w:rPr>
              <w:t xml:space="preserve">Consolidate all strategic minerals and coal, with coal as the quick win; land is also listed as a field</w:t>
            </w:r>
          </w:p>
        </w:tc>
      </w:tr>
      <w:tr>
        <w:trPr>
          <w:cantSplit/>
        </w:trPr>
        <w:tc>
          <w:tcPr>
            <w:tcW w:type="dxa" w:w="250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7"/>
                <w:szCs w:val="17"/>
              </w:rPr>
              <w:t xml:space="preserve">Minimum valuation</w:t>
            </w:r>
          </w:p>
        </w:tc>
        <w:tc>
          <w:tcPr>
            <w:tcW w:type="dxa" w:w="713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7"/>
                <w:szCs w:val="17"/>
              </w:rPr>
              <w:t xml:space="preserve">Rp10,000 trillion (coal reserve capitalisation)</w:t>
            </w:r>
          </w:p>
        </w:tc>
      </w:tr>
      <w:tr>
        <w:trPr>
          <w:cantSplit/>
        </w:trPr>
        <w:tc>
          <w:tcPr>
            <w:tcW w:type="dxa" w:w="2506"/>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7"/>
                <w:szCs w:val="17"/>
              </w:rPr>
              <w:t xml:space="preserve">Underlying asset</w:t>
            </w:r>
          </w:p>
        </w:tc>
        <w:tc>
          <w:tcPr>
            <w:tcW w:type="dxa" w:w="713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7"/>
                <w:szCs w:val="17"/>
              </w:rPr>
              <w:t xml:space="preserve">Strategic mineral reserves 100% owned by the state, verified to international reporting standards (CRIRSCO: KCMI)</w:t>
            </w:r>
          </w:p>
        </w:tc>
      </w:tr>
      <w:tr>
        <w:trPr>
          <w:cantSplit/>
        </w:trPr>
        <w:tc>
          <w:tcPr>
            <w:tcW w:type="dxa" w:w="250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7"/>
                <w:szCs w:val="17"/>
              </w:rPr>
              <w:t xml:space="preserve">Mechanism</w:t>
            </w:r>
          </w:p>
        </w:tc>
        <w:tc>
          <w:tcPr>
            <w:tcW w:type="dxa" w:w="713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7"/>
                <w:szCs w:val="17"/>
              </w:rPr>
              <w:t xml:space="preserve">Asset securitisation, transforming natural resources into security-based assets; securitisation capped at </w:t>
            </w:r>
            <w:r>
              <w:rPr>
                <w:rFonts w:ascii="Arial" w:cs="Arial" w:eastAsia="Arial" w:hAnsi="Arial"/>
                <w:b/>
                <w:bCs/>
                <w:color w:val="000000"/>
                <w:sz w:val="17"/>
                <w:szCs w:val="17"/>
              </w:rPr>
              <w:t xml:space="preserve">50% of future cash flow</w:t>
            </w:r>
          </w:p>
        </w:tc>
      </w:tr>
      <w:tr>
        <w:trPr>
          <w:cantSplit/>
        </w:trPr>
        <w:tc>
          <w:tcPr>
            <w:tcW w:type="dxa" w:w="2506"/>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7"/>
                <w:szCs w:val="17"/>
              </w:rPr>
              <w:t xml:space="preserve">Monetisation options</w:t>
            </w:r>
          </w:p>
        </w:tc>
        <w:tc>
          <w:tcPr>
            <w:tcW w:type="dxa" w:w="713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7"/>
                <w:szCs w:val="17"/>
              </w:rPr>
              <w:t xml:space="preserve">(1) Sovereign asset-backed securities; (2) mineral-based sovereign notes; (3) royalty-backed financing; (4) Mineral Reserve Trust</w:t>
            </w:r>
          </w:p>
        </w:tc>
      </w:tr>
      <w:tr>
        <w:trPr>
          <w:cantSplit/>
        </w:trPr>
        <w:tc>
          <w:tcPr>
            <w:tcW w:type="dxa" w:w="250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7"/>
                <w:szCs w:val="17"/>
              </w:rPr>
              <w:t xml:space="preserve">Flows with the state budget</w:t>
            </w:r>
          </w:p>
        </w:tc>
        <w:tc>
          <w:tcPr>
            <w:tcW w:type="dxa" w:w="713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7"/>
                <w:szCs w:val="17"/>
              </w:rPr>
              <w:t xml:space="preserve">(1) Debt reprofiling with the APBN; (2) tax revenue to the APBN</w:t>
            </w:r>
          </w:p>
        </w:tc>
      </w:tr>
      <w:tr>
        <w:trPr>
          <w:cantSplit/>
        </w:trPr>
        <w:tc>
          <w:tcPr>
            <w:tcW w:type="dxa" w:w="2506"/>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7"/>
                <w:szCs w:val="17"/>
              </w:rPr>
              <w:t xml:space="preserve">Uses</w:t>
            </w:r>
          </w:p>
        </w:tc>
        <w:tc>
          <w:tcPr>
            <w:tcW w:type="dxa" w:w="713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7"/>
                <w:szCs w:val="17"/>
              </w:rPr>
              <w:t xml:space="preserve">Energy transition, economic diversification, future fund; project implementation through SPVs or SOEs</w:t>
            </w:r>
          </w:p>
        </w:tc>
      </w:tr>
      <w:tr>
        <w:trPr>
          <w:cantSplit/>
        </w:trPr>
        <w:tc>
          <w:tcPr>
            <w:tcW w:type="dxa" w:w="250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7"/>
                <w:szCs w:val="17"/>
              </w:rPr>
              <w:t xml:space="preserve">Management</w:t>
            </w:r>
          </w:p>
        </w:tc>
        <w:tc>
          <w:tcPr>
            <w:tcW w:type="dxa" w:w="713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7"/>
                <w:szCs w:val="17"/>
              </w:rPr>
              <w:t xml:space="preserve">Corporate management</w:t>
            </w:r>
          </w:p>
        </w:tc>
      </w:tr>
      <w:tr>
        <w:trPr>
          <w:cantSplit/>
        </w:trPr>
        <w:tc>
          <w:tcPr>
            <w:tcW w:type="dxa" w:w="2506"/>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pPr>
            <w:r>
              <w:rPr>
                <w:rFonts w:ascii="Arial" w:cs="Arial" w:eastAsia="Arial" w:hAnsi="Arial"/>
                <w:b/>
                <w:bCs/>
                <w:color w:val="000000"/>
                <w:sz w:val="17"/>
                <w:szCs w:val="17"/>
              </w:rPr>
              <w:t xml:space="preserve">Preparation</w:t>
            </w:r>
          </w:p>
        </w:tc>
        <w:tc>
          <w:tcPr>
            <w:tcW w:type="dxa" w:w="713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7"/>
                <w:szCs w:val="17"/>
              </w:rPr>
              <w:t xml:space="preserve">Targeted for completion within three months of approval in principle</w:t>
            </w:r>
          </w:p>
        </w:tc>
      </w:tr>
    </w:tbl>
    <w:p>
      <w:pPr>
        <w:keepNext w:val="false"/>
        <w:spacing w:after="140"/>
      </w:pPr>
    </w:p>
    <w:p>
      <w:pPr>
        <w:pStyle w:val="Heading3"/>
        <w:keepNext/>
        <w:keepLines/>
        <w:spacing w:after="80" w:before="200"/>
      </w:pPr>
      <w:r>
        <w:rPr>
          <w:rFonts w:ascii="Arial" w:cs="Arial" w:eastAsia="Arial" w:hAnsi="Arial"/>
          <w:b/>
          <w:bCs/>
          <w:color w:val="005EB8"/>
          <w:sz w:val="22"/>
          <w:szCs w:val="22"/>
        </w:rPr>
        <w:t xml:space="preserve">Eight strategic steps (0–2 years)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78"/>
        <w:gridCol w:w="9060"/>
      </w:tblGrid>
      <w:tr>
        <w:trPr>
          <w:cantSplit/>
          <w:tblHeader/>
        </w:trPr>
        <w:tc>
          <w:tcPr>
            <w:tcW w:type="dxa" w:w="578"/>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w:t>
            </w:r>
          </w:p>
        </w:tc>
        <w:tc>
          <w:tcPr>
            <w:tcW w:type="dxa" w:w="9060"/>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Step</w:t>
            </w:r>
          </w:p>
        </w:tc>
      </w:tr>
      <w:tr>
        <w:trPr>
          <w:cantSplit/>
        </w:trPr>
        <w:tc>
          <w:tcPr>
            <w:tcW w:type="dxa" w:w="57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7"/>
                <w:szCs w:val="17"/>
              </w:rPr>
              <w:t xml:space="preserve">1</w:t>
            </w:r>
          </w:p>
        </w:tc>
        <w:tc>
          <w:tcPr>
            <w:tcW w:type="dxa" w:w="906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7"/>
                <w:szCs w:val="17"/>
              </w:rPr>
              <w:t xml:space="preserve">Enforcement against, and nationalisation of, illegal mining</w:t>
            </w:r>
          </w:p>
        </w:tc>
      </w:tr>
      <w:tr>
        <w:trPr>
          <w:cantSplit/>
        </w:trPr>
        <w:tc>
          <w:tcPr>
            <w:tcW w:type="dxa" w:w="578"/>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7"/>
                <w:szCs w:val="17"/>
              </w:rPr>
              <w:t xml:space="preserve">2</w:t>
            </w:r>
          </w:p>
        </w:tc>
        <w:tc>
          <w:tcPr>
            <w:tcW w:type="dxa" w:w="906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7"/>
                <w:szCs w:val="17"/>
              </w:rPr>
              <w:t xml:space="preserve">Review of mining business licences (IUP) and land-use rights (HGU)</w:t>
            </w:r>
          </w:p>
        </w:tc>
      </w:tr>
      <w:tr>
        <w:trPr>
          <w:cantSplit/>
        </w:trPr>
        <w:tc>
          <w:tcPr>
            <w:tcW w:type="dxa" w:w="57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7"/>
                <w:szCs w:val="17"/>
              </w:rPr>
              <w:t xml:space="preserve">3</w:t>
            </w:r>
          </w:p>
        </w:tc>
        <w:tc>
          <w:tcPr>
            <w:tcW w:type="dxa" w:w="906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7"/>
                <w:szCs w:val="17"/>
              </w:rPr>
              <w:t xml:space="preserve">Strengthening of the legal foundation</w:t>
            </w:r>
          </w:p>
        </w:tc>
      </w:tr>
      <w:tr>
        <w:trPr>
          <w:cantSplit/>
        </w:trPr>
        <w:tc>
          <w:tcPr>
            <w:tcW w:type="dxa" w:w="578"/>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7"/>
                <w:szCs w:val="17"/>
              </w:rPr>
              <w:t xml:space="preserve">4</w:t>
            </w:r>
          </w:p>
        </w:tc>
        <w:tc>
          <w:tcPr>
            <w:tcW w:type="dxa" w:w="906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7"/>
                <w:szCs w:val="17"/>
              </w:rPr>
              <w:t xml:space="preserve">Establishment of the NRF under the President</w:t>
            </w:r>
          </w:p>
        </w:tc>
      </w:tr>
      <w:tr>
        <w:trPr>
          <w:cantSplit/>
        </w:trPr>
        <w:tc>
          <w:tcPr>
            <w:tcW w:type="dxa" w:w="57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7"/>
                <w:szCs w:val="17"/>
              </w:rPr>
              <w:t xml:space="preserve">5</w:t>
            </w:r>
          </w:p>
        </w:tc>
        <w:tc>
          <w:tcPr>
            <w:tcW w:type="dxa" w:w="906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7"/>
                <w:szCs w:val="17"/>
              </w:rPr>
              <w:t xml:space="preserve">Institutional restructuring of related SOEs</w:t>
            </w:r>
          </w:p>
        </w:tc>
      </w:tr>
      <w:tr>
        <w:trPr>
          <w:cantSplit/>
        </w:trPr>
        <w:tc>
          <w:tcPr>
            <w:tcW w:type="dxa" w:w="578"/>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7"/>
                <w:szCs w:val="17"/>
              </w:rPr>
              <w:t xml:space="preserve">6</w:t>
            </w:r>
          </w:p>
        </w:tc>
        <w:tc>
          <w:tcPr>
            <w:tcW w:type="dxa" w:w="906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7"/>
                <w:szCs w:val="17"/>
              </w:rPr>
              <w:t xml:space="preserve">Integration of mining systems and governance under the NRF</w:t>
            </w:r>
          </w:p>
        </w:tc>
      </w:tr>
      <w:tr>
        <w:trPr>
          <w:cantSplit/>
        </w:trPr>
        <w:tc>
          <w:tcPr>
            <w:tcW w:type="dxa" w:w="57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7"/>
                <w:szCs w:val="17"/>
              </w:rPr>
              <w:t xml:space="preserve">7</w:t>
            </w:r>
          </w:p>
        </w:tc>
        <w:tc>
          <w:tcPr>
            <w:tcW w:type="dxa" w:w="906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7"/>
                <w:szCs w:val="17"/>
              </w:rPr>
              <w:t xml:space="preserve">Management and use of natural-resource fund proceeds</w:t>
            </w:r>
          </w:p>
        </w:tc>
      </w:tr>
      <w:tr>
        <w:trPr>
          <w:cantSplit/>
        </w:trPr>
        <w:tc>
          <w:tcPr>
            <w:tcW w:type="dxa" w:w="578"/>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pPr>
            <w:r>
              <w:rPr>
                <w:rFonts w:ascii="Arial" w:cs="Arial" w:eastAsia="Arial" w:hAnsi="Arial"/>
                <w:b/>
                <w:bCs/>
                <w:color w:val="000000"/>
                <w:sz w:val="17"/>
                <w:szCs w:val="17"/>
              </w:rPr>
              <w:t xml:space="preserve">8</w:t>
            </w:r>
          </w:p>
        </w:tc>
        <w:tc>
          <w:tcPr>
            <w:tcW w:type="dxa" w:w="906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7"/>
                <w:szCs w:val="17"/>
              </w:rPr>
              <w:t xml:space="preserve">Involvement of Koperasi Merah Putih (village cooperatives) and distribution of benefits</w:t>
            </w:r>
          </w:p>
        </w:tc>
      </w:tr>
    </w:tbl>
    <w:p>
      <w:pPr>
        <w:keepNext w:val="false"/>
        <w:spacing w:after="140"/>
      </w:pPr>
    </w:p>
    <w:p>
      <w:pPr>
        <w:pStyle w:val="Heading2"/>
        <w:keepNext/>
        <w:keepLines/>
        <w:spacing w:after="120" w:before="280"/>
      </w:pPr>
      <w:r>
        <w:rPr>
          <w:rFonts w:ascii="Arial" w:cs="Arial" w:eastAsia="Arial" w:hAnsi="Arial"/>
          <w:b/>
          <w:bCs/>
          <w:color w:val="00338D"/>
          <w:sz w:val="28"/>
          <w:szCs w:val="28"/>
        </w:rPr>
        <w:t xml:space="preserve">8.2 Rationale: low fiscal capture from natural resources</w:t>
      </w:r>
    </w:p>
    <w:p>
      <w:pPr>
        <w:keepNext/>
        <w:spacing w:after="60" w:before="120"/>
      </w:pPr>
      <w:r>
        <w:rPr>
          <w:rFonts w:ascii="Arial" w:cs="Arial" w:eastAsia="Arial" w:hAnsi="Arial"/>
          <w:b/>
          <w:bCs/>
          <w:color w:val="00338D"/>
          <w:sz w:val="18"/>
          <w:szCs w:val="18"/>
        </w:rPr>
        <w:t xml:space="preserve">Figure 2: </w:t>
      </w:r>
      <w:r>
        <w:rPr>
          <w:rFonts w:ascii="Arial" w:cs="Arial" w:eastAsia="Arial" w:hAnsi="Arial"/>
          <w:b/>
          <w:bCs/>
          <w:color w:val="00338D"/>
          <w:sz w:val="18"/>
          <w:szCs w:val="18"/>
        </w:rPr>
        <w:t xml:space="preserve">Natural-resource revenue as a share of state revenue, 2004–2026</w:t>
      </w:r>
    </w:p>
    <w:p>
      <w:pPr>
        <w:keepNext/>
        <w:spacing w:after="40"/>
      </w:pPr>
      <w:r>
        <w:drawing>
          <wp:inline distT="0" distB="0" distL="0" distR="0">
            <wp:extent cx="5852160" cy="2977415"/>
            <wp:effectExtent t="0" r="0" b="0" l="0"/>
            <wp:docPr id="2" name="c1_sda_share.png" descr="Natural-resource revenue as a share of state revenue, 2004–2026" title="Natural-resource revenue as a share of state revenue, 2004–2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852160" cy="2977415"/>
                    </a:xfrm>
                    <a:prstGeom prst="rect">
                      <a:avLst/>
                    </a:prstGeom>
                  </pic:spPr>
                </pic:pic>
              </a:graphicData>
            </a:graphic>
          </wp:inline>
        </w:drawing>
      </w:r>
    </w:p>
    <w:p>
      <w:pPr>
        <w:spacing w:after="160"/>
      </w:pPr>
      <w:r>
        <w:rPr>
          <w:rFonts w:ascii="Arial" w:cs="Arial" w:eastAsia="Arial" w:hAnsi="Arial"/>
          <w:i/>
          <w:iCs/>
          <w:color w:val="000000"/>
          <w:sz w:val="15"/>
          <w:szCs w:val="15"/>
        </w:rPr>
        <w:t xml:space="preserve">Source: D5, values read from the chart. D5 does not state the source of the series: treat as class C until reconciled to budget data. 2026 is a projection with the NRF. The chart labels 2026 as 10.86%; the D5 text states 10.68%.</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00338D" w:color="auto" w:val="clear"/>
            <w:tcMar>
              <w:top w:type="dxa" w:w="140"/>
              <w:left w:type="dxa" w:w="160"/>
              <w:bottom w:type="dxa" w:w="140"/>
              <w:right w:type="dxa" w:w="160"/>
            </w:tcMar>
          </w:tcPr>
          <w:p>
            <w:pPr>
              <w:spacing w:after="40"/>
            </w:pPr>
            <w:r>
              <w:rPr>
                <w:rFonts w:ascii="Arial" w:cs="Arial" w:eastAsia="Arial" w:hAnsi="Arial"/>
                <w:b/>
                <w:bCs/>
                <w:color w:val="FFFFFF"/>
                <w:sz w:val="34"/>
                <w:szCs w:val="34"/>
              </w:rPr>
              <w:t xml:space="preserve">19.3% → 7.7%</w:t>
            </w:r>
          </w:p>
          <w:p>
            <w:pPr>
              <w:spacing w:after="0" w:line="240"/>
            </w:pPr>
            <w:r>
              <w:rPr>
                <w:rFonts w:ascii="Arial" w:cs="Arial" w:eastAsia="Arial" w:hAnsi="Arial"/>
                <w:color w:val="FFFFFF"/>
                <w:sz w:val="16"/>
                <w:szCs w:val="16"/>
              </w:rPr>
              <w:t xml:space="preserve">Natural-resource contribution to the state budget, 2004–2014 versus 2015–2024</w:t>
            </w:r>
          </w:p>
        </w:tc>
        <w:tc>
          <w:tcPr>
            <w:tcW w:type="dxa" w:w="2409"/>
            <w:tcBorders>
              <w:top w:val="single" w:color="FFFFFF" w:sz="24"/>
              <w:left w:val="single" w:color="FFFFFF" w:sz="24"/>
              <w:bottom w:val="single" w:color="FFFFFF" w:sz="24"/>
              <w:right w:val="single" w:color="FFFFFF" w:sz="24"/>
            </w:tcBorders>
            <w:shd w:fill="005EB8" w:color="auto" w:val="clear"/>
            <w:tcMar>
              <w:top w:type="dxa" w:w="140"/>
              <w:left w:type="dxa" w:w="160"/>
              <w:bottom w:type="dxa" w:w="140"/>
              <w:right w:type="dxa" w:w="160"/>
            </w:tcMar>
          </w:tcPr>
          <w:p>
            <w:pPr>
              <w:spacing w:after="40"/>
            </w:pPr>
            <w:r>
              <w:rPr>
                <w:rFonts w:ascii="Arial" w:cs="Arial" w:eastAsia="Arial" w:hAnsi="Arial"/>
                <w:b/>
                <w:bCs/>
                <w:color w:val="FFFFFF"/>
                <w:sz w:val="34"/>
                <w:szCs w:val="34"/>
              </w:rPr>
              <w:t xml:space="preserve">&lt; 50%</w:t>
            </w:r>
          </w:p>
          <w:p>
            <w:pPr>
              <w:spacing w:after="0" w:line="240"/>
            </w:pPr>
            <w:r>
              <w:rPr>
                <w:rFonts w:ascii="Arial" w:cs="Arial" w:eastAsia="Arial" w:hAnsi="Arial"/>
                <w:color w:val="FFFFFF"/>
                <w:sz w:val="16"/>
                <w:szCs w:val="16"/>
              </w:rPr>
              <w:t xml:space="preserve">2024 natural-resource revenue relative to interest payments on state debt</w:t>
            </w:r>
          </w:p>
        </w:tc>
        <w:tc>
          <w:tcPr>
            <w:tcW w:type="dxa" w:w="2409"/>
            <w:tcBorders>
              <w:top w:val="single" w:color="FFFFFF" w:sz="24"/>
              <w:left w:val="single" w:color="FFFFFF" w:sz="24"/>
              <w:bottom w:val="single" w:color="FFFFFF" w:sz="24"/>
              <w:right w:val="single" w:color="FFFFFF" w:sz="24"/>
            </w:tcBorders>
            <w:shd w:fill="00338D" w:color="auto" w:val="clear"/>
            <w:tcMar>
              <w:top w:type="dxa" w:w="140"/>
              <w:left w:type="dxa" w:w="160"/>
              <w:bottom w:type="dxa" w:w="140"/>
              <w:right w:type="dxa" w:w="160"/>
            </w:tcMar>
          </w:tcPr>
          <w:p>
            <w:pPr>
              <w:spacing w:after="40"/>
            </w:pPr>
            <w:r>
              <w:rPr>
                <w:rFonts w:ascii="Arial" w:cs="Arial" w:eastAsia="Arial" w:hAnsi="Arial"/>
                <w:b/>
                <w:bCs/>
                <w:color w:val="FFFFFF"/>
                <w:sz w:val="34"/>
                <w:szCs w:val="34"/>
              </w:rPr>
              <w:t xml:space="preserve">Rp1,684.7 tn</w:t>
            </w:r>
          </w:p>
          <w:p>
            <w:pPr>
              <w:spacing w:after="0" w:line="240"/>
            </w:pPr>
            <w:r>
              <w:rPr>
                <w:rFonts w:ascii="Arial" w:cs="Arial" w:eastAsia="Arial" w:hAnsi="Arial"/>
                <w:color w:val="FFFFFF"/>
                <w:sz w:val="16"/>
                <w:szCs w:val="16"/>
              </w:rPr>
              <w:t xml:space="preserve">Market capitalisation of coal-mining companies cited in D5 (a stock; state royalty of ~Rp126.4 tn in 2024 is a flow)</w:t>
            </w:r>
          </w:p>
        </w:tc>
        <w:tc>
          <w:tcPr>
            <w:tcW w:type="dxa" w:w="2411"/>
            <w:tcBorders>
              <w:top w:val="single" w:color="FFFFFF" w:sz="24"/>
              <w:left w:val="single" w:color="FFFFFF" w:sz="24"/>
              <w:bottom w:val="single" w:color="FFFFFF" w:sz="24"/>
              <w:right w:val="single" w:color="FFFFFF" w:sz="24"/>
            </w:tcBorders>
            <w:shd w:fill="005EB8" w:color="auto" w:val="clear"/>
            <w:tcMar>
              <w:top w:type="dxa" w:w="140"/>
              <w:left w:type="dxa" w:w="160"/>
              <w:bottom w:type="dxa" w:w="140"/>
              <w:right w:type="dxa" w:w="160"/>
            </w:tcMar>
          </w:tcPr>
          <w:p>
            <w:pPr>
              <w:spacing w:after="40"/>
            </w:pPr>
            <w:r>
              <w:rPr>
                <w:rFonts w:ascii="Arial" w:cs="Arial" w:eastAsia="Arial" w:hAnsi="Arial"/>
                <w:b/>
                <w:bCs/>
                <w:color w:val="FFFFFF"/>
                <w:sz w:val="34"/>
                <w:szCs w:val="34"/>
              </w:rPr>
              <w:t xml:space="preserve">&lt; 2%</w:t>
            </w:r>
          </w:p>
          <w:p>
            <w:pPr>
              <w:spacing w:after="0" w:line="240"/>
            </w:pPr>
            <w:r>
              <w:rPr>
                <w:rFonts w:ascii="Arial" w:cs="Arial" w:eastAsia="Arial" w:hAnsi="Arial"/>
                <w:color w:val="FFFFFF"/>
                <w:sz w:val="16"/>
                <w:szCs w:val="16"/>
              </w:rPr>
              <w:t xml:space="preserve">D5's figure for the state's share of total coal potential (Rp10,000 tn); method not stated</w:t>
            </w:r>
          </w:p>
        </w:tc>
      </w:tr>
    </w:tbl>
    <w:p>
      <w:pPr>
        <w:spacing w:after="160"/>
      </w:pPr>
    </w:p>
    <w:p>
      <w:pPr>
        <w:spacing w:after="160"/>
      </w:pPr>
      <w:r>
        <w:rPr>
          <w:rFonts w:ascii="Arial" w:cs="Arial" w:eastAsia="Arial" w:hAnsi="Arial"/>
          <w:i/>
          <w:iCs/>
          <w:color w:val="000000"/>
          <w:sz w:val="15"/>
          <w:szCs w:val="15"/>
        </w:rPr>
        <w:t xml:space="preserve">Source: D5. The 2026 projection is Rp336 tn of natural-resource benefits, equal to 10.68% of state revenue, implying state revenue of about Rp3,146 tn (our calculation).</w:t>
      </w:r>
    </w:p>
    <w:p>
      <w:pPr>
        <w:spacing w:after="110" w:before="0" w:line="264"/>
        <w:jc w:val="left"/>
      </w:pPr>
      <w:r>
        <w:rPr>
          <w:rFonts w:ascii="Arial" w:cs="Arial" w:eastAsia="Arial" w:hAnsi="Arial"/>
          <w:color w:val="000000"/>
          <w:sz w:val="20"/>
          <w:szCs w:val="20"/>
        </w:rPr>
        <w:t xml:space="preserve">The direction of the diagnosis is supported. The averages in D5 reconcile with its own annual data: the eleven values for 2004–2014 average 19.3%, and the ten values for 2015–2024 average 7.7%.</w:t>
      </w:r>
    </w:p>
    <w:p>
      <w:pPr>
        <w:spacing w:after="110" w:before="0" w:line="264"/>
        <w:jc w:val="left"/>
      </w:pPr>
      <w:r>
        <w:rPr>
          <w:rFonts w:ascii="Arial" w:cs="Arial" w:eastAsia="Arial" w:hAnsi="Arial"/>
          <w:color w:val="000000"/>
          <w:sz w:val="20"/>
          <w:szCs w:val="20"/>
        </w:rPr>
        <w:t xml:space="preserve">Two cautions apply. First, the fall in the share reflects several causes together: commodity prices, oil and gas production, changes in the fiscal regime, and growth in other revenue. It is not evidence of low capture alone. Second, D5 compares market capitalisation, a stock, with annual royalty, a flow. That is the same stock-versus-flow mismatch flagged in Issue 2 below. A sound measure of capture is state take (royalty, PNBP and tax) divided by sector economic rent or EBITDA, by commodity and year. With that decomposition, a mechanism that raises capture, saves part of the proceeds and invests part in domestic capability would be consistent with Article 33 and with international practice for resource funds.</w:t>
      </w:r>
    </w:p>
    <w:p>
      <w:pPr>
        <w:pStyle w:val="Heading2"/>
        <w:keepNext/>
        <w:keepLines/>
        <w:spacing w:after="120" w:before="280"/>
      </w:pPr>
      <w:r>
        <w:rPr>
          <w:rFonts w:ascii="Arial" w:cs="Arial" w:eastAsia="Arial" w:hAnsi="Arial"/>
          <w:b/>
          <w:bCs/>
          <w:color w:val="00338D"/>
          <w:sz w:val="28"/>
          <w:szCs w:val="28"/>
        </w:rPr>
        <w:t xml:space="preserve">8.3 Assessment: what must be resolved before design</w:t>
      </w:r>
    </w:p>
    <w:p>
      <w:pPr>
        <w:spacing w:after="110" w:before="0" w:line="264"/>
        <w:jc w:val="left"/>
      </w:pPr>
      <w:r>
        <w:rPr>
          <w:rFonts w:ascii="Arial" w:cs="Arial" w:eastAsia="Arial" w:hAnsi="Arial"/>
          <w:color w:val="000000"/>
          <w:sz w:val="20"/>
          <w:szCs w:val="20"/>
        </w:rPr>
        <w:t xml:space="preserve">The NRF concept is directionally right. Its numbers, legal basis and fiscal treatment are not yet sound enough to support a decision. Eight issues must be resolved.</w:t>
      </w:r>
    </w:p>
    <w:p>
      <w:pPr>
        <w:keepNext/>
        <w:spacing w:after="80" w:before="120"/>
      </w:pPr>
      <w:r>
        <w:rPr>
          <w:rFonts w:ascii="Arial" w:cs="Arial" w:eastAsia="Arial" w:hAnsi="Arial"/>
          <w:b/>
          <w:bCs/>
          <w:color w:val="00338D"/>
          <w:sz w:val="18"/>
          <w:szCs w:val="18"/>
        </w:rPr>
        <w:t xml:space="preserve">Table 10: </w:t>
      </w:r>
      <w:r>
        <w:rPr>
          <w:rFonts w:ascii="Arial" w:cs="Arial" w:eastAsia="Arial" w:hAnsi="Arial"/>
          <w:b/>
          <w:bCs/>
          <w:color w:val="00338D"/>
          <w:sz w:val="18"/>
          <w:szCs w:val="18"/>
        </w:rPr>
        <w:t xml:space="preserve">NRF issues and required resolution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2"/>
        <w:gridCol w:w="2891"/>
        <w:gridCol w:w="3084"/>
        <w:gridCol w:w="3181"/>
      </w:tblGrid>
      <w:tr>
        <w:trPr>
          <w:cantSplit/>
          <w:tblHeader/>
        </w:trPr>
        <w:tc>
          <w:tcPr>
            <w:tcW w:type="dxa" w:w="482"/>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w:t>
            </w:r>
          </w:p>
        </w:tc>
        <w:tc>
          <w:tcPr>
            <w:tcW w:type="dxa" w:w="2891"/>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Issue</w:t>
            </w:r>
          </w:p>
        </w:tc>
        <w:tc>
          <w:tcPr>
            <w:tcW w:type="dxa" w:w="3084"/>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Why it matters</w:t>
            </w:r>
          </w:p>
        </w:tc>
        <w:tc>
          <w:tcPr>
            <w:tcW w:type="dxa" w:w="3181"/>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Required resolution</w:t>
            </w:r>
          </w:p>
        </w:tc>
      </w:tr>
      <w:tr>
        <w:trPr>
          <w:cantSplit/>
        </w:trPr>
        <w:tc>
          <w:tcPr>
            <w:tcW w:type="dxa" w:w="48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7"/>
                <w:szCs w:val="17"/>
              </w:rPr>
              <w:t xml:space="preserve">1</w:t>
            </w:r>
          </w:p>
        </w:tc>
        <w:tc>
          <w:tcPr>
            <w:tcW w:type="dxa" w:w="2891"/>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7"/>
                <w:szCs w:val="17"/>
              </w:rPr>
              <w:t xml:space="preserve">Valuation basis.</w:t>
            </w:r>
            <w:r>
              <w:rPr>
                <w:rFonts w:ascii="Arial" w:cs="Arial" w:eastAsia="Arial" w:hAnsi="Arial"/>
                <w:color w:val="000000"/>
                <w:sz w:val="17"/>
                <w:szCs w:val="17"/>
              </w:rPr>
              <w:t xml:space="preserve"> Rp10,000 tn is a potential or in-situ figure; the methodology is not stated.</w:t>
            </w:r>
          </w:p>
        </w:tc>
        <w:tc>
          <w:tcPr>
            <w:tcW w:type="dxa" w:w="3084"/>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7"/>
                <w:szCs w:val="17"/>
              </w:rPr>
              <w:t xml:space="preserve">Financeable value is the present value of the state's share of cash flows from proven and probable reserves, typically a small fraction of in-situ value (Section 8.5).</w:t>
            </w:r>
          </w:p>
        </w:tc>
        <w:tc>
          <w:tcPr>
            <w:tcW w:type="dxa" w:w="3181"/>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7"/>
                <w:szCs w:val="17"/>
              </w:rPr>
              <w:t xml:space="preserve">Independent valuation under KCMI/CRIRSCO; publish the method and the haircuts.</w:t>
            </w:r>
          </w:p>
        </w:tc>
      </w:tr>
      <w:tr>
        <w:trPr>
          <w:cantSplit/>
        </w:trPr>
        <w:tc>
          <w:tcPr>
            <w:tcW w:type="dxa" w:w="48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7"/>
                <w:szCs w:val="17"/>
              </w:rPr>
              <w:t xml:space="preserve">2</w:t>
            </w:r>
          </w:p>
        </w:tc>
        <w:tc>
          <w:tcPr>
            <w:tcW w:type="dxa" w:w="2891"/>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7"/>
                <w:szCs w:val="17"/>
              </w:rPr>
              <w:t xml:space="preserve">Benefit targets.</w:t>
            </w:r>
            <w:r>
              <w:rPr>
                <w:rFonts w:ascii="Arial" w:cs="Arial" w:eastAsia="Arial" w:hAnsi="Arial"/>
                <w:color w:val="000000"/>
                <w:sz w:val="17"/>
                <w:szCs w:val="17"/>
              </w:rPr>
              <w:t xml:space="preserve"> Rp100 tn in year 1 and Rp1,000 tn in three years are described in the text as “direct fiscal benefits”. In the chart they appear under “coal capitalisation value with NRF”, next to “Coal Reserve Capitalization” of Rp10,000 tn.</w:t>
            </w:r>
          </w:p>
        </w:tc>
        <w:tc>
          <w:tcPr>
            <w:tcW w:type="dxa" w:w="3084"/>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7"/>
                <w:szCs w:val="17"/>
              </w:rPr>
              <w:t xml:space="preserve">Capitalisation (a stock) and fiscal benefit (a flow) are different things; they cannot be compared with budget revenue.</w:t>
            </w:r>
          </w:p>
        </w:tc>
        <w:tc>
          <w:tcPr>
            <w:tcW w:type="dxa" w:w="3181"/>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7"/>
                <w:szCs w:val="17"/>
              </w:rPr>
              <w:t xml:space="preserve">Restate targets as cash flows to the budget, net of forgone future revenue and costs.</w:t>
            </w:r>
          </w:p>
        </w:tc>
      </w:tr>
      <w:tr>
        <w:trPr>
          <w:cantSplit/>
        </w:trPr>
        <w:tc>
          <w:tcPr>
            <w:tcW w:type="dxa" w:w="48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7"/>
                <w:szCs w:val="17"/>
              </w:rPr>
              <w:t xml:space="preserve">3</w:t>
            </w:r>
          </w:p>
        </w:tc>
        <w:tc>
          <w:tcPr>
            <w:tcW w:type="dxa" w:w="2891"/>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7"/>
                <w:szCs w:val="17"/>
              </w:rPr>
              <w:t xml:space="preserve">Legal rights.</w:t>
            </w:r>
            <w:r>
              <w:rPr>
                <w:rFonts w:ascii="Arial" w:cs="Arial" w:eastAsia="Arial" w:hAnsi="Arial"/>
                <w:color w:val="000000"/>
                <w:sz w:val="17"/>
                <w:szCs w:val="17"/>
              </w:rPr>
              <w:t xml:space="preserve"> State control under Article 33 does not by itself give BPI or an NRF the right to pledge unmined reserves or non-tax revenue (PNBP) [D2 §18].</w:t>
            </w:r>
          </w:p>
        </w:tc>
        <w:tc>
          <w:tcPr>
            <w:tcW w:type="dxa" w:w="3084"/>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7"/>
                <w:szCs w:val="17"/>
              </w:rPr>
              <w:t xml:space="preserve">Investors and courts will test the chain of rights; a defect voids the security.</w:t>
            </w:r>
          </w:p>
        </w:tc>
        <w:tc>
          <w:tcPr>
            <w:tcW w:type="dxa" w:w="3181"/>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7"/>
                <w:szCs w:val="17"/>
              </w:rPr>
              <w:t xml:space="preserve">Legal review of who holds mining rights, the right to sell and to pledge, tax and PNBP treatment, and the authorisation needed.</w:t>
            </w:r>
          </w:p>
        </w:tc>
      </w:tr>
      <w:tr>
        <w:trPr>
          <w:cantSplit/>
        </w:trPr>
        <w:tc>
          <w:tcPr>
            <w:tcW w:type="dxa" w:w="48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7"/>
                <w:szCs w:val="17"/>
              </w:rPr>
              <w:t xml:space="preserve">4</w:t>
            </w:r>
          </w:p>
        </w:tc>
        <w:tc>
          <w:tcPr>
            <w:tcW w:type="dxa" w:w="2891"/>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7"/>
                <w:szCs w:val="17"/>
              </w:rPr>
              <w:t xml:space="preserve">Fiscal substance.</w:t>
            </w:r>
            <w:r>
              <w:rPr>
                <w:rFonts w:ascii="Arial" w:cs="Arial" w:eastAsia="Arial" w:hAnsi="Arial"/>
                <w:color w:val="000000"/>
                <w:sz w:val="17"/>
                <w:szCs w:val="17"/>
              </w:rPr>
              <w:t xml:space="preserve"> Securitising up to 50% of future cash flow borrows against future revenue.</w:t>
            </w:r>
          </w:p>
        </w:tc>
        <w:tc>
          <w:tcPr>
            <w:tcW w:type="dxa" w:w="3084"/>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7"/>
                <w:szCs w:val="17"/>
              </w:rPr>
              <w:t xml:space="preserve">An instrument with an obligation to repay or a fixed coupon is a financing liability; an off-budget label does not remove fiscal or contingent risk [D1, D2].</w:t>
            </w:r>
          </w:p>
        </w:tc>
        <w:tc>
          <w:tcPr>
            <w:tcW w:type="dxa" w:w="3181"/>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7"/>
                <w:szCs w:val="17"/>
              </w:rPr>
              <w:t xml:space="preserve">Record as debt in the fiscal-risk statement; show the present value of revenue given up.</w:t>
            </w:r>
          </w:p>
        </w:tc>
      </w:tr>
      <w:tr>
        <w:trPr>
          <w:cantSplit/>
        </w:trPr>
        <w:tc>
          <w:tcPr>
            <w:tcW w:type="dxa" w:w="48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7"/>
                <w:szCs w:val="17"/>
              </w:rPr>
              <w:t xml:space="preserve">5</w:t>
            </w:r>
          </w:p>
        </w:tc>
        <w:tc>
          <w:tcPr>
            <w:tcW w:type="dxa" w:w="2891"/>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7"/>
                <w:szCs w:val="17"/>
              </w:rPr>
              <w:t xml:space="preserve">Debt reprofiling with the APBN.</w:t>
            </w:r>
            <w:r>
              <w:rPr>
                <w:rFonts w:ascii="Arial" w:cs="Arial" w:eastAsia="Arial" w:hAnsi="Arial"/>
                <w:color w:val="000000"/>
                <w:sz w:val="17"/>
                <w:szCs w:val="17"/>
              </w:rPr>
              <w:t xml:space="preserve"> Using resource-backed securities to reprofile state debt swaps one liability for another.</w:t>
            </w:r>
          </w:p>
        </w:tc>
        <w:tc>
          <w:tcPr>
            <w:tcW w:type="dxa" w:w="3084"/>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7"/>
                <w:szCs w:val="17"/>
              </w:rPr>
              <w:t xml:space="preserve">There is a gain only if the all-in cost is lower and the risk transfer is real.</w:t>
            </w:r>
          </w:p>
        </w:tc>
        <w:tc>
          <w:tcPr>
            <w:tcW w:type="dxa" w:w="3181"/>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7"/>
                <w:szCs w:val="17"/>
              </w:rPr>
              <w:t xml:space="preserve">Like-for-like comparison against SBN of the same tenor and currency.</w:t>
            </w:r>
          </w:p>
        </w:tc>
      </w:tr>
      <w:tr>
        <w:trPr>
          <w:cantSplit/>
        </w:trPr>
        <w:tc>
          <w:tcPr>
            <w:tcW w:type="dxa" w:w="48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7"/>
                <w:szCs w:val="17"/>
              </w:rPr>
              <w:t xml:space="preserve">6</w:t>
            </w:r>
          </w:p>
        </w:tc>
        <w:tc>
          <w:tcPr>
            <w:tcW w:type="dxa" w:w="2891"/>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7"/>
                <w:szCs w:val="17"/>
              </w:rPr>
              <w:t xml:space="preserve">Institutional position.</w:t>
            </w:r>
            <w:r>
              <w:rPr>
                <w:rFonts w:ascii="Arial" w:cs="Arial" w:eastAsia="Arial" w:hAnsi="Arial"/>
                <w:color w:val="000000"/>
                <w:sz w:val="17"/>
                <w:szCs w:val="17"/>
              </w:rPr>
              <w:t xml:space="preserve"> An NRF directly under the President alongside Danantara risks overlapping mandates.</w:t>
            </w:r>
          </w:p>
        </w:tc>
        <w:tc>
          <w:tcPr>
            <w:tcW w:type="dxa" w:w="3084"/>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7"/>
                <w:szCs w:val="17"/>
              </w:rPr>
              <w:t xml:space="preserve">D1 cites the Santiago Principles for investment and risk governance [D1/S16]. The point on clear owner, governing-body and manager roles is our reading of the principles.</w:t>
            </w:r>
          </w:p>
        </w:tc>
        <w:tc>
          <w:tcPr>
            <w:tcW w:type="dxa" w:w="3181"/>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7"/>
                <w:szCs w:val="17"/>
              </w:rPr>
              <w:t xml:space="preserve">Define the NRF as owner/fund with a mandate letter. Professional managers, which could include Danantara arms, manage assets under contract, subject to the Government's decision.</w:t>
            </w:r>
          </w:p>
        </w:tc>
      </w:tr>
      <w:tr>
        <w:trPr>
          <w:cantSplit/>
        </w:trPr>
        <w:tc>
          <w:tcPr>
            <w:tcW w:type="dxa" w:w="48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7"/>
                <w:szCs w:val="17"/>
              </w:rPr>
              <w:t xml:space="preserve">7</w:t>
            </w:r>
          </w:p>
        </w:tc>
        <w:tc>
          <w:tcPr>
            <w:tcW w:type="dxa" w:w="2891"/>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7"/>
                <w:szCs w:val="17"/>
              </w:rPr>
              <w:t xml:space="preserve">Due process.</w:t>
            </w:r>
            <w:r>
              <w:rPr>
                <w:rFonts w:ascii="Arial" w:cs="Arial" w:eastAsia="Arial" w:hAnsi="Arial"/>
                <w:color w:val="000000"/>
                <w:sz w:val="17"/>
                <w:szCs w:val="17"/>
              </w:rPr>
              <w:t xml:space="preserve"> Steps 1 and 2 (nationalising illegal mining; reviewing IUP and HGU) affect property and licence rights.</w:t>
            </w:r>
          </w:p>
        </w:tc>
        <w:tc>
          <w:tcPr>
            <w:tcW w:type="dxa" w:w="3084"/>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7"/>
                <w:szCs w:val="17"/>
              </w:rPr>
              <w:t xml:space="preserve">Investor confidence across the resource sector depends on legal certainty.</w:t>
            </w:r>
          </w:p>
        </w:tc>
        <w:tc>
          <w:tcPr>
            <w:tcW w:type="dxa" w:w="3181"/>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7"/>
                <w:szCs w:val="17"/>
              </w:rPr>
              <w:t xml:space="preserve">Enforcement and licence reviews follow transparent due process, with compensation rules and an independent appeal route.</w:t>
            </w:r>
          </w:p>
        </w:tc>
      </w:tr>
      <w:tr>
        <w:trPr>
          <w:cantSplit/>
        </w:trPr>
        <w:tc>
          <w:tcPr>
            <w:tcW w:type="dxa" w:w="48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pPr>
            <w:r>
              <w:rPr>
                <w:rFonts w:ascii="Arial" w:cs="Arial" w:eastAsia="Arial" w:hAnsi="Arial"/>
                <w:color w:val="000000"/>
                <w:sz w:val="17"/>
                <w:szCs w:val="17"/>
              </w:rPr>
              <w:t xml:space="preserve">8</w:t>
            </w:r>
          </w:p>
        </w:tc>
        <w:tc>
          <w:tcPr>
            <w:tcW w:type="dxa" w:w="2891"/>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pPr>
            <w:r>
              <w:rPr>
                <w:rFonts w:ascii="Arial" w:cs="Arial" w:eastAsia="Arial" w:hAnsi="Arial"/>
                <w:b/>
                <w:bCs/>
                <w:color w:val="000000"/>
                <w:sz w:val="17"/>
                <w:szCs w:val="17"/>
              </w:rPr>
              <w:t xml:space="preserve">Distribution channel.</w:t>
            </w:r>
            <w:r>
              <w:rPr>
                <w:rFonts w:ascii="Arial" w:cs="Arial" w:eastAsia="Arial" w:hAnsi="Arial"/>
                <w:color w:val="000000"/>
                <w:sz w:val="17"/>
                <w:szCs w:val="17"/>
              </w:rPr>
              <w:t xml:space="preserve"> Benefit distribution through Koperasi Merah Putih mixes a programme channel with an investment vehicle.</w:t>
            </w:r>
          </w:p>
        </w:tc>
        <w:tc>
          <w:tcPr>
            <w:tcW w:type="dxa" w:w="3084"/>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pPr>
            <w:r>
              <w:rPr>
                <w:rFonts w:ascii="Arial" w:cs="Arial" w:eastAsia="Arial" w:hAnsi="Arial"/>
                <w:color w:val="000000"/>
                <w:sz w:val="17"/>
                <w:szCs w:val="17"/>
              </w:rPr>
              <w:t xml:space="preserve">Commingling weakens both investment discipline and programme accountability.</w:t>
            </w:r>
          </w:p>
        </w:tc>
        <w:tc>
          <w:tcPr>
            <w:tcW w:type="dxa" w:w="3181"/>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pPr>
            <w:r>
              <w:rPr>
                <w:rFonts w:ascii="Arial" w:cs="Arial" w:eastAsia="Arial" w:hAnsi="Arial"/>
                <w:color w:val="000000"/>
                <w:sz w:val="17"/>
                <w:szCs w:val="17"/>
              </w:rPr>
              <w:t xml:space="preserve">Route distributions through the budget or a separate programme window with its own audit.</w:t>
            </w:r>
          </w:p>
        </w:tc>
      </w:tr>
    </w:tbl>
    <w:p>
      <w:pPr>
        <w:keepNext w:val="false"/>
        <w:spacing w:after="140"/>
      </w:pPr>
    </w:p>
    <w:p>
      <w:pPr>
        <w:pStyle w:val="Heading2"/>
        <w:keepNext/>
        <w:keepLines/>
        <w:spacing w:after="120" w:before="280"/>
      </w:pPr>
      <w:r>
        <w:rPr>
          <w:rFonts w:ascii="Arial" w:cs="Arial" w:eastAsia="Arial" w:hAnsi="Arial"/>
          <w:b/>
          <w:bCs/>
          <w:color w:val="00338D"/>
          <w:sz w:val="28"/>
          <w:szCs w:val="28"/>
        </w:rPr>
        <w:t xml:space="preserve">8.4 The four monetisation options compared</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20"/>
        <w:gridCol w:w="2506"/>
        <w:gridCol w:w="2699"/>
        <w:gridCol w:w="2313"/>
      </w:tblGrid>
      <w:tr>
        <w:trPr>
          <w:cantSplit/>
          <w:tblHeader/>
        </w:trPr>
        <w:tc>
          <w:tcPr>
            <w:tcW w:type="dxa" w:w="2120"/>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Option</w:t>
            </w:r>
          </w:p>
        </w:tc>
        <w:tc>
          <w:tcPr>
            <w:tcW w:type="dxa" w:w="2506"/>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Strength</w:t>
            </w:r>
          </w:p>
        </w:tc>
        <w:tc>
          <w:tcPr>
            <w:tcW w:type="dxa" w:w="2699"/>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Weakness</w:t>
            </w:r>
          </w:p>
        </w:tc>
        <w:tc>
          <w:tcPr>
            <w:tcW w:type="dxa" w:w="2313"/>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Assessment</w:t>
            </w:r>
          </w:p>
        </w:tc>
      </w:tr>
      <w:tr>
        <w:trPr>
          <w:cantSplit/>
        </w:trPr>
        <w:tc>
          <w:tcPr>
            <w:tcW w:type="dxa" w:w="212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7"/>
                <w:szCs w:val="17"/>
              </w:rPr>
              <w:t xml:space="preserve">Sovereign asset-backed securities</w:t>
            </w:r>
          </w:p>
        </w:tc>
        <w:tc>
          <w:tcPr>
            <w:tcW w:type="dxa" w:w="250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7"/>
                <w:szCs w:val="17"/>
              </w:rPr>
              <w:t xml:space="preserve">Familiar to institutional investors; ring-fenced cash flows</w:t>
            </w:r>
          </w:p>
        </w:tc>
        <w:tc>
          <w:tcPr>
            <w:tcW w:type="dxa" w:w="2699"/>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7"/>
                <w:szCs w:val="17"/>
              </w:rPr>
              <w:t xml:space="preserve">Requires true sale or clear security over revenue; complex SPV and rating work</w:t>
            </w:r>
          </w:p>
        </w:tc>
        <w:tc>
          <w:tcPr>
            <w:tcW w:type="dxa" w:w="2313"/>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7"/>
                <w:szCs w:val="17"/>
              </w:rPr>
              <w:t xml:space="preserve">Viable</w:t>
            </w:r>
            <w:r>
              <w:rPr>
                <w:rFonts w:ascii="Arial" w:cs="Arial" w:eastAsia="Arial" w:hAnsi="Arial"/>
                <w:b w:val="false"/>
                <w:bCs w:val="false"/>
                <w:color w:val="000000"/>
                <w:sz w:val="17"/>
                <w:szCs w:val="17"/>
              </w:rPr>
              <w:t xml:space="preserve"> for producing assets with stable royalty flows</w:t>
            </w:r>
          </w:p>
        </w:tc>
      </w:tr>
      <w:tr>
        <w:trPr>
          <w:cantSplit/>
        </w:trPr>
        <w:tc>
          <w:tcPr>
            <w:tcW w:type="dxa" w:w="212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7"/>
                <w:szCs w:val="17"/>
              </w:rPr>
              <w:t xml:space="preserve">Mineral-based sovereign note</w:t>
            </w:r>
          </w:p>
        </w:tc>
        <w:tc>
          <w:tcPr>
            <w:tcW w:type="dxa" w:w="2506"/>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7"/>
                <w:szCs w:val="17"/>
              </w:rPr>
              <w:t xml:space="preserve">Uses existing state-securities framework; simplest for domestic investors</w:t>
            </w:r>
          </w:p>
        </w:tc>
        <w:tc>
          <w:tcPr>
            <w:tcW w:type="dxa" w:w="2699"/>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7"/>
                <w:szCs w:val="17"/>
              </w:rPr>
              <w:t xml:space="preserve">Is plainly state debt; adds little unless revenue-linked</w:t>
            </w:r>
          </w:p>
        </w:tc>
        <w:tc>
          <w:tcPr>
            <w:tcW w:type="dxa" w:w="2313"/>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7"/>
                <w:szCs w:val="17"/>
              </w:rPr>
              <w:t xml:space="preserve">Preferred first instrument</w:t>
            </w:r>
            <w:r>
              <w:rPr>
                <w:rFonts w:ascii="Arial" w:cs="Arial" w:eastAsia="Arial" w:hAnsi="Arial"/>
                <w:b w:val="false"/>
                <w:bCs w:val="false"/>
                <w:color w:val="000000"/>
                <w:sz w:val="17"/>
                <w:szCs w:val="17"/>
              </w:rPr>
              <w:t xml:space="preserve"> if linked to a ring-fenced revenue account</w:t>
            </w:r>
          </w:p>
        </w:tc>
      </w:tr>
      <w:tr>
        <w:trPr>
          <w:cantSplit/>
        </w:trPr>
        <w:tc>
          <w:tcPr>
            <w:tcW w:type="dxa" w:w="212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7"/>
                <w:szCs w:val="17"/>
              </w:rPr>
              <w:t xml:space="preserve">Royalty-backed financing</w:t>
            </w:r>
          </w:p>
        </w:tc>
        <w:tc>
          <w:tcPr>
            <w:tcW w:type="dxa" w:w="250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7"/>
                <w:szCs w:val="17"/>
              </w:rPr>
              <w:t xml:space="preserve">Directly monetises the state's existing take; measurable</w:t>
            </w:r>
          </w:p>
        </w:tc>
        <w:tc>
          <w:tcPr>
            <w:tcW w:type="dxa" w:w="2699"/>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7"/>
                <w:szCs w:val="17"/>
              </w:rPr>
              <w:t xml:space="preserve">Brings forward revenue that future budgets would otherwise receive</w:t>
            </w:r>
          </w:p>
        </w:tc>
        <w:tc>
          <w:tcPr>
            <w:tcW w:type="dxa" w:w="2313"/>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7"/>
                <w:szCs w:val="17"/>
              </w:rPr>
              <w:t xml:space="preserve">Viable</w:t>
            </w:r>
            <w:r>
              <w:rPr>
                <w:rFonts w:ascii="Arial" w:cs="Arial" w:eastAsia="Arial" w:hAnsi="Arial"/>
                <w:b w:val="false"/>
                <w:bCs w:val="false"/>
                <w:color w:val="000000"/>
                <w:sz w:val="17"/>
                <w:szCs w:val="17"/>
              </w:rPr>
              <w:t xml:space="preserve"> with a cap on advance rate and a coverage test</w:t>
            </w:r>
          </w:p>
        </w:tc>
      </w:tr>
      <w:tr>
        <w:trPr>
          <w:cantSplit/>
        </w:trPr>
        <w:tc>
          <w:tcPr>
            <w:tcW w:type="dxa" w:w="212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pPr>
            <w:r>
              <w:rPr>
                <w:rFonts w:ascii="Arial" w:cs="Arial" w:eastAsia="Arial" w:hAnsi="Arial"/>
                <w:b/>
                <w:bCs/>
                <w:color w:val="000000"/>
                <w:sz w:val="17"/>
                <w:szCs w:val="17"/>
              </w:rPr>
              <w:t xml:space="preserve">Mineral Reserve Trust</w:t>
            </w:r>
          </w:p>
        </w:tc>
        <w:tc>
          <w:tcPr>
            <w:tcW w:type="dxa" w:w="2506"/>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7"/>
                <w:szCs w:val="17"/>
              </w:rPr>
              <w:t xml:space="preserve">Can hold reserves for the long term and separate ownership from operation</w:t>
            </w:r>
          </w:p>
        </w:tc>
        <w:tc>
          <w:tcPr>
            <w:tcW w:type="dxa" w:w="2699"/>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7"/>
                <w:szCs w:val="17"/>
              </w:rPr>
              <w:t xml:space="preserve">Hardest legally; valuation of unmined reserves is contested</w:t>
            </w:r>
          </w:p>
        </w:tc>
        <w:tc>
          <w:tcPr>
            <w:tcW w:type="dxa" w:w="2313"/>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pPr>
            <w:r>
              <w:rPr>
                <w:rFonts w:ascii="Arial" w:cs="Arial" w:eastAsia="Arial" w:hAnsi="Arial"/>
                <w:b/>
                <w:bCs/>
                <w:color w:val="000000"/>
                <w:sz w:val="17"/>
                <w:szCs w:val="17"/>
              </w:rPr>
              <w:t xml:space="preserve">Later stage</w:t>
            </w:r>
            <w:r>
              <w:rPr>
                <w:rFonts w:ascii="Arial" w:cs="Arial" w:eastAsia="Arial" w:hAnsi="Arial"/>
                <w:b w:val="false"/>
                <w:bCs w:val="false"/>
                <w:color w:val="000000"/>
                <w:sz w:val="17"/>
                <w:szCs w:val="17"/>
              </w:rPr>
              <w:t xml:space="preserve">, after rights and valuation are settled</w:t>
            </w:r>
          </w:p>
        </w:tc>
      </w:tr>
    </w:tbl>
    <w:p>
      <w:pPr>
        <w:keepNext w:val="false"/>
        <w:spacing w:after="140"/>
      </w:pPr>
    </w:p>
    <w:p>
      <w:pPr>
        <w:spacing w:after="80" w:before="0" w:line="264"/>
        <w:jc w:val="left"/>
      </w:pPr>
      <w:r>
        <w:rPr>
          <w:rFonts w:ascii="Arial" w:cs="Arial" w:eastAsia="Arial" w:hAnsi="Arial"/>
          <w:color w:val="000000"/>
          <w:sz w:val="16"/>
          <w:szCs w:val="16"/>
        </w:rPr>
        <w:t xml:space="preserve">Assessment is our analysis (class D), based on the options listed in D5.</w:t>
      </w:r>
    </w:p>
    <w:p>
      <w:pPr>
        <w:pStyle w:val="Heading2"/>
        <w:keepNext/>
        <w:keepLines/>
        <w:spacing w:after="120" w:before="280"/>
      </w:pPr>
      <w:r>
        <w:rPr>
          <w:rFonts w:ascii="Arial" w:cs="Arial" w:eastAsia="Arial" w:hAnsi="Arial"/>
          <w:b/>
          <w:bCs/>
          <w:color w:val="00338D"/>
          <w:sz w:val="28"/>
          <w:szCs w:val="28"/>
        </w:rPr>
        <w:t xml:space="preserve">8.5 Valuation discipline</w:t>
      </w:r>
    </w:p>
    <w:p>
      <w:pPr>
        <w:spacing w:after="110" w:before="0" w:line="264"/>
        <w:jc w:val="left"/>
      </w:pPr>
      <w:r>
        <w:rPr>
          <w:rFonts w:ascii="Arial" w:cs="Arial" w:eastAsia="Arial" w:hAnsi="Arial"/>
          <w:color w:val="000000"/>
          <w:sz w:val="20"/>
          <w:szCs w:val="20"/>
        </w:rPr>
        <w:t xml:space="preserve">Only </w:t>
      </w:r>
      <w:r>
        <w:rPr>
          <w:rFonts w:ascii="Arial" w:cs="Arial" w:eastAsia="Arial" w:hAnsi="Arial"/>
          <w:b/>
          <w:bCs/>
          <w:color w:val="000000"/>
          <w:sz w:val="20"/>
          <w:szCs w:val="20"/>
        </w:rPr>
        <w:t xml:space="preserve">proven and probable reserves</w:t>
      </w:r>
      <w:r>
        <w:rPr>
          <w:rFonts w:ascii="Arial" w:cs="Arial" w:eastAsia="Arial" w:hAnsi="Arial"/>
          <w:color w:val="000000"/>
          <w:sz w:val="20"/>
          <w:szCs w:val="20"/>
        </w:rPr>
        <w:t xml:space="preserve"> under KCMI/CRIRSCO should underpin financing. Measured, indicated and inferred resources should be excluded. Value should be built up in seven steps: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54"/>
        <w:gridCol w:w="260"/>
        <w:gridCol w:w="1154"/>
        <w:gridCol w:w="260"/>
        <w:gridCol w:w="1154"/>
        <w:gridCol w:w="260"/>
        <w:gridCol w:w="1154"/>
        <w:gridCol w:w="260"/>
        <w:gridCol w:w="1154"/>
        <w:gridCol w:w="260"/>
        <w:gridCol w:w="1154"/>
        <w:gridCol w:w="260"/>
        <w:gridCol w:w="1154"/>
      </w:tblGrid>
      <w:tr>
        <w:trPr>
          <w:cantSplit/>
        </w:trPr>
        <w:tc>
          <w:tcPr>
            <w:tcW w:type="dxa" w:w="1154"/>
            <w:tcBorders>
              <w:top w:val="none" w:color="FFFFFF" w:sz="0"/>
              <w:left w:val="none" w:color="FFFFFF" w:sz="0"/>
              <w:bottom w:val="none" w:color="FFFFFF" w:sz="0"/>
              <w:right w:val="none" w:color="FFFFFF" w:sz="0"/>
            </w:tcBorders>
            <w:shd w:fill="00338D" w:color="auto" w:val="clear"/>
            <w:tcMar>
              <w:top w:type="dxa" w:w="100"/>
              <w:left w:type="dxa" w:w="90"/>
              <w:bottom w:type="dxa" w:w="100"/>
              <w:right w:type="dxa" w:w="90"/>
            </w:tcMar>
          </w:tcPr>
          <w:p>
            <w:pPr>
              <w:spacing w:after="40" w:line="240"/>
            </w:pPr>
            <w:r>
              <w:rPr>
                <w:rFonts w:ascii="Arial" w:cs="Arial" w:eastAsia="Arial" w:hAnsi="Arial"/>
                <w:b/>
                <w:bCs/>
                <w:color w:val="FFFFFF"/>
                <w:sz w:val="15"/>
                <w:szCs w:val="15"/>
              </w:rPr>
              <w:t xml:space="preserve">1 Reserve tonnage</w:t>
            </w:r>
          </w:p>
          <w:p>
            <w:pPr>
              <w:spacing w:after="0" w:line="236"/>
            </w:pPr>
            <w:r>
              <w:rPr>
                <w:rFonts w:ascii="Arial" w:cs="Arial" w:eastAsia="Arial" w:hAnsi="Arial"/>
                <w:color w:val="FFFFFF"/>
                <w:sz w:val="14"/>
                <w:szCs w:val="14"/>
              </w:rPr>
              <w:t xml:space="preserve">Proven + probable only</w:t>
            </w:r>
          </w:p>
        </w:tc>
        <w:tc>
          <w:tcPr>
            <w:tcW w:type="dxa" w:w="26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jc w:val="center"/>
            </w:pPr>
            <w:r>
              <w:rPr>
                <w:rFonts w:ascii="Arial" w:cs="Arial" w:eastAsia="Arial" w:hAnsi="Arial"/>
                <w:color w:val="005EB8"/>
                <w:sz w:val="18"/>
                <w:szCs w:val="18"/>
              </w:rPr>
              <w:t xml:space="preserve">►</w:t>
            </w:r>
          </w:p>
        </w:tc>
        <w:tc>
          <w:tcPr>
            <w:tcW w:type="dxa" w:w="1154"/>
            <w:tcBorders>
              <w:top w:val="none" w:color="FFFFFF" w:sz="0"/>
              <w:left w:val="none" w:color="FFFFFF" w:sz="0"/>
              <w:bottom w:val="none" w:color="FFFFFF" w:sz="0"/>
              <w:right w:val="none" w:color="FFFFFF" w:sz="0"/>
            </w:tcBorders>
            <w:shd w:fill="005EB8" w:color="auto" w:val="clear"/>
            <w:tcMar>
              <w:top w:type="dxa" w:w="100"/>
              <w:left w:type="dxa" w:w="90"/>
              <w:bottom w:type="dxa" w:w="100"/>
              <w:right w:type="dxa" w:w="90"/>
            </w:tcMar>
          </w:tcPr>
          <w:p>
            <w:pPr>
              <w:spacing w:after="40" w:line="240"/>
            </w:pPr>
            <w:r>
              <w:rPr>
                <w:rFonts w:ascii="Arial" w:cs="Arial" w:eastAsia="Arial" w:hAnsi="Arial"/>
                <w:b/>
                <w:bCs/>
                <w:color w:val="FFFFFF"/>
                <w:sz w:val="15"/>
                <w:szCs w:val="15"/>
              </w:rPr>
              <w:t xml:space="preserve">2 Production plan</w:t>
            </w:r>
          </w:p>
          <w:p>
            <w:pPr>
              <w:spacing w:after="0" w:line="236"/>
            </w:pPr>
            <w:r>
              <w:rPr>
                <w:rFonts w:ascii="Arial" w:cs="Arial" w:eastAsia="Arial" w:hAnsi="Arial"/>
                <w:color w:val="FFFFFF"/>
                <w:sz w:val="14"/>
                <w:szCs w:val="14"/>
              </w:rPr>
              <w:t xml:space="preserve">Mine life and annual output</w:t>
            </w:r>
          </w:p>
        </w:tc>
        <w:tc>
          <w:tcPr>
            <w:tcW w:type="dxa" w:w="26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jc w:val="center"/>
            </w:pPr>
            <w:r>
              <w:rPr>
                <w:rFonts w:ascii="Arial" w:cs="Arial" w:eastAsia="Arial" w:hAnsi="Arial"/>
                <w:color w:val="005EB8"/>
                <w:sz w:val="18"/>
                <w:szCs w:val="18"/>
              </w:rPr>
              <w:t xml:space="preserve">►</w:t>
            </w:r>
          </w:p>
        </w:tc>
        <w:tc>
          <w:tcPr>
            <w:tcW w:type="dxa" w:w="1154"/>
            <w:tcBorders>
              <w:top w:val="none" w:color="FFFFFF" w:sz="0"/>
              <w:left w:val="none" w:color="FFFFFF" w:sz="0"/>
              <w:bottom w:val="none" w:color="FFFFFF" w:sz="0"/>
              <w:right w:val="none" w:color="FFFFFF" w:sz="0"/>
            </w:tcBorders>
            <w:shd w:fill="00338D" w:color="auto" w:val="clear"/>
            <w:tcMar>
              <w:top w:type="dxa" w:w="100"/>
              <w:left w:type="dxa" w:w="90"/>
              <w:bottom w:type="dxa" w:w="100"/>
              <w:right w:type="dxa" w:w="90"/>
            </w:tcMar>
          </w:tcPr>
          <w:p>
            <w:pPr>
              <w:spacing w:after="40" w:line="240"/>
            </w:pPr>
            <w:r>
              <w:rPr>
                <w:rFonts w:ascii="Arial" w:cs="Arial" w:eastAsia="Arial" w:hAnsi="Arial"/>
                <w:b/>
                <w:bCs/>
                <w:color w:val="FFFFFF"/>
                <w:sz w:val="15"/>
                <w:szCs w:val="15"/>
              </w:rPr>
              <w:t xml:space="preserve">3 Price deck</w:t>
            </w:r>
          </w:p>
          <w:p>
            <w:pPr>
              <w:spacing w:after="0" w:line="236"/>
            </w:pPr>
            <w:r>
              <w:rPr>
                <w:rFonts w:ascii="Arial" w:cs="Arial" w:eastAsia="Arial" w:hAnsi="Arial"/>
                <w:color w:val="FFFFFF"/>
                <w:sz w:val="14"/>
                <w:szCs w:val="14"/>
              </w:rPr>
              <w:t xml:space="preserve">Independent, conservative</w:t>
            </w:r>
          </w:p>
        </w:tc>
        <w:tc>
          <w:tcPr>
            <w:tcW w:type="dxa" w:w="26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jc w:val="center"/>
            </w:pPr>
            <w:r>
              <w:rPr>
                <w:rFonts w:ascii="Arial" w:cs="Arial" w:eastAsia="Arial" w:hAnsi="Arial"/>
                <w:color w:val="005EB8"/>
                <w:sz w:val="18"/>
                <w:szCs w:val="18"/>
              </w:rPr>
              <w:t xml:space="preserve">►</w:t>
            </w:r>
          </w:p>
        </w:tc>
        <w:tc>
          <w:tcPr>
            <w:tcW w:type="dxa" w:w="1154"/>
            <w:tcBorders>
              <w:top w:val="none" w:color="FFFFFF" w:sz="0"/>
              <w:left w:val="none" w:color="FFFFFF" w:sz="0"/>
              <w:bottom w:val="none" w:color="FFFFFF" w:sz="0"/>
              <w:right w:val="none" w:color="FFFFFF" w:sz="0"/>
            </w:tcBorders>
            <w:shd w:fill="005EB8" w:color="auto" w:val="clear"/>
            <w:tcMar>
              <w:top w:type="dxa" w:w="100"/>
              <w:left w:type="dxa" w:w="90"/>
              <w:bottom w:type="dxa" w:w="100"/>
              <w:right w:type="dxa" w:w="90"/>
            </w:tcMar>
          </w:tcPr>
          <w:p>
            <w:pPr>
              <w:spacing w:after="40" w:line="240"/>
            </w:pPr>
            <w:r>
              <w:rPr>
                <w:rFonts w:ascii="Arial" w:cs="Arial" w:eastAsia="Arial" w:hAnsi="Arial"/>
                <w:b/>
                <w:bCs/>
                <w:color w:val="FFFFFF"/>
                <w:sz w:val="15"/>
                <w:szCs w:val="15"/>
              </w:rPr>
              <w:t xml:space="preserve">4 State share</w:t>
            </w:r>
          </w:p>
          <w:p>
            <w:pPr>
              <w:spacing w:after="0" w:line="236"/>
            </w:pPr>
            <w:r>
              <w:rPr>
                <w:rFonts w:ascii="Arial" w:cs="Arial" w:eastAsia="Arial" w:hAnsi="Arial"/>
                <w:color w:val="FFFFFF"/>
                <w:sz w:val="14"/>
                <w:szCs w:val="14"/>
              </w:rPr>
              <w:t xml:space="preserve">Royalty, PNBP and tax</w:t>
            </w:r>
          </w:p>
        </w:tc>
        <w:tc>
          <w:tcPr>
            <w:tcW w:type="dxa" w:w="26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jc w:val="center"/>
            </w:pPr>
            <w:r>
              <w:rPr>
                <w:rFonts w:ascii="Arial" w:cs="Arial" w:eastAsia="Arial" w:hAnsi="Arial"/>
                <w:color w:val="005EB8"/>
                <w:sz w:val="18"/>
                <w:szCs w:val="18"/>
              </w:rPr>
              <w:t xml:space="preserve">►</w:t>
            </w:r>
          </w:p>
        </w:tc>
        <w:tc>
          <w:tcPr>
            <w:tcW w:type="dxa" w:w="1154"/>
            <w:tcBorders>
              <w:top w:val="none" w:color="FFFFFF" w:sz="0"/>
              <w:left w:val="none" w:color="FFFFFF" w:sz="0"/>
              <w:bottom w:val="none" w:color="FFFFFF" w:sz="0"/>
              <w:right w:val="none" w:color="FFFFFF" w:sz="0"/>
            </w:tcBorders>
            <w:shd w:fill="00338D" w:color="auto" w:val="clear"/>
            <w:tcMar>
              <w:top w:type="dxa" w:w="100"/>
              <w:left w:type="dxa" w:w="90"/>
              <w:bottom w:type="dxa" w:w="100"/>
              <w:right w:type="dxa" w:w="90"/>
            </w:tcMar>
          </w:tcPr>
          <w:p>
            <w:pPr>
              <w:spacing w:after="40" w:line="240"/>
            </w:pPr>
            <w:r>
              <w:rPr>
                <w:rFonts w:ascii="Arial" w:cs="Arial" w:eastAsia="Arial" w:hAnsi="Arial"/>
                <w:b/>
                <w:bCs/>
                <w:color w:val="FFFFFF"/>
                <w:sz w:val="15"/>
                <w:szCs w:val="15"/>
              </w:rPr>
              <w:t xml:space="preserve">5 Present value</w:t>
            </w:r>
          </w:p>
          <w:p>
            <w:pPr>
              <w:spacing w:after="0" w:line="236"/>
            </w:pPr>
            <w:r>
              <w:rPr>
                <w:rFonts w:ascii="Arial" w:cs="Arial" w:eastAsia="Arial" w:hAnsi="Arial"/>
                <w:color w:val="FFFFFF"/>
                <w:sz w:val="14"/>
                <w:szCs w:val="14"/>
              </w:rPr>
              <w:t xml:space="preserve">At an approved rate</w:t>
            </w:r>
          </w:p>
        </w:tc>
        <w:tc>
          <w:tcPr>
            <w:tcW w:type="dxa" w:w="26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jc w:val="center"/>
            </w:pPr>
            <w:r>
              <w:rPr>
                <w:rFonts w:ascii="Arial" w:cs="Arial" w:eastAsia="Arial" w:hAnsi="Arial"/>
                <w:color w:val="005EB8"/>
                <w:sz w:val="18"/>
                <w:szCs w:val="18"/>
              </w:rPr>
              <w:t xml:space="preserve">►</w:t>
            </w:r>
          </w:p>
        </w:tc>
        <w:tc>
          <w:tcPr>
            <w:tcW w:type="dxa" w:w="1154"/>
            <w:tcBorders>
              <w:top w:val="none" w:color="FFFFFF" w:sz="0"/>
              <w:left w:val="none" w:color="FFFFFF" w:sz="0"/>
              <w:bottom w:val="none" w:color="FFFFFF" w:sz="0"/>
              <w:right w:val="none" w:color="FFFFFF" w:sz="0"/>
            </w:tcBorders>
            <w:shd w:fill="005EB8" w:color="auto" w:val="clear"/>
            <w:tcMar>
              <w:top w:type="dxa" w:w="100"/>
              <w:left w:type="dxa" w:w="90"/>
              <w:bottom w:type="dxa" w:w="100"/>
              <w:right w:type="dxa" w:w="90"/>
            </w:tcMar>
          </w:tcPr>
          <w:p>
            <w:pPr>
              <w:spacing w:after="40" w:line="240"/>
            </w:pPr>
            <w:r>
              <w:rPr>
                <w:rFonts w:ascii="Arial" w:cs="Arial" w:eastAsia="Arial" w:hAnsi="Arial"/>
                <w:b/>
                <w:bCs/>
                <w:color w:val="FFFFFF"/>
                <w:sz w:val="15"/>
                <w:szCs w:val="15"/>
              </w:rPr>
              <w:t xml:space="preserve">6 Haircuts</w:t>
            </w:r>
          </w:p>
          <w:p>
            <w:pPr>
              <w:spacing w:after="0" w:line="236"/>
            </w:pPr>
            <w:r>
              <w:rPr>
                <w:rFonts w:ascii="Arial" w:cs="Arial" w:eastAsia="Arial" w:hAnsi="Arial"/>
                <w:color w:val="FFFFFF"/>
                <w:sz w:val="14"/>
                <w:szCs w:val="14"/>
              </w:rPr>
              <w:t xml:space="preserve">Price, volume, legal</w:t>
            </w:r>
          </w:p>
        </w:tc>
        <w:tc>
          <w:tcPr>
            <w:tcW w:type="dxa" w:w="26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jc w:val="center"/>
            </w:pPr>
            <w:r>
              <w:rPr>
                <w:rFonts w:ascii="Arial" w:cs="Arial" w:eastAsia="Arial" w:hAnsi="Arial"/>
                <w:color w:val="005EB8"/>
                <w:sz w:val="18"/>
                <w:szCs w:val="18"/>
              </w:rPr>
              <w:t xml:space="preserve">►</w:t>
            </w:r>
          </w:p>
        </w:tc>
        <w:tc>
          <w:tcPr>
            <w:tcW w:type="dxa" w:w="1154"/>
            <w:tcBorders>
              <w:top w:val="none" w:color="FFFFFF" w:sz="0"/>
              <w:left w:val="none" w:color="FFFFFF" w:sz="0"/>
              <w:bottom w:val="none" w:color="FFFFFF" w:sz="0"/>
              <w:right w:val="none" w:color="FFFFFF" w:sz="0"/>
            </w:tcBorders>
            <w:shd w:fill="00338D" w:color="auto" w:val="clear"/>
            <w:tcMar>
              <w:top w:type="dxa" w:w="100"/>
              <w:left w:type="dxa" w:w="90"/>
              <w:bottom w:type="dxa" w:w="100"/>
              <w:right w:type="dxa" w:w="90"/>
            </w:tcMar>
          </w:tcPr>
          <w:p>
            <w:pPr>
              <w:spacing w:after="40" w:line="240"/>
            </w:pPr>
            <w:r>
              <w:rPr>
                <w:rFonts w:ascii="Arial" w:cs="Arial" w:eastAsia="Arial" w:hAnsi="Arial"/>
                <w:b/>
                <w:bCs/>
                <w:color w:val="FFFFFF"/>
                <w:sz w:val="15"/>
                <w:szCs w:val="15"/>
              </w:rPr>
              <w:t xml:space="preserve">7 Issuance cap</w:t>
            </w:r>
          </w:p>
          <w:p>
            <w:pPr>
              <w:spacing w:after="0" w:line="236"/>
            </w:pPr>
            <w:r>
              <w:rPr>
                <w:rFonts w:ascii="Arial" w:cs="Arial" w:eastAsia="Arial" w:hAnsi="Arial"/>
                <w:color w:val="FFFFFF"/>
                <w:sz w:val="14"/>
                <w:szCs w:val="14"/>
              </w:rPr>
              <w:t xml:space="preserve">PV ÷ coverage ratio</w:t>
            </w:r>
          </w:p>
        </w:tc>
      </w:tr>
    </w:tbl>
    <w:p>
      <w:pPr>
        <w:spacing w:after="160"/>
      </w:pPr>
    </w:p>
    <w:p>
      <w:pPr>
        <w:keepNext/>
        <w:spacing w:after="60" w:before="120"/>
      </w:pPr>
      <w:r>
        <w:rPr>
          <w:rFonts w:ascii="Arial" w:cs="Arial" w:eastAsia="Arial" w:hAnsi="Arial"/>
          <w:b/>
          <w:bCs/>
          <w:color w:val="00338D"/>
          <w:sz w:val="18"/>
          <w:szCs w:val="18"/>
        </w:rPr>
        <w:t xml:space="preserve">Figure 3: </w:t>
      </w:r>
      <w:r>
        <w:rPr>
          <w:rFonts w:ascii="Arial" w:cs="Arial" w:eastAsia="Arial" w:hAnsi="Arial"/>
          <w:b/>
          <w:bCs/>
          <w:color w:val="00338D"/>
          <w:sz w:val="18"/>
          <w:szCs w:val="18"/>
        </w:rPr>
        <w:t xml:space="preserve">Why financeable value is far below in-situ value (illustration)</w:t>
      </w:r>
    </w:p>
    <w:p>
      <w:pPr>
        <w:keepNext/>
        <w:spacing w:after="40"/>
      </w:pPr>
      <w:r>
        <w:drawing>
          <wp:inline distT="0" distB="0" distL="0" distR="0">
            <wp:extent cx="5669280" cy="2101744"/>
            <wp:effectExtent t="0" r="0" b="0" l="0"/>
            <wp:docPr id="3" name="c6_nrf_ladder.png" descr="Why financeable value is far below in-situ value (illustration)" title="Why financeable value is far below in-situ value (illust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669280" cy="2101744"/>
                    </a:xfrm>
                    <a:prstGeom prst="rect">
                      <a:avLst/>
                    </a:prstGeom>
                  </pic:spPr>
                </pic:pic>
              </a:graphicData>
            </a:graphic>
          </wp:inline>
        </w:drawing>
      </w:r>
    </w:p>
    <w:p>
      <w:pPr>
        <w:spacing w:after="160"/>
      </w:pPr>
      <w:r>
        <w:rPr>
          <w:rFonts w:ascii="Arial" w:cs="Arial" w:eastAsia="Arial" w:hAnsi="Arial"/>
          <w:i/>
          <w:iCs/>
          <w:color w:val="000000"/>
          <w:sz w:val="15"/>
          <w:szCs w:val="15"/>
        </w:rPr>
        <w:t xml:space="preserve">Class D illustration for a hypothetical deposit: 1,000 Mt reserve, US$80/t, 50 Mt/yr output, 15% state share, 20-year life, 8% discount rate, 1.5× coverage. Not an estimate for any real reserve.</w:t>
      </w:r>
    </w:p>
    <w:p>
      <w:pPr>
        <w:spacing w:after="110" w:before="0" w:line="264"/>
        <w:jc w:val="left"/>
      </w:pPr>
      <w:r>
        <w:rPr>
          <w:rFonts w:ascii="Arial" w:cs="Arial" w:eastAsia="Arial" w:hAnsi="Arial"/>
          <w:color w:val="000000"/>
          <w:sz w:val="20"/>
          <w:szCs w:val="20"/>
        </w:rPr>
        <w:t xml:space="preserve">In the illustration, a deposit with an in-situ value of US$80 bn supports only about </w:t>
      </w:r>
      <w:r>
        <w:rPr>
          <w:rFonts w:ascii="Arial" w:cs="Arial" w:eastAsia="Arial" w:hAnsi="Arial"/>
          <w:b/>
          <w:bCs/>
          <w:color w:val="000000"/>
          <w:sz w:val="20"/>
          <w:szCs w:val="20"/>
        </w:rPr>
        <w:t xml:space="preserve">US$3.9 bn</w:t>
      </w:r>
      <w:r>
        <w:rPr>
          <w:rFonts w:ascii="Arial" w:cs="Arial" w:eastAsia="Arial" w:hAnsi="Arial"/>
          <w:color w:val="000000"/>
          <w:sz w:val="20"/>
          <w:szCs w:val="20"/>
        </w:rPr>
        <w:t xml:space="preserve"> of issuance, or about </w:t>
      </w:r>
      <w:r>
        <w:rPr>
          <w:rFonts w:ascii="Arial" w:cs="Arial" w:eastAsia="Arial" w:hAnsi="Arial"/>
          <w:b/>
          <w:bCs/>
          <w:color w:val="000000"/>
          <w:sz w:val="20"/>
          <w:szCs w:val="20"/>
        </w:rPr>
        <w:t xml:space="preserve">4.9%</w:t>
      </w:r>
      <w:r>
        <w:rPr>
          <w:rFonts w:ascii="Arial" w:cs="Arial" w:eastAsia="Arial" w:hAnsi="Arial"/>
          <w:color w:val="000000"/>
          <w:sz w:val="20"/>
          <w:szCs w:val="20"/>
        </w:rPr>
        <w:t xml:space="preserve"> of in-situ value. The ratio changes with the assumptions, but the order of magnitude explains why a headline reserve value cannot be read as financing capacity.</w:t>
      </w:r>
    </w:p>
    <w:p>
      <w:pPr>
        <w:pStyle w:val="Heading3"/>
        <w:keepNext/>
        <w:keepLines/>
        <w:spacing w:after="80" w:before="200"/>
      </w:pPr>
      <w:r>
        <w:rPr>
          <w:rFonts w:ascii="Arial" w:cs="Arial" w:eastAsia="Arial" w:hAnsi="Arial"/>
          <w:b/>
          <w:bCs/>
          <w:color w:val="005EB8"/>
          <w:sz w:val="22"/>
          <w:szCs w:val="22"/>
        </w:rPr>
        <w:t xml:space="preserve">Valuation and pledging rules</w:t>
      </w:r>
    </w:p>
    <w:p>
      <w:pPr>
        <w:pStyle w:val="ListParagraph"/>
        <w:numPr>
          <w:ilvl w:val="0"/>
          <w:numId w:val="2"/>
        </w:numPr>
        <w:spacing w:after="60" w:line="264"/>
      </w:pPr>
      <w:r>
        <w:rPr>
          <w:rFonts w:ascii="Arial" w:cs="Arial" w:eastAsia="Arial" w:hAnsi="Arial"/>
          <w:sz w:val="20"/>
          <w:szCs w:val="20"/>
        </w:rPr>
        <w:t xml:space="preserve">No double pledging: the same revenue stream cannot back an NRF instrument and also be counted in the budget or pledged elsewhere.</w:t>
      </w:r>
    </w:p>
    <w:p>
      <w:pPr>
        <w:pStyle w:val="ListParagraph"/>
        <w:numPr>
          <w:ilvl w:val="0"/>
          <w:numId w:val="2"/>
        </w:numPr>
        <w:spacing w:after="60" w:line="264"/>
      </w:pPr>
      <w:r>
        <w:rPr>
          <w:rFonts w:ascii="Arial" w:cs="Arial" w:eastAsia="Arial" w:hAnsi="Arial"/>
          <w:sz w:val="20"/>
          <w:szCs w:val="20"/>
        </w:rPr>
        <w:t xml:space="preserve">Independent competent persons and valuers, with annual revaluation and publication.</w:t>
      </w:r>
    </w:p>
    <w:p>
      <w:pPr>
        <w:pStyle w:val="ListParagraph"/>
        <w:numPr>
          <w:ilvl w:val="0"/>
          <w:numId w:val="2"/>
        </w:numPr>
        <w:spacing w:after="60" w:line="264"/>
      </w:pPr>
      <w:r>
        <w:rPr>
          <w:rFonts w:ascii="Arial" w:cs="Arial" w:eastAsia="Arial" w:hAnsi="Arial"/>
          <w:sz w:val="20"/>
          <w:szCs w:val="20"/>
        </w:rPr>
        <w:t xml:space="preserve">Issuance capped at a fraction of present value, with a minimum coverage ratio (for example 1.5×) and a reserve account.</w:t>
      </w:r>
    </w:p>
    <w:p>
      <w:pPr>
        <w:pStyle w:val="ListParagraph"/>
        <w:numPr>
          <w:ilvl w:val="0"/>
          <w:numId w:val="2"/>
        </w:numPr>
        <w:spacing w:after="60" w:line="264"/>
      </w:pPr>
      <w:r>
        <w:rPr>
          <w:rFonts w:ascii="Arial" w:cs="Arial" w:eastAsia="Arial" w:hAnsi="Arial"/>
          <w:sz w:val="20"/>
          <w:szCs w:val="20"/>
        </w:rPr>
        <w:t xml:space="preserve">Currency of the instrument matched to the currency of the revenue, or hedged.</w:t>
      </w:r>
    </w:p>
    <w:p>
      <w:pPr>
        <w:pStyle w:val="ListParagraph"/>
        <w:numPr>
          <w:ilvl w:val="0"/>
          <w:numId w:val="2"/>
        </w:numPr>
        <w:spacing w:after="60" w:line="264"/>
      </w:pPr>
      <w:r>
        <w:rPr>
          <w:rFonts w:ascii="Arial" w:cs="Arial" w:eastAsia="Arial" w:hAnsi="Arial"/>
          <w:sz w:val="20"/>
          <w:szCs w:val="20"/>
        </w:rPr>
        <w:t xml:space="preserve">Revenue given up by future budgets disclosed alongside proceeds raised today.</w:t>
      </w:r>
    </w:p>
    <w:p>
      <w:pPr>
        <w:pStyle w:val="Heading2"/>
        <w:keepNext/>
        <w:keepLines/>
        <w:spacing w:after="120" w:before="280"/>
      </w:pPr>
      <w:r>
        <w:rPr>
          <w:rFonts w:ascii="Arial" w:cs="Arial" w:eastAsia="Arial" w:hAnsi="Arial"/>
          <w:b/>
          <w:bCs/>
          <w:color w:val="00338D"/>
          <w:sz w:val="28"/>
          <w:szCs w:val="28"/>
        </w:rPr>
        <w:t xml:space="preserve">8.6 Use of NRF proceeds</w:t>
      </w:r>
    </w:p>
    <w:p>
      <w:pPr>
        <w:spacing w:after="110" w:before="0" w:line="264"/>
        <w:jc w:val="left"/>
      </w:pPr>
      <w:r>
        <w:rPr>
          <w:rFonts w:ascii="Arial" w:cs="Arial" w:eastAsia="Arial" w:hAnsi="Arial"/>
          <w:color w:val="000000"/>
          <w:sz w:val="20"/>
          <w:szCs w:val="20"/>
        </w:rPr>
        <w:t xml:space="preserve">We propose five windows, each with its own rules, so that proceeds serve both saving and capability-building without blurring accountability.</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20"/>
        <w:gridCol w:w="3470"/>
        <w:gridCol w:w="4048"/>
      </w:tblGrid>
      <w:tr>
        <w:trPr>
          <w:cantSplit/>
          <w:tblHeader/>
        </w:trPr>
        <w:tc>
          <w:tcPr>
            <w:tcW w:type="dxa" w:w="2120"/>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Window</w:t>
            </w:r>
          </w:p>
        </w:tc>
        <w:tc>
          <w:tcPr>
            <w:tcW w:type="dxa" w:w="3470"/>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Purpose</w:t>
            </w:r>
          </w:p>
        </w:tc>
        <w:tc>
          <w:tcPr>
            <w:tcW w:type="dxa" w:w="4048"/>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Rules (proposed)</w:t>
            </w:r>
          </w:p>
        </w:tc>
      </w:tr>
      <w:tr>
        <w:trPr>
          <w:cantSplit/>
        </w:trPr>
        <w:tc>
          <w:tcPr>
            <w:tcW w:type="dxa" w:w="212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7"/>
                <w:szCs w:val="17"/>
              </w:rPr>
              <w:t xml:space="preserve">Stabilisation</w:t>
            </w:r>
          </w:p>
        </w:tc>
        <w:tc>
          <w:tcPr>
            <w:tcW w:type="dxa" w:w="347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7"/>
                <w:szCs w:val="17"/>
              </w:rPr>
              <w:t xml:space="preserve">Buffer the budget against commodity-price cycles</w:t>
            </w:r>
          </w:p>
        </w:tc>
        <w:tc>
          <w:tcPr>
            <w:tcW w:type="dxa" w:w="404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7"/>
                <w:szCs w:val="17"/>
              </w:rPr>
              <w:t xml:space="preserve">Withdrawal only by a published rule linked to price or revenue shortfall</w:t>
            </w:r>
          </w:p>
        </w:tc>
      </w:tr>
      <w:tr>
        <w:trPr>
          <w:cantSplit/>
        </w:trPr>
        <w:tc>
          <w:tcPr>
            <w:tcW w:type="dxa" w:w="212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7"/>
                <w:szCs w:val="17"/>
              </w:rPr>
              <w:t xml:space="preserve">Savings / future generations</w:t>
            </w:r>
          </w:p>
        </w:tc>
        <w:tc>
          <w:tcPr>
            <w:tcW w:type="dxa" w:w="347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7"/>
                <w:szCs w:val="17"/>
              </w:rPr>
              <w:t xml:space="preserve">Convert depleting resources into financial wealth</w:t>
            </w:r>
          </w:p>
        </w:tc>
        <w:tc>
          <w:tcPr>
            <w:tcW w:type="dxa" w:w="4048"/>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7"/>
                <w:szCs w:val="17"/>
              </w:rPr>
              <w:t xml:space="preserve">Long-term diversified portfolio; no domestic project lending</w:t>
            </w:r>
          </w:p>
        </w:tc>
      </w:tr>
      <w:tr>
        <w:trPr>
          <w:cantSplit/>
        </w:trPr>
        <w:tc>
          <w:tcPr>
            <w:tcW w:type="dxa" w:w="212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7"/>
                <w:szCs w:val="17"/>
              </w:rPr>
              <w:t xml:space="preserve">Industrial development</w:t>
            </w:r>
          </w:p>
        </w:tc>
        <w:tc>
          <w:tcPr>
            <w:tcW w:type="dxa" w:w="347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7"/>
                <w:szCs w:val="17"/>
              </w:rPr>
              <w:t xml:space="preserve">Equity and quasi-equity into anchor projects and downstreaming</w:t>
            </w:r>
          </w:p>
        </w:tc>
        <w:tc>
          <w:tcPr>
            <w:tcW w:type="dxa" w:w="404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7"/>
                <w:szCs w:val="17"/>
              </w:rPr>
              <w:t xml:space="preserve">Through Danantara/DDMF with financial and economic cases; additionality test</w:t>
            </w:r>
          </w:p>
        </w:tc>
      </w:tr>
      <w:tr>
        <w:trPr>
          <w:cantSplit/>
        </w:trPr>
        <w:tc>
          <w:tcPr>
            <w:tcW w:type="dxa" w:w="212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7"/>
                <w:szCs w:val="17"/>
              </w:rPr>
              <w:t xml:space="preserve">Supplier capability (DOCK-UP)</w:t>
            </w:r>
          </w:p>
        </w:tc>
        <w:tc>
          <w:tcPr>
            <w:tcW w:type="dxa" w:w="347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7"/>
                <w:szCs w:val="17"/>
              </w:rPr>
              <w:t xml:space="preserve">First-loss guarantees, certification co-funding, supply-chain finance support</w:t>
            </w:r>
          </w:p>
        </w:tc>
        <w:tc>
          <w:tcPr>
            <w:tcW w:type="dxa" w:w="4048"/>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7"/>
                <w:szCs w:val="17"/>
              </w:rPr>
              <w:t xml:space="preserve">Released only against verified gates; leverage private and bank credit</w:t>
            </w:r>
          </w:p>
        </w:tc>
      </w:tr>
      <w:tr>
        <w:trPr>
          <w:cantSplit/>
        </w:trPr>
        <w:tc>
          <w:tcPr>
            <w:tcW w:type="dxa" w:w="212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pPr>
            <w:r>
              <w:rPr>
                <w:rFonts w:ascii="Arial" w:cs="Arial" w:eastAsia="Arial" w:hAnsi="Arial"/>
                <w:b/>
                <w:bCs/>
                <w:color w:val="000000"/>
                <w:sz w:val="17"/>
                <w:szCs w:val="17"/>
              </w:rPr>
              <w:t xml:space="preserve">Social distribution</w:t>
            </w:r>
          </w:p>
        </w:tc>
        <w:tc>
          <w:tcPr>
            <w:tcW w:type="dxa" w:w="347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7"/>
                <w:szCs w:val="17"/>
              </w:rPr>
              <w:t xml:space="preserve">Benefit sharing with communities, including through village cooperatives</w:t>
            </w:r>
          </w:p>
        </w:tc>
        <w:tc>
          <w:tcPr>
            <w:tcW w:type="dxa" w:w="404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7"/>
                <w:szCs w:val="17"/>
              </w:rPr>
              <w:t xml:space="preserve">Through the budget or a separate programme window with its own audit; never from the investment windows</w:t>
            </w:r>
          </w:p>
        </w:tc>
      </w:tr>
    </w:tbl>
    <w:p>
      <w:pPr>
        <w:keepNext w:val="false"/>
        <w:spacing w:after="140"/>
      </w:pPr>
    </w:p>
    <w:p>
      <w:pPr>
        <w:pStyle w:val="Heading2"/>
        <w:keepNext/>
        <w:keepLines/>
        <w:spacing w:after="120" w:before="280"/>
      </w:pPr>
      <w:r>
        <w:rPr>
          <w:rFonts w:ascii="Arial" w:cs="Arial" w:eastAsia="Arial" w:hAnsi="Arial"/>
          <w:b/>
          <w:bCs/>
          <w:color w:val="00338D"/>
          <w:sz w:val="28"/>
          <w:szCs w:val="28"/>
        </w:rPr>
        <w:t xml:space="preserve">8.7 Governance</w:t>
      </w:r>
    </w:p>
    <w:p>
      <w:pPr>
        <w:pStyle w:val="ListParagraph"/>
        <w:numPr>
          <w:ilvl w:val="0"/>
          <w:numId w:val="2"/>
        </w:numPr>
        <w:spacing w:after="60" w:line="264"/>
      </w:pPr>
      <w:r>
        <w:rPr>
          <w:rFonts w:ascii="Arial" w:cs="Arial" w:eastAsia="Arial" w:hAnsi="Arial"/>
          <w:b/>
          <w:bCs/>
          <w:sz w:val="20"/>
          <w:szCs w:val="20"/>
        </w:rPr>
        <w:t xml:space="preserve">Legal basis</w:t>
      </w:r>
      <w:r>
        <w:rPr>
          <w:rFonts w:ascii="Arial" w:cs="Arial" w:eastAsia="Arial" w:hAnsi="Arial"/>
          <w:sz w:val="20"/>
          <w:szCs w:val="20"/>
        </w:rPr>
        <w:t xml:space="preserve"> in law or regulation that defines the fund's ownership, mandate, deposit and withdrawal rules, and relationship to the budget.</w:t>
      </w:r>
    </w:p>
    <w:p>
      <w:pPr>
        <w:pStyle w:val="ListParagraph"/>
        <w:numPr>
          <w:ilvl w:val="0"/>
          <w:numId w:val="2"/>
        </w:numPr>
        <w:spacing w:after="60" w:line="264"/>
      </w:pPr>
      <w:r>
        <w:rPr>
          <w:rFonts w:ascii="Arial" w:cs="Arial" w:eastAsia="Arial" w:hAnsi="Arial"/>
          <w:b/>
          <w:bCs/>
          <w:sz w:val="20"/>
          <w:szCs w:val="20"/>
        </w:rPr>
        <w:t xml:space="preserve">Owner–manager separation</w:t>
      </w:r>
      <w:r>
        <w:rPr>
          <w:rFonts w:ascii="Arial" w:cs="Arial" w:eastAsia="Arial" w:hAnsi="Arial"/>
          <w:sz w:val="20"/>
          <w:szCs w:val="20"/>
        </w:rPr>
        <w:t xml:space="preserve">: the state, through a board, owns the fund and sets the mandate; professional managers manage assets under investment mandates (consistent with the Santiago Principles).</w:t>
      </w:r>
    </w:p>
    <w:p>
      <w:pPr>
        <w:pStyle w:val="ListParagraph"/>
        <w:numPr>
          <w:ilvl w:val="0"/>
          <w:numId w:val="2"/>
        </w:numPr>
        <w:spacing w:after="60" w:line="264"/>
      </w:pPr>
      <w:r>
        <w:rPr>
          <w:rFonts w:ascii="Arial" w:cs="Arial" w:eastAsia="Arial" w:hAnsi="Arial"/>
          <w:b/>
          <w:bCs/>
          <w:sz w:val="20"/>
          <w:szCs w:val="20"/>
        </w:rPr>
        <w:t xml:space="preserve">Independent audit</w:t>
      </w:r>
      <w:r>
        <w:rPr>
          <w:rFonts w:ascii="Arial" w:cs="Arial" w:eastAsia="Arial" w:hAnsi="Arial"/>
          <w:sz w:val="20"/>
          <w:szCs w:val="20"/>
        </w:rPr>
        <w:t xml:space="preserve"> and annual publication of holdings, returns, flows to and from the budget, and instruments outstanding.</w:t>
      </w:r>
    </w:p>
    <w:p>
      <w:pPr>
        <w:pStyle w:val="ListParagraph"/>
        <w:numPr>
          <w:ilvl w:val="0"/>
          <w:numId w:val="2"/>
        </w:numPr>
        <w:spacing w:after="60" w:line="264"/>
      </w:pPr>
      <w:r>
        <w:rPr>
          <w:rFonts w:ascii="Arial" w:cs="Arial" w:eastAsia="Arial" w:hAnsi="Arial"/>
          <w:b/>
          <w:bCs/>
          <w:sz w:val="20"/>
          <w:szCs w:val="20"/>
        </w:rPr>
        <w:t xml:space="preserve">Risk limits</w:t>
      </w:r>
      <w:r>
        <w:rPr>
          <w:rFonts w:ascii="Arial" w:cs="Arial" w:eastAsia="Arial" w:hAnsi="Arial"/>
          <w:sz w:val="20"/>
          <w:szCs w:val="20"/>
        </w:rPr>
        <w:t xml:space="preserve"> on concentration, currency, leverage and exposure to related parties.</w:t>
      </w:r>
    </w:p>
    <w:p>
      <w:pPr>
        <w:pStyle w:val="ListParagraph"/>
        <w:numPr>
          <w:ilvl w:val="0"/>
          <w:numId w:val="2"/>
        </w:numPr>
        <w:spacing w:after="60" w:line="264"/>
      </w:pPr>
      <w:r>
        <w:rPr>
          <w:rFonts w:ascii="Arial" w:cs="Arial" w:eastAsia="Arial" w:hAnsi="Arial"/>
          <w:b/>
          <w:bCs/>
          <w:sz w:val="20"/>
          <w:szCs w:val="20"/>
        </w:rPr>
        <w:t xml:space="preserve">Conflict rules</w:t>
      </w:r>
      <w:r>
        <w:rPr>
          <w:rFonts w:ascii="Arial" w:cs="Arial" w:eastAsia="Arial" w:hAnsi="Arial"/>
          <w:sz w:val="20"/>
          <w:szCs w:val="20"/>
        </w:rPr>
        <w:t xml:space="preserve"> for officials who also hold roles in mining SOEs or regulators.</w:t>
      </w:r>
    </w:p>
    <w:p>
      <w:pPr>
        <w:pStyle w:val="Heading2"/>
        <w:keepNext/>
        <w:keepLines/>
        <w:spacing w:after="120" w:before="280"/>
      </w:pPr>
      <w:r>
        <w:rPr>
          <w:rFonts w:ascii="Arial" w:cs="Arial" w:eastAsia="Arial" w:hAnsi="Arial"/>
          <w:b/>
          <w:bCs/>
          <w:color w:val="00338D"/>
          <w:sz w:val="28"/>
          <w:szCs w:val="28"/>
        </w:rPr>
        <w:t xml:space="preserve">8.8 Recommended staged path</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46"/>
        <w:gridCol w:w="1638"/>
        <w:gridCol w:w="3855"/>
        <w:gridCol w:w="2699"/>
      </w:tblGrid>
      <w:tr>
        <w:trPr>
          <w:cantSplit/>
          <w:tblHeader/>
        </w:trPr>
        <w:tc>
          <w:tcPr>
            <w:tcW w:type="dxa" w:w="1446"/>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Stage</w:t>
            </w:r>
          </w:p>
        </w:tc>
        <w:tc>
          <w:tcPr>
            <w:tcW w:type="dxa" w:w="1638"/>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Timing</w:t>
            </w:r>
          </w:p>
        </w:tc>
        <w:tc>
          <w:tcPr>
            <w:tcW w:type="dxa" w:w="3855"/>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Content</w:t>
            </w:r>
          </w:p>
        </w:tc>
        <w:tc>
          <w:tcPr>
            <w:tcW w:type="dxa" w:w="2699"/>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Gate to next stage</w:t>
            </w:r>
          </w:p>
        </w:tc>
      </w:tr>
      <w:tr>
        <w:trPr>
          <w:cantSplit/>
        </w:trPr>
        <w:tc>
          <w:tcPr>
            <w:tcW w:type="dxa" w:w="144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0: Foundations</w:t>
            </w:r>
          </w:p>
        </w:tc>
        <w:tc>
          <w:tcPr>
            <w:tcW w:type="dxa" w:w="163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0–3 months after approval in principle</w:t>
            </w:r>
          </w:p>
        </w:tc>
        <w:tc>
          <w:tcPr>
            <w:tcW w:type="dxa" w:w="3855"/>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Legal rights review; reserves register under KCMI; valuation method; fiscal-risk treatment; governance design</w:t>
            </w:r>
          </w:p>
        </w:tc>
        <w:tc>
          <w:tcPr>
            <w:tcW w:type="dxa" w:w="2699"/>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Rights confirmed; valuation published; instrument classified as debt where applicable</w:t>
            </w:r>
          </w:p>
        </w:tc>
      </w:tr>
      <w:tr>
        <w:trPr>
          <w:cantSplit/>
        </w:trPr>
        <w:tc>
          <w:tcPr>
            <w:tcW w:type="dxa" w:w="1446"/>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1: Pilot</w:t>
            </w:r>
          </w:p>
        </w:tc>
        <w:tc>
          <w:tcPr>
            <w:tcW w:type="dxa" w:w="1638"/>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3–12 months</w:t>
            </w:r>
          </w:p>
        </w:tc>
        <w:tc>
          <w:tcPr>
            <w:tcW w:type="dxa" w:w="3855"/>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Royalty-linked or revenue-linked note on producing coal assets with proven reserves; capped size; domestic institutional investors</w:t>
            </w:r>
          </w:p>
        </w:tc>
        <w:tc>
          <w:tcPr>
            <w:tcW w:type="dxa" w:w="2699"/>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Successful issuance at a cost no higher than comparable SBN; covenants met</w:t>
            </w:r>
          </w:p>
        </w:tc>
      </w:tr>
      <w:tr>
        <w:trPr>
          <w:cantSplit/>
        </w:trPr>
        <w:tc>
          <w:tcPr>
            <w:tcW w:type="dxa" w:w="144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2: Broaden</w:t>
            </w:r>
          </w:p>
        </w:tc>
        <w:tc>
          <w:tcPr>
            <w:tcW w:type="dxa" w:w="163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12–24 months</w:t>
            </w:r>
          </w:p>
        </w:tc>
        <w:tc>
          <w:tcPr>
            <w:tcW w:type="dxa" w:w="3855"/>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Extend to strategic minerals; open the industrial-development and DOCK-UP windows</w:t>
            </w:r>
          </w:p>
        </w:tc>
        <w:tc>
          <w:tcPr>
            <w:tcW w:type="dxa" w:w="2699"/>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Independent evaluation of the pilot; register of pledged revenues</w:t>
            </w:r>
          </w:p>
        </w:tc>
      </w:tr>
      <w:tr>
        <w:trPr>
          <w:cantSplit/>
        </w:trPr>
        <w:tc>
          <w:tcPr>
            <w:tcW w:type="dxa" w:w="1446"/>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pPr>
            <w:r>
              <w:rPr>
                <w:rFonts w:ascii="Arial" w:cs="Arial" w:eastAsia="Arial" w:hAnsi="Arial"/>
                <w:b/>
                <w:bCs/>
                <w:color w:val="000000"/>
                <w:sz w:val="16"/>
                <w:szCs w:val="16"/>
              </w:rPr>
              <w:t xml:space="preserve">3: Mature fund</w:t>
            </w:r>
          </w:p>
        </w:tc>
        <w:tc>
          <w:tcPr>
            <w:tcW w:type="dxa" w:w="1638"/>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6"/>
                <w:szCs w:val="16"/>
              </w:rPr>
              <w:t xml:space="preserve">&gt; 24 months</w:t>
            </w:r>
          </w:p>
        </w:tc>
        <w:tc>
          <w:tcPr>
            <w:tcW w:type="dxa" w:w="3855"/>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6"/>
                <w:szCs w:val="16"/>
              </w:rPr>
              <w:t xml:space="preserve">Stabilisation and savings windows; consider a Mineral Reserve Trust</w:t>
            </w:r>
          </w:p>
        </w:tc>
        <w:tc>
          <w:tcPr>
            <w:tcW w:type="dxa" w:w="2699"/>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6"/>
                <w:szCs w:val="16"/>
              </w:rPr>
              <w:t xml:space="preserve">Legislative basis complete; track record of returns and disclosure</w:t>
            </w:r>
          </w:p>
        </w:tc>
      </w:tr>
    </w:tbl>
    <w:p>
      <w:pPr>
        <w:pageBreakBefore/>
        <w:spacing w:after="0" w:line="240"/>
      </w:pPr>
      <w:r>
        <w:rPr>
          <w:sz w:val="2"/>
          <w:szCs w:val="2"/>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one" w:color="FFFFFF" w:sz="0"/>
              <w:left w:val="none" w:color="FFFFFF" w:sz="0"/>
              <w:bottom w:val="none" w:color="FFFFFF" w:sz="0"/>
              <w:right w:val="none" w:color="FFFFFF" w:sz="0"/>
            </w:tcBorders>
            <w:shd w:fill="00338D" w:color="auto" w:val="clear"/>
            <w:tcMar>
              <w:top w:type="dxa" w:w="260"/>
              <w:left w:type="dxa" w:w="300"/>
              <w:bottom w:type="dxa" w:w="300"/>
              <w:right w:type="dxa" w:w="300"/>
            </w:tcMar>
          </w:tcPr>
          <w:p>
            <w:pPr>
              <w:spacing w:after="0"/>
            </w:pPr>
            <w:r>
              <w:rPr>
                <w:rFonts w:ascii="Arial" w:cs="Arial" w:eastAsia="Arial" w:hAnsi="Arial"/>
                <w:b/>
                <w:bCs/>
                <w:color w:val="9CC7EF"/>
                <w:sz w:val="64"/>
                <w:szCs w:val="64"/>
              </w:rPr>
              <w:t xml:space="preserve">09</w:t>
            </w:r>
          </w:p>
          <w:p>
            <w:pPr>
              <w:pStyle w:val="Heading1"/>
              <w:spacing w:after="100"/>
            </w:pPr>
            <w:r>
              <w:rPr>
                <w:rFonts w:ascii="Arial" w:cs="Arial" w:eastAsia="Arial" w:hAnsi="Arial"/>
                <w:b/>
                <w:bCs/>
                <w:color w:val="FFFFFF"/>
                <w:sz w:val="40"/>
                <w:szCs w:val="40"/>
              </w:rPr>
              <w:t xml:space="preserve">Financing channel 2: sovereign project tokenisation</w:t>
            </w:r>
          </w:p>
          <w:p>
            <w:pPr>
              <w:spacing w:after="0" w:line="276"/>
            </w:pPr>
            <w:r>
              <w:rPr>
                <w:rFonts w:ascii="Arial" w:cs="Arial" w:eastAsia="Arial" w:hAnsi="Arial"/>
                <w:color w:val="FFFFFF"/>
                <w:sz w:val="20"/>
                <w:szCs w:val="20"/>
              </w:rPr>
              <w:t xml:space="preserve">A project-level channel that turns verified state contracts into investable, milestone-released instruments. It is assessed through the PALCapital proposal for PT PAL.</w:t>
            </w:r>
          </w:p>
        </w:tc>
      </w:tr>
    </w:tbl>
    <w:p>
      <w:pPr>
        <w:spacing w:after="200"/>
      </w:pPr>
    </w:p>
    <w:p>
      <w:pPr>
        <w:pStyle w:val="Heading2"/>
        <w:keepNext/>
        <w:keepLines/>
        <w:spacing w:after="120" w:before="280"/>
      </w:pPr>
      <w:r>
        <w:rPr>
          <w:rFonts w:ascii="Arial" w:cs="Arial" w:eastAsia="Arial" w:hAnsi="Arial"/>
          <w:b/>
          <w:bCs/>
          <w:color w:val="00338D"/>
          <w:sz w:val="28"/>
          <w:szCs w:val="28"/>
        </w:rPr>
        <w:t xml:space="preserve">9.1 The problem it addresses</w:t>
      </w:r>
    </w:p>
    <w:p>
      <w:pPr>
        <w:spacing w:after="110" w:before="0" w:line="264"/>
        <w:jc w:val="left"/>
      </w:pPr>
      <w:r>
        <w:rPr>
          <w:rFonts w:ascii="Arial" w:cs="Arial" w:eastAsia="Arial" w:hAnsi="Arial"/>
          <w:color w:val="000000"/>
          <w:sz w:val="20"/>
          <w:szCs w:val="20"/>
        </w:rPr>
        <w:t xml:space="preserve">PT PAL holds billions of dollars of state contracts but faces a working-capital gap [D6]:</w:t>
      </w:r>
    </w:p>
    <w:p>
      <w:pPr>
        <w:pStyle w:val="ListParagraph"/>
        <w:numPr>
          <w:ilvl w:val="0"/>
          <w:numId w:val="2"/>
        </w:numPr>
        <w:spacing w:after="60" w:line="264"/>
      </w:pPr>
      <w:r>
        <w:rPr>
          <w:rFonts w:ascii="Arial" w:cs="Arial" w:eastAsia="Arial" w:hAnsi="Arial"/>
          <w:b/>
          <w:bCs/>
          <w:sz w:val="20"/>
          <w:szCs w:val="20"/>
        </w:rPr>
        <w:t xml:space="preserve">Sovereign backlog</w:t>
      </w:r>
      <w:r>
        <w:rPr>
          <w:rFonts w:ascii="Arial" w:cs="Arial" w:eastAsia="Arial" w:hAnsi="Arial"/>
          <w:sz w:val="20"/>
          <w:szCs w:val="20"/>
        </w:rPr>
        <w:t xml:space="preserve">: two Scorpène Evolved submarines (US$2.16 bn), two Merah Putih AH-140 frigates (US$1.2 bn), plus LPDs and hospital ships, all MoD contracts with 60–96 month cycles.</w:t>
      </w:r>
    </w:p>
    <w:p>
      <w:pPr>
        <w:pStyle w:val="ListParagraph"/>
        <w:numPr>
          <w:ilvl w:val="0"/>
          <w:numId w:val="2"/>
        </w:numPr>
        <w:spacing w:after="60" w:line="264"/>
      </w:pPr>
      <w:r>
        <w:rPr>
          <w:rFonts w:ascii="Arial" w:cs="Arial" w:eastAsia="Arial" w:hAnsi="Arial"/>
          <w:b/>
          <w:bCs/>
          <w:sz w:val="20"/>
          <w:szCs w:val="20"/>
        </w:rPr>
        <w:t xml:space="preserve">Up-front cash outlay</w:t>
      </w:r>
      <w:r>
        <w:rPr>
          <w:rFonts w:ascii="Arial" w:cs="Arial" w:eastAsia="Arial" w:hAnsi="Arial"/>
          <w:sz w:val="20"/>
          <w:szCs w:val="20"/>
        </w:rPr>
        <w:t xml:space="preserve">: HY-80 steel, lithium-ion battery arrays, propulsion and combat systems must be paid before milestone payments arrive, creating a gap of </w:t>
      </w:r>
      <w:r>
        <w:rPr>
          <w:rFonts w:ascii="Arial" w:cs="Arial" w:eastAsia="Arial" w:hAnsi="Arial"/>
          <w:b/>
          <w:bCs/>
          <w:sz w:val="20"/>
          <w:szCs w:val="20"/>
        </w:rPr>
        <w:t xml:space="preserve">US$150–300 m per programme</w:t>
      </w:r>
      <w:r>
        <w:rPr>
          <w:rFonts w:ascii="Arial" w:cs="Arial" w:eastAsia="Arial" w:hAnsi="Arial"/>
          <w:sz w:val="20"/>
          <w:szCs w:val="20"/>
        </w:rPr>
        <w:t xml:space="preserve">.</w:t>
      </w:r>
    </w:p>
    <w:p>
      <w:pPr>
        <w:pStyle w:val="ListParagraph"/>
        <w:numPr>
          <w:ilvl w:val="0"/>
          <w:numId w:val="2"/>
        </w:numPr>
        <w:spacing w:after="60" w:line="264"/>
      </w:pPr>
      <w:r>
        <w:rPr>
          <w:rFonts w:ascii="Arial" w:cs="Arial" w:eastAsia="Arial" w:hAnsi="Arial"/>
          <w:b/>
          <w:bCs/>
          <w:sz w:val="20"/>
          <w:szCs w:val="20"/>
        </w:rPr>
        <w:t xml:space="preserve">Import dependence</w:t>
      </w:r>
      <w:r>
        <w:rPr>
          <w:rFonts w:ascii="Arial" w:cs="Arial" w:eastAsia="Arial" w:hAnsi="Arial"/>
          <w:sz w:val="20"/>
          <w:szCs w:val="20"/>
        </w:rPr>
        <w:t xml:space="preserve">: about 75% of materials are imported, so foreign-exchange and supply-chain risk is concentrated.</w:t>
      </w:r>
    </w:p>
    <w:p>
      <w:pPr>
        <w:pStyle w:val="ListParagraph"/>
        <w:numPr>
          <w:ilvl w:val="0"/>
          <w:numId w:val="2"/>
        </w:numPr>
        <w:spacing w:after="60" w:line="264"/>
      </w:pPr>
      <w:r>
        <w:rPr>
          <w:rFonts w:ascii="Arial" w:cs="Arial" w:eastAsia="Arial" w:hAnsi="Arial"/>
          <w:b/>
          <w:bCs/>
          <w:sz w:val="20"/>
          <w:szCs w:val="20"/>
        </w:rPr>
        <w:t xml:space="preserve">Slow conventional finance</w:t>
      </w:r>
      <w:r>
        <w:rPr>
          <w:rFonts w:ascii="Arial" w:cs="Arial" w:eastAsia="Arial" w:hAnsi="Arial"/>
          <w:sz w:val="20"/>
          <w:szCs w:val="20"/>
        </w:rPr>
        <w:t xml:space="preserve">: bank syndicates take 6–9 months, carry heavy covenants and cost 9–11% all-in.</w:t>
      </w:r>
    </w:p>
    <w:p>
      <w:pPr>
        <w:pStyle w:val="Heading2"/>
        <w:keepNext/>
        <w:keepLines/>
        <w:spacing w:after="120" w:before="280"/>
      </w:pPr>
      <w:r>
        <w:rPr>
          <w:rFonts w:ascii="Arial" w:cs="Arial" w:eastAsia="Arial" w:hAnsi="Arial"/>
          <w:b/>
          <w:bCs/>
          <w:color w:val="00338D"/>
          <w:sz w:val="28"/>
          <w:szCs w:val="28"/>
        </w:rPr>
        <w:t xml:space="preserve">9.2 The proposed instrument: PAL-SUB-1</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20"/>
        <w:gridCol w:w="7518"/>
      </w:tblGrid>
      <w:tr>
        <w:trPr>
          <w:cantSplit/>
          <w:tblHeader/>
        </w:trPr>
        <w:tc>
          <w:tcPr>
            <w:tcW w:type="dxa" w:w="2120"/>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Feature</w:t>
            </w:r>
          </w:p>
        </w:tc>
        <w:tc>
          <w:tcPr>
            <w:tcW w:type="dxa" w:w="7518"/>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As proposed in D6</w:t>
            </w:r>
          </w:p>
        </w:tc>
      </w:tr>
      <w:tr>
        <w:trPr>
          <w:cantSplit/>
        </w:trPr>
        <w:tc>
          <w:tcPr>
            <w:tcW w:type="dxa" w:w="212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7"/>
                <w:szCs w:val="17"/>
              </w:rPr>
              <w:t xml:space="preserve">Legal nature</w:t>
            </w:r>
          </w:p>
        </w:tc>
        <w:tc>
          <w:tcPr>
            <w:tcW w:type="dxa" w:w="751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7"/>
                <w:szCs w:val="17"/>
              </w:rPr>
              <w:t xml:space="preserve">Yield-bearing debt note backed by a verified MoD purchase order; investor described as a secured creditor</w:t>
            </w:r>
          </w:p>
        </w:tc>
      </w:tr>
      <w:tr>
        <w:trPr>
          <w:cantSplit/>
        </w:trPr>
        <w:tc>
          <w:tcPr>
            <w:tcW w:type="dxa" w:w="212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7"/>
                <w:szCs w:val="17"/>
              </w:rPr>
              <w:t xml:space="preserve">Size and tenor</w:t>
            </w:r>
          </w:p>
        </w:tc>
        <w:tc>
          <w:tcPr>
            <w:tcW w:type="dxa" w:w="7518"/>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7"/>
                <w:szCs w:val="17"/>
              </w:rPr>
              <w:t xml:space="preserve">US$150 m (Phase 1, Scorpène Unit 1); 700 bps fixed yield; 720 days</w:t>
            </w:r>
          </w:p>
        </w:tc>
      </w:tr>
      <w:tr>
        <w:trPr>
          <w:cantSplit/>
        </w:trPr>
        <w:tc>
          <w:tcPr>
            <w:tcW w:type="dxa" w:w="212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7"/>
                <w:szCs w:val="17"/>
              </w:rPr>
              <w:t xml:space="preserve">Token standard and network</w:t>
            </w:r>
          </w:p>
        </w:tc>
        <w:tc>
          <w:tcPr>
            <w:tcW w:type="dxa" w:w="751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7"/>
                <w:szCs w:val="17"/>
              </w:rPr>
              <w:t xml:space="preserve">ERC-3643 (T-REX) permissioned security token on a private Hyperledger Besu network (IBFT 2.0); 4 validators (PAL ×2, Danantara, BKI), 3 needed to finalise</w:t>
            </w:r>
          </w:p>
        </w:tc>
      </w:tr>
      <w:tr>
        <w:trPr>
          <w:cantSplit/>
        </w:trPr>
        <w:tc>
          <w:tcPr>
            <w:tcW w:type="dxa" w:w="212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7"/>
                <w:szCs w:val="17"/>
              </w:rPr>
              <w:t xml:space="preserve">Privacy</w:t>
            </w:r>
          </w:p>
        </w:tc>
        <w:tc>
          <w:tcPr>
            <w:tcW w:type="dxa" w:w="7518"/>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7"/>
                <w:szCs w:val="17"/>
              </w:rPr>
              <w:t xml:space="preserve">Zero-knowledge proof of PO value and Ministry of Finance signature; classified specifications never on-chain</w:t>
            </w:r>
          </w:p>
        </w:tc>
      </w:tr>
      <w:tr>
        <w:trPr>
          <w:cantSplit/>
        </w:trPr>
        <w:tc>
          <w:tcPr>
            <w:tcW w:type="dxa" w:w="212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7"/>
                <w:szCs w:val="17"/>
              </w:rPr>
              <w:t xml:space="preserve">Custody and escrow</w:t>
            </w:r>
          </w:p>
        </w:tc>
        <w:tc>
          <w:tcPr>
            <w:tcW w:type="dxa" w:w="751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7"/>
                <w:szCs w:val="17"/>
              </w:rPr>
              <w:t xml:space="preserve">Fiat escrow at Bank Mandiri Custody under a tripartite deed PAL–Danantara–Mandiri; escrow bank determined by Danantara IC, MoF and OJK</w:t>
            </w:r>
          </w:p>
        </w:tc>
      </w:tr>
      <w:tr>
        <w:trPr>
          <w:cantSplit/>
        </w:trPr>
        <w:tc>
          <w:tcPr>
            <w:tcW w:type="dxa" w:w="212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7"/>
                <w:szCs w:val="17"/>
              </w:rPr>
              <w:t xml:space="preserve">Release control</w:t>
            </w:r>
          </w:p>
        </w:tc>
        <w:tc>
          <w:tcPr>
            <w:tcW w:type="dxa" w:w="7518"/>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7"/>
                <w:szCs w:val="17"/>
              </w:rPr>
              <w:t xml:space="preserve">Funds released in tranches direct to vendors after 2-of-2 sign-off by a BKI lead surveyor and a TNI AL officer, with geotagged photo, GPS and timestamp; IoT data supporting only in Phase 1; weld quality remains a manual BKI check</w:t>
            </w:r>
          </w:p>
        </w:tc>
      </w:tr>
      <w:tr>
        <w:trPr>
          <w:cantSplit/>
        </w:trPr>
        <w:tc>
          <w:tcPr>
            <w:tcW w:type="dxa" w:w="212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7"/>
                <w:szCs w:val="17"/>
              </w:rPr>
              <w:t xml:space="preserve">Repayment</w:t>
            </w:r>
          </w:p>
        </w:tc>
        <w:tc>
          <w:tcPr>
            <w:tcW w:type="dxa" w:w="751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7"/>
                <w:szCs w:val="17"/>
              </w:rPr>
              <w:t xml:space="preserve">All MoD payments (15% down payment and T1–T5) go to a Mandiri collection account; waterfall pays accrued yield first, remainder to PAL; at final delivery principal and final yield are paid and the token is burned</w:t>
            </w:r>
          </w:p>
        </w:tc>
      </w:tr>
      <w:tr>
        <w:trPr>
          <w:cantSplit/>
        </w:trPr>
        <w:tc>
          <w:tcPr>
            <w:tcW w:type="dxa" w:w="212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7"/>
                <w:szCs w:val="17"/>
              </w:rPr>
              <w:t xml:space="preserve">Investors</w:t>
            </w:r>
          </w:p>
        </w:tc>
        <w:tc>
          <w:tcPr>
            <w:tcW w:type="dxa" w:w="7518"/>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7"/>
                <w:szCs w:val="17"/>
              </w:rPr>
              <w:t xml:space="preserve">Danantara as anchor; Mandiri, BRI and sovereign funds as co-investors; 100 whitelisted wallets in Phase 1; no retail until Phase 3</w:t>
            </w:r>
          </w:p>
        </w:tc>
      </w:tr>
      <w:tr>
        <w:trPr>
          <w:cantSplit/>
        </w:trPr>
        <w:tc>
          <w:tcPr>
            <w:tcW w:type="dxa" w:w="212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7"/>
                <w:szCs w:val="17"/>
              </w:rPr>
              <w:t xml:space="preserve">Regulation and security</w:t>
            </w:r>
          </w:p>
        </w:tc>
        <w:tc>
          <w:tcPr>
            <w:tcW w:type="dxa" w:w="751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7"/>
                <w:szCs w:val="17"/>
              </w:rPr>
              <w:t xml:space="preserve">OJK IKD (digital innovation) sandbox; BSSN-compliant sovereign cloud; ISO 27001; FIPS 140-2 Level 3 HSM; read-only auditor nodes for MoD and OJK; upgrades via 3-day timelock and 3-of-5 multisig</w:t>
            </w:r>
          </w:p>
        </w:tc>
      </w:tr>
      <w:tr>
        <w:trPr>
          <w:cantSplit/>
        </w:trPr>
        <w:tc>
          <w:tcPr>
            <w:tcW w:type="dxa" w:w="212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pPr>
            <w:r>
              <w:rPr>
                <w:rFonts w:ascii="Arial" w:cs="Arial" w:eastAsia="Arial" w:hAnsi="Arial"/>
                <w:b/>
                <w:bCs/>
                <w:color w:val="000000"/>
                <w:sz w:val="17"/>
                <w:szCs w:val="17"/>
              </w:rPr>
              <w:t xml:space="preserve">Roadmap</w:t>
            </w:r>
          </w:p>
        </w:tc>
        <w:tc>
          <w:tcPr>
            <w:tcW w:type="dxa" w:w="7518"/>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7"/>
                <w:szCs w:val="17"/>
              </w:rPr>
              <w:t xml:space="preserve">Phase 1 Q4 2026: US$150 m pilot. Phase 2: US$300 m, frigate and submarine unit 2. Phase 3: US$1 bn+, full order book, retail IKD and secondary trading</w:t>
            </w:r>
          </w:p>
        </w:tc>
      </w:tr>
    </w:tbl>
    <w:p>
      <w:pPr>
        <w:keepNext w:val="false"/>
        <w:spacing w:after="140"/>
      </w:pPr>
    </w:p>
    <w:p>
      <w:pPr>
        <w:pStyle w:val="Heading2"/>
        <w:keepNext/>
        <w:keepLines/>
        <w:spacing w:after="120" w:before="280"/>
      </w:pPr>
      <w:r>
        <w:rPr>
          <w:rFonts w:ascii="Arial" w:cs="Arial" w:eastAsia="Arial" w:hAnsi="Arial"/>
          <w:b/>
          <w:bCs/>
          <w:color w:val="00338D"/>
          <w:sz w:val="28"/>
          <w:szCs w:val="28"/>
        </w:rPr>
        <w:t xml:space="preserve">9.3 Lifecycle and cash flows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89"/>
        <w:gridCol w:w="260"/>
        <w:gridCol w:w="1389"/>
        <w:gridCol w:w="260"/>
        <w:gridCol w:w="1389"/>
        <w:gridCol w:w="260"/>
        <w:gridCol w:w="1389"/>
        <w:gridCol w:w="260"/>
        <w:gridCol w:w="1389"/>
        <w:gridCol w:w="260"/>
        <w:gridCol w:w="1393"/>
      </w:tblGrid>
      <w:tr>
        <w:trPr>
          <w:cantSplit/>
        </w:trPr>
        <w:tc>
          <w:tcPr>
            <w:tcW w:type="dxa" w:w="1389"/>
            <w:tcBorders>
              <w:top w:val="none" w:color="FFFFFF" w:sz="0"/>
              <w:left w:val="none" w:color="FFFFFF" w:sz="0"/>
              <w:bottom w:val="none" w:color="FFFFFF" w:sz="0"/>
              <w:right w:val="none" w:color="FFFFFF" w:sz="0"/>
            </w:tcBorders>
            <w:shd w:fill="00338D" w:color="auto" w:val="clear"/>
            <w:tcMar>
              <w:top w:type="dxa" w:w="100"/>
              <w:left w:type="dxa" w:w="90"/>
              <w:bottom w:type="dxa" w:w="100"/>
              <w:right w:type="dxa" w:w="90"/>
            </w:tcMar>
          </w:tcPr>
          <w:p>
            <w:pPr>
              <w:spacing w:after="40" w:line="240"/>
            </w:pPr>
            <w:r>
              <w:rPr>
                <w:rFonts w:ascii="Arial" w:cs="Arial" w:eastAsia="Arial" w:hAnsi="Arial"/>
                <w:b/>
                <w:bCs/>
                <w:color w:val="FFFFFF"/>
                <w:sz w:val="15"/>
                <w:szCs w:val="15"/>
              </w:rPr>
              <w:t xml:space="preserve">1 Trigger</w:t>
            </w:r>
          </w:p>
          <w:p>
            <w:pPr>
              <w:spacing w:after="0" w:line="236"/>
            </w:pPr>
            <w:r>
              <w:rPr>
                <w:rFonts w:ascii="Arial" w:cs="Arial" w:eastAsia="Arial" w:hAnsi="Arial"/>
                <w:color w:val="FFFFFF"/>
                <w:sz w:val="14"/>
                <w:szCs w:val="14"/>
              </w:rPr>
              <w:t xml:space="preserve">MoD contract and payment terms ingested and hashed</w:t>
            </w:r>
          </w:p>
        </w:tc>
        <w:tc>
          <w:tcPr>
            <w:tcW w:type="dxa" w:w="26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jc w:val="center"/>
            </w:pPr>
            <w:r>
              <w:rPr>
                <w:rFonts w:ascii="Arial" w:cs="Arial" w:eastAsia="Arial" w:hAnsi="Arial"/>
                <w:color w:val="005EB8"/>
                <w:sz w:val="18"/>
                <w:szCs w:val="18"/>
              </w:rPr>
              <w:t xml:space="preserve">►</w:t>
            </w:r>
          </w:p>
        </w:tc>
        <w:tc>
          <w:tcPr>
            <w:tcW w:type="dxa" w:w="1389"/>
            <w:tcBorders>
              <w:top w:val="none" w:color="FFFFFF" w:sz="0"/>
              <w:left w:val="none" w:color="FFFFFF" w:sz="0"/>
              <w:bottom w:val="none" w:color="FFFFFF" w:sz="0"/>
              <w:right w:val="none" w:color="FFFFFF" w:sz="0"/>
            </w:tcBorders>
            <w:shd w:fill="005EB8" w:color="auto" w:val="clear"/>
            <w:tcMar>
              <w:top w:type="dxa" w:w="100"/>
              <w:left w:type="dxa" w:w="90"/>
              <w:bottom w:type="dxa" w:w="100"/>
              <w:right w:type="dxa" w:w="90"/>
            </w:tcMar>
          </w:tcPr>
          <w:p>
            <w:pPr>
              <w:spacing w:after="40" w:line="240"/>
            </w:pPr>
            <w:r>
              <w:rPr>
                <w:rFonts w:ascii="Arial" w:cs="Arial" w:eastAsia="Arial" w:hAnsi="Arial"/>
                <w:b/>
                <w:bCs/>
                <w:color w:val="FFFFFF"/>
                <w:sz w:val="15"/>
                <w:szCs w:val="15"/>
              </w:rPr>
              <w:t xml:space="preserve">2 ZK shield</w:t>
            </w:r>
          </w:p>
          <w:p>
            <w:pPr>
              <w:spacing w:after="0" w:line="236"/>
            </w:pPr>
            <w:r>
              <w:rPr>
                <w:rFonts w:ascii="Arial" w:cs="Arial" w:eastAsia="Arial" w:hAnsi="Arial"/>
                <w:color w:val="FFFFFF"/>
                <w:sz w:val="14"/>
                <w:szCs w:val="14"/>
              </w:rPr>
              <w:t xml:space="preserve">Proof of value and MoF signature; no classified data</w:t>
            </w:r>
          </w:p>
        </w:tc>
        <w:tc>
          <w:tcPr>
            <w:tcW w:type="dxa" w:w="26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jc w:val="center"/>
            </w:pPr>
            <w:r>
              <w:rPr>
                <w:rFonts w:ascii="Arial" w:cs="Arial" w:eastAsia="Arial" w:hAnsi="Arial"/>
                <w:color w:val="005EB8"/>
                <w:sz w:val="18"/>
                <w:szCs w:val="18"/>
              </w:rPr>
              <w:t xml:space="preserve">►</w:t>
            </w:r>
          </w:p>
        </w:tc>
        <w:tc>
          <w:tcPr>
            <w:tcW w:type="dxa" w:w="1389"/>
            <w:tcBorders>
              <w:top w:val="none" w:color="FFFFFF" w:sz="0"/>
              <w:left w:val="none" w:color="FFFFFF" w:sz="0"/>
              <w:bottom w:val="none" w:color="FFFFFF" w:sz="0"/>
              <w:right w:val="none" w:color="FFFFFF" w:sz="0"/>
            </w:tcBorders>
            <w:shd w:fill="00338D" w:color="auto" w:val="clear"/>
            <w:tcMar>
              <w:top w:type="dxa" w:w="100"/>
              <w:left w:type="dxa" w:w="90"/>
              <w:bottom w:type="dxa" w:w="100"/>
              <w:right w:type="dxa" w:w="90"/>
            </w:tcMar>
          </w:tcPr>
          <w:p>
            <w:pPr>
              <w:spacing w:after="40" w:line="240"/>
            </w:pPr>
            <w:r>
              <w:rPr>
                <w:rFonts w:ascii="Arial" w:cs="Arial" w:eastAsia="Arial" w:hAnsi="Arial"/>
                <w:b/>
                <w:bCs/>
                <w:color w:val="FFFFFF"/>
                <w:sz w:val="15"/>
                <w:szCs w:val="15"/>
              </w:rPr>
              <w:t xml:space="preserve">3 Onboard</w:t>
            </w:r>
          </w:p>
          <w:p>
            <w:pPr>
              <w:spacing w:after="0" w:line="236"/>
            </w:pPr>
            <w:r>
              <w:rPr>
                <w:rFonts w:ascii="Arial" w:cs="Arial" w:eastAsia="Arial" w:hAnsi="Arial"/>
                <w:color w:val="FFFFFF"/>
                <w:sz w:val="14"/>
                <w:szCs w:val="14"/>
              </w:rPr>
              <w:t xml:space="preserve">KYB/AML; identity tokens; whitelist</w:t>
            </w:r>
          </w:p>
        </w:tc>
        <w:tc>
          <w:tcPr>
            <w:tcW w:type="dxa" w:w="26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jc w:val="center"/>
            </w:pPr>
            <w:r>
              <w:rPr>
                <w:rFonts w:ascii="Arial" w:cs="Arial" w:eastAsia="Arial" w:hAnsi="Arial"/>
                <w:color w:val="005EB8"/>
                <w:sz w:val="18"/>
                <w:szCs w:val="18"/>
              </w:rPr>
              <w:t xml:space="preserve">►</w:t>
            </w:r>
          </w:p>
        </w:tc>
        <w:tc>
          <w:tcPr>
            <w:tcW w:type="dxa" w:w="1389"/>
            <w:tcBorders>
              <w:top w:val="none" w:color="FFFFFF" w:sz="0"/>
              <w:left w:val="none" w:color="FFFFFF" w:sz="0"/>
              <w:bottom w:val="none" w:color="FFFFFF" w:sz="0"/>
              <w:right w:val="none" w:color="FFFFFF" w:sz="0"/>
            </w:tcBorders>
            <w:shd w:fill="005EB8" w:color="auto" w:val="clear"/>
            <w:tcMar>
              <w:top w:type="dxa" w:w="100"/>
              <w:left w:type="dxa" w:w="90"/>
              <w:bottom w:type="dxa" w:w="100"/>
              <w:right w:type="dxa" w:w="90"/>
            </w:tcMar>
          </w:tcPr>
          <w:p>
            <w:pPr>
              <w:spacing w:after="40" w:line="240"/>
            </w:pPr>
            <w:r>
              <w:rPr>
                <w:rFonts w:ascii="Arial" w:cs="Arial" w:eastAsia="Arial" w:hAnsi="Arial"/>
                <w:b/>
                <w:bCs/>
                <w:color w:val="FFFFFF"/>
                <w:sz w:val="15"/>
                <w:szCs w:val="15"/>
              </w:rPr>
              <w:t xml:space="preserve">4 Escrow funding</w:t>
            </w:r>
          </w:p>
          <w:p>
            <w:pPr>
              <w:spacing w:after="0" w:line="236"/>
            </w:pPr>
            <w:r>
              <w:rPr>
                <w:rFonts w:ascii="Arial" w:cs="Arial" w:eastAsia="Arial" w:hAnsi="Arial"/>
                <w:color w:val="FFFFFF"/>
                <w:sz w:val="14"/>
                <w:szCs w:val="14"/>
              </w:rPr>
              <w:t xml:space="preserve">US$150 m locked; fiat at Mandiri Custody</w:t>
            </w:r>
          </w:p>
        </w:tc>
        <w:tc>
          <w:tcPr>
            <w:tcW w:type="dxa" w:w="26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jc w:val="center"/>
            </w:pPr>
            <w:r>
              <w:rPr>
                <w:rFonts w:ascii="Arial" w:cs="Arial" w:eastAsia="Arial" w:hAnsi="Arial"/>
                <w:color w:val="005EB8"/>
                <w:sz w:val="18"/>
                <w:szCs w:val="18"/>
              </w:rPr>
              <w:t xml:space="preserve">►</w:t>
            </w:r>
          </w:p>
        </w:tc>
        <w:tc>
          <w:tcPr>
            <w:tcW w:type="dxa" w:w="1389"/>
            <w:tcBorders>
              <w:top w:val="none" w:color="FFFFFF" w:sz="0"/>
              <w:left w:val="none" w:color="FFFFFF" w:sz="0"/>
              <w:bottom w:val="none" w:color="FFFFFF" w:sz="0"/>
              <w:right w:val="none" w:color="FFFFFF" w:sz="0"/>
            </w:tcBorders>
            <w:shd w:fill="00338D" w:color="auto" w:val="clear"/>
            <w:tcMar>
              <w:top w:type="dxa" w:w="100"/>
              <w:left w:type="dxa" w:w="90"/>
              <w:bottom w:type="dxa" w:w="100"/>
              <w:right w:type="dxa" w:w="90"/>
            </w:tcMar>
          </w:tcPr>
          <w:p>
            <w:pPr>
              <w:spacing w:after="40" w:line="240"/>
            </w:pPr>
            <w:r>
              <w:rPr>
                <w:rFonts w:ascii="Arial" w:cs="Arial" w:eastAsia="Arial" w:hAnsi="Arial"/>
                <w:b/>
                <w:bCs/>
                <w:color w:val="FFFFFF"/>
                <w:sz w:val="15"/>
                <w:szCs w:val="15"/>
              </w:rPr>
              <w:t xml:space="preserve">5 Build and release</w:t>
            </w:r>
          </w:p>
          <w:p>
            <w:pPr>
              <w:spacing w:after="0" w:line="236"/>
            </w:pPr>
            <w:r>
              <w:rPr>
                <w:rFonts w:ascii="Arial" w:cs="Arial" w:eastAsia="Arial" w:hAnsi="Arial"/>
                <w:color w:val="FFFFFF"/>
                <w:sz w:val="14"/>
                <w:szCs w:val="14"/>
              </w:rPr>
              <w:t xml:space="preserve">2-of-2 surveyor sign-off; paid direct to vendors</w:t>
            </w:r>
          </w:p>
        </w:tc>
        <w:tc>
          <w:tcPr>
            <w:tcW w:type="dxa" w:w="26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jc w:val="center"/>
            </w:pPr>
            <w:r>
              <w:rPr>
                <w:rFonts w:ascii="Arial" w:cs="Arial" w:eastAsia="Arial" w:hAnsi="Arial"/>
                <w:color w:val="005EB8"/>
                <w:sz w:val="18"/>
                <w:szCs w:val="18"/>
              </w:rPr>
              <w:t xml:space="preserve">►</w:t>
            </w:r>
          </w:p>
        </w:tc>
        <w:tc>
          <w:tcPr>
            <w:tcW w:type="dxa" w:w="1393"/>
            <w:tcBorders>
              <w:top w:val="none" w:color="FFFFFF" w:sz="0"/>
              <w:left w:val="none" w:color="FFFFFF" w:sz="0"/>
              <w:bottom w:val="none" w:color="FFFFFF" w:sz="0"/>
              <w:right w:val="none" w:color="FFFFFF" w:sz="0"/>
            </w:tcBorders>
            <w:shd w:fill="005EB8" w:color="auto" w:val="clear"/>
            <w:tcMar>
              <w:top w:type="dxa" w:w="100"/>
              <w:left w:type="dxa" w:w="90"/>
              <w:bottom w:type="dxa" w:w="100"/>
              <w:right w:type="dxa" w:w="90"/>
            </w:tcMar>
          </w:tcPr>
          <w:p>
            <w:pPr>
              <w:spacing w:after="40" w:line="240"/>
            </w:pPr>
            <w:r>
              <w:rPr>
                <w:rFonts w:ascii="Arial" w:cs="Arial" w:eastAsia="Arial" w:hAnsi="Arial"/>
                <w:b/>
                <w:bCs/>
                <w:color w:val="FFFFFF"/>
                <w:sz w:val="15"/>
                <w:szCs w:val="15"/>
              </w:rPr>
              <w:t xml:space="preserve">6 Settlement</w:t>
            </w:r>
          </w:p>
          <w:p>
            <w:pPr>
              <w:spacing w:after="0" w:line="236"/>
            </w:pPr>
            <w:r>
              <w:rPr>
                <w:rFonts w:ascii="Arial" w:cs="Arial" w:eastAsia="Arial" w:hAnsi="Arial"/>
                <w:color w:val="FFFFFF"/>
                <w:sz w:val="14"/>
                <w:szCs w:val="14"/>
              </w:rPr>
              <w:t xml:space="preserve">MoD payments to collection account; waterfall; burn</w:t>
            </w:r>
          </w:p>
        </w:tc>
      </w:tr>
    </w:tbl>
    <w:p>
      <w:pPr>
        <w:spacing w:after="160"/>
      </w:pPr>
    </w:p>
    <w:p>
      <w:pPr>
        <w:keepNext/>
        <w:spacing w:after="60" w:before="120"/>
      </w:pPr>
      <w:r>
        <w:rPr>
          <w:rFonts w:ascii="Arial" w:cs="Arial" w:eastAsia="Arial" w:hAnsi="Arial"/>
          <w:b/>
          <w:bCs/>
          <w:color w:val="00338D"/>
          <w:sz w:val="18"/>
          <w:szCs w:val="18"/>
        </w:rPr>
        <w:t xml:space="preserve">Figure 4: </w:t>
      </w:r>
      <w:r>
        <w:rPr>
          <w:rFonts w:ascii="Arial" w:cs="Arial" w:eastAsia="Arial" w:hAnsi="Arial"/>
          <w:b/>
          <w:bCs/>
          <w:color w:val="00338D"/>
          <w:sz w:val="18"/>
          <w:szCs w:val="18"/>
        </w:rPr>
        <w:t xml:space="preserve">PAL-SUB-1 milestone tranches</w:t>
      </w:r>
    </w:p>
    <w:p>
      <w:pPr>
        <w:keepNext/>
        <w:spacing w:after="40"/>
      </w:pPr>
      <w:r>
        <w:drawing>
          <wp:inline distT="0" distB="0" distL="0" distR="0">
            <wp:extent cx="5303520" cy="2368433"/>
            <wp:effectExtent t="0" r="0" b="0" l="0"/>
            <wp:docPr id="4" name="c5_pal_tranches.png" descr="PAL-SUB-1 milestone tranches" title="PAL-SUB-1 milestone tranch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03520" cy="2368433"/>
                    </a:xfrm>
                    <a:prstGeom prst="rect">
                      <a:avLst/>
                    </a:prstGeom>
                  </pic:spPr>
                </pic:pic>
              </a:graphicData>
            </a:graphic>
          </wp:inline>
        </w:drawing>
      </w:r>
    </w:p>
    <w:p>
      <w:pPr>
        <w:spacing w:after="160"/>
      </w:pPr>
      <w:r>
        <w:rPr>
          <w:rFonts w:ascii="Arial" w:cs="Arial" w:eastAsia="Arial" w:hAnsi="Arial"/>
          <w:i/>
          <w:iCs/>
          <w:color w:val="000000"/>
          <w:sz w:val="15"/>
          <w:szCs w:val="15"/>
        </w:rPr>
        <w:t xml:space="preserve">Source: D6. Tranches sum to US$150 m.</w:t>
      </w:r>
    </w:p>
    <w:p>
      <w:pPr>
        <w:spacing w:after="110" w:before="0" w:line="264"/>
        <w:jc w:val="left"/>
      </w:pPr>
      <w:r>
        <w:rPr>
          <w:rFonts w:ascii="Arial" w:cs="Arial" w:eastAsia="Arial" w:hAnsi="Arial"/>
          <w:color w:val="000000"/>
          <w:sz w:val="20"/>
          <w:szCs w:val="20"/>
        </w:rPr>
        <w:t xml:space="preserve">At 700 bps for 720 days, the yield on US$150 m is </w:t>
      </w:r>
      <w:r>
        <w:rPr>
          <w:rFonts w:ascii="Arial" w:cs="Arial" w:eastAsia="Arial" w:hAnsi="Arial"/>
          <w:b/>
          <w:bCs/>
          <w:color w:val="000000"/>
          <w:sz w:val="20"/>
          <w:szCs w:val="20"/>
        </w:rPr>
        <w:t xml:space="preserve">US$20.7 m</w:t>
      </w:r>
      <w:r>
        <w:rPr>
          <w:rFonts w:ascii="Arial" w:cs="Arial" w:eastAsia="Arial" w:hAnsi="Arial"/>
          <w:color w:val="000000"/>
          <w:sz w:val="20"/>
          <w:szCs w:val="20"/>
        </w:rPr>
        <w:t xml:space="preserve"> (D6 rounds to US$21 m). D6's waterfall example, in which a T1 receipt of US$40 m pays US$5.17 m of accrued yield and forwards US$34.83 m to PAL, is consistent with about 180 days of accrual. D6 claims savings of US$8–12 m per vessel. The difference between a 10.5% bank cost and 7% on US$150 m over 720 days is about </w:t>
      </w:r>
      <w:r>
        <w:rPr>
          <w:rFonts w:ascii="Arial" w:cs="Arial" w:eastAsia="Arial" w:hAnsi="Arial"/>
          <w:b/>
          <w:bCs/>
          <w:color w:val="000000"/>
          <w:sz w:val="20"/>
          <w:szCs w:val="20"/>
        </w:rPr>
        <w:t xml:space="preserve">US$10.4 m</w:t>
      </w:r>
      <w:r>
        <w:rPr>
          <w:rFonts w:ascii="Arial" w:cs="Arial" w:eastAsia="Arial" w:hAnsi="Arial"/>
          <w:color w:val="000000"/>
          <w:sz w:val="20"/>
          <w:szCs w:val="20"/>
        </w:rPr>
        <w:t xml:space="preserve">, so the claim is arithmetically consistent. This checks arithmetic only. It is not a like-for-like cost comparison (Issue 4 below), and it excludes platform, custody, surveyor and legal costs.</w:t>
      </w:r>
    </w:p>
    <w:p>
      <w:pPr>
        <w:pStyle w:val="Heading2"/>
        <w:keepNext/>
        <w:keepLines/>
        <w:spacing w:after="120" w:before="280"/>
      </w:pPr>
      <w:r>
        <w:rPr>
          <w:rFonts w:ascii="Arial" w:cs="Arial" w:eastAsia="Arial" w:hAnsi="Arial"/>
          <w:b/>
          <w:bCs/>
          <w:color w:val="00338D"/>
          <w:sz w:val="28"/>
          <w:szCs w:val="28"/>
        </w:rPr>
        <w:t xml:space="preserve">9.4 Assessment</w:t>
      </w:r>
    </w:p>
    <w:p>
      <w:pPr>
        <w:pStyle w:val="Heading3"/>
        <w:keepNext/>
        <w:keepLines/>
        <w:spacing w:after="80" w:before="200"/>
      </w:pPr>
      <w:r>
        <w:rPr>
          <w:rFonts w:ascii="Arial" w:cs="Arial" w:eastAsia="Arial" w:hAnsi="Arial"/>
          <w:b/>
          <w:bCs/>
          <w:color w:val="005EB8"/>
          <w:sz w:val="22"/>
          <w:szCs w:val="22"/>
        </w:rPr>
        <w:t xml:space="preserve">Strengths worth keeping</w:t>
      </w:r>
    </w:p>
    <w:p>
      <w:pPr>
        <w:pStyle w:val="ListParagraph"/>
        <w:numPr>
          <w:ilvl w:val="0"/>
          <w:numId w:val="2"/>
        </w:numPr>
        <w:spacing w:after="60" w:line="264"/>
      </w:pPr>
      <w:r>
        <w:rPr>
          <w:rFonts w:ascii="Arial" w:cs="Arial" w:eastAsia="Arial" w:hAnsi="Arial"/>
          <w:b/>
          <w:bCs/>
          <w:sz w:val="20"/>
          <w:szCs w:val="20"/>
        </w:rPr>
        <w:t xml:space="preserve">Milestone release direct to suppliers</w:t>
      </w:r>
      <w:r>
        <w:rPr>
          <w:rFonts w:ascii="Arial" w:cs="Arial" w:eastAsia="Arial" w:hAnsi="Arial"/>
          <w:sz w:val="20"/>
          <w:szCs w:val="20"/>
        </w:rPr>
        <w:t xml:space="preserve"> is a strong control: funds cannot be diverted to operating accounts, and it fits DOCK-UP's principle that verified readiness unlocks money.</w:t>
      </w:r>
    </w:p>
    <w:p>
      <w:pPr>
        <w:pStyle w:val="ListParagraph"/>
        <w:numPr>
          <w:ilvl w:val="0"/>
          <w:numId w:val="2"/>
        </w:numPr>
        <w:spacing w:after="60" w:line="264"/>
      </w:pPr>
      <w:r>
        <w:rPr>
          <w:rFonts w:ascii="Arial" w:cs="Arial" w:eastAsia="Arial" w:hAnsi="Arial"/>
          <w:b/>
          <w:bCs/>
          <w:sz w:val="20"/>
          <w:szCs w:val="20"/>
        </w:rPr>
        <w:t xml:space="preserve">Independent physical verification</w:t>
      </w:r>
      <w:r>
        <w:rPr>
          <w:rFonts w:ascii="Arial" w:cs="Arial" w:eastAsia="Arial" w:hAnsi="Arial"/>
          <w:sz w:val="20"/>
          <w:szCs w:val="20"/>
        </w:rPr>
        <w:t xml:space="preserve"> by BKI, with a defence officer co-signing, makes evidence of progress the trigger for payment.</w:t>
      </w:r>
    </w:p>
    <w:p>
      <w:pPr>
        <w:pStyle w:val="ListParagraph"/>
        <w:numPr>
          <w:ilvl w:val="0"/>
          <w:numId w:val="2"/>
        </w:numPr>
        <w:spacing w:after="60" w:line="264"/>
      </w:pPr>
      <w:r>
        <w:rPr>
          <w:rFonts w:ascii="Arial" w:cs="Arial" w:eastAsia="Arial" w:hAnsi="Arial"/>
          <w:b/>
          <w:bCs/>
          <w:sz w:val="20"/>
          <w:szCs w:val="20"/>
        </w:rPr>
        <w:t xml:space="preserve">Regulator visibility from day one</w:t>
      </w:r>
      <w:r>
        <w:rPr>
          <w:rFonts w:ascii="Arial" w:cs="Arial" w:eastAsia="Arial" w:hAnsi="Arial"/>
          <w:sz w:val="20"/>
          <w:szCs w:val="20"/>
        </w:rPr>
        <w:t xml:space="preserve"> (read-only nodes for MoD and OJK) and phased, sandbox-gated scale-up.</w:t>
      </w:r>
    </w:p>
    <w:p>
      <w:pPr>
        <w:pStyle w:val="ListParagraph"/>
        <w:numPr>
          <w:ilvl w:val="0"/>
          <w:numId w:val="2"/>
        </w:numPr>
        <w:spacing w:after="60" w:line="264"/>
      </w:pPr>
      <w:r>
        <w:rPr>
          <w:rFonts w:ascii="Arial" w:cs="Arial" w:eastAsia="Arial" w:hAnsi="Arial"/>
          <w:b/>
          <w:bCs/>
          <w:sz w:val="20"/>
          <w:szCs w:val="20"/>
        </w:rPr>
        <w:t xml:space="preserve">Privacy by design</w:t>
      </w:r>
      <w:r>
        <w:rPr>
          <w:rFonts w:ascii="Arial" w:cs="Arial" w:eastAsia="Arial" w:hAnsi="Arial"/>
          <w:sz w:val="20"/>
          <w:szCs w:val="20"/>
        </w:rPr>
        <w:t xml:space="preserve"> for classified programme data.</w:t>
      </w:r>
    </w:p>
    <w:p>
      <w:pPr>
        <w:pStyle w:val="ListParagraph"/>
        <w:numPr>
          <w:ilvl w:val="0"/>
          <w:numId w:val="2"/>
        </w:numPr>
        <w:spacing w:after="60" w:line="264"/>
      </w:pPr>
      <w:r>
        <w:rPr>
          <w:rFonts w:ascii="Arial" w:cs="Arial" w:eastAsia="Arial" w:hAnsi="Arial"/>
          <w:b/>
          <w:bCs/>
          <w:sz w:val="20"/>
          <w:szCs w:val="20"/>
        </w:rPr>
        <w:t xml:space="preserve">Collection-account waterfall</w:t>
      </w:r>
      <w:r>
        <w:rPr>
          <w:rFonts w:ascii="Arial" w:cs="Arial" w:eastAsia="Arial" w:hAnsi="Arial"/>
          <w:sz w:val="20"/>
          <w:szCs w:val="20"/>
        </w:rPr>
        <w:t xml:space="preserve"> gives investors a clear priority and reduces the risk that payments are diverted.</w:t>
      </w:r>
    </w:p>
    <w:p>
      <w:pPr>
        <w:pStyle w:val="Heading3"/>
        <w:keepNext/>
        <w:keepLines/>
        <w:spacing w:after="80" w:before="200"/>
      </w:pPr>
      <w:r>
        <w:rPr>
          <w:rFonts w:ascii="Arial" w:cs="Arial" w:eastAsia="Arial" w:hAnsi="Arial"/>
          <w:b/>
          <w:bCs/>
          <w:color w:val="005EB8"/>
          <w:sz w:val="22"/>
          <w:szCs w:val="22"/>
        </w:rPr>
        <w:t xml:space="preserve">Issues that must be resolved</w:t>
      </w:r>
    </w:p>
    <w:p>
      <w:pPr>
        <w:keepNext/>
        <w:spacing w:after="80" w:before="120"/>
      </w:pPr>
      <w:r>
        <w:rPr>
          <w:rFonts w:ascii="Arial" w:cs="Arial" w:eastAsia="Arial" w:hAnsi="Arial"/>
          <w:b/>
          <w:bCs/>
          <w:color w:val="00338D"/>
          <w:sz w:val="18"/>
          <w:szCs w:val="18"/>
        </w:rPr>
        <w:t xml:space="preserve">Table 11: </w:t>
      </w:r>
      <w:r>
        <w:rPr>
          <w:rFonts w:ascii="Arial" w:cs="Arial" w:eastAsia="Arial" w:hAnsi="Arial"/>
          <w:b/>
          <w:bCs/>
          <w:color w:val="00338D"/>
          <w:sz w:val="18"/>
          <w:szCs w:val="18"/>
        </w:rPr>
        <w:t xml:space="preserve">PALCapital issues and required resolution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2"/>
        <w:gridCol w:w="5108"/>
        <w:gridCol w:w="4048"/>
      </w:tblGrid>
      <w:tr>
        <w:trPr>
          <w:cantSplit/>
          <w:tblHeader/>
        </w:trPr>
        <w:tc>
          <w:tcPr>
            <w:tcW w:type="dxa" w:w="482"/>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w:t>
            </w:r>
          </w:p>
        </w:tc>
        <w:tc>
          <w:tcPr>
            <w:tcW w:type="dxa" w:w="5108"/>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Issue</w:t>
            </w:r>
          </w:p>
        </w:tc>
        <w:tc>
          <w:tcPr>
            <w:tcW w:type="dxa" w:w="4048"/>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Required resolution</w:t>
            </w:r>
          </w:p>
        </w:tc>
      </w:tr>
      <w:tr>
        <w:trPr>
          <w:cantSplit/>
        </w:trPr>
        <w:tc>
          <w:tcPr>
            <w:tcW w:type="dxa" w:w="48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7"/>
                <w:szCs w:val="17"/>
              </w:rPr>
              <w:t xml:space="preserve">1</w:t>
            </w:r>
          </w:p>
        </w:tc>
        <w:tc>
          <w:tcPr>
            <w:tcW w:type="dxa" w:w="510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7"/>
                <w:szCs w:val="17"/>
              </w:rPr>
              <w:t xml:space="preserve">It is debt.</w:t>
            </w:r>
            <w:r>
              <w:rPr>
                <w:rFonts w:ascii="Arial" w:cs="Arial" w:eastAsia="Arial" w:hAnsi="Arial"/>
                <w:color w:val="000000"/>
                <w:sz w:val="17"/>
                <w:szCs w:val="17"/>
              </w:rPr>
              <w:t xml:space="preserve"> D6 describes the instrument as “not a grant, not debt” and also as a “yield-bearing debt note” whose investor is a “secured creditor”. In substance it is secured receivable financing.</w:t>
            </w:r>
          </w:p>
        </w:tc>
        <w:tc>
          <w:tcPr>
            <w:tcW w:type="dxa" w:w="404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7"/>
                <w:szCs w:val="17"/>
              </w:rPr>
              <w:t xml:space="preserve">Classify and report as a liability of PT PAL (or the issuing SPV) and include it in Danantara's group leverage and guarantee register [D1, D2].</w:t>
            </w:r>
          </w:p>
        </w:tc>
      </w:tr>
      <w:tr>
        <w:trPr>
          <w:cantSplit/>
        </w:trPr>
        <w:tc>
          <w:tcPr>
            <w:tcW w:type="dxa" w:w="48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7"/>
                <w:szCs w:val="17"/>
              </w:rPr>
              <w:t xml:space="preserve">2</w:t>
            </w:r>
          </w:p>
        </w:tc>
        <w:tc>
          <w:tcPr>
            <w:tcW w:type="dxa" w:w="5108"/>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7"/>
                <w:szCs w:val="17"/>
              </w:rPr>
              <w:t xml:space="preserve">Assignment of state receivables.</w:t>
            </w:r>
            <w:r>
              <w:rPr>
                <w:rFonts w:ascii="Arial" w:cs="Arial" w:eastAsia="Arial" w:hAnsi="Arial"/>
                <w:color w:val="000000"/>
                <w:sz w:val="17"/>
                <w:szCs w:val="17"/>
              </w:rPr>
              <w:t xml:space="preserve"> Redirecting MoD payments to a collection account requires contractual rights and consent from MoD and the Ministry of Finance, and must fit budget-execution rules.</w:t>
            </w:r>
          </w:p>
        </w:tc>
        <w:tc>
          <w:tcPr>
            <w:tcW w:type="dxa" w:w="4048"/>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7"/>
                <w:szCs w:val="17"/>
              </w:rPr>
              <w:t xml:space="preserve">Written legal opinion; consent instruments from MoD/MoF before any token is minted.</w:t>
            </w:r>
          </w:p>
        </w:tc>
      </w:tr>
      <w:tr>
        <w:trPr>
          <w:cantSplit/>
        </w:trPr>
        <w:tc>
          <w:tcPr>
            <w:tcW w:type="dxa" w:w="48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7"/>
                <w:szCs w:val="17"/>
              </w:rPr>
              <w:t xml:space="preserve">3</w:t>
            </w:r>
          </w:p>
        </w:tc>
        <w:tc>
          <w:tcPr>
            <w:tcW w:type="dxa" w:w="510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7"/>
                <w:szCs w:val="17"/>
              </w:rPr>
              <w:t xml:space="preserve">Completion and appropriation risk.</w:t>
            </w:r>
            <w:r>
              <w:rPr>
                <w:rFonts w:ascii="Arial" w:cs="Arial" w:eastAsia="Arial" w:hAnsi="Arial"/>
                <w:color w:val="000000"/>
                <w:sz w:val="17"/>
                <w:szCs w:val="17"/>
              </w:rPr>
              <w:t xml:space="preserve"> Investors are paid only if PAL reaches milestones and MoD pays on time. “Even if PAL defaults, future MoD payments still pay investors first” holds only while the programme continues.</w:t>
            </w:r>
          </w:p>
        </w:tc>
        <w:tc>
          <w:tcPr>
            <w:tcW w:type="dxa" w:w="404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7"/>
                <w:szCs w:val="17"/>
              </w:rPr>
              <w:t xml:space="preserve">Independent credit assessment covering programme delay, termination and budget timing; stress MoD payment delay of 180 days.</w:t>
            </w:r>
          </w:p>
        </w:tc>
      </w:tr>
      <w:tr>
        <w:trPr>
          <w:cantSplit/>
        </w:trPr>
        <w:tc>
          <w:tcPr>
            <w:tcW w:type="dxa" w:w="48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7"/>
                <w:szCs w:val="17"/>
              </w:rPr>
              <w:t xml:space="preserve">4</w:t>
            </w:r>
          </w:p>
        </w:tc>
        <w:tc>
          <w:tcPr>
            <w:tcW w:type="dxa" w:w="5108"/>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7"/>
                <w:szCs w:val="17"/>
              </w:rPr>
              <w:t xml:space="preserve">Cost comparison not like-for-like.</w:t>
            </w:r>
            <w:r>
              <w:rPr>
                <w:rFonts w:ascii="Arial" w:cs="Arial" w:eastAsia="Arial" w:hAnsi="Arial"/>
                <w:color w:val="000000"/>
                <w:sz w:val="17"/>
                <w:szCs w:val="17"/>
              </w:rPr>
              <w:t xml:space="preserve"> 7% is compared with a 9–11% bank cost without stating currency, tenor or security, and without the platform's own costs (D6 adds 2–3% fees on the bank side only).</w:t>
            </w:r>
          </w:p>
        </w:tc>
        <w:tc>
          <w:tcPr>
            <w:tcW w:type="dxa" w:w="4048"/>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7"/>
                <w:szCs w:val="17"/>
              </w:rPr>
              <w:t xml:space="preserve">Compare same currency, tenor and security, including total cost of ownership of the platform, custody, surveyor and legal fees.</w:t>
            </w:r>
          </w:p>
        </w:tc>
      </w:tr>
      <w:tr>
        <w:trPr>
          <w:cantSplit/>
        </w:trPr>
        <w:tc>
          <w:tcPr>
            <w:tcW w:type="dxa" w:w="48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7"/>
                <w:szCs w:val="17"/>
              </w:rPr>
              <w:t xml:space="preserve">5</w:t>
            </w:r>
          </w:p>
        </w:tc>
        <w:tc>
          <w:tcPr>
            <w:tcW w:type="dxa" w:w="510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7"/>
                <w:szCs w:val="17"/>
              </w:rPr>
              <w:t xml:space="preserve">Who is the investor?</w:t>
            </w:r>
            <w:r>
              <w:rPr>
                <w:rFonts w:ascii="Arial" w:cs="Arial" w:eastAsia="Arial" w:hAnsi="Arial"/>
                <w:color w:val="000000"/>
                <w:sz w:val="17"/>
                <w:szCs w:val="17"/>
              </w:rPr>
              <w:t xml:space="preserve"> With Danantara as anchor and state banks as co-investors, Phase 1 recycles state money. For comparison, the principal-weighted issue yield on DIM's June 2026 US$ notes was 5.65%, before fees and hedging [D1].</w:t>
            </w:r>
          </w:p>
        </w:tc>
        <w:tc>
          <w:tcPr>
            <w:tcW w:type="dxa" w:w="404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7"/>
                <w:szCs w:val="17"/>
              </w:rPr>
              <w:t xml:space="preserve">Treat Phase 1 as a control and technology pilot. Measure success by new domestic institutional investors in later phases, not by state-on-state funding.</w:t>
            </w:r>
          </w:p>
        </w:tc>
      </w:tr>
      <w:tr>
        <w:trPr>
          <w:cantSplit/>
        </w:trPr>
        <w:tc>
          <w:tcPr>
            <w:tcW w:type="dxa" w:w="48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7"/>
                <w:szCs w:val="17"/>
              </w:rPr>
              <w:t xml:space="preserve">6</w:t>
            </w:r>
          </w:p>
        </w:tc>
        <w:tc>
          <w:tcPr>
            <w:tcW w:type="dxa" w:w="5108"/>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7"/>
                <w:szCs w:val="17"/>
              </w:rPr>
              <w:t xml:space="preserve">Is a blockchain needed?</w:t>
            </w:r>
            <w:r>
              <w:rPr>
                <w:rFonts w:ascii="Arial" w:cs="Arial" w:eastAsia="Arial" w:hAnsi="Arial"/>
                <w:color w:val="000000"/>
                <w:sz w:val="17"/>
                <w:szCs w:val="17"/>
              </w:rPr>
              <w:t xml:space="preserve"> Escrow, milestone release and audit trails can be built with conventional custody and digital registries. Tokenisation mainly adds value for distribution and secondary trading (Phase 3).</w:t>
            </w:r>
          </w:p>
        </w:tc>
        <w:tc>
          <w:tcPr>
            <w:tcW w:type="dxa" w:w="4048"/>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7"/>
                <w:szCs w:val="17"/>
              </w:rPr>
              <w:t xml:space="preserve">Make the pilot an explicit test: compare token-based and conventional escrow on cost, speed, control and risk.</w:t>
            </w:r>
          </w:p>
        </w:tc>
      </w:tr>
      <w:tr>
        <w:trPr>
          <w:cantSplit/>
        </w:trPr>
        <w:tc>
          <w:tcPr>
            <w:tcW w:type="dxa" w:w="48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7"/>
                <w:szCs w:val="17"/>
              </w:rPr>
              <w:t xml:space="preserve">7</w:t>
            </w:r>
          </w:p>
        </w:tc>
        <w:tc>
          <w:tcPr>
            <w:tcW w:type="dxa" w:w="510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7"/>
                <w:szCs w:val="17"/>
              </w:rPr>
              <w:t xml:space="preserve">Concentration of roles.</w:t>
            </w:r>
            <w:r>
              <w:rPr>
                <w:rFonts w:ascii="Arial" w:cs="Arial" w:eastAsia="Arial" w:hAnsi="Arial"/>
                <w:color w:val="000000"/>
                <w:sz w:val="17"/>
                <w:szCs w:val="17"/>
              </w:rPr>
              <w:t xml:space="preserve"> Danantara is anchor investor, validator, member of the escrow-determining body and holder of an upgrade key.</w:t>
            </w:r>
          </w:p>
        </w:tc>
        <w:tc>
          <w:tcPr>
            <w:tcW w:type="dxa" w:w="404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7"/>
                <w:szCs w:val="17"/>
              </w:rPr>
              <w:t xml:space="preserve">Separate investment, validation and governance roles; give the independent validator and regulator decisive controls.</w:t>
            </w:r>
          </w:p>
        </w:tc>
      </w:tr>
      <w:tr>
        <w:trPr>
          <w:cantSplit/>
        </w:trPr>
        <w:tc>
          <w:tcPr>
            <w:tcW w:type="dxa" w:w="48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7"/>
                <w:szCs w:val="17"/>
              </w:rPr>
              <w:t xml:space="preserve">8</w:t>
            </w:r>
          </w:p>
        </w:tc>
        <w:tc>
          <w:tcPr>
            <w:tcW w:type="dxa" w:w="5108"/>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7"/>
                <w:szCs w:val="17"/>
              </w:rPr>
              <w:t xml:space="preserve">Unverified claims.</w:t>
            </w:r>
            <w:r>
              <w:rPr>
                <w:rFonts w:ascii="Arial" w:cs="Arial" w:eastAsia="Arial" w:hAnsi="Arial"/>
                <w:color w:val="000000"/>
                <w:sz w:val="17"/>
                <w:szCs w:val="17"/>
              </w:rPr>
              <w:t xml:space="preserve"> Danantara “US$900 bn+ AUM”, “pre-cleared by BSSN and OJK”, the “IDDB 2024 sandbox precedent” and third-party market projections (US$2 tn by 2028; US$18.9 tn by 2033).</w:t>
            </w:r>
          </w:p>
        </w:tc>
        <w:tc>
          <w:tcPr>
            <w:tcW w:type="dxa" w:w="4048"/>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7"/>
                <w:szCs w:val="17"/>
              </w:rPr>
              <w:t xml:space="preserve">Treat as class C; obtain written confirmations before relying on them.</w:t>
            </w:r>
          </w:p>
        </w:tc>
      </w:tr>
      <w:tr>
        <w:trPr>
          <w:cantSplit/>
        </w:trPr>
        <w:tc>
          <w:tcPr>
            <w:tcW w:type="dxa" w:w="48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7"/>
                <w:szCs w:val="17"/>
              </w:rPr>
              <w:t xml:space="preserve">9</w:t>
            </w:r>
          </w:p>
        </w:tc>
        <w:tc>
          <w:tcPr>
            <w:tcW w:type="dxa" w:w="510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7"/>
                <w:szCs w:val="17"/>
              </w:rPr>
              <w:t xml:space="preserve">Internal inconsistencies.</w:t>
            </w:r>
            <w:r>
              <w:rPr>
                <w:rFonts w:ascii="Arial" w:cs="Arial" w:eastAsia="Arial" w:hAnsi="Arial"/>
                <w:color w:val="000000"/>
                <w:sz w:val="17"/>
                <w:szCs w:val="17"/>
              </w:rPr>
              <w:t xml:space="preserve"> Go-live in 45 days versus 90 days; “no collateral” versus “MoD PO collateral”; “6–7% fixed” versus 700 bps; an unexplained “+200 bps”; a US$500 m value proof versus a US$150 m issue.</w:t>
            </w:r>
          </w:p>
        </w:tc>
        <w:tc>
          <w:tcPr>
            <w:tcW w:type="dxa" w:w="404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7"/>
                <w:szCs w:val="17"/>
              </w:rPr>
              <w:t xml:space="preserve">Issue a corrected term sheet before any approval.</w:t>
            </w:r>
          </w:p>
        </w:tc>
      </w:tr>
      <w:tr>
        <w:trPr>
          <w:cantSplit/>
        </w:trPr>
        <w:tc>
          <w:tcPr>
            <w:tcW w:type="dxa" w:w="48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pPr>
            <w:r>
              <w:rPr>
                <w:rFonts w:ascii="Arial" w:cs="Arial" w:eastAsia="Arial" w:hAnsi="Arial"/>
                <w:color w:val="000000"/>
                <w:sz w:val="17"/>
                <w:szCs w:val="17"/>
              </w:rPr>
              <w:t xml:space="preserve">10</w:t>
            </w:r>
          </w:p>
        </w:tc>
        <w:tc>
          <w:tcPr>
            <w:tcW w:type="dxa" w:w="5108"/>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pPr>
            <w:r>
              <w:rPr>
                <w:rFonts w:ascii="Arial" w:cs="Arial" w:eastAsia="Arial" w:hAnsi="Arial"/>
                <w:b/>
                <w:bCs/>
                <w:color w:val="000000"/>
                <w:sz w:val="17"/>
                <w:szCs w:val="17"/>
              </w:rPr>
              <w:t xml:space="preserve">Import leakage.</w:t>
            </w:r>
            <w:r>
              <w:rPr>
                <w:rFonts w:ascii="Arial" w:cs="Arial" w:eastAsia="Arial" w:hAnsi="Arial"/>
                <w:color w:val="000000"/>
                <w:sz w:val="17"/>
                <w:szCs w:val="17"/>
              </w:rPr>
              <w:t xml:space="preserve"> With 75% of materials imported, most escrow releases will flow to foreign vendors.</w:t>
            </w:r>
          </w:p>
        </w:tc>
        <w:tc>
          <w:tcPr>
            <w:tcW w:type="dxa" w:w="4048"/>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pPr>
            <w:r>
              <w:rPr>
                <w:rFonts w:ascii="Arial" w:cs="Arial" w:eastAsia="Arial" w:hAnsi="Arial"/>
                <w:color w:val="000000"/>
                <w:sz w:val="17"/>
                <w:szCs w:val="17"/>
              </w:rPr>
              <w:t xml:space="preserve">Set a target share of escrow released to DOCK-UP-qualified domestic suppliers, rising by phase.</w:t>
            </w:r>
          </w:p>
        </w:tc>
      </w:tr>
    </w:tbl>
    <w:p>
      <w:pPr>
        <w:keepNext w:val="false"/>
        <w:spacing w:after="140"/>
      </w:pPr>
    </w:p>
    <w:p>
      <w:pPr>
        <w:pStyle w:val="Heading2"/>
        <w:keepNext/>
        <w:keepLines/>
        <w:spacing w:after="120" w:before="280"/>
      </w:pPr>
      <w:r>
        <w:rPr>
          <w:rFonts w:ascii="Arial" w:cs="Arial" w:eastAsia="Arial" w:hAnsi="Arial"/>
          <w:b/>
          <w:bCs/>
          <w:color w:val="00338D"/>
          <w:sz w:val="28"/>
          <w:szCs w:val="28"/>
        </w:rPr>
        <w:t xml:space="preserve">9.5 Conditions for approving the Phase 1 pilot</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one" w:color="FFFFFF" w:sz="0"/>
              <w:left w:val="none" w:color="FFFFFF" w:sz="0"/>
              <w:bottom w:val="none" w:color="FFFFFF" w:sz="0"/>
              <w:right w:val="none" w:color="FFFFFF" w:sz="0"/>
            </w:tcBorders>
            <w:shd w:fill="EAF2FB" w:color="auto" w:val="clear"/>
            <w:tcMar>
              <w:top w:type="dxa" w:w="160"/>
              <w:left w:type="dxa" w:w="220"/>
              <w:bottom w:type="dxa" w:w="120"/>
              <w:right w:type="dxa" w:w="220"/>
            </w:tcMar>
          </w:tcPr>
          <w:p>
            <w:pPr>
              <w:keepNext/>
              <w:spacing w:after="80"/>
            </w:pPr>
            <w:r>
              <w:rPr>
                <w:rFonts w:ascii="Arial" w:cs="Arial" w:eastAsia="Arial" w:hAnsi="Arial"/>
                <w:b/>
                <w:bCs/>
                <w:color w:val="00338D"/>
                <w:sz w:val="20"/>
                <w:szCs w:val="20"/>
              </w:rPr>
              <w:t xml:space="preserve">Six pre-conditions (recommended)</w:t>
            </w:r>
          </w:p>
          <w:p>
            <w:pPr>
              <w:pStyle w:val="ListParagraph"/>
              <w:numPr>
                <w:ilvl w:val="0"/>
                <w:numId w:val="2"/>
              </w:numPr>
              <w:spacing w:after="50" w:line="260"/>
            </w:pPr>
            <w:r>
              <w:rPr>
                <w:rFonts w:ascii="Arial" w:cs="Arial" w:eastAsia="Arial" w:hAnsi="Arial"/>
                <w:b/>
                <w:bCs/>
                <w:color w:val="000000"/>
                <w:sz w:val="19"/>
                <w:szCs w:val="19"/>
              </w:rPr>
              <w:t xml:space="preserve">Legal</w:t>
            </w:r>
            <w:r>
              <w:rPr>
                <w:rFonts w:ascii="Arial" w:cs="Arial" w:eastAsia="Arial" w:hAnsi="Arial"/>
                <w:color w:val="000000"/>
                <w:sz w:val="19"/>
                <w:szCs w:val="19"/>
              </w:rPr>
              <w:t xml:space="preserve">: opinion confirming the instrument's nature, plus MoD and MoF consent to assignment and payment redirection.</w:t>
            </w:r>
          </w:p>
          <w:p>
            <w:pPr>
              <w:pStyle w:val="ListParagraph"/>
              <w:numPr>
                <w:ilvl w:val="0"/>
                <w:numId w:val="2"/>
              </w:numPr>
              <w:spacing w:after="50" w:line="260"/>
            </w:pPr>
            <w:r>
              <w:rPr>
                <w:rFonts w:ascii="Arial" w:cs="Arial" w:eastAsia="Arial" w:hAnsi="Arial"/>
                <w:b/>
                <w:bCs/>
                <w:color w:val="000000"/>
                <w:sz w:val="19"/>
                <w:szCs w:val="19"/>
              </w:rPr>
              <w:t xml:space="preserve">Fiscal and group risk</w:t>
            </w:r>
            <w:r>
              <w:rPr>
                <w:rFonts w:ascii="Arial" w:cs="Arial" w:eastAsia="Arial" w:hAnsi="Arial"/>
                <w:color w:val="000000"/>
                <w:sz w:val="19"/>
                <w:szCs w:val="19"/>
              </w:rPr>
              <w:t xml:space="preserve">: recorded as a liability, included in group leverage limits and the guarantee register; independent credit assessment.</w:t>
            </w:r>
          </w:p>
          <w:p>
            <w:pPr>
              <w:pStyle w:val="ListParagraph"/>
              <w:numPr>
                <w:ilvl w:val="0"/>
                <w:numId w:val="2"/>
              </w:numPr>
              <w:spacing w:after="50" w:line="260"/>
            </w:pPr>
            <w:r>
              <w:rPr>
                <w:rFonts w:ascii="Arial" w:cs="Arial" w:eastAsia="Arial" w:hAnsi="Arial"/>
                <w:b/>
                <w:bCs/>
                <w:color w:val="000000"/>
                <w:sz w:val="19"/>
                <w:szCs w:val="19"/>
              </w:rPr>
              <w:t xml:space="preserve">Economics</w:t>
            </w:r>
            <w:r>
              <w:rPr>
                <w:rFonts w:ascii="Arial" w:cs="Arial" w:eastAsia="Arial" w:hAnsi="Arial"/>
                <w:color w:val="000000"/>
                <w:sz w:val="19"/>
                <w:szCs w:val="19"/>
              </w:rPr>
              <w:t xml:space="preserve">: like-for-like comparison, including platform total cost of ownership, against a conventional escrow-based facility.</w:t>
            </w:r>
          </w:p>
          <w:p>
            <w:pPr>
              <w:pStyle w:val="ListParagraph"/>
              <w:numPr>
                <w:ilvl w:val="0"/>
                <w:numId w:val="2"/>
              </w:numPr>
              <w:spacing w:after="50" w:line="260"/>
            </w:pPr>
            <w:r>
              <w:rPr>
                <w:rFonts w:ascii="Arial" w:cs="Arial" w:eastAsia="Arial" w:hAnsi="Arial"/>
                <w:b/>
                <w:bCs/>
                <w:color w:val="000000"/>
                <w:sz w:val="19"/>
                <w:szCs w:val="19"/>
              </w:rPr>
              <w:t xml:space="preserve">Governance</w:t>
            </w:r>
            <w:r>
              <w:rPr>
                <w:rFonts w:ascii="Arial" w:cs="Arial" w:eastAsia="Arial" w:hAnsi="Arial"/>
                <w:color w:val="000000"/>
                <w:sz w:val="19"/>
                <w:szCs w:val="19"/>
              </w:rPr>
              <w:t xml:space="preserve">: role separation for Danantara; independent validator and OJK sandbox registration in place; corrected term sheet.</w:t>
            </w:r>
          </w:p>
          <w:p>
            <w:pPr>
              <w:pStyle w:val="ListParagraph"/>
              <w:numPr>
                <w:ilvl w:val="0"/>
                <w:numId w:val="2"/>
              </w:numPr>
              <w:spacing w:after="50" w:line="260"/>
            </w:pPr>
            <w:r>
              <w:rPr>
                <w:rFonts w:ascii="Arial" w:cs="Arial" w:eastAsia="Arial" w:hAnsi="Arial"/>
                <w:b/>
                <w:bCs/>
                <w:color w:val="000000"/>
                <w:sz w:val="19"/>
                <w:szCs w:val="19"/>
              </w:rPr>
              <w:t xml:space="preserve">Technology and security</w:t>
            </w:r>
            <w:r>
              <w:rPr>
                <w:rFonts w:ascii="Arial" w:cs="Arial" w:eastAsia="Arial" w:hAnsi="Arial"/>
                <w:color w:val="000000"/>
                <w:sz w:val="19"/>
                <w:szCs w:val="19"/>
              </w:rPr>
              <w:t xml:space="preserve">: independent security audit, key-management and incident-recovery plan, BSSN sign-off.</w:t>
            </w:r>
          </w:p>
          <w:p>
            <w:pPr>
              <w:pStyle w:val="ListParagraph"/>
              <w:numPr>
                <w:ilvl w:val="0"/>
                <w:numId w:val="2"/>
              </w:numPr>
              <w:spacing w:after="50" w:line="260"/>
            </w:pPr>
            <w:r>
              <w:rPr>
                <w:rFonts w:ascii="Arial" w:cs="Arial" w:eastAsia="Arial" w:hAnsi="Arial"/>
                <w:b/>
                <w:bCs/>
                <w:color w:val="000000"/>
                <w:sz w:val="19"/>
                <w:szCs w:val="19"/>
              </w:rPr>
              <w:t xml:space="preserve">Industrial linkage</w:t>
            </w:r>
            <w:r>
              <w:rPr>
                <w:rFonts w:ascii="Arial" w:cs="Arial" w:eastAsia="Arial" w:hAnsi="Arial"/>
                <w:color w:val="000000"/>
                <w:sz w:val="19"/>
                <w:szCs w:val="19"/>
              </w:rPr>
              <w:t xml:space="preserve">: evidence standards for milestone release, BKI independence, and a target share of releases to DOCK-UP-qualified domestic suppliers.</w:t>
            </w:r>
          </w:p>
        </w:tc>
      </w:tr>
    </w:tbl>
    <w:p>
      <w:pPr>
        <w:spacing w:after="160"/>
      </w:pPr>
    </w:p>
    <w:p>
      <w:pPr>
        <w:pStyle w:val="Heading2"/>
        <w:keepNext/>
        <w:keepLines/>
        <w:spacing w:after="120" w:before="280"/>
      </w:pPr>
      <w:r>
        <w:rPr>
          <w:rFonts w:ascii="Arial" w:cs="Arial" w:eastAsia="Arial" w:hAnsi="Arial"/>
          <w:b/>
          <w:bCs/>
          <w:color w:val="00338D"/>
          <w:sz w:val="28"/>
          <w:szCs w:val="28"/>
        </w:rPr>
        <w:t xml:space="preserve">9.6 From one pilot to a national instrument</w:t>
      </w:r>
    </w:p>
    <w:p>
      <w:pPr>
        <w:spacing w:after="110" w:before="0" w:line="264"/>
        <w:jc w:val="left"/>
      </w:pPr>
      <w:r>
        <w:rPr>
          <w:rFonts w:ascii="Arial" w:cs="Arial" w:eastAsia="Arial" w:hAnsi="Arial"/>
          <w:color w:val="000000"/>
          <w:sz w:val="20"/>
          <w:szCs w:val="20"/>
        </w:rPr>
        <w:t xml:space="preserve">If the pilot succeeds, the same structure can finance other state contracts. We propose a family of </w:t>
      </w:r>
      <w:r>
        <w:rPr>
          <w:rFonts w:ascii="Arial" w:cs="Arial" w:eastAsia="Arial" w:hAnsi="Arial"/>
          <w:b/>
          <w:bCs/>
          <w:color w:val="000000"/>
          <w:sz w:val="20"/>
          <w:szCs w:val="20"/>
        </w:rPr>
        <w:t xml:space="preserve">Sovereign Project Receivable Notes</w:t>
      </w:r>
      <w:r>
        <w:rPr>
          <w:rFonts w:ascii="Arial" w:cs="Arial" w:eastAsia="Arial" w:hAnsi="Arial"/>
          <w:color w:val="000000"/>
          <w:sz w:val="20"/>
          <w:szCs w:val="20"/>
        </w:rPr>
        <w:t xml:space="preserve"> with common design rules (our proposal, class D):</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20"/>
        <w:gridCol w:w="7518"/>
      </w:tblGrid>
      <w:tr>
        <w:trPr>
          <w:cantSplit/>
          <w:tblHeader/>
        </w:trPr>
        <w:tc>
          <w:tcPr>
            <w:tcW w:type="dxa" w:w="2120"/>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Design rule</w:t>
            </w:r>
          </w:p>
        </w:tc>
        <w:tc>
          <w:tcPr>
            <w:tcW w:type="dxa" w:w="7518"/>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Content</w:t>
            </w:r>
          </w:p>
        </w:tc>
      </w:tr>
      <w:tr>
        <w:trPr>
          <w:cantSplit/>
        </w:trPr>
        <w:tc>
          <w:tcPr>
            <w:tcW w:type="dxa" w:w="212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Currency and pricing</w:t>
            </w:r>
          </w:p>
        </w:tc>
        <w:tc>
          <w:tcPr>
            <w:tcW w:type="dxa" w:w="751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Rupiah-denominated, priced off the SBN curve of matching tenor plus a disclosed spread, so that domestic pension funds, insurers and banks can hold them</w:t>
            </w:r>
          </w:p>
        </w:tc>
      </w:tr>
      <w:tr>
        <w:trPr>
          <w:cantSplit/>
        </w:trPr>
        <w:tc>
          <w:tcPr>
            <w:tcW w:type="dxa" w:w="212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Underlying</w:t>
            </w:r>
          </w:p>
        </w:tc>
        <w:tc>
          <w:tcPr>
            <w:tcW w:type="dxa" w:w="7518"/>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Contracted state payment obligations: defence contracts, availability payments, tipping fees or PPAs, or government programme receivables</w:t>
            </w:r>
          </w:p>
        </w:tc>
      </w:tr>
      <w:tr>
        <w:trPr>
          <w:cantSplit/>
        </w:trPr>
        <w:tc>
          <w:tcPr>
            <w:tcW w:type="dxa" w:w="212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Release</w:t>
            </w:r>
          </w:p>
        </w:tc>
        <w:tc>
          <w:tcPr>
            <w:tcW w:type="dxa" w:w="751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Milestone tranches released direct to suppliers after independent certification</w:t>
            </w:r>
          </w:p>
        </w:tc>
      </w:tr>
      <w:tr>
        <w:trPr>
          <w:cantSplit/>
        </w:trPr>
        <w:tc>
          <w:tcPr>
            <w:tcW w:type="dxa" w:w="212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Repayment</w:t>
            </w:r>
          </w:p>
        </w:tc>
        <w:tc>
          <w:tcPr>
            <w:tcW w:type="dxa" w:w="7518"/>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Collection account and published waterfall</w:t>
            </w:r>
          </w:p>
        </w:tc>
      </w:tr>
      <w:tr>
        <w:trPr>
          <w:cantSplit/>
        </w:trPr>
        <w:tc>
          <w:tcPr>
            <w:tcW w:type="dxa" w:w="212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Transparency</w:t>
            </w:r>
          </w:p>
        </w:tc>
        <w:tc>
          <w:tcPr>
            <w:tcW w:type="dxa" w:w="751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Regulator and auditor read access; public summary of releases by milestone and supplier category</w:t>
            </w:r>
          </w:p>
        </w:tc>
      </w:tr>
      <w:tr>
        <w:trPr>
          <w:cantSplit/>
        </w:trPr>
        <w:tc>
          <w:tcPr>
            <w:tcW w:type="dxa" w:w="212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pPr>
            <w:r>
              <w:rPr>
                <w:rFonts w:ascii="Arial" w:cs="Arial" w:eastAsia="Arial" w:hAnsi="Arial"/>
                <w:b/>
                <w:bCs/>
                <w:color w:val="000000"/>
                <w:sz w:val="16"/>
                <w:szCs w:val="16"/>
              </w:rPr>
              <w:t xml:space="preserve">Accounting</w:t>
            </w:r>
          </w:p>
        </w:tc>
        <w:tc>
          <w:tcPr>
            <w:tcW w:type="dxa" w:w="7518"/>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6"/>
                <w:szCs w:val="16"/>
              </w:rPr>
              <w:t xml:space="preserve">Recorded as debt of the issuer and included in group and fiscal-risk reporting</w:t>
            </w:r>
          </w:p>
        </w:tc>
      </w:tr>
    </w:tbl>
    <w:p>
      <w:pPr>
        <w:keepNext w:val="false"/>
        <w:spacing w:after="140"/>
      </w:pPr>
    </w:p>
    <w:p>
      <w:pPr>
        <w:spacing w:after="110" w:before="0" w:line="264"/>
        <w:jc w:val="left"/>
      </w:pPr>
      <w:r>
        <w:rPr>
          <w:rFonts w:ascii="Arial" w:cs="Arial" w:eastAsia="Arial" w:hAnsi="Arial"/>
          <w:b/>
          <w:bCs/>
          <w:color w:val="000000"/>
          <w:sz w:val="20"/>
          <w:szCs w:val="20"/>
        </w:rPr>
        <w:t xml:space="preserve">Substitution test for foreign loans (proposed).</w:t>
      </w:r>
      <w:r>
        <w:rPr>
          <w:rFonts w:ascii="Arial" w:cs="Arial" w:eastAsia="Arial" w:hAnsi="Arial"/>
          <w:color w:val="000000"/>
          <w:sz w:val="20"/>
          <w:szCs w:val="20"/>
        </w:rPr>
        <w:t xml:space="preserve"> Before any new foreign loan (pinjaman luar negeri) is approved for a strategic programme, test whether domestic project notes could fund it at a comparable all-in cost after hedging.</w:t>
      </w:r>
    </w:p>
    <w:p>
      <w:pPr>
        <w:keepNext/>
        <w:spacing w:after="80" w:before="120"/>
      </w:pPr>
      <w:r>
        <w:rPr>
          <w:rFonts w:ascii="Arial" w:cs="Arial" w:eastAsia="Arial" w:hAnsi="Arial"/>
          <w:b/>
          <w:bCs/>
          <w:color w:val="00338D"/>
          <w:sz w:val="18"/>
          <w:szCs w:val="18"/>
        </w:rPr>
        <w:t xml:space="preserve">Table 12: </w:t>
      </w:r>
      <w:r>
        <w:rPr>
          <w:rFonts w:ascii="Arial" w:cs="Arial" w:eastAsia="Arial" w:hAnsi="Arial"/>
          <w:b/>
          <w:bCs/>
          <w:color w:val="00338D"/>
          <w:sz w:val="18"/>
          <w:szCs w:val="18"/>
        </w:rPr>
        <w:t xml:space="preserve">Possible applications by sector (proposed)</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6"/>
        <w:gridCol w:w="3855"/>
        <w:gridCol w:w="3277"/>
      </w:tblGrid>
      <w:tr>
        <w:trPr>
          <w:cantSplit/>
          <w:tblHeader/>
        </w:trPr>
        <w:tc>
          <w:tcPr>
            <w:tcW w:type="dxa" w:w="2506"/>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Sector</w:t>
            </w:r>
          </w:p>
        </w:tc>
        <w:tc>
          <w:tcPr>
            <w:tcW w:type="dxa" w:w="3855"/>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Possible underlying receivable</w:t>
            </w:r>
          </w:p>
        </w:tc>
        <w:tc>
          <w:tcPr>
            <w:tcW w:type="dxa" w:w="3277"/>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Main specific risk</w:t>
            </w:r>
          </w:p>
        </w:tc>
      </w:tr>
      <w:tr>
        <w:trPr>
          <w:cantSplit/>
        </w:trPr>
        <w:tc>
          <w:tcPr>
            <w:tcW w:type="dxa" w:w="250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Shipbuilding and defence</w:t>
            </w:r>
          </w:p>
        </w:tc>
        <w:tc>
          <w:tcPr>
            <w:tcW w:type="dxa" w:w="3855"/>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MoD contract milestone payments</w:t>
            </w:r>
          </w:p>
        </w:tc>
        <w:tc>
          <w:tcPr>
            <w:tcW w:type="dxa" w:w="3277"/>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Programme delay, classified data, imported content</w:t>
            </w:r>
          </w:p>
        </w:tc>
      </w:tr>
      <w:tr>
        <w:trPr>
          <w:cantSplit/>
        </w:trPr>
        <w:tc>
          <w:tcPr>
            <w:tcW w:type="dxa" w:w="2506"/>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Coastal and transport infrastructure</w:t>
            </w:r>
          </w:p>
        </w:tc>
        <w:tc>
          <w:tcPr>
            <w:tcW w:type="dxa" w:w="3855"/>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Availability payments under a PPP</w:t>
            </w:r>
          </w:p>
        </w:tc>
        <w:tc>
          <w:tcPr>
            <w:tcW w:type="dxa" w:w="3277"/>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Construction delay, land acquisition</w:t>
            </w:r>
          </w:p>
        </w:tc>
      </w:tr>
      <w:tr>
        <w:trPr>
          <w:cantSplit/>
        </w:trPr>
        <w:tc>
          <w:tcPr>
            <w:tcW w:type="dxa" w:w="250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Waste-to-energy</w:t>
            </w:r>
          </w:p>
        </w:tc>
        <w:tc>
          <w:tcPr>
            <w:tcW w:type="dxa" w:w="3855"/>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Tipping fees and PPA payments</w:t>
            </w:r>
          </w:p>
        </w:tc>
        <w:tc>
          <w:tcPr>
            <w:tcW w:type="dxa" w:w="3277"/>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Waste-volume and calorific risk; payment delays</w:t>
            </w:r>
          </w:p>
        </w:tc>
      </w:tr>
      <w:tr>
        <w:trPr>
          <w:cantSplit/>
        </w:trPr>
        <w:tc>
          <w:tcPr>
            <w:tcW w:type="dxa" w:w="2506"/>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Mineral downstreaming</w:t>
            </w:r>
          </w:p>
        </w:tc>
        <w:tc>
          <w:tcPr>
            <w:tcW w:type="dxa" w:w="3855"/>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Off-take receivables from creditworthy buyers</w:t>
            </w:r>
          </w:p>
        </w:tc>
        <w:tc>
          <w:tcPr>
            <w:tcW w:type="dxa" w:w="3277"/>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Commodity price; buyer concentration</w:t>
            </w:r>
          </w:p>
        </w:tc>
      </w:tr>
      <w:tr>
        <w:trPr>
          <w:cantSplit/>
        </w:trPr>
        <w:tc>
          <w:tcPr>
            <w:tcW w:type="dxa" w:w="250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pPr>
            <w:r>
              <w:rPr>
                <w:rFonts w:ascii="Arial" w:cs="Arial" w:eastAsia="Arial" w:hAnsi="Arial"/>
                <w:b/>
                <w:bCs/>
                <w:color w:val="000000"/>
                <w:sz w:val="16"/>
                <w:szCs w:val="16"/>
              </w:rPr>
              <w:t xml:space="preserve">Housing programme</w:t>
            </w:r>
          </w:p>
        </w:tc>
        <w:tc>
          <w:tcPr>
            <w:tcW w:type="dxa" w:w="3855"/>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6"/>
                <w:szCs w:val="16"/>
              </w:rPr>
              <w:t xml:space="preserve">Government programme payments to developers</w:t>
            </w:r>
          </w:p>
        </w:tc>
        <w:tc>
          <w:tcPr>
            <w:tcW w:type="dxa" w:w="3277"/>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6"/>
                <w:szCs w:val="16"/>
              </w:rPr>
              <w:t xml:space="preserve">Programme-design and appropriation risk</w:t>
            </w:r>
          </w:p>
        </w:tc>
      </w:tr>
    </w:tbl>
    <w:p>
      <w:pPr>
        <w:pageBreakBefore/>
        <w:spacing w:after="0" w:line="240"/>
      </w:pPr>
      <w:r>
        <w:rPr>
          <w:sz w:val="2"/>
          <w:szCs w:val="2"/>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one" w:color="FFFFFF" w:sz="0"/>
              <w:left w:val="none" w:color="FFFFFF" w:sz="0"/>
              <w:bottom w:val="none" w:color="FFFFFF" w:sz="0"/>
              <w:right w:val="none" w:color="FFFFFF" w:sz="0"/>
            </w:tcBorders>
            <w:shd w:fill="00338D" w:color="auto" w:val="clear"/>
            <w:tcMar>
              <w:top w:type="dxa" w:w="260"/>
              <w:left w:type="dxa" w:w="300"/>
              <w:bottom w:type="dxa" w:w="300"/>
              <w:right w:type="dxa" w:w="300"/>
            </w:tcMar>
          </w:tcPr>
          <w:p>
            <w:pPr>
              <w:spacing w:after="0"/>
            </w:pPr>
            <w:r>
              <w:rPr>
                <w:rFonts w:ascii="Arial" w:cs="Arial" w:eastAsia="Arial" w:hAnsi="Arial"/>
                <w:b/>
                <w:bCs/>
                <w:color w:val="9CC7EF"/>
                <w:sz w:val="64"/>
                <w:szCs w:val="64"/>
              </w:rPr>
              <w:t xml:space="preserve">10</w:t>
            </w:r>
          </w:p>
          <w:p>
            <w:pPr>
              <w:pStyle w:val="Heading1"/>
              <w:spacing w:after="100"/>
            </w:pPr>
            <w:r>
              <w:rPr>
                <w:rFonts w:ascii="Arial" w:cs="Arial" w:eastAsia="Arial" w:hAnsi="Arial"/>
                <w:b/>
                <w:bCs/>
                <w:color w:val="FFFFFF"/>
                <w:sz w:val="40"/>
                <w:szCs w:val="40"/>
              </w:rPr>
              <w:t xml:space="preserve">An integrated financing architecture</w:t>
            </w:r>
          </w:p>
          <w:p>
            <w:pPr>
              <w:spacing w:after="0" w:line="276"/>
            </w:pPr>
            <w:r>
              <w:rPr>
                <w:rFonts w:ascii="Arial" w:cs="Arial" w:eastAsia="Arial" w:hAnsi="Arial"/>
                <w:color w:val="FFFFFF"/>
                <w:sz w:val="20"/>
                <w:szCs w:val="20"/>
              </w:rPr>
              <w:t xml:space="preserve">How the two channels fit together, how finance is matched to project and supplier gates, and how the whole is protected by one financing discipline.</w:t>
            </w:r>
          </w:p>
        </w:tc>
      </w:tr>
    </w:tbl>
    <w:p>
      <w:pPr>
        <w:spacing w:after="200"/>
      </w:pPr>
    </w:p>
    <w:p>
      <w:pPr>
        <w:pStyle w:val="Heading2"/>
        <w:keepNext/>
        <w:keepLines/>
        <w:spacing w:after="120" w:before="280"/>
      </w:pPr>
      <w:r>
        <w:rPr>
          <w:rFonts w:ascii="Arial" w:cs="Arial" w:eastAsia="Arial" w:hAnsi="Arial"/>
          <w:b/>
          <w:bCs/>
          <w:color w:val="00338D"/>
          <w:sz w:val="28"/>
          <w:szCs w:val="28"/>
        </w:rPr>
        <w:t xml:space="preserve">10.1 Five financing principles</w:t>
      </w:r>
    </w:p>
    <w:p>
      <w:pPr>
        <w:pStyle w:val="ListParagraph"/>
        <w:numPr>
          <w:ilvl w:val="0"/>
          <w:numId w:val="5"/>
        </w:numPr>
        <w:spacing w:after="60" w:line="264"/>
      </w:pPr>
      <w:r>
        <w:rPr>
          <w:rFonts w:ascii="Arial" w:cs="Arial" w:eastAsia="Arial" w:hAnsi="Arial"/>
          <w:b/>
          <w:bCs/>
          <w:sz w:val="20"/>
          <w:szCs w:val="20"/>
        </w:rPr>
        <w:t xml:space="preserve">Financing follows readiness.</w:t>
      </w:r>
      <w:r>
        <w:rPr>
          <w:rFonts w:ascii="Arial" w:cs="Arial" w:eastAsia="Arial" w:hAnsi="Arial"/>
          <w:sz w:val="20"/>
          <w:szCs w:val="20"/>
        </w:rPr>
        <w:t xml:space="preserve"> No investment capital is committed before the project's capital decision (P3) or the supplier's relevant gate. Preparation funding before P3 is capped and treated as expense.</w:t>
      </w:r>
    </w:p>
    <w:p>
      <w:pPr>
        <w:pStyle w:val="ListParagraph"/>
        <w:numPr>
          <w:ilvl w:val="0"/>
          <w:numId w:val="5"/>
        </w:numPr>
        <w:spacing w:after="60" w:line="264"/>
      </w:pPr>
      <w:r>
        <w:rPr>
          <w:rFonts w:ascii="Arial" w:cs="Arial" w:eastAsia="Arial" w:hAnsi="Arial"/>
          <w:b/>
          <w:bCs/>
          <w:sz w:val="20"/>
          <w:szCs w:val="20"/>
        </w:rPr>
        <w:t xml:space="preserve">Two cases for every project.</w:t>
      </w:r>
      <w:r>
        <w:rPr>
          <w:rFonts w:ascii="Arial" w:cs="Arial" w:eastAsia="Arial" w:hAnsi="Arial"/>
          <w:sz w:val="20"/>
          <w:szCs w:val="20"/>
        </w:rPr>
        <w:t xml:space="preserve"> A financial case and an economic case; where public support is needed, it is quantified and approved explicitly [D1].</w:t>
      </w:r>
    </w:p>
    <w:p>
      <w:pPr>
        <w:pStyle w:val="ListParagraph"/>
        <w:numPr>
          <w:ilvl w:val="0"/>
          <w:numId w:val="5"/>
        </w:numPr>
        <w:spacing w:after="60" w:line="264"/>
      </w:pPr>
      <w:r>
        <w:rPr>
          <w:rFonts w:ascii="Arial" w:cs="Arial" w:eastAsia="Arial" w:hAnsi="Arial"/>
          <w:b/>
          <w:bCs/>
          <w:sz w:val="20"/>
          <w:szCs w:val="20"/>
        </w:rPr>
        <w:t xml:space="preserve">Substance over label.</w:t>
      </w:r>
      <w:r>
        <w:rPr>
          <w:rFonts w:ascii="Arial" w:cs="Arial" w:eastAsia="Arial" w:hAnsi="Arial"/>
          <w:sz w:val="20"/>
          <w:szCs w:val="20"/>
        </w:rPr>
        <w:t xml:space="preserve"> Any instrument with a repayment obligation is a liability, whether it is issued by an SPV, called a token, or kept off budget [D1, D2].</w:t>
      </w:r>
    </w:p>
    <w:p>
      <w:pPr>
        <w:pStyle w:val="ListParagraph"/>
        <w:numPr>
          <w:ilvl w:val="0"/>
          <w:numId w:val="5"/>
        </w:numPr>
        <w:spacing w:after="60" w:line="264"/>
      </w:pPr>
      <w:r>
        <w:rPr>
          <w:rFonts w:ascii="Arial" w:cs="Arial" w:eastAsia="Arial" w:hAnsi="Arial"/>
          <w:b/>
          <w:bCs/>
          <w:sz w:val="20"/>
          <w:szCs w:val="20"/>
        </w:rPr>
        <w:t xml:space="preserve">No double pledging.</w:t>
      </w:r>
      <w:r>
        <w:rPr>
          <w:rFonts w:ascii="Arial" w:cs="Arial" w:eastAsia="Arial" w:hAnsi="Arial"/>
          <w:sz w:val="20"/>
          <w:szCs w:val="20"/>
        </w:rPr>
        <w:t xml:space="preserve"> One register records every revenue stream pledged, every receivable assigned and every guarantee given.</w:t>
      </w:r>
    </w:p>
    <w:p>
      <w:pPr>
        <w:pStyle w:val="ListParagraph"/>
        <w:numPr>
          <w:ilvl w:val="0"/>
          <w:numId w:val="5"/>
        </w:numPr>
        <w:spacing w:after="60" w:line="264"/>
      </w:pPr>
      <w:r>
        <w:rPr>
          <w:rFonts w:ascii="Arial" w:cs="Arial" w:eastAsia="Arial" w:hAnsi="Arial"/>
          <w:b/>
          <w:bCs/>
          <w:sz w:val="20"/>
          <w:szCs w:val="20"/>
        </w:rPr>
        <w:t xml:space="preserve">Stress the group, not the entity.</w:t>
      </w:r>
      <w:r>
        <w:rPr>
          <w:rFonts w:ascii="Arial" w:cs="Arial" w:eastAsia="Arial" w:hAnsi="Arial"/>
          <w:sz w:val="20"/>
          <w:szCs w:val="20"/>
        </w:rPr>
        <w:t xml:space="preserve"> A project failure can cut SOE dividends, weaken a state bank and trigger a guarantee at the same time [D1].</w:t>
      </w:r>
    </w:p>
    <w:p>
      <w:pPr>
        <w:pStyle w:val="Heading2"/>
        <w:keepNext/>
        <w:keepLines/>
        <w:spacing w:after="120" w:before="280"/>
      </w:pPr>
      <w:r>
        <w:rPr>
          <w:rFonts w:ascii="Arial" w:cs="Arial" w:eastAsia="Arial" w:hAnsi="Arial"/>
          <w:b/>
          <w:bCs/>
          <w:color w:val="00338D"/>
          <w:sz w:val="28"/>
          <w:szCs w:val="28"/>
        </w:rPr>
        <w:t xml:space="preserve">10.2 How the two channels fit</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35"/>
        <w:gridCol w:w="3952"/>
        <w:gridCol w:w="3951"/>
      </w:tblGrid>
      <w:tr>
        <w:trPr>
          <w:cantSplit/>
          <w:tblHeader/>
        </w:trPr>
        <w:tc>
          <w:tcPr>
            <w:tcW w:type="dxa" w:w="1735"/>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p>
        </w:tc>
        <w:tc>
          <w:tcPr>
            <w:tcW w:type="dxa" w:w="3952"/>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Natural Resource Fund</w:t>
            </w:r>
          </w:p>
        </w:tc>
        <w:tc>
          <w:tcPr>
            <w:tcW w:type="dxa" w:w="3951"/>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Sovereign project tokenisation</w:t>
            </w:r>
          </w:p>
        </w:tc>
      </w:tr>
      <w:tr>
        <w:trPr>
          <w:cantSplit/>
        </w:trPr>
        <w:tc>
          <w:tcPr>
            <w:tcW w:type="dxa" w:w="1735"/>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7"/>
                <w:szCs w:val="17"/>
              </w:rPr>
              <w:t xml:space="preserve">Level</w:t>
            </w:r>
          </w:p>
        </w:tc>
        <w:tc>
          <w:tcPr>
            <w:tcW w:type="dxa" w:w="395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7"/>
                <w:szCs w:val="17"/>
              </w:rPr>
              <w:t xml:space="preserve">Fund (upstream)</w:t>
            </w:r>
          </w:p>
        </w:tc>
        <w:tc>
          <w:tcPr>
            <w:tcW w:type="dxa" w:w="3951"/>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7"/>
                <w:szCs w:val="17"/>
              </w:rPr>
              <w:t xml:space="preserve">Project and supplier (downstream)</w:t>
            </w:r>
          </w:p>
        </w:tc>
      </w:tr>
      <w:tr>
        <w:trPr>
          <w:cantSplit/>
        </w:trPr>
        <w:tc>
          <w:tcPr>
            <w:tcW w:type="dxa" w:w="1735"/>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7"/>
                <w:szCs w:val="17"/>
              </w:rPr>
              <w:t xml:space="preserve">Source of value</w:t>
            </w:r>
          </w:p>
        </w:tc>
        <w:tc>
          <w:tcPr>
            <w:tcW w:type="dxa" w:w="395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7"/>
                <w:szCs w:val="17"/>
              </w:rPr>
              <w:t xml:space="preserve">State share of resource rents</w:t>
            </w:r>
          </w:p>
        </w:tc>
        <w:tc>
          <w:tcPr>
            <w:tcW w:type="dxa" w:w="3951"/>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7"/>
                <w:szCs w:val="17"/>
              </w:rPr>
              <w:t xml:space="preserve">Contracted state payment obligations</w:t>
            </w:r>
          </w:p>
        </w:tc>
      </w:tr>
      <w:tr>
        <w:trPr>
          <w:cantSplit/>
        </w:trPr>
        <w:tc>
          <w:tcPr>
            <w:tcW w:type="dxa" w:w="1735"/>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7"/>
                <w:szCs w:val="17"/>
              </w:rPr>
              <w:t xml:space="preserve">Typical use</w:t>
            </w:r>
          </w:p>
        </w:tc>
        <w:tc>
          <w:tcPr>
            <w:tcW w:type="dxa" w:w="395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7"/>
                <w:szCs w:val="17"/>
              </w:rPr>
              <w:t xml:space="preserve">Long-term equity, first-loss capital, stabilisation and savings</w:t>
            </w:r>
          </w:p>
        </w:tc>
        <w:tc>
          <w:tcPr>
            <w:tcW w:type="dxa" w:w="3951"/>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7"/>
                <w:szCs w:val="17"/>
              </w:rPr>
              <w:t xml:space="preserve">Construction and working capital, released by milestone</w:t>
            </w:r>
          </w:p>
        </w:tc>
      </w:tr>
      <w:tr>
        <w:trPr>
          <w:cantSplit/>
        </w:trPr>
        <w:tc>
          <w:tcPr>
            <w:tcW w:type="dxa" w:w="1735"/>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7"/>
                <w:szCs w:val="17"/>
              </w:rPr>
              <w:t xml:space="preserve">Horizon</w:t>
            </w:r>
          </w:p>
        </w:tc>
        <w:tc>
          <w:tcPr>
            <w:tcW w:type="dxa" w:w="395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7"/>
                <w:szCs w:val="17"/>
              </w:rPr>
              <w:t xml:space="preserve">Decades</w:t>
            </w:r>
          </w:p>
        </w:tc>
        <w:tc>
          <w:tcPr>
            <w:tcW w:type="dxa" w:w="3951"/>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7"/>
                <w:szCs w:val="17"/>
              </w:rPr>
              <w:t xml:space="preserve">1–5 years per instrument</w:t>
            </w:r>
          </w:p>
        </w:tc>
      </w:tr>
      <w:tr>
        <w:trPr>
          <w:cantSplit/>
        </w:trPr>
        <w:tc>
          <w:tcPr>
            <w:tcW w:type="dxa" w:w="1735"/>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7"/>
                <w:szCs w:val="17"/>
              </w:rPr>
              <w:t xml:space="preserve">Main risk</w:t>
            </w:r>
          </w:p>
        </w:tc>
        <w:tc>
          <w:tcPr>
            <w:tcW w:type="dxa" w:w="395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7"/>
                <w:szCs w:val="17"/>
              </w:rPr>
              <w:t xml:space="preserve">Commodity price, legal rights, fiscal substance</w:t>
            </w:r>
          </w:p>
        </w:tc>
        <w:tc>
          <w:tcPr>
            <w:tcW w:type="dxa" w:w="3951"/>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7"/>
                <w:szCs w:val="17"/>
              </w:rPr>
              <w:t xml:space="preserve">Completion, appropriation timing, technology and governance</w:t>
            </w:r>
          </w:p>
        </w:tc>
      </w:tr>
      <w:tr>
        <w:trPr>
          <w:cantSplit/>
        </w:trPr>
        <w:tc>
          <w:tcPr>
            <w:tcW w:type="dxa" w:w="1735"/>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pPr>
            <w:r>
              <w:rPr>
                <w:rFonts w:ascii="Arial" w:cs="Arial" w:eastAsia="Arial" w:hAnsi="Arial"/>
                <w:b/>
                <w:bCs/>
                <w:color w:val="000000"/>
                <w:sz w:val="17"/>
                <w:szCs w:val="17"/>
              </w:rPr>
              <w:t xml:space="preserve">Link to DOCK-UP</w:t>
            </w:r>
          </w:p>
        </w:tc>
        <w:tc>
          <w:tcPr>
            <w:tcW w:type="dxa" w:w="395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7"/>
                <w:szCs w:val="17"/>
              </w:rPr>
              <w:t xml:space="preserve">Funds the supplier window: guarantees and certification</w:t>
            </w:r>
          </w:p>
        </w:tc>
        <w:tc>
          <w:tcPr>
            <w:tcW w:type="dxa" w:w="3951"/>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7"/>
                <w:szCs w:val="17"/>
              </w:rPr>
              <w:t xml:space="preserve">Pays qualified suppliers directly from escrow</w:t>
            </w:r>
          </w:p>
        </w:tc>
      </w:tr>
    </w:tbl>
    <w:p>
      <w:pPr>
        <w:keepNext w:val="false"/>
        <w:spacing w:after="14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89"/>
        <w:gridCol w:w="260"/>
        <w:gridCol w:w="1389"/>
        <w:gridCol w:w="260"/>
        <w:gridCol w:w="1389"/>
        <w:gridCol w:w="260"/>
        <w:gridCol w:w="1389"/>
        <w:gridCol w:w="260"/>
        <w:gridCol w:w="1389"/>
        <w:gridCol w:w="260"/>
        <w:gridCol w:w="1393"/>
      </w:tblGrid>
      <w:tr>
        <w:trPr>
          <w:cantSplit/>
        </w:trPr>
        <w:tc>
          <w:tcPr>
            <w:tcW w:type="dxa" w:w="1389"/>
            <w:tcBorders>
              <w:top w:val="none" w:color="FFFFFF" w:sz="0"/>
              <w:left w:val="none" w:color="FFFFFF" w:sz="0"/>
              <w:bottom w:val="none" w:color="FFFFFF" w:sz="0"/>
              <w:right w:val="none" w:color="FFFFFF" w:sz="0"/>
            </w:tcBorders>
            <w:shd w:fill="00338D" w:color="auto" w:val="clear"/>
            <w:tcMar>
              <w:top w:type="dxa" w:w="100"/>
              <w:left w:type="dxa" w:w="90"/>
              <w:bottom w:type="dxa" w:w="100"/>
              <w:right w:type="dxa" w:w="90"/>
            </w:tcMar>
          </w:tcPr>
          <w:p>
            <w:pPr>
              <w:spacing w:after="40" w:line="240"/>
            </w:pPr>
            <w:r>
              <w:rPr>
                <w:rFonts w:ascii="Arial" w:cs="Arial" w:eastAsia="Arial" w:hAnsi="Arial"/>
                <w:b/>
                <w:bCs/>
                <w:color w:val="FFFFFF"/>
                <w:sz w:val="15"/>
                <w:szCs w:val="15"/>
              </w:rPr>
              <w:t xml:space="preserve">NRF</w:t>
            </w:r>
          </w:p>
          <w:p>
            <w:pPr>
              <w:spacing w:after="0" w:line="236"/>
            </w:pPr>
            <w:r>
              <w:rPr>
                <w:rFonts w:ascii="Arial" w:cs="Arial" w:eastAsia="Arial" w:hAnsi="Arial"/>
                <w:color w:val="FFFFFF"/>
                <w:sz w:val="14"/>
                <w:szCs w:val="14"/>
              </w:rPr>
              <w:t xml:space="preserve">Resource rents saved and invested</w:t>
            </w:r>
          </w:p>
        </w:tc>
        <w:tc>
          <w:tcPr>
            <w:tcW w:type="dxa" w:w="26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jc w:val="center"/>
            </w:pPr>
            <w:r>
              <w:rPr>
                <w:rFonts w:ascii="Arial" w:cs="Arial" w:eastAsia="Arial" w:hAnsi="Arial"/>
                <w:color w:val="005EB8"/>
                <w:sz w:val="18"/>
                <w:szCs w:val="18"/>
              </w:rPr>
              <w:t xml:space="preserve">►</w:t>
            </w:r>
          </w:p>
        </w:tc>
        <w:tc>
          <w:tcPr>
            <w:tcW w:type="dxa" w:w="1389"/>
            <w:tcBorders>
              <w:top w:val="none" w:color="FFFFFF" w:sz="0"/>
              <w:left w:val="none" w:color="FFFFFF" w:sz="0"/>
              <w:bottom w:val="none" w:color="FFFFFF" w:sz="0"/>
              <w:right w:val="none" w:color="FFFFFF" w:sz="0"/>
            </w:tcBorders>
            <w:shd w:fill="005EB8" w:color="auto" w:val="clear"/>
            <w:tcMar>
              <w:top w:type="dxa" w:w="100"/>
              <w:left w:type="dxa" w:w="90"/>
              <w:bottom w:type="dxa" w:w="100"/>
              <w:right w:type="dxa" w:w="90"/>
            </w:tcMar>
          </w:tcPr>
          <w:p>
            <w:pPr>
              <w:spacing w:after="40" w:line="240"/>
            </w:pPr>
            <w:r>
              <w:rPr>
                <w:rFonts w:ascii="Arial" w:cs="Arial" w:eastAsia="Arial" w:hAnsi="Arial"/>
                <w:b/>
                <w:bCs/>
                <w:color w:val="FFFFFF"/>
                <w:sz w:val="15"/>
                <w:szCs w:val="15"/>
              </w:rPr>
              <w:t xml:space="preserve">Danantara / DDMF</w:t>
            </w:r>
          </w:p>
          <w:p>
            <w:pPr>
              <w:spacing w:after="0" w:line="236"/>
            </w:pPr>
            <w:r>
              <w:rPr>
                <w:rFonts w:ascii="Arial" w:cs="Arial" w:eastAsia="Arial" w:hAnsi="Arial"/>
                <w:color w:val="FFFFFF"/>
                <w:sz w:val="14"/>
                <w:szCs w:val="14"/>
              </w:rPr>
              <w:t xml:space="preserve">Equity and first-loss into anchor projects</w:t>
            </w:r>
          </w:p>
        </w:tc>
        <w:tc>
          <w:tcPr>
            <w:tcW w:type="dxa" w:w="26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jc w:val="center"/>
            </w:pPr>
            <w:r>
              <w:rPr>
                <w:rFonts w:ascii="Arial" w:cs="Arial" w:eastAsia="Arial" w:hAnsi="Arial"/>
                <w:color w:val="005EB8"/>
                <w:sz w:val="18"/>
                <w:szCs w:val="18"/>
              </w:rPr>
              <w:t xml:space="preserve">►</w:t>
            </w:r>
          </w:p>
        </w:tc>
        <w:tc>
          <w:tcPr>
            <w:tcW w:type="dxa" w:w="1389"/>
            <w:tcBorders>
              <w:top w:val="none" w:color="FFFFFF" w:sz="0"/>
              <w:left w:val="none" w:color="FFFFFF" w:sz="0"/>
              <w:bottom w:val="none" w:color="FFFFFF" w:sz="0"/>
              <w:right w:val="none" w:color="FFFFFF" w:sz="0"/>
            </w:tcBorders>
            <w:shd w:fill="00338D" w:color="auto" w:val="clear"/>
            <w:tcMar>
              <w:top w:type="dxa" w:w="100"/>
              <w:left w:type="dxa" w:w="90"/>
              <w:bottom w:type="dxa" w:w="100"/>
              <w:right w:type="dxa" w:w="90"/>
            </w:tcMar>
          </w:tcPr>
          <w:p>
            <w:pPr>
              <w:spacing w:after="40" w:line="240"/>
            </w:pPr>
            <w:r>
              <w:rPr>
                <w:rFonts w:ascii="Arial" w:cs="Arial" w:eastAsia="Arial" w:hAnsi="Arial"/>
                <w:b/>
                <w:bCs/>
                <w:color w:val="FFFFFF"/>
                <w:sz w:val="15"/>
                <w:szCs w:val="15"/>
              </w:rPr>
              <w:t xml:space="preserve">Anchor project</w:t>
            </w:r>
          </w:p>
          <w:p>
            <w:pPr>
              <w:spacing w:after="0" w:line="236"/>
            </w:pPr>
            <w:r>
              <w:rPr>
                <w:rFonts w:ascii="Arial" w:cs="Arial" w:eastAsia="Arial" w:hAnsi="Arial"/>
                <w:color w:val="FFFFFF"/>
                <w:sz w:val="14"/>
                <w:szCs w:val="14"/>
              </w:rPr>
              <w:t xml:space="preserve">Contracts with state off-taker</w:t>
            </w:r>
          </w:p>
        </w:tc>
        <w:tc>
          <w:tcPr>
            <w:tcW w:type="dxa" w:w="26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jc w:val="center"/>
            </w:pPr>
            <w:r>
              <w:rPr>
                <w:rFonts w:ascii="Arial" w:cs="Arial" w:eastAsia="Arial" w:hAnsi="Arial"/>
                <w:color w:val="005EB8"/>
                <w:sz w:val="18"/>
                <w:szCs w:val="18"/>
              </w:rPr>
              <w:t xml:space="preserve">►</w:t>
            </w:r>
          </w:p>
        </w:tc>
        <w:tc>
          <w:tcPr>
            <w:tcW w:type="dxa" w:w="1389"/>
            <w:tcBorders>
              <w:top w:val="none" w:color="FFFFFF" w:sz="0"/>
              <w:left w:val="none" w:color="FFFFFF" w:sz="0"/>
              <w:bottom w:val="none" w:color="FFFFFF" w:sz="0"/>
              <w:right w:val="none" w:color="FFFFFF" w:sz="0"/>
            </w:tcBorders>
            <w:shd w:fill="005EB8" w:color="auto" w:val="clear"/>
            <w:tcMar>
              <w:top w:type="dxa" w:w="100"/>
              <w:left w:type="dxa" w:w="90"/>
              <w:bottom w:type="dxa" w:w="100"/>
              <w:right w:type="dxa" w:w="90"/>
            </w:tcMar>
          </w:tcPr>
          <w:p>
            <w:pPr>
              <w:spacing w:after="40" w:line="240"/>
            </w:pPr>
            <w:r>
              <w:rPr>
                <w:rFonts w:ascii="Arial" w:cs="Arial" w:eastAsia="Arial" w:hAnsi="Arial"/>
                <w:b/>
                <w:bCs/>
                <w:color w:val="FFFFFF"/>
                <w:sz w:val="15"/>
                <w:szCs w:val="15"/>
              </w:rPr>
              <w:t xml:space="preserve">Project notes</w:t>
            </w:r>
          </w:p>
          <w:p>
            <w:pPr>
              <w:spacing w:after="0" w:line="236"/>
            </w:pPr>
            <w:r>
              <w:rPr>
                <w:rFonts w:ascii="Arial" w:cs="Arial" w:eastAsia="Arial" w:hAnsi="Arial"/>
                <w:color w:val="FFFFFF"/>
                <w:sz w:val="14"/>
                <w:szCs w:val="14"/>
              </w:rPr>
              <w:t xml:space="preserve">Domestic investors fund milestones</w:t>
            </w:r>
          </w:p>
        </w:tc>
        <w:tc>
          <w:tcPr>
            <w:tcW w:type="dxa" w:w="26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jc w:val="center"/>
            </w:pPr>
            <w:r>
              <w:rPr>
                <w:rFonts w:ascii="Arial" w:cs="Arial" w:eastAsia="Arial" w:hAnsi="Arial"/>
                <w:color w:val="005EB8"/>
                <w:sz w:val="18"/>
                <w:szCs w:val="18"/>
              </w:rPr>
              <w:t xml:space="preserve">►</w:t>
            </w:r>
          </w:p>
        </w:tc>
        <w:tc>
          <w:tcPr>
            <w:tcW w:type="dxa" w:w="1389"/>
            <w:tcBorders>
              <w:top w:val="none" w:color="FFFFFF" w:sz="0"/>
              <w:left w:val="none" w:color="FFFFFF" w:sz="0"/>
              <w:bottom w:val="none" w:color="FFFFFF" w:sz="0"/>
              <w:right w:val="none" w:color="FFFFFF" w:sz="0"/>
            </w:tcBorders>
            <w:shd w:fill="00338D" w:color="auto" w:val="clear"/>
            <w:tcMar>
              <w:top w:type="dxa" w:w="100"/>
              <w:left w:type="dxa" w:w="90"/>
              <w:bottom w:type="dxa" w:w="100"/>
              <w:right w:type="dxa" w:w="90"/>
            </w:tcMar>
          </w:tcPr>
          <w:p>
            <w:pPr>
              <w:spacing w:after="40" w:line="240"/>
            </w:pPr>
            <w:r>
              <w:rPr>
                <w:rFonts w:ascii="Arial" w:cs="Arial" w:eastAsia="Arial" w:hAnsi="Arial"/>
                <w:b/>
                <w:bCs/>
                <w:color w:val="FFFFFF"/>
                <w:sz w:val="15"/>
                <w:szCs w:val="15"/>
              </w:rPr>
              <w:t xml:space="preserve">Escrow</w:t>
            </w:r>
          </w:p>
          <w:p>
            <w:pPr>
              <w:spacing w:after="0" w:line="236"/>
            </w:pPr>
            <w:r>
              <w:rPr>
                <w:rFonts w:ascii="Arial" w:cs="Arial" w:eastAsia="Arial" w:hAnsi="Arial"/>
                <w:color w:val="FFFFFF"/>
                <w:sz w:val="14"/>
                <w:szCs w:val="14"/>
              </w:rPr>
              <w:t xml:space="preserve">Pays verified DOCK-UP suppliers</w:t>
            </w:r>
          </w:p>
        </w:tc>
        <w:tc>
          <w:tcPr>
            <w:tcW w:type="dxa" w:w="26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jc w:val="center"/>
            </w:pPr>
            <w:r>
              <w:rPr>
                <w:rFonts w:ascii="Arial" w:cs="Arial" w:eastAsia="Arial" w:hAnsi="Arial"/>
                <w:color w:val="005EB8"/>
                <w:sz w:val="18"/>
                <w:szCs w:val="18"/>
              </w:rPr>
              <w:t xml:space="preserve">►</w:t>
            </w:r>
          </w:p>
        </w:tc>
        <w:tc>
          <w:tcPr>
            <w:tcW w:type="dxa" w:w="1393"/>
            <w:tcBorders>
              <w:top w:val="none" w:color="FFFFFF" w:sz="0"/>
              <w:left w:val="none" w:color="FFFFFF" w:sz="0"/>
              <w:bottom w:val="none" w:color="FFFFFF" w:sz="0"/>
              <w:right w:val="none" w:color="FFFFFF" w:sz="0"/>
            </w:tcBorders>
            <w:shd w:fill="005EB8" w:color="auto" w:val="clear"/>
            <w:tcMar>
              <w:top w:type="dxa" w:w="100"/>
              <w:left w:type="dxa" w:w="90"/>
              <w:bottom w:type="dxa" w:w="100"/>
              <w:right w:type="dxa" w:w="90"/>
            </w:tcMar>
          </w:tcPr>
          <w:p>
            <w:pPr>
              <w:spacing w:after="40" w:line="240"/>
            </w:pPr>
            <w:r>
              <w:rPr>
                <w:rFonts w:ascii="Arial" w:cs="Arial" w:eastAsia="Arial" w:hAnsi="Arial"/>
                <w:b/>
                <w:bCs/>
                <w:color w:val="FFFFFF"/>
                <w:sz w:val="15"/>
                <w:szCs w:val="15"/>
              </w:rPr>
              <w:t xml:space="preserve">Banks</w:t>
            </w:r>
          </w:p>
          <w:p>
            <w:pPr>
              <w:spacing w:after="0" w:line="236"/>
            </w:pPr>
            <w:r>
              <w:rPr>
                <w:rFonts w:ascii="Arial" w:cs="Arial" w:eastAsia="Arial" w:hAnsi="Arial"/>
                <w:color w:val="FFFFFF"/>
                <w:sz w:val="14"/>
                <w:szCs w:val="14"/>
              </w:rPr>
              <w:t xml:space="preserve">KUR and supply-chain finance on gates</w:t>
            </w:r>
          </w:p>
        </w:tc>
      </w:tr>
    </w:tbl>
    <w:p>
      <w:pPr>
        <w:spacing w:after="160"/>
      </w:pPr>
    </w:p>
    <w:p>
      <w:pPr>
        <w:pStyle w:val="Heading2"/>
        <w:keepNext/>
        <w:keepLines/>
        <w:spacing w:after="120" w:before="280"/>
      </w:pPr>
      <w:r>
        <w:rPr>
          <w:rFonts w:ascii="Arial" w:cs="Arial" w:eastAsia="Arial" w:hAnsi="Arial"/>
          <w:b/>
          <w:bCs/>
          <w:color w:val="00338D"/>
          <w:sz w:val="28"/>
          <w:szCs w:val="28"/>
        </w:rPr>
        <w:t xml:space="preserve">10.3 Sizing: what the two channels can and cannot fund</w:t>
      </w:r>
    </w:p>
    <w:p>
      <w:pPr>
        <w:keepNext/>
        <w:spacing w:after="80" w:before="120"/>
      </w:pPr>
      <w:r>
        <w:rPr>
          <w:rFonts w:ascii="Arial" w:cs="Arial" w:eastAsia="Arial" w:hAnsi="Arial"/>
          <w:b/>
          <w:bCs/>
          <w:color w:val="00338D"/>
          <w:sz w:val="18"/>
          <w:szCs w:val="18"/>
        </w:rPr>
        <w:t xml:space="preserve">Table 13: </w:t>
      </w:r>
      <w:r>
        <w:rPr>
          <w:rFonts w:ascii="Arial" w:cs="Arial" w:eastAsia="Arial" w:hAnsi="Arial"/>
          <w:b/>
          <w:bCs/>
          <w:color w:val="00338D"/>
          <w:sz w:val="18"/>
          <w:szCs w:val="18"/>
        </w:rPr>
        <w:t xml:space="preserve">Illustrative sources and uses</w:t>
      </w:r>
    </w:p>
    <w:p>
      <w:pPr>
        <w:spacing w:after="110" w:before="0" w:line="264"/>
        <w:jc w:val="left"/>
      </w:pPr>
      <w:r>
        <w:rPr>
          <w:rFonts w:ascii="Arial" w:cs="Arial" w:eastAsia="Arial" w:hAnsi="Arial"/>
          <w:color w:val="000000"/>
          <w:sz w:val="20"/>
          <w:szCs w:val="20"/>
        </w:rPr>
        <w:t xml:space="preserve">The brief asks how all projects will be funded. The stated portfolio is Rp2,091 trillion (class C, unreconciled). The table compares it with illustrative capacity from each identifiable source over five years. All capacity figures are </w:t>
      </w:r>
      <w:r>
        <w:rPr>
          <w:rFonts w:ascii="Arial" w:cs="Arial" w:eastAsia="Arial" w:hAnsi="Arial"/>
          <w:b/>
          <w:bCs/>
          <w:color w:val="000000"/>
          <w:sz w:val="20"/>
          <w:szCs w:val="20"/>
        </w:rPr>
        <w:t xml:space="preserve">class D illustrations</w:t>
      </w:r>
      <w:r>
        <w:rPr>
          <w:rFonts w:ascii="Arial" w:cs="Arial" w:eastAsia="Arial" w:hAnsi="Arial"/>
          <w:color w:val="000000"/>
          <w:sz w:val="20"/>
          <w:szCs w:val="20"/>
        </w:rPr>
        <w:t xml:space="preserve"> whose assumptions are stated, so they can be replaced with approved numbers.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99"/>
        <w:gridCol w:w="2313"/>
        <w:gridCol w:w="4626"/>
      </w:tblGrid>
      <w:tr>
        <w:trPr>
          <w:cantSplit/>
          <w:tblHeader/>
        </w:trPr>
        <w:tc>
          <w:tcPr>
            <w:tcW w:type="dxa" w:w="2699"/>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Source</w:t>
            </w:r>
          </w:p>
        </w:tc>
        <w:tc>
          <w:tcPr>
            <w:tcW w:type="dxa" w:w="2313"/>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Illustrative five-year capacity</w:t>
            </w:r>
          </w:p>
        </w:tc>
        <w:tc>
          <w:tcPr>
            <w:tcW w:type="dxa" w:w="4626"/>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Basis and assumptions</w:t>
            </w:r>
          </w:p>
        </w:tc>
      </w:tr>
      <w:tr>
        <w:trPr>
          <w:cantSplit/>
        </w:trPr>
        <w:tc>
          <w:tcPr>
            <w:tcW w:type="dxa" w:w="2699"/>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7"/>
                <w:szCs w:val="17"/>
              </w:rPr>
              <w:t xml:space="preserve">Danantara strategic allocation</w:t>
            </w:r>
          </w:p>
        </w:tc>
        <w:tc>
          <w:tcPr>
            <w:tcW w:type="dxa" w:w="2313"/>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7"/>
                <w:szCs w:val="17"/>
              </w:rPr>
              <w:t xml:space="preserve">≈ Rp578 tn</w:t>
            </w:r>
          </w:p>
        </w:tc>
        <w:tc>
          <w:tcPr>
            <w:tcW w:type="dxa" w:w="462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7"/>
                <w:szCs w:val="17"/>
              </w:rPr>
              <w:t xml:space="preserve">2026 plan of up to US$14 bn with ~50% to strategic projects [D3 p.1], held at US$7 bn a year for five years; Rp16,500/US$</w:t>
            </w:r>
          </w:p>
        </w:tc>
      </w:tr>
      <w:tr>
        <w:trPr>
          <w:cantSplit/>
        </w:trPr>
        <w:tc>
          <w:tcPr>
            <w:tcW w:type="dxa" w:w="2699"/>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7"/>
                <w:szCs w:val="17"/>
              </w:rPr>
              <w:t xml:space="preserve">NRF Stage 1 revenue-linked notes</w:t>
            </w:r>
          </w:p>
        </w:tc>
        <w:tc>
          <w:tcPr>
            <w:tcW w:type="dxa" w:w="2313"/>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7"/>
                <w:szCs w:val="17"/>
              </w:rPr>
              <w:t xml:space="preserve">≈ Rp118 tn (≈ Rp83 tn if coal prices fall 30%)</w:t>
            </w:r>
          </w:p>
        </w:tc>
        <w:tc>
          <w:tcPr>
            <w:tcW w:type="dxa" w:w="4626"/>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7"/>
                <w:szCs w:val="17"/>
              </w:rPr>
              <w:t xml:space="preserve">20% of 2024 coal royalty (~Rp126.4 tn [D5]) = Rp25.3 tn a year ring-fenced for 10 years; PV at 7% = Rp178 tn; 1.5× coverage. This revenue is given up by future budgets</w:t>
            </w:r>
          </w:p>
        </w:tc>
      </w:tr>
      <w:tr>
        <w:trPr>
          <w:cantSplit/>
        </w:trPr>
        <w:tc>
          <w:tcPr>
            <w:tcW w:type="dxa" w:w="2699"/>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7"/>
                <w:szCs w:val="17"/>
              </w:rPr>
              <w:t xml:space="preserve">Sovereign project receivable notes (identified)</w:t>
            </w:r>
          </w:p>
        </w:tc>
        <w:tc>
          <w:tcPr>
            <w:tcW w:type="dxa" w:w="2313"/>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7"/>
                <w:szCs w:val="17"/>
              </w:rPr>
              <w:t xml:space="preserve">≈ Rp24 tn</w:t>
            </w:r>
          </w:p>
        </w:tc>
        <w:tc>
          <w:tcPr>
            <w:tcW w:type="dxa" w:w="462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7"/>
                <w:szCs w:val="17"/>
              </w:rPr>
              <w:t xml:space="preserve">PALCapital roadmap US$150 m + US$300 m + US$1 bn [D6]; other sectors not yet identified</w:t>
            </w:r>
          </w:p>
        </w:tc>
      </w:tr>
      <w:tr>
        <w:trPr>
          <w:cantSplit/>
        </w:trPr>
        <w:tc>
          <w:tcPr>
            <w:tcW w:type="dxa" w:w="2699"/>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7"/>
                <w:szCs w:val="17"/>
              </w:rPr>
              <w:t xml:space="preserve">Subtotal: the two new channels (NRF + project notes)</w:t>
            </w:r>
          </w:p>
        </w:tc>
        <w:tc>
          <w:tcPr>
            <w:tcW w:type="dxa" w:w="2313"/>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7"/>
                <w:szCs w:val="17"/>
              </w:rPr>
              <w:t xml:space="preserve">≈ Rp142 tn (6.8%)</w:t>
            </w:r>
          </w:p>
        </w:tc>
        <w:tc>
          <w:tcPr>
            <w:tcW w:type="dxa" w:w="4626"/>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7"/>
                <w:szCs w:val="17"/>
              </w:rPr>
              <w:t xml:space="preserve">Danantara's allocation adds ≈ 27.6%</w:t>
            </w:r>
          </w:p>
        </w:tc>
      </w:tr>
      <w:tr>
        <w:trPr>
          <w:cantSplit/>
        </w:trPr>
        <w:tc>
          <w:tcPr>
            <w:tcW w:type="dxa" w:w="2699"/>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pPr>
            <w:r>
              <w:rPr>
                <w:rFonts w:ascii="Arial" w:cs="Arial" w:eastAsia="Arial" w:hAnsi="Arial"/>
                <w:b/>
                <w:bCs/>
                <w:color w:val="000000"/>
                <w:sz w:val="17"/>
                <w:szCs w:val="17"/>
              </w:rPr>
              <w:t xml:space="preserve">Remaining to be funded</w:t>
            </w:r>
          </w:p>
        </w:tc>
        <w:tc>
          <w:tcPr>
            <w:tcW w:type="dxa" w:w="2313"/>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pPr>
            <w:r>
              <w:rPr>
                <w:rFonts w:ascii="Arial" w:cs="Arial" w:eastAsia="Arial" w:hAnsi="Arial"/>
                <w:b/>
                <w:bCs/>
                <w:color w:val="000000"/>
                <w:sz w:val="17"/>
                <w:szCs w:val="17"/>
              </w:rPr>
              <w:t xml:space="preserve">≈ Rp1,371 tn (65.6%)</w:t>
            </w:r>
          </w:p>
        </w:tc>
        <w:tc>
          <w:tcPr>
            <w:tcW w:type="dxa" w:w="462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7"/>
                <w:szCs w:val="17"/>
              </w:rPr>
              <w:t xml:space="preserve">Project-level debt (banks, bonds, export credit), SOE balance sheets, private and foreign co-investors, and the state budget</w:t>
            </w:r>
          </w:p>
        </w:tc>
      </w:tr>
    </w:tbl>
    <w:p>
      <w:pPr>
        <w:keepNext w:val="false"/>
        <w:spacing w:after="140"/>
      </w:pPr>
    </w:p>
    <w:p>
      <w:pPr>
        <w:spacing w:after="160"/>
      </w:pPr>
      <w:r>
        <w:rPr>
          <w:rFonts w:ascii="Arial" w:cs="Arial" w:eastAsia="Arial" w:hAnsi="Arial"/>
          <w:i/>
          <w:iCs/>
          <w:color w:val="000000"/>
          <w:sz w:val="15"/>
          <w:szCs w:val="15"/>
        </w:rPr>
        <w:t xml:space="preserve">Class D illustration. Percentages are of Rp2,091 tn. The strategic half of Danantara's plan is not reserved for the 40 projects, and the portfolio's spending period is not known, so the five-year comparison is indicative only. The NRF line assumes the Government proceeds and Stage 0 confirms legal rights.</w:t>
      </w:r>
    </w:p>
    <w:p>
      <w:pPr>
        <w:spacing w:after="110" w:before="0" w:line="264"/>
        <w:jc w:val="left"/>
      </w:pPr>
      <w:r>
        <w:rPr>
          <w:rFonts w:ascii="Arial" w:cs="Arial" w:eastAsia="Arial" w:hAnsi="Arial"/>
          <w:color w:val="000000"/>
          <w:sz w:val="20"/>
          <w:szCs w:val="20"/>
        </w:rPr>
        <w:t xml:space="preserve">The result changes the financing question. The two new channels are useful complements: the NRF for patient equity and first-loss capital, and project notes for milestone-released working capital. But they cannot fund the portfolio. The decisive lever is </w:t>
      </w:r>
      <w:r>
        <w:rPr>
          <w:rFonts w:ascii="Arial" w:cs="Arial" w:eastAsia="Arial" w:hAnsi="Arial"/>
          <w:b/>
          <w:bCs/>
          <w:color w:val="000000"/>
          <w:sz w:val="20"/>
          <w:szCs w:val="20"/>
        </w:rPr>
        <w:t xml:space="preserve">mobilisation</w:t>
      </w:r>
      <w:r>
        <w:rPr>
          <w:rFonts w:ascii="Arial" w:cs="Arial" w:eastAsia="Arial" w:hAnsi="Arial"/>
          <w:color w:val="000000"/>
          <w:sz w:val="20"/>
          <w:szCs w:val="20"/>
        </w:rPr>
        <w:t xml:space="preserve">. If the portfolio is financed with 30% equity and 70% debt, the equity required is about Rp627 trillion. That is broadly the order of Danantara's illustrative strategic allocation plus an NRF industrial window. About Rp1,464 trillion would then be needed as debt, from banks, bond markets, export-credit agencies and project notes. Three conclusions follow:</w:t>
      </w:r>
    </w:p>
    <w:p>
      <w:pPr>
        <w:pStyle w:val="ListParagraph"/>
        <w:numPr>
          <w:ilvl w:val="0"/>
          <w:numId w:val="6"/>
        </w:numPr>
        <w:spacing w:after="60" w:line="264"/>
      </w:pPr>
      <w:r>
        <w:rPr>
          <w:rFonts w:ascii="Arial" w:cs="Arial" w:eastAsia="Arial" w:hAnsi="Arial"/>
          <w:sz w:val="20"/>
          <w:szCs w:val="20"/>
        </w:rPr>
        <w:t xml:space="preserve">Danantara's capital should be used mainly as equity and first-loss capital that unlocks debt and co-investment, not to fund projects outright.</w:t>
      </w:r>
    </w:p>
    <w:p>
      <w:pPr>
        <w:pStyle w:val="ListParagraph"/>
        <w:numPr>
          <w:ilvl w:val="0"/>
          <w:numId w:val="6"/>
        </w:numPr>
        <w:spacing w:after="60" w:line="264"/>
      </w:pPr>
      <w:r>
        <w:rPr>
          <w:rFonts w:ascii="Arial" w:cs="Arial" w:eastAsia="Arial" w:hAnsi="Arial"/>
          <w:sz w:val="20"/>
          <w:szCs w:val="20"/>
        </w:rPr>
        <w:t xml:space="preserve">Mobilisation should be measured with the attributable-mobilisation metric (I10).</w:t>
      </w:r>
    </w:p>
    <w:p>
      <w:pPr>
        <w:pStyle w:val="ListParagraph"/>
        <w:numPr>
          <w:ilvl w:val="0"/>
          <w:numId w:val="6"/>
        </w:numPr>
        <w:spacing w:after="60" w:line="264"/>
      </w:pPr>
      <w:r>
        <w:rPr>
          <w:rFonts w:ascii="Arial" w:cs="Arial" w:eastAsia="Arial" w:hAnsi="Arial"/>
          <w:sz w:val="20"/>
          <w:szCs w:val="20"/>
        </w:rPr>
        <w:t xml:space="preserve">The register reconciliation (Section 4.6) must establish the timing of capital needs by year, because a five-year comparison hides peaks.</w:t>
      </w:r>
    </w:p>
    <w:p>
      <w:pPr>
        <w:spacing w:after="110" w:before="0" w:line="264"/>
        <w:jc w:val="left"/>
      </w:pPr>
      <w:r>
        <w:rPr>
          <w:rFonts w:ascii="Arial" w:cs="Arial" w:eastAsia="Arial" w:hAnsi="Arial"/>
          <w:color w:val="000000"/>
          <w:sz w:val="20"/>
          <w:szCs w:val="20"/>
        </w:rPr>
        <w:t xml:space="preserve">Timing matters too. The NRF's industrial and DOCK-UP windows open only at Stage 2, 12–24 months after approval in principle and only if earlier stages succeed (Section 8.8). Near-term needs must therefore be met from Danantara's balance sheet and from bank finance.</w:t>
      </w:r>
    </w:p>
    <w:p>
      <w:pPr>
        <w:pStyle w:val="Heading2"/>
        <w:keepNext/>
        <w:keepLines/>
        <w:spacing w:after="120" w:before="280"/>
      </w:pPr>
      <w:r>
        <w:rPr>
          <w:rFonts w:ascii="Arial" w:cs="Arial" w:eastAsia="Arial" w:hAnsi="Arial"/>
          <w:b/>
          <w:bCs/>
          <w:color w:val="00338D"/>
          <w:sz w:val="28"/>
          <w:szCs w:val="28"/>
        </w:rPr>
        <w:t xml:space="preserve">10.4 Finance matched to gates</w:t>
      </w:r>
    </w:p>
    <w:p>
      <w:pPr>
        <w:spacing w:after="110" w:before="0" w:line="264"/>
        <w:jc w:val="left"/>
      </w:pPr>
      <w:r>
        <w:rPr>
          <w:rFonts w:ascii="Arial" w:cs="Arial" w:eastAsia="Arial" w:hAnsi="Arial"/>
          <w:color w:val="000000"/>
          <w:sz w:val="20"/>
          <w:szCs w:val="20"/>
        </w:rPr>
        <w:t xml:space="preserve">Projects and suppliers move through their gates on separate clocks. Serial supply (G3), for example, is usually needed during construction (P4), not at commissioning. The two ladders are therefore shown separately.</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91"/>
        <w:gridCol w:w="6747"/>
      </w:tblGrid>
      <w:tr>
        <w:trPr>
          <w:cantSplit/>
          <w:tblHeader/>
        </w:trPr>
        <w:tc>
          <w:tcPr>
            <w:tcW w:type="dxa" w:w="2891"/>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Project gate</w:t>
            </w:r>
          </w:p>
        </w:tc>
        <w:tc>
          <w:tcPr>
            <w:tcW w:type="dxa" w:w="6747"/>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Project instrument</w:t>
            </w:r>
          </w:p>
        </w:tc>
      </w:tr>
      <w:tr>
        <w:trPr>
          <w:cantSplit/>
        </w:trPr>
        <w:tc>
          <w:tcPr>
            <w:tcW w:type="dxa" w:w="2891"/>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7"/>
                <w:szCs w:val="17"/>
              </w:rPr>
              <w:t xml:space="preserve">Preparation (P0–P2)</w:t>
            </w:r>
          </w:p>
        </w:tc>
        <w:tc>
          <w:tcPr>
            <w:tcW w:type="dxa" w:w="6747"/>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7"/>
                <w:szCs w:val="17"/>
              </w:rPr>
              <w:t xml:space="preserve">DDMF project-preparation funds and grants for studies (capped, expensed)</w:t>
            </w:r>
          </w:p>
        </w:tc>
      </w:tr>
      <w:tr>
        <w:trPr>
          <w:cantSplit/>
        </w:trPr>
        <w:tc>
          <w:tcPr>
            <w:tcW w:type="dxa" w:w="2891"/>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7"/>
                <w:szCs w:val="17"/>
              </w:rPr>
              <w:t xml:space="preserve">Capital decision (P3)</w:t>
            </w:r>
          </w:p>
        </w:tc>
        <w:tc>
          <w:tcPr>
            <w:tcW w:type="dxa" w:w="6747"/>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7"/>
                <w:szCs w:val="17"/>
              </w:rPr>
              <w:t xml:space="preserve">Danantara equity; NRF industrial window; viability-gap support where economically justified</w:t>
            </w:r>
          </w:p>
        </w:tc>
      </w:tr>
      <w:tr>
        <w:trPr>
          <w:cantSplit/>
        </w:trPr>
        <w:tc>
          <w:tcPr>
            <w:tcW w:type="dxa" w:w="2891"/>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7"/>
                <w:szCs w:val="17"/>
              </w:rPr>
              <w:t xml:space="preserve">Construction (P4)</w:t>
            </w:r>
          </w:p>
        </w:tc>
        <w:tc>
          <w:tcPr>
            <w:tcW w:type="dxa" w:w="6747"/>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7"/>
                <w:szCs w:val="17"/>
              </w:rPr>
              <w:t xml:space="preserve">Sovereign project receivable notes; bank debt; export credit</w:t>
            </w:r>
          </w:p>
        </w:tc>
      </w:tr>
      <w:tr>
        <w:trPr>
          <w:cantSplit/>
        </w:trPr>
        <w:tc>
          <w:tcPr>
            <w:tcW w:type="dxa" w:w="2891"/>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7"/>
                <w:szCs w:val="17"/>
              </w:rPr>
              <w:t xml:space="preserve">Commissioning (P5)</w:t>
            </w:r>
          </w:p>
        </w:tc>
        <w:tc>
          <w:tcPr>
            <w:tcW w:type="dxa" w:w="6747"/>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7"/>
                <w:szCs w:val="17"/>
              </w:rPr>
              <w:t xml:space="preserve">Refinancing into long-term bonds</w:t>
            </w:r>
          </w:p>
        </w:tc>
      </w:tr>
      <w:tr>
        <w:trPr>
          <w:cantSplit/>
        </w:trPr>
        <w:tc>
          <w:tcPr>
            <w:tcW w:type="dxa" w:w="2891"/>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pPr>
            <w:r>
              <w:rPr>
                <w:rFonts w:ascii="Arial" w:cs="Arial" w:eastAsia="Arial" w:hAnsi="Arial"/>
                <w:b/>
                <w:bCs/>
                <w:color w:val="000000"/>
                <w:sz w:val="17"/>
                <w:szCs w:val="17"/>
              </w:rPr>
              <w:t xml:space="preserve">Operation (P6)</w:t>
            </w:r>
          </w:p>
        </w:tc>
        <w:tc>
          <w:tcPr>
            <w:tcW w:type="dxa" w:w="6747"/>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7"/>
                <w:szCs w:val="17"/>
              </w:rPr>
              <w:t xml:space="preserve">Asset recycling to private investors</w:t>
            </w:r>
          </w:p>
        </w:tc>
      </w:tr>
    </w:tbl>
    <w:p>
      <w:pPr>
        <w:keepNext w:val="false"/>
        <w:spacing w:after="14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91"/>
        <w:gridCol w:w="6747"/>
      </w:tblGrid>
      <w:tr>
        <w:trPr>
          <w:cantSplit/>
          <w:tblHeader/>
        </w:trPr>
        <w:tc>
          <w:tcPr>
            <w:tcW w:type="dxa" w:w="2891"/>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Supplier gate</w:t>
            </w:r>
          </w:p>
        </w:tc>
        <w:tc>
          <w:tcPr>
            <w:tcW w:type="dxa" w:w="6747"/>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Supplier instrument (DOCK-UP)</w:t>
            </w:r>
          </w:p>
        </w:tc>
      </w:tr>
      <w:tr>
        <w:trPr>
          <w:cantSplit/>
        </w:trPr>
        <w:tc>
          <w:tcPr>
            <w:tcW w:type="dxa" w:w="2891"/>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7"/>
                <w:szCs w:val="17"/>
              </w:rPr>
              <w:t xml:space="preserve">Entry</w:t>
            </w:r>
          </w:p>
        </w:tc>
        <w:tc>
          <w:tcPr>
            <w:tcW w:type="dxa" w:w="6747"/>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7"/>
                <w:szCs w:val="17"/>
              </w:rPr>
              <w:t xml:space="preserve">Companion engineers and training; research grants for explorers</w:t>
            </w:r>
          </w:p>
        </w:tc>
      </w:tr>
      <w:tr>
        <w:trPr>
          <w:cantSplit/>
        </w:trPr>
        <w:tc>
          <w:tcPr>
            <w:tcW w:type="dxa" w:w="2891"/>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7"/>
                <w:szCs w:val="17"/>
              </w:rPr>
              <w:t xml:space="preserve">G1</w:t>
            </w:r>
          </w:p>
        </w:tc>
        <w:tc>
          <w:tcPr>
            <w:tcW w:type="dxa" w:w="6747"/>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7"/>
                <w:szCs w:val="17"/>
              </w:rPr>
              <w:t xml:space="preserve">Matching grant; shared facilities</w:t>
            </w:r>
          </w:p>
        </w:tc>
      </w:tr>
      <w:tr>
        <w:trPr>
          <w:cantSplit/>
        </w:trPr>
        <w:tc>
          <w:tcPr>
            <w:tcW w:type="dxa" w:w="2891"/>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7"/>
                <w:szCs w:val="17"/>
              </w:rPr>
              <w:t xml:space="preserve">G2</w:t>
            </w:r>
          </w:p>
        </w:tc>
        <w:tc>
          <w:tcPr>
            <w:tcW w:type="dxa" w:w="6747"/>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7"/>
                <w:szCs w:val="17"/>
              </w:rPr>
              <w:t xml:space="preserve">Supply-chain finance; KUR</w:t>
            </w:r>
          </w:p>
        </w:tc>
      </w:tr>
      <w:tr>
        <w:trPr>
          <w:cantSplit/>
        </w:trPr>
        <w:tc>
          <w:tcPr>
            <w:tcW w:type="dxa" w:w="2891"/>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7"/>
                <w:szCs w:val="17"/>
              </w:rPr>
              <w:t xml:space="preserve">G3</w:t>
            </w:r>
          </w:p>
        </w:tc>
        <w:tc>
          <w:tcPr>
            <w:tcW w:type="dxa" w:w="6747"/>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7"/>
                <w:szCs w:val="17"/>
              </w:rPr>
              <w:t xml:space="preserve">Investment credit with first-loss guarantee (guarantee provider; NRF supplier window once open)</w:t>
            </w:r>
          </w:p>
        </w:tc>
      </w:tr>
      <w:tr>
        <w:trPr>
          <w:cantSplit/>
        </w:trPr>
        <w:tc>
          <w:tcPr>
            <w:tcW w:type="dxa" w:w="2891"/>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pPr>
            <w:r>
              <w:rPr>
                <w:rFonts w:ascii="Arial" w:cs="Arial" w:eastAsia="Arial" w:hAnsi="Arial"/>
                <w:b/>
                <w:bCs/>
                <w:color w:val="000000"/>
                <w:sz w:val="17"/>
                <w:szCs w:val="17"/>
              </w:rPr>
              <w:t xml:space="preserve">G4</w:t>
            </w:r>
          </w:p>
        </w:tc>
        <w:tc>
          <w:tcPr>
            <w:tcW w:type="dxa" w:w="6747"/>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7"/>
                <w:szCs w:val="17"/>
              </w:rPr>
              <w:t xml:space="preserve">Corporate venture capital; R&amp;D super-deduction (PP 45/2019); LPEI export finance</w:t>
            </w:r>
          </w:p>
        </w:tc>
      </w:tr>
    </w:tbl>
    <w:p>
      <w:pPr>
        <w:keepNext w:val="false"/>
        <w:spacing w:after="140"/>
      </w:pPr>
    </w:p>
    <w:p>
      <w:pPr>
        <w:pStyle w:val="Heading2"/>
        <w:keepNext/>
        <w:keepLines/>
        <w:spacing w:after="120" w:before="280"/>
      </w:pPr>
      <w:r>
        <w:rPr>
          <w:rFonts w:ascii="Arial" w:cs="Arial" w:eastAsia="Arial" w:hAnsi="Arial"/>
          <w:b/>
          <w:bCs/>
          <w:color w:val="00338D"/>
          <w:sz w:val="28"/>
          <w:szCs w:val="28"/>
        </w:rPr>
        <w:t xml:space="preserve">10.5 Financial return versus economic return</w:t>
      </w:r>
    </w:p>
    <w:p>
      <w:pPr>
        <w:keepNext/>
        <w:spacing w:after="80" w:before="120"/>
      </w:pPr>
      <w:r>
        <w:rPr>
          <w:rFonts w:ascii="Arial" w:cs="Arial" w:eastAsia="Arial" w:hAnsi="Arial"/>
          <w:b/>
          <w:bCs/>
          <w:color w:val="00338D"/>
          <w:sz w:val="18"/>
          <w:szCs w:val="18"/>
        </w:rPr>
        <w:t xml:space="preserve">Table 14: </w:t>
      </w:r>
      <w:r>
        <w:rPr>
          <w:rFonts w:ascii="Arial" w:cs="Arial" w:eastAsia="Arial" w:hAnsi="Arial"/>
          <w:b/>
          <w:bCs/>
          <w:color w:val="00338D"/>
          <w:sz w:val="18"/>
          <w:szCs w:val="18"/>
        </w:rPr>
        <w:t xml:space="preserve">Financial versus economic case (D1 worked example)</w:t>
      </w:r>
    </w:p>
    <w:p>
      <w:pPr>
        <w:spacing w:after="110" w:before="0" w:line="264"/>
        <w:jc w:val="left"/>
      </w:pPr>
      <w:r>
        <w:rPr>
          <w:rFonts w:ascii="Arial" w:cs="Arial" w:eastAsia="Arial" w:hAnsi="Arial"/>
          <w:color w:val="000000"/>
          <w:sz w:val="20"/>
          <w:szCs w:val="20"/>
        </w:rPr>
        <w:t xml:space="preserve">D1's worked example shows why both cases are needed and why public support must be explicit. A hypothetical project costs Rp100 bn and yields Rp15 bn a year for ten years, plus Rp6 bn a year of external economic benefit.</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91"/>
        <w:gridCol w:w="1928"/>
        <w:gridCol w:w="4819"/>
      </w:tblGrid>
      <w:tr>
        <w:trPr>
          <w:cantSplit/>
          <w:tblHeader/>
        </w:trPr>
        <w:tc>
          <w:tcPr>
            <w:tcW w:type="dxa" w:w="2891"/>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Measure</w:t>
            </w:r>
          </w:p>
        </w:tc>
        <w:tc>
          <w:tcPr>
            <w:tcW w:type="dxa" w:w="1928"/>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Result</w:t>
            </w:r>
          </w:p>
        </w:tc>
        <w:tc>
          <w:tcPr>
            <w:tcW w:type="dxa" w:w="4819"/>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Interpretation</w:t>
            </w:r>
          </w:p>
        </w:tc>
      </w:tr>
      <w:tr>
        <w:trPr>
          <w:cantSplit/>
        </w:trPr>
        <w:tc>
          <w:tcPr>
            <w:tcW w:type="dxa" w:w="2891"/>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7"/>
                <w:szCs w:val="17"/>
              </w:rPr>
              <w:t xml:space="preserve">Financial NPV at 12%</w:t>
            </w:r>
          </w:p>
        </w:tc>
        <w:tc>
          <w:tcPr>
            <w:tcW w:type="dxa" w:w="192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7"/>
                <w:szCs w:val="17"/>
              </w:rPr>
              <w:t xml:space="preserve">−Rp15.25 bn</w:t>
            </w:r>
          </w:p>
        </w:tc>
        <w:tc>
          <w:tcPr>
            <w:tcW w:type="dxa" w:w="4819"/>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7"/>
                <w:szCs w:val="17"/>
              </w:rPr>
              <w:t xml:space="preserve">Below the commercial hurdle</w:t>
            </w:r>
          </w:p>
        </w:tc>
      </w:tr>
      <w:tr>
        <w:trPr>
          <w:cantSplit/>
        </w:trPr>
        <w:tc>
          <w:tcPr>
            <w:tcW w:type="dxa" w:w="2891"/>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7"/>
                <w:szCs w:val="17"/>
              </w:rPr>
              <w:t xml:space="preserve">Project financial IRR</w:t>
            </w:r>
          </w:p>
        </w:tc>
        <w:tc>
          <w:tcPr>
            <w:tcW w:type="dxa" w:w="1928"/>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7"/>
                <w:szCs w:val="17"/>
              </w:rPr>
              <w:t xml:space="preserve">8.14%</w:t>
            </w:r>
          </w:p>
        </w:tc>
        <w:tc>
          <w:tcPr>
            <w:tcW w:type="dxa" w:w="4819"/>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7"/>
                <w:szCs w:val="17"/>
              </w:rPr>
              <w:t xml:space="preserve">Not an equity IRR; financing cash flows excluded</w:t>
            </w:r>
          </w:p>
        </w:tc>
      </w:tr>
      <w:tr>
        <w:trPr>
          <w:cantSplit/>
        </w:trPr>
        <w:tc>
          <w:tcPr>
            <w:tcW w:type="dxa" w:w="2891"/>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7"/>
                <w:szCs w:val="17"/>
              </w:rPr>
              <w:t xml:space="preserve">Economic NPV at 9%</w:t>
            </w:r>
          </w:p>
        </w:tc>
        <w:tc>
          <w:tcPr>
            <w:tcW w:type="dxa" w:w="192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7"/>
                <w:szCs w:val="17"/>
              </w:rPr>
              <w:t xml:space="preserve">Rp34.77 bn</w:t>
            </w:r>
          </w:p>
        </w:tc>
        <w:tc>
          <w:tcPr>
            <w:tcW w:type="dxa" w:w="4819"/>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7"/>
                <w:szCs w:val="17"/>
              </w:rPr>
              <w:t xml:space="preserve">Positive only if the external benefit is defensible</w:t>
            </w:r>
          </w:p>
        </w:tc>
      </w:tr>
      <w:tr>
        <w:trPr>
          <w:cantSplit/>
        </w:trPr>
        <w:tc>
          <w:tcPr>
            <w:tcW w:type="dxa" w:w="2891"/>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7"/>
                <w:szCs w:val="17"/>
              </w:rPr>
              <w:t xml:space="preserve">Economic IRR</w:t>
            </w:r>
          </w:p>
        </w:tc>
        <w:tc>
          <w:tcPr>
            <w:tcW w:type="dxa" w:w="1928"/>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7"/>
                <w:szCs w:val="17"/>
              </w:rPr>
              <w:t xml:space="preserve">16.40%</w:t>
            </w:r>
          </w:p>
        </w:tc>
        <w:tc>
          <w:tcPr>
            <w:tcW w:type="dxa" w:w="4819"/>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7"/>
                <w:szCs w:val="17"/>
              </w:rPr>
              <w:t xml:space="preserve">Includes benefits unavailable to the investor</w:t>
            </w:r>
          </w:p>
        </w:tc>
      </w:tr>
      <w:tr>
        <w:trPr>
          <w:cantSplit/>
        </w:trPr>
        <w:tc>
          <w:tcPr>
            <w:tcW w:type="dxa" w:w="2891"/>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pPr>
            <w:r>
              <w:rPr>
                <w:rFonts w:ascii="Arial" w:cs="Arial" w:eastAsia="Arial" w:hAnsi="Arial"/>
                <w:b/>
                <w:bCs/>
                <w:color w:val="000000"/>
                <w:sz w:val="17"/>
                <w:szCs w:val="17"/>
              </w:rPr>
              <w:t xml:space="preserve">Viability-gap grant</w:t>
            </w:r>
          </w:p>
        </w:tc>
        <w:tc>
          <w:tcPr>
            <w:tcW w:type="dxa" w:w="192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7"/>
                <w:szCs w:val="17"/>
              </w:rPr>
              <w:t xml:space="preserve">Rp15.25 bn</w:t>
            </w:r>
          </w:p>
        </w:tc>
        <w:tc>
          <w:tcPr>
            <w:tcW w:type="dxa" w:w="4819"/>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7"/>
                <w:szCs w:val="17"/>
              </w:rPr>
              <w:t xml:space="preserve">Makes investor NPV zero; a public cost and a transfer</w:t>
            </w:r>
          </w:p>
        </w:tc>
      </w:tr>
    </w:tbl>
    <w:p>
      <w:pPr>
        <w:keepNext w:val="false"/>
        <w:spacing w:after="140"/>
      </w:pPr>
    </w:p>
    <w:p>
      <w:pPr>
        <w:spacing w:after="110" w:before="0" w:line="264"/>
        <w:jc w:val="left"/>
      </w:pPr>
      <w:r>
        <w:rPr>
          <w:rFonts w:ascii="Arial" w:cs="Arial" w:eastAsia="Arial" w:hAnsi="Arial"/>
          <w:color w:val="000000"/>
          <w:sz w:val="20"/>
          <w:szCs w:val="20"/>
        </w:rPr>
        <w:t xml:space="preserve">A positive economic result cannot be presented as investor profit, and a grant improves the investor's case without creating economic benefit. ADB's 9% economic-return reference (6% for specified social projects) is a methodological precedent, not adopted Indonesian policy [D1/S26].</w:t>
      </w:r>
    </w:p>
    <w:p>
      <w:pPr>
        <w:pStyle w:val="Heading2"/>
        <w:keepNext/>
        <w:keepLines/>
        <w:spacing w:after="120" w:before="280"/>
      </w:pPr>
      <w:r>
        <w:rPr>
          <w:rFonts w:ascii="Arial" w:cs="Arial" w:eastAsia="Arial" w:hAnsi="Arial"/>
          <w:b/>
          <w:bCs/>
          <w:color w:val="00338D"/>
          <w:sz w:val="28"/>
          <w:szCs w:val="28"/>
        </w:rPr>
        <w:t xml:space="preserve">10.6 Stress tests</w:t>
      </w:r>
    </w:p>
    <w:p>
      <w:pPr>
        <w:spacing w:after="110" w:before="0" w:line="264"/>
        <w:jc w:val="left"/>
      </w:pPr>
      <w:r>
        <w:rPr>
          <w:rFonts w:ascii="Arial" w:cs="Arial" w:eastAsia="Arial" w:hAnsi="Arial"/>
          <w:color w:val="000000"/>
          <w:sz w:val="20"/>
          <w:szCs w:val="20"/>
        </w:rPr>
        <w:t xml:space="preserve">All shocks below are illustrative starting assumptions, to be calibrated to each instrument and approved risk appetite. The first seven are from D1; the last four are our additions for the two new channels.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28"/>
        <w:gridCol w:w="4048"/>
        <w:gridCol w:w="3662"/>
      </w:tblGrid>
      <w:tr>
        <w:trPr>
          <w:cantSplit/>
          <w:tblHeader/>
        </w:trPr>
        <w:tc>
          <w:tcPr>
            <w:tcW w:type="dxa" w:w="1928"/>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Risk</w:t>
            </w:r>
          </w:p>
        </w:tc>
        <w:tc>
          <w:tcPr>
            <w:tcW w:type="dxa" w:w="4048"/>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Proposed test</w:t>
            </w:r>
          </w:p>
        </w:tc>
        <w:tc>
          <w:tcPr>
            <w:tcW w:type="dxa" w:w="3662"/>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Decision response</w:t>
            </w:r>
          </w:p>
        </w:tc>
      </w:tr>
      <w:tr>
        <w:trPr>
          <w:cantSplit/>
        </w:trPr>
        <w:tc>
          <w:tcPr>
            <w:tcW w:type="dxa" w:w="192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7"/>
                <w:szCs w:val="17"/>
              </w:rPr>
              <w:t xml:space="preserve">Currency / refinancing</w:t>
            </w:r>
          </w:p>
        </w:tc>
        <w:tc>
          <w:tcPr>
            <w:tcW w:type="dxa" w:w="404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7"/>
                <w:szCs w:val="17"/>
              </w:rPr>
              <w:t xml:space="preserve">IDR −15%; refinancing spread +200 bps on debt actually repricing</w:t>
            </w:r>
          </w:p>
        </w:tc>
        <w:tc>
          <w:tcPr>
            <w:tcW w:type="dxa" w:w="366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7"/>
                <w:szCs w:val="17"/>
              </w:rPr>
              <w:t xml:space="preserve">Resize or hedge; preserve liquidity; revise distribution policy</w:t>
            </w:r>
          </w:p>
        </w:tc>
      </w:tr>
      <w:tr>
        <w:trPr>
          <w:cantSplit/>
        </w:trPr>
        <w:tc>
          <w:tcPr>
            <w:tcW w:type="dxa" w:w="1928"/>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7"/>
                <w:szCs w:val="17"/>
              </w:rPr>
              <w:t xml:space="preserve">Industrial cycle</w:t>
            </w:r>
          </w:p>
        </w:tc>
        <w:tc>
          <w:tcPr>
            <w:tcW w:type="dxa" w:w="4048"/>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7"/>
                <w:szCs w:val="17"/>
              </w:rPr>
              <w:t xml:space="preserve">Product price −20%; feed/power +15%; utilisation below plan</w:t>
            </w:r>
          </w:p>
        </w:tc>
        <w:tc>
          <w:tcPr>
            <w:tcW w:type="dxa" w:w="366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7"/>
                <w:szCs w:val="17"/>
              </w:rPr>
              <w:t xml:space="preserve">Re-test margin, covenants, offtake; stage capex</w:t>
            </w:r>
          </w:p>
        </w:tc>
      </w:tr>
      <w:tr>
        <w:trPr>
          <w:cantSplit/>
        </w:trPr>
        <w:tc>
          <w:tcPr>
            <w:tcW w:type="dxa" w:w="192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7"/>
                <w:szCs w:val="17"/>
              </w:rPr>
              <w:t xml:space="preserve">Construction</w:t>
            </w:r>
          </w:p>
        </w:tc>
        <w:tc>
          <w:tcPr>
            <w:tcW w:type="dxa" w:w="404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7"/>
                <w:szCs w:val="17"/>
              </w:rPr>
              <w:t xml:space="preserve">Capex +20%; 12-month delay; contractor failure; land delay</w:t>
            </w:r>
          </w:p>
        </w:tc>
        <w:tc>
          <w:tcPr>
            <w:tcW w:type="dxa" w:w="366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7"/>
                <w:szCs w:val="17"/>
              </w:rPr>
              <w:t xml:space="preserve">Fund contingencies; independent engineer; redesign or stop</w:t>
            </w:r>
          </w:p>
        </w:tc>
      </w:tr>
      <w:tr>
        <w:trPr>
          <w:cantSplit/>
        </w:trPr>
        <w:tc>
          <w:tcPr>
            <w:tcW w:type="dxa" w:w="1928"/>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7"/>
                <w:szCs w:val="17"/>
              </w:rPr>
              <w:t xml:space="preserve">Fiscal / public service</w:t>
            </w:r>
          </w:p>
        </w:tc>
        <w:tc>
          <w:tcPr>
            <w:tcW w:type="dxa" w:w="4048"/>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7"/>
                <w:szCs w:val="17"/>
              </w:rPr>
              <w:t xml:space="preserve">Compensation paid 180 days late; guarantees called; subsidy cut</w:t>
            </w:r>
          </w:p>
        </w:tc>
        <w:tc>
          <w:tcPr>
            <w:tcW w:type="dxa" w:w="366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7"/>
                <w:szCs w:val="17"/>
              </w:rPr>
              <w:t xml:space="preserve">Disclose contingent support; funded service contracts; liquidity buffers</w:t>
            </w:r>
          </w:p>
        </w:tc>
      </w:tr>
      <w:tr>
        <w:trPr>
          <w:cantSplit/>
        </w:trPr>
        <w:tc>
          <w:tcPr>
            <w:tcW w:type="dxa" w:w="192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7"/>
                <w:szCs w:val="17"/>
              </w:rPr>
              <w:t xml:space="preserve">Bank credit</w:t>
            </w:r>
          </w:p>
        </w:tc>
        <w:tc>
          <w:tcPr>
            <w:tcW w:type="dxa" w:w="404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7"/>
                <w:szCs w:val="17"/>
              </w:rPr>
              <w:t xml:space="preserve">Credit migration; higher cost of risk; correlated SOE exposure</w:t>
            </w:r>
          </w:p>
        </w:tc>
        <w:tc>
          <w:tcPr>
            <w:tcW w:type="dxa" w:w="366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7"/>
                <w:szCs w:val="17"/>
              </w:rPr>
              <w:t xml:space="preserve">Assess CET1 and liquidity after losses; cap concentrated lending</w:t>
            </w:r>
          </w:p>
        </w:tc>
      </w:tr>
      <w:tr>
        <w:trPr>
          <w:cantSplit/>
        </w:trPr>
        <w:tc>
          <w:tcPr>
            <w:tcW w:type="dxa" w:w="1928"/>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7"/>
                <w:szCs w:val="17"/>
              </w:rPr>
              <w:t xml:space="preserve">Technology / market</w:t>
            </w:r>
          </w:p>
        </w:tc>
        <w:tc>
          <w:tcPr>
            <w:tcW w:type="dxa" w:w="4048"/>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7"/>
                <w:szCs w:val="17"/>
              </w:rPr>
              <w:t xml:space="preserve">Pilot yield not replicated; qualification delayed; IP inadequate</w:t>
            </w:r>
          </w:p>
        </w:tc>
        <w:tc>
          <w:tcPr>
            <w:tcW w:type="dxa" w:w="366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7"/>
                <w:szCs w:val="17"/>
              </w:rPr>
              <w:t xml:space="preserve">Link next funding to accepted capability milestones</w:t>
            </w:r>
          </w:p>
        </w:tc>
      </w:tr>
      <w:tr>
        <w:trPr>
          <w:cantSplit/>
        </w:trPr>
        <w:tc>
          <w:tcPr>
            <w:tcW w:type="dxa" w:w="192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7"/>
                <w:szCs w:val="17"/>
              </w:rPr>
              <w:t xml:space="preserve">Environmental / social</w:t>
            </w:r>
          </w:p>
        </w:tc>
        <w:tc>
          <w:tcPr>
            <w:tcW w:type="dxa" w:w="404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7"/>
                <w:szCs w:val="17"/>
              </w:rPr>
              <w:t xml:space="preserve">Baseline emissions overstated; permit or safety failure</w:t>
            </w:r>
          </w:p>
        </w:tc>
        <w:tc>
          <w:tcPr>
            <w:tcW w:type="dxa" w:w="366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7"/>
                <w:szCs w:val="17"/>
              </w:rPr>
              <w:t xml:space="preserve">Re-estimate benefits; suspend where binding conditions fail</w:t>
            </w:r>
          </w:p>
        </w:tc>
      </w:tr>
      <w:tr>
        <w:trPr>
          <w:cantSplit/>
        </w:trPr>
        <w:tc>
          <w:tcPr>
            <w:tcW w:type="dxa" w:w="1928"/>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7"/>
                <w:szCs w:val="17"/>
              </w:rPr>
              <w:t xml:space="preserve">NRF commodity</w:t>
            </w:r>
          </w:p>
        </w:tc>
        <w:tc>
          <w:tcPr>
            <w:tcW w:type="dxa" w:w="4048"/>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7"/>
                <w:szCs w:val="17"/>
              </w:rPr>
              <w:t xml:space="preserve">Coal price −30% for three years; output −20%</w:t>
            </w:r>
          </w:p>
        </w:tc>
        <w:tc>
          <w:tcPr>
            <w:tcW w:type="dxa" w:w="366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7"/>
                <w:szCs w:val="17"/>
              </w:rPr>
              <w:t xml:space="preserve">Coverage ratio test; draw on reserve account; halt new issuance</w:t>
            </w:r>
          </w:p>
        </w:tc>
      </w:tr>
      <w:tr>
        <w:trPr>
          <w:cantSplit/>
        </w:trPr>
        <w:tc>
          <w:tcPr>
            <w:tcW w:type="dxa" w:w="192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7"/>
                <w:szCs w:val="17"/>
              </w:rPr>
              <w:t xml:space="preserve">NRF legal</w:t>
            </w:r>
          </w:p>
        </w:tc>
        <w:tc>
          <w:tcPr>
            <w:tcW w:type="dxa" w:w="404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7"/>
                <w:szCs w:val="17"/>
              </w:rPr>
              <w:t xml:space="preserve">Challenge to rights over pledged revenue</w:t>
            </w:r>
          </w:p>
        </w:tc>
        <w:tc>
          <w:tcPr>
            <w:tcW w:type="dxa" w:w="366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7"/>
                <w:szCs w:val="17"/>
              </w:rPr>
              <w:t xml:space="preserve">Pre-issuance legal opinion; issuance only on undisputed assets</w:t>
            </w:r>
          </w:p>
        </w:tc>
      </w:tr>
      <w:tr>
        <w:trPr>
          <w:cantSplit/>
        </w:trPr>
        <w:tc>
          <w:tcPr>
            <w:tcW w:type="dxa" w:w="1928"/>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7"/>
                <w:szCs w:val="17"/>
              </w:rPr>
              <w:t xml:space="preserve">Project-note payment</w:t>
            </w:r>
          </w:p>
        </w:tc>
        <w:tc>
          <w:tcPr>
            <w:tcW w:type="dxa" w:w="4048"/>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7"/>
                <w:szCs w:val="17"/>
              </w:rPr>
              <w:t xml:space="preserve">MoD/state payment 180 days late; one milestone slips 9 months</w:t>
            </w:r>
          </w:p>
        </w:tc>
        <w:tc>
          <w:tcPr>
            <w:tcW w:type="dxa" w:w="366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7"/>
                <w:szCs w:val="17"/>
              </w:rPr>
              <w:t xml:space="preserve">Liquidity line; investor communication; no early release</w:t>
            </w:r>
          </w:p>
        </w:tc>
      </w:tr>
      <w:tr>
        <w:trPr>
          <w:cantSplit/>
        </w:trPr>
        <w:tc>
          <w:tcPr>
            <w:tcW w:type="dxa" w:w="192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pPr>
            <w:r>
              <w:rPr>
                <w:rFonts w:ascii="Arial" w:cs="Arial" w:eastAsia="Arial" w:hAnsi="Arial"/>
                <w:b/>
                <w:bCs/>
                <w:color w:val="000000"/>
                <w:sz w:val="17"/>
                <w:szCs w:val="17"/>
              </w:rPr>
              <w:t xml:space="preserve">Platform incident</w:t>
            </w:r>
          </w:p>
        </w:tc>
        <w:tc>
          <w:tcPr>
            <w:tcW w:type="dxa" w:w="404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7"/>
                <w:szCs w:val="17"/>
              </w:rPr>
              <w:t xml:space="preserve">Key compromise or smart-contract fault</w:t>
            </w:r>
          </w:p>
        </w:tc>
        <w:tc>
          <w:tcPr>
            <w:tcW w:type="dxa" w:w="366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7"/>
                <w:szCs w:val="17"/>
              </w:rPr>
              <w:t xml:space="preserve">Freeze via timelocked governance; fall back to the fiat escrow ledger</w:t>
            </w:r>
          </w:p>
        </w:tc>
      </w:tr>
    </w:tbl>
    <w:p>
      <w:pPr>
        <w:keepNext w:val="false"/>
        <w:spacing w:after="14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single" w:color="005EB8" w:sz="8"/>
              <w:left w:val="single" w:color="005EB8" w:sz="8"/>
              <w:bottom w:val="single" w:color="005EB8" w:sz="8"/>
              <w:right w:val="single" w:color="005EB8" w:sz="8"/>
            </w:tcBorders>
            <w:tcMar>
              <w:top w:type="dxa" w:w="160"/>
              <w:left w:type="dxa" w:w="220"/>
              <w:bottom w:type="dxa" w:w="120"/>
              <w:right w:type="dxa" w:w="220"/>
            </w:tcMar>
          </w:tcPr>
          <w:p>
            <w:pPr>
              <w:keepNext/>
              <w:spacing w:after="80"/>
            </w:pPr>
            <w:r>
              <w:rPr>
                <w:rFonts w:ascii="Arial" w:cs="Arial" w:eastAsia="Arial" w:hAnsi="Arial"/>
                <w:b/>
                <w:bCs/>
                <w:color w:val="00338D"/>
                <w:sz w:val="20"/>
                <w:szCs w:val="20"/>
              </w:rPr>
              <w:t xml:space="preserve">Disclosure</w:t>
            </w:r>
          </w:p>
          <w:p>
            <w:pPr>
              <w:spacing w:after="80" w:line="264"/>
            </w:pPr>
            <w:r>
              <w:rPr>
                <w:rFonts w:ascii="Arial" w:cs="Arial" w:eastAsia="Arial" w:hAnsi="Arial"/>
                <w:color w:val="000000"/>
                <w:sz w:val="19"/>
                <w:szCs w:val="19"/>
              </w:rPr>
              <w:t xml:space="preserve">Publish a register of all resource-backed and receivable-backed instruments: issuer, amount, currency, tenor, recourse, revenue pledged, present value of revenue given up, and coverage ratio. Do not classify a structure as free or non-debt because it is outside a budget line or issued by an SPV [D1].</w:t>
            </w:r>
          </w:p>
        </w:tc>
      </w:tr>
    </w:tbl>
    <w:p>
      <w:pPr>
        <w:pageBreakBefore/>
        <w:spacing w:after="0" w:line="240"/>
      </w:pPr>
      <w:r>
        <w:rPr>
          <w:sz w:val="2"/>
          <w:szCs w:val="2"/>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one" w:color="FFFFFF" w:sz="0"/>
              <w:left w:val="none" w:color="FFFFFF" w:sz="0"/>
              <w:bottom w:val="none" w:color="FFFFFF" w:sz="0"/>
              <w:right w:val="none" w:color="FFFFFF" w:sz="0"/>
            </w:tcBorders>
            <w:shd w:fill="00338D" w:color="auto" w:val="clear"/>
            <w:tcMar>
              <w:top w:type="dxa" w:w="260"/>
              <w:left w:type="dxa" w:w="300"/>
              <w:bottom w:type="dxa" w:w="300"/>
              <w:right w:type="dxa" w:w="300"/>
            </w:tcMar>
          </w:tcPr>
          <w:p>
            <w:pPr>
              <w:spacing w:after="0"/>
            </w:pPr>
            <w:r>
              <w:rPr>
                <w:rFonts w:ascii="Arial" w:cs="Arial" w:eastAsia="Arial" w:hAnsi="Arial"/>
                <w:b/>
                <w:bCs/>
                <w:color w:val="9CC7EF"/>
                <w:sz w:val="64"/>
                <w:szCs w:val="64"/>
              </w:rPr>
              <w:t xml:space="preserve">11</w:t>
            </w:r>
          </w:p>
          <w:p>
            <w:pPr>
              <w:pStyle w:val="Heading1"/>
              <w:spacing w:after="100"/>
            </w:pPr>
            <w:r>
              <w:rPr>
                <w:rFonts w:ascii="Arial" w:cs="Arial" w:eastAsia="Arial" w:hAnsi="Arial"/>
                <w:b/>
                <w:bCs/>
                <w:color w:val="FFFFFF"/>
                <w:sz w:val="40"/>
                <w:szCs w:val="40"/>
              </w:rPr>
              <w:t xml:space="preserve">Review of the general-contractor SOEs</w:t>
            </w:r>
          </w:p>
          <w:p>
            <w:pPr>
              <w:spacing w:after="0" w:line="276"/>
            </w:pPr>
            <w:r>
              <w:rPr>
                <w:rFonts w:ascii="Arial" w:cs="Arial" w:eastAsia="Arial" w:hAnsi="Arial"/>
                <w:color w:val="FFFFFF"/>
                <w:sz w:val="20"/>
                <w:szCs w:val="20"/>
              </w:rPr>
              <w:t xml:space="preserve">The state-owned construction companies (BUMN Karya) moved from contracting into infrastructure investment financed with debt. This chapter sets out their condition and a path back to a disciplined, healthy contractor model.</w:t>
            </w:r>
          </w:p>
        </w:tc>
      </w:tr>
    </w:tbl>
    <w:p>
      <w:pPr>
        <w:spacing w:after="200"/>
      </w:pPr>
    </w:p>
    <w:p>
      <w:pPr>
        <w:pStyle w:val="Heading2"/>
        <w:keepNext/>
        <w:keepLines/>
        <w:spacing w:after="120" w:before="280"/>
      </w:pPr>
      <w:r>
        <w:rPr>
          <w:rFonts w:ascii="Arial" w:cs="Arial" w:eastAsia="Arial" w:hAnsi="Arial"/>
          <w:b/>
          <w:bCs/>
          <w:color w:val="00338D"/>
          <w:sz w:val="28"/>
          <w:szCs w:val="28"/>
        </w:rPr>
        <w:t xml:space="preserve">11.1 Condition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12"/>
        <w:gridCol w:w="3212"/>
        <w:gridCol w:w="3214"/>
      </w:tblGrid>
      <w:tr>
        <w:trPr>
          <w:cantSplit/>
        </w:trPr>
        <w:tc>
          <w:tcPr>
            <w:tcW w:type="dxa" w:w="3212"/>
            <w:tcBorders>
              <w:top w:val="single" w:color="FFFFFF" w:sz="24"/>
              <w:left w:val="single" w:color="FFFFFF" w:sz="24"/>
              <w:bottom w:val="single" w:color="FFFFFF" w:sz="24"/>
              <w:right w:val="single" w:color="FFFFFF" w:sz="24"/>
            </w:tcBorders>
            <w:shd w:fill="00338D" w:color="auto" w:val="clear"/>
            <w:tcMar>
              <w:top w:type="dxa" w:w="140"/>
              <w:left w:type="dxa" w:w="160"/>
              <w:bottom w:type="dxa" w:w="140"/>
              <w:right w:type="dxa" w:w="160"/>
            </w:tcMar>
          </w:tcPr>
          <w:p>
            <w:pPr>
              <w:spacing w:after="40"/>
            </w:pPr>
            <w:r>
              <w:rPr>
                <w:rFonts w:ascii="Arial" w:cs="Arial" w:eastAsia="Arial" w:hAnsi="Arial"/>
                <w:b/>
                <w:bCs/>
                <w:color w:val="FFFFFF"/>
                <w:sz w:val="34"/>
                <w:szCs w:val="34"/>
              </w:rPr>
              <w:t xml:space="preserve">≈ Rp28 tn</w:t>
            </w:r>
          </w:p>
          <w:p>
            <w:pPr>
              <w:spacing w:after="0" w:line="240"/>
            </w:pPr>
            <w:r>
              <w:rPr>
                <w:rFonts w:ascii="Arial" w:cs="Arial" w:eastAsia="Arial" w:hAnsi="Arial"/>
                <w:color w:val="FFFFFF"/>
                <w:sz w:val="16"/>
                <w:szCs w:val="16"/>
              </w:rPr>
              <w:t xml:space="preserve">Estimated combined 2025 losses of WIKA, PP, Adhi Karya and Waskita</w:t>
            </w:r>
          </w:p>
        </w:tc>
        <w:tc>
          <w:tcPr>
            <w:tcW w:type="dxa" w:w="3212"/>
            <w:tcBorders>
              <w:top w:val="single" w:color="FFFFFF" w:sz="24"/>
              <w:left w:val="single" w:color="FFFFFF" w:sz="24"/>
              <w:bottom w:val="single" w:color="FFFFFF" w:sz="24"/>
              <w:right w:val="single" w:color="FFFFFF" w:sz="24"/>
            </w:tcBorders>
            <w:shd w:fill="005EB8" w:color="auto" w:val="clear"/>
            <w:tcMar>
              <w:top w:type="dxa" w:w="140"/>
              <w:left w:type="dxa" w:w="160"/>
              <w:bottom w:type="dxa" w:w="140"/>
              <w:right w:type="dxa" w:w="160"/>
            </w:tcMar>
          </w:tcPr>
          <w:p>
            <w:pPr>
              <w:spacing w:after="40"/>
            </w:pPr>
            <w:r>
              <w:rPr>
                <w:rFonts w:ascii="Arial" w:cs="Arial" w:eastAsia="Arial" w:hAnsi="Arial"/>
                <w:b/>
                <w:bCs/>
                <w:color w:val="FFFFFF"/>
                <w:sz w:val="34"/>
                <w:szCs w:val="34"/>
              </w:rPr>
              <w:t xml:space="preserve">≈ −45%</w:t>
            </w:r>
          </w:p>
          <w:p>
            <w:pPr>
              <w:spacing w:after="0" w:line="240"/>
            </w:pPr>
            <w:r>
              <w:rPr>
                <w:rFonts w:ascii="Arial" w:cs="Arial" w:eastAsia="Arial" w:hAnsi="Arial"/>
                <w:color w:val="FFFFFF"/>
                <w:sz w:val="16"/>
                <w:szCs w:val="16"/>
              </w:rPr>
              <w:t xml:space="preserve">Infrastructure budget cited in D3: Rp110.95 tn in the prior year → Rp61.38 tn in 2025 (−44.7%)</w:t>
            </w:r>
          </w:p>
        </w:tc>
        <w:tc>
          <w:tcPr>
            <w:tcW w:type="dxa" w:w="3214"/>
            <w:tcBorders>
              <w:top w:val="single" w:color="FFFFFF" w:sz="24"/>
              <w:left w:val="single" w:color="FFFFFF" w:sz="24"/>
              <w:bottom w:val="single" w:color="FFFFFF" w:sz="24"/>
              <w:right w:val="single" w:color="FFFFFF" w:sz="24"/>
            </w:tcBorders>
            <w:shd w:fill="00338D" w:color="auto" w:val="clear"/>
            <w:tcMar>
              <w:top w:type="dxa" w:w="140"/>
              <w:left w:type="dxa" w:w="160"/>
              <w:bottom w:type="dxa" w:w="140"/>
              <w:right w:type="dxa" w:w="160"/>
            </w:tcMar>
          </w:tcPr>
          <w:p>
            <w:pPr>
              <w:spacing w:after="40"/>
            </w:pPr>
            <w:r>
              <w:rPr>
                <w:rFonts w:ascii="Arial" w:cs="Arial" w:eastAsia="Arial" w:hAnsi="Arial"/>
                <w:b/>
                <w:bCs/>
                <w:color w:val="FFFFFF"/>
                <w:sz w:val="34"/>
                <w:szCs w:val="34"/>
              </w:rPr>
              <w:t xml:space="preserve">Rp10.14 tn</w:t>
            </w:r>
          </w:p>
          <w:p>
            <w:pPr>
              <w:spacing w:after="0" w:line="240"/>
            </w:pPr>
            <w:r>
              <w:rPr>
                <w:rFonts w:ascii="Arial" w:cs="Arial" w:eastAsia="Arial" w:hAnsi="Arial"/>
                <w:color w:val="FFFFFF"/>
                <w:sz w:val="16"/>
                <w:szCs w:val="16"/>
              </w:rPr>
              <w:t xml:space="preserve">Largest single estimated loss (WIKA)</w:t>
            </w:r>
          </w:p>
        </w:tc>
      </w:tr>
    </w:tbl>
    <w:p>
      <w:pPr>
        <w:spacing w:after="160"/>
      </w:pPr>
    </w:p>
    <w:p>
      <w:pPr>
        <w:keepNext/>
        <w:spacing w:after="60" w:before="120"/>
      </w:pPr>
      <w:r>
        <w:rPr>
          <w:rFonts w:ascii="Arial" w:cs="Arial" w:eastAsia="Arial" w:hAnsi="Arial"/>
          <w:b/>
          <w:bCs/>
          <w:color w:val="00338D"/>
          <w:sz w:val="18"/>
          <w:szCs w:val="18"/>
        </w:rPr>
        <w:t xml:space="preserve">Figure 5: </w:t>
      </w:r>
      <w:r>
        <w:rPr>
          <w:rFonts w:ascii="Arial" w:cs="Arial" w:eastAsia="Arial" w:hAnsi="Arial"/>
          <w:b/>
          <w:bCs/>
          <w:color w:val="00338D"/>
          <w:sz w:val="18"/>
          <w:szCs w:val="18"/>
        </w:rPr>
        <w:t xml:space="preserve">Estimated 2025 losses of the four construction SOEs</w:t>
      </w:r>
    </w:p>
    <w:p>
      <w:pPr>
        <w:keepNext/>
        <w:spacing w:after="40"/>
      </w:pPr>
      <w:r>
        <w:drawing>
          <wp:inline distT="0" distB="0" distL="0" distR="0">
            <wp:extent cx="3657600" cy="2380929"/>
            <wp:effectExtent t="0" r="0" b="0" l="0"/>
            <wp:docPr id="5" name="c2_karya_losses.png" descr="Estimated 2025 losses of the four construction SOEs" title="Estimated 2025 losses of the four construction SO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657600" cy="2380929"/>
                    </a:xfrm>
                    <a:prstGeom prst="rect">
                      <a:avLst/>
                    </a:prstGeom>
                  </pic:spPr>
                </pic:pic>
              </a:graphicData>
            </a:graphic>
          </wp:inline>
        </w:drawing>
      </w:r>
    </w:p>
    <w:p>
      <w:pPr>
        <w:spacing w:after="160"/>
      </w:pPr>
      <w:r>
        <w:rPr>
          <w:rFonts w:ascii="Arial" w:cs="Arial" w:eastAsia="Arial" w:hAnsi="Arial"/>
          <w:i/>
          <w:iCs/>
          <w:color w:val="000000"/>
          <w:sz w:val="15"/>
          <w:szCs w:val="15"/>
        </w:rPr>
        <w:t xml:space="preserve">Source: D3 p.3. Evidence class C (estimate); confirm against audited FY2025 statements. The four values sum to Rp28.02 tn.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single" w:color="005EB8" w:sz="8"/>
              <w:left w:val="single" w:color="005EB8" w:sz="8"/>
              <w:bottom w:val="single" w:color="005EB8" w:sz="8"/>
              <w:right w:val="single" w:color="005EB8" w:sz="8"/>
            </w:tcBorders>
            <w:tcMar>
              <w:top w:type="dxa" w:w="160"/>
              <w:left w:type="dxa" w:w="220"/>
              <w:bottom w:type="dxa" w:w="120"/>
              <w:right w:type="dxa" w:w="220"/>
            </w:tcMar>
          </w:tcPr>
          <w:p>
            <w:pPr>
              <w:keepNext/>
              <w:spacing w:after="80"/>
            </w:pPr>
            <w:r>
              <w:rPr>
                <w:rFonts w:ascii="Arial" w:cs="Arial" w:eastAsia="Arial" w:hAnsi="Arial"/>
                <w:b/>
                <w:bCs/>
                <w:color w:val="00338D"/>
                <w:sz w:val="20"/>
                <w:szCs w:val="20"/>
              </w:rPr>
              <w:t xml:space="preserve">Audited figures must replace the estimates</w:t>
            </w:r>
          </w:p>
          <w:p>
            <w:pPr>
              <w:spacing w:after="80" w:line="264"/>
            </w:pPr>
            <w:r>
              <w:rPr>
                <w:rFonts w:ascii="Arial" w:cs="Arial" w:eastAsia="Arial" w:hAnsi="Arial"/>
                <w:color w:val="000000"/>
                <w:sz w:val="19"/>
                <w:szCs w:val="19"/>
              </w:rPr>
              <w:t xml:space="preserve">The loss figures are estimates (class C). The four companies are publicly listed, and D1 reports that SOEs completed their FY2025 statements by July 2026 [D1/S02]. The diagnostic should therefore start from audited FY2025 accounts and fill the template below for each company, including Hutama Karya and the smaller construction SOEs if they are in scope. Any consolidation plan for the construction SOEs should be tested against the same data.</w:t>
            </w:r>
          </w:p>
        </w:tc>
      </w:tr>
    </w:tbl>
    <w:p>
      <w:pPr>
        <w:spacing w:after="160"/>
      </w:pPr>
    </w:p>
    <w:p>
      <w:pPr>
        <w:keepNext/>
        <w:spacing w:after="80" w:before="120"/>
      </w:pPr>
      <w:r>
        <w:rPr>
          <w:rFonts w:ascii="Arial" w:cs="Arial" w:eastAsia="Arial" w:hAnsi="Arial"/>
          <w:b/>
          <w:bCs/>
          <w:color w:val="00338D"/>
          <w:sz w:val="18"/>
          <w:szCs w:val="18"/>
        </w:rPr>
        <w:t xml:space="preserve">Table 15: </w:t>
      </w:r>
      <w:r>
        <w:rPr>
          <w:rFonts w:ascii="Arial" w:cs="Arial" w:eastAsia="Arial" w:hAnsi="Arial"/>
          <w:b/>
          <w:bCs/>
          <w:color w:val="00338D"/>
          <w:sz w:val="18"/>
          <w:szCs w:val="18"/>
        </w:rPr>
        <w:t xml:space="preserve">Diagnostic data template per construction SOE (to be populated)</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20"/>
        <w:gridCol w:w="7518"/>
      </w:tblGrid>
      <w:tr>
        <w:trPr>
          <w:cantSplit/>
          <w:tblHeader/>
        </w:trPr>
        <w:tc>
          <w:tcPr>
            <w:tcW w:type="dxa" w:w="2120"/>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Area</w:t>
            </w:r>
          </w:p>
        </w:tc>
        <w:tc>
          <w:tcPr>
            <w:tcW w:type="dxa" w:w="7518"/>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Data required</w:t>
            </w:r>
          </w:p>
        </w:tc>
      </w:tr>
      <w:tr>
        <w:trPr>
          <w:cantSplit/>
        </w:trPr>
        <w:tc>
          <w:tcPr>
            <w:tcW w:type="dxa" w:w="212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7"/>
                <w:szCs w:val="17"/>
              </w:rPr>
              <w:t xml:space="preserve">Results</w:t>
            </w:r>
          </w:p>
        </w:tc>
        <w:tc>
          <w:tcPr>
            <w:tcW w:type="dxa" w:w="751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7"/>
                <w:szCs w:val="17"/>
              </w:rPr>
              <w:t xml:space="preserve">Revenue, EBITDA and net profit or loss, FY2023–FY2025, audited; restatements</w:t>
            </w:r>
          </w:p>
        </w:tc>
      </w:tr>
      <w:tr>
        <w:trPr>
          <w:cantSplit/>
        </w:trPr>
        <w:tc>
          <w:tcPr>
            <w:tcW w:type="dxa" w:w="212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7"/>
                <w:szCs w:val="17"/>
              </w:rPr>
              <w:t xml:space="preserve">Debt and liquidity</w:t>
            </w:r>
          </w:p>
        </w:tc>
        <w:tc>
          <w:tcPr>
            <w:tcW w:type="dxa" w:w="7518"/>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7"/>
                <w:szCs w:val="17"/>
              </w:rPr>
              <w:t xml:space="preserve">Total and interest-bearing debt; net debt/equity; interest coverage; cash runway; maturity wall; covenants</w:t>
            </w:r>
          </w:p>
        </w:tc>
      </w:tr>
      <w:tr>
        <w:trPr>
          <w:cantSplit/>
        </w:trPr>
        <w:tc>
          <w:tcPr>
            <w:tcW w:type="dxa" w:w="212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7"/>
                <w:szCs w:val="17"/>
              </w:rPr>
              <w:t xml:space="preserve">Receivables</w:t>
            </w:r>
          </w:p>
        </w:tc>
        <w:tc>
          <w:tcPr>
            <w:tcW w:type="dxa" w:w="751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7"/>
                <w:szCs w:val="17"/>
              </w:rPr>
              <w:t xml:space="preserve">Days sales outstanding; amounts owed by government, by SOE owners and by others; ageing; disputed amounts</w:t>
            </w:r>
          </w:p>
        </w:tc>
      </w:tr>
      <w:tr>
        <w:trPr>
          <w:cantSplit/>
        </w:trPr>
        <w:tc>
          <w:tcPr>
            <w:tcW w:type="dxa" w:w="212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7"/>
                <w:szCs w:val="17"/>
              </w:rPr>
              <w:t xml:space="preserve">Order book</w:t>
            </w:r>
          </w:p>
        </w:tc>
        <w:tc>
          <w:tcPr>
            <w:tcW w:type="dxa" w:w="7518"/>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7"/>
                <w:szCs w:val="17"/>
              </w:rPr>
              <w:t xml:space="preserve">New contracts and backlog by owner type and sector; margin at bid; share of loss-making contracts</w:t>
            </w:r>
          </w:p>
        </w:tc>
      </w:tr>
      <w:tr>
        <w:trPr>
          <w:cantSplit/>
        </w:trPr>
        <w:tc>
          <w:tcPr>
            <w:tcW w:type="dxa" w:w="212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7"/>
                <w:szCs w:val="17"/>
              </w:rPr>
              <w:t xml:space="preserve">Legacy assets</w:t>
            </w:r>
          </w:p>
        </w:tc>
        <w:tc>
          <w:tcPr>
            <w:tcW w:type="dxa" w:w="751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7"/>
                <w:szCs w:val="17"/>
              </w:rPr>
              <w:t xml:space="preserve">Concessions, property and other non-core assets at book and fair value; encumbrances; funding needs</w:t>
            </w:r>
          </w:p>
        </w:tc>
      </w:tr>
      <w:tr>
        <w:trPr>
          <w:cantSplit/>
        </w:trPr>
        <w:tc>
          <w:tcPr>
            <w:tcW w:type="dxa" w:w="212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pPr>
            <w:r>
              <w:rPr>
                <w:rFonts w:ascii="Arial" w:cs="Arial" w:eastAsia="Arial" w:hAnsi="Arial"/>
                <w:b/>
                <w:bCs/>
                <w:color w:val="000000"/>
                <w:sz w:val="17"/>
                <w:szCs w:val="17"/>
              </w:rPr>
              <w:t xml:space="preserve">History of support</w:t>
            </w:r>
          </w:p>
        </w:tc>
        <w:tc>
          <w:tcPr>
            <w:tcW w:type="dxa" w:w="7518"/>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7"/>
                <w:szCs w:val="17"/>
              </w:rPr>
              <w:t xml:space="preserve">Restructurings, PKPU, capital injections (PMN) and their conditions</w:t>
            </w:r>
          </w:p>
        </w:tc>
      </w:tr>
    </w:tbl>
    <w:p>
      <w:pPr>
        <w:keepNext w:val="false"/>
        <w:spacing w:after="140"/>
      </w:pPr>
    </w:p>
    <w:p>
      <w:pPr>
        <w:keepNext/>
        <w:spacing w:after="60" w:before="120"/>
      </w:pPr>
      <w:r>
        <w:rPr>
          <w:rFonts w:ascii="Arial" w:cs="Arial" w:eastAsia="Arial" w:hAnsi="Arial"/>
          <w:b/>
          <w:bCs/>
          <w:color w:val="00338D"/>
          <w:sz w:val="18"/>
          <w:szCs w:val="18"/>
        </w:rPr>
        <w:t xml:space="preserve">Figure 6: </w:t>
      </w:r>
      <w:r>
        <w:rPr>
          <w:rFonts w:ascii="Arial" w:cs="Arial" w:eastAsia="Arial" w:hAnsi="Arial"/>
          <w:b/>
          <w:bCs/>
          <w:color w:val="00338D"/>
          <w:sz w:val="18"/>
          <w:szCs w:val="18"/>
        </w:rPr>
        <w:t xml:space="preserve">Infrastructure budget before and in 2025</w:t>
      </w:r>
    </w:p>
    <w:p>
      <w:pPr>
        <w:keepNext/>
        <w:spacing w:after="40"/>
      </w:pPr>
      <w:r>
        <w:drawing>
          <wp:inline distT="0" distB="0" distL="0" distR="0">
            <wp:extent cx="2926080" cy="2259077"/>
            <wp:effectExtent t="0" r="0" b="0" l="0"/>
            <wp:docPr id="6" name="c3_infra_budget.png" descr="Infrastructure budget before and in 2025" title="Infrastructure budget before and in 2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926080" cy="2259077"/>
                    </a:xfrm>
                    <a:prstGeom prst="rect">
                      <a:avLst/>
                    </a:prstGeom>
                  </pic:spPr>
                </pic:pic>
              </a:graphicData>
            </a:graphic>
          </wp:inline>
        </w:drawing>
      </w:r>
    </w:p>
    <w:p>
      <w:pPr>
        <w:spacing w:after="160"/>
      </w:pPr>
      <w:r>
        <w:rPr>
          <w:rFonts w:ascii="Arial" w:cs="Arial" w:eastAsia="Arial" w:hAnsi="Arial"/>
          <w:i/>
          <w:iCs/>
          <w:color w:val="000000"/>
          <w:sz w:val="15"/>
          <w:szCs w:val="15"/>
        </w:rPr>
        <w:t xml:space="preserve">Source: D3 p.3. The deck rounds the fall to 45%.</w:t>
      </w:r>
    </w:p>
    <w:p>
      <w:pPr>
        <w:pStyle w:val="Heading3"/>
        <w:keepNext/>
        <w:keepLines/>
        <w:spacing w:after="80" w:before="200"/>
      </w:pPr>
      <w:r>
        <w:rPr>
          <w:rFonts w:ascii="Arial" w:cs="Arial" w:eastAsia="Arial" w:hAnsi="Arial"/>
          <w:b/>
          <w:bCs/>
          <w:color w:val="005EB8"/>
          <w:sz w:val="22"/>
          <w:szCs w:val="22"/>
        </w:rPr>
        <w:t xml:space="preserve">Main problems</w:t>
      </w:r>
    </w:p>
    <w:p>
      <w:pPr>
        <w:pStyle w:val="ListParagraph"/>
        <w:numPr>
          <w:ilvl w:val="0"/>
          <w:numId w:val="2"/>
        </w:numPr>
        <w:spacing w:after="60" w:line="264"/>
      </w:pPr>
      <w:r>
        <w:rPr>
          <w:rFonts w:ascii="Arial" w:cs="Arial" w:eastAsia="Arial" w:hAnsi="Arial"/>
          <w:sz w:val="20"/>
          <w:szCs w:val="20"/>
        </w:rPr>
        <w:t xml:space="preserve">Many projects with low margins, or assigned for policy objectives without full commercial compensation or funding.</w:t>
      </w:r>
    </w:p>
    <w:p>
      <w:pPr>
        <w:pStyle w:val="ListParagraph"/>
        <w:numPr>
          <w:ilvl w:val="0"/>
          <w:numId w:val="2"/>
        </w:numPr>
        <w:spacing w:after="60" w:line="264"/>
      </w:pPr>
      <w:r>
        <w:rPr>
          <w:rFonts w:ascii="Arial" w:cs="Arial" w:eastAsia="Arial" w:hAnsi="Arial"/>
          <w:sz w:val="20"/>
          <w:szCs w:val="20"/>
        </w:rPr>
        <w:t xml:space="preserve">Toll roads and other infrastructure financed with corporate debt.</w:t>
      </w:r>
    </w:p>
    <w:p>
      <w:pPr>
        <w:pStyle w:val="ListParagraph"/>
        <w:numPr>
          <w:ilvl w:val="0"/>
          <w:numId w:val="2"/>
        </w:numPr>
        <w:spacing w:after="60" w:line="264"/>
      </w:pPr>
      <w:r>
        <w:rPr>
          <w:rFonts w:ascii="Arial" w:cs="Arial" w:eastAsia="Arial" w:hAnsi="Arial"/>
          <w:sz w:val="20"/>
          <w:szCs w:val="20"/>
        </w:rPr>
        <w:t xml:space="preserve">Delayed receivables and slow payment from government and project owners.</w:t>
      </w:r>
    </w:p>
    <w:p>
      <w:pPr>
        <w:pStyle w:val="ListParagraph"/>
        <w:numPr>
          <w:ilvl w:val="0"/>
          <w:numId w:val="2"/>
        </w:numPr>
        <w:spacing w:after="60" w:line="264"/>
      </w:pPr>
      <w:r>
        <w:rPr>
          <w:rFonts w:ascii="Arial" w:cs="Arial" w:eastAsia="Arial" w:hAnsi="Arial"/>
          <w:sz w:val="20"/>
          <w:szCs w:val="20"/>
        </w:rPr>
        <w:t xml:space="preserve">Cost overruns and project delays.</w:t>
      </w:r>
    </w:p>
    <w:p>
      <w:pPr>
        <w:pStyle w:val="ListParagraph"/>
        <w:numPr>
          <w:ilvl w:val="0"/>
          <w:numId w:val="2"/>
        </w:numPr>
        <w:spacing w:after="60" w:line="264"/>
      </w:pPr>
      <w:r>
        <w:rPr>
          <w:rFonts w:ascii="Arial" w:cs="Arial" w:eastAsia="Arial" w:hAnsi="Arial"/>
          <w:sz w:val="20"/>
          <w:szCs w:val="20"/>
        </w:rPr>
        <w:t xml:space="preserve">High leverage, low asset quality and negative cash flow.</w:t>
      </w:r>
    </w:p>
    <w:p>
      <w:pPr>
        <w:pStyle w:val="ListParagraph"/>
        <w:numPr>
          <w:ilvl w:val="0"/>
          <w:numId w:val="2"/>
        </w:numPr>
        <w:spacing w:after="60" w:line="264"/>
      </w:pPr>
      <w:r>
        <w:rPr>
          <w:rFonts w:ascii="Arial" w:cs="Arial" w:eastAsia="Arial" w:hAnsi="Arial"/>
          <w:sz w:val="20"/>
          <w:szCs w:val="20"/>
        </w:rPr>
        <w:t xml:space="preserve">Governance that did not sufficiently protect commercial discipline.</w:t>
      </w:r>
    </w:p>
    <w:p>
      <w:pPr>
        <w:spacing w:after="160"/>
      </w:pPr>
      <w:r>
        <w:rPr>
          <w:rFonts w:ascii="Arial" w:cs="Arial" w:eastAsia="Arial" w:hAnsi="Arial"/>
          <w:i/>
          <w:iCs/>
          <w:color w:val="000000"/>
          <w:sz w:val="15"/>
          <w:szCs w:val="15"/>
        </w:rPr>
        <w:t xml:space="preserve">Source: D3 pp.3 and 5. D3 does not name the budget line or the prior year; the figures should be confirmed against the state budget documents.</w:t>
      </w:r>
    </w:p>
    <w:p>
      <w:pPr>
        <w:pStyle w:val="Heading3"/>
        <w:keepNext/>
        <w:keepLines/>
        <w:spacing w:after="80" w:before="200"/>
      </w:pPr>
      <w:r>
        <w:rPr>
          <w:rFonts w:ascii="Arial" w:cs="Arial" w:eastAsia="Arial" w:hAnsi="Arial"/>
          <w:b/>
          <w:bCs/>
          <w:color w:val="005EB8"/>
          <w:sz w:val="22"/>
          <w:szCs w:val="22"/>
        </w:rPr>
        <w:t xml:space="preserve">Root causes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84"/>
        <w:gridCol w:w="6554"/>
      </w:tblGrid>
      <w:tr>
        <w:trPr>
          <w:cantSplit/>
          <w:tblHeader/>
        </w:trPr>
        <w:tc>
          <w:tcPr>
            <w:tcW w:type="dxa" w:w="3084"/>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Cause</w:t>
            </w:r>
          </w:p>
        </w:tc>
        <w:tc>
          <w:tcPr>
            <w:tcW w:type="dxa" w:w="6554"/>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Mechanism</w:t>
            </w:r>
          </w:p>
        </w:tc>
      </w:tr>
      <w:tr>
        <w:trPr>
          <w:cantSplit/>
        </w:trPr>
        <w:tc>
          <w:tcPr>
            <w:tcW w:type="dxa" w:w="3084"/>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7"/>
                <w:szCs w:val="17"/>
              </w:rPr>
              <w:t xml:space="preserve">Aggressive infrastructure expansion</w:t>
            </w:r>
          </w:p>
        </w:tc>
        <w:tc>
          <w:tcPr>
            <w:tcW w:type="dxa" w:w="6554"/>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7"/>
                <w:szCs w:val="17"/>
              </w:rPr>
              <w:t xml:space="preserve">Many toll-road, rail, airport, dam and port projects taken on in a short period</w:t>
            </w:r>
          </w:p>
        </w:tc>
      </w:tr>
      <w:tr>
        <w:trPr>
          <w:cantSplit/>
        </w:trPr>
        <w:tc>
          <w:tcPr>
            <w:tcW w:type="dxa" w:w="3084"/>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7"/>
                <w:szCs w:val="17"/>
              </w:rPr>
              <w:t xml:space="preserve">Low construction margins</w:t>
            </w:r>
          </w:p>
        </w:tc>
        <w:tc>
          <w:tcPr>
            <w:tcW w:type="dxa" w:w="6554"/>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7"/>
                <w:szCs w:val="17"/>
              </w:rPr>
              <w:t xml:space="preserve">Intense competition and policy-assigned projects without full compensation</w:t>
            </w:r>
          </w:p>
        </w:tc>
      </w:tr>
      <w:tr>
        <w:trPr>
          <w:cantSplit/>
        </w:trPr>
        <w:tc>
          <w:tcPr>
            <w:tcW w:type="dxa" w:w="3084"/>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7"/>
                <w:szCs w:val="17"/>
              </w:rPr>
              <w:t xml:space="preserve">Late payment by government and SOE owners</w:t>
            </w:r>
          </w:p>
        </w:tc>
        <w:tc>
          <w:tcPr>
            <w:tcW w:type="dxa" w:w="6554"/>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7"/>
                <w:szCs w:val="17"/>
              </w:rPr>
              <w:t xml:space="preserve">Receivables became a funding problem</w:t>
            </w:r>
          </w:p>
        </w:tc>
      </w:tr>
      <w:tr>
        <w:trPr>
          <w:cantSplit/>
        </w:trPr>
        <w:tc>
          <w:tcPr>
            <w:tcW w:type="dxa" w:w="3084"/>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7"/>
                <w:szCs w:val="17"/>
              </w:rPr>
              <w:t xml:space="preserve">Turnkey and EPC risk</w:t>
            </w:r>
          </w:p>
        </w:tc>
        <w:tc>
          <w:tcPr>
            <w:tcW w:type="dxa" w:w="6554"/>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7"/>
                <w:szCs w:val="17"/>
              </w:rPr>
              <w:t xml:space="preserve">Contractor carries design, procurement, construction and commissioning risk</w:t>
            </w:r>
          </w:p>
        </w:tc>
      </w:tr>
      <w:tr>
        <w:trPr>
          <w:cantSplit/>
        </w:trPr>
        <w:tc>
          <w:tcPr>
            <w:tcW w:type="dxa" w:w="3084"/>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pPr>
            <w:r>
              <w:rPr>
                <w:rFonts w:ascii="Arial" w:cs="Arial" w:eastAsia="Arial" w:hAnsi="Arial"/>
                <w:b/>
                <w:bCs/>
                <w:color w:val="000000"/>
                <w:sz w:val="17"/>
                <w:szCs w:val="17"/>
              </w:rPr>
              <w:t xml:space="preserve">Governance and incentives</w:t>
            </w:r>
          </w:p>
        </w:tc>
        <w:tc>
          <w:tcPr>
            <w:tcW w:type="dxa" w:w="6554"/>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7"/>
                <w:szCs w:val="17"/>
              </w:rPr>
              <w:t xml:space="preserve">Success measured by project completion, not profitability</w:t>
            </w:r>
          </w:p>
        </w:tc>
      </w:tr>
    </w:tbl>
    <w:p>
      <w:pPr>
        <w:keepNext w:val="false"/>
        <w:spacing w:after="140"/>
      </w:pPr>
    </w:p>
    <w:p>
      <w:pPr>
        <w:spacing w:after="110" w:before="0" w:line="264"/>
        <w:jc w:val="left"/>
      </w:pPr>
      <w:r>
        <w:rPr>
          <w:rFonts w:ascii="Arial" w:cs="Arial" w:eastAsia="Arial" w:hAnsi="Arial"/>
          <w:color w:val="000000"/>
          <w:sz w:val="20"/>
          <w:szCs w:val="20"/>
        </w:rPr>
        <w:t xml:space="preserve">The consequences are negative cash flow, high leverage, poor asset quality, declining capacity to take on projects, and risk to the companies' continuity [D3 p.3].</w:t>
      </w:r>
    </w:p>
    <w:p>
      <w:pPr>
        <w:pStyle w:val="Heading2"/>
        <w:keepNext/>
        <w:keepLines/>
        <w:spacing w:after="120" w:before="280"/>
      </w:pPr>
      <w:r>
        <w:rPr>
          <w:rFonts w:ascii="Arial" w:cs="Arial" w:eastAsia="Arial" w:hAnsi="Arial"/>
          <w:b/>
          <w:bCs/>
          <w:color w:val="00338D"/>
          <w:sz w:val="28"/>
          <w:szCs w:val="28"/>
        </w:rPr>
        <w:t xml:space="preserve">11.2 Current model versus the model required</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19"/>
        <w:gridCol w:w="4819"/>
      </w:tblGrid>
      <w:tr>
        <w:trPr>
          <w:cantSplit/>
          <w:tblHeader/>
        </w:trPr>
        <w:tc>
          <w:tcPr>
            <w:tcW w:type="dxa" w:w="4819"/>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Current model: infrastructure investment conglomerate</w:t>
            </w:r>
          </w:p>
        </w:tc>
        <w:tc>
          <w:tcPr>
            <w:tcW w:type="dxa" w:w="4819"/>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Target model: disciplined construction company</w:t>
            </w:r>
          </w:p>
        </w:tc>
      </w:tr>
      <w:tr>
        <w:trPr>
          <w:cantSplit/>
        </w:trPr>
        <w:tc>
          <w:tcPr>
            <w:tcW w:type="dxa" w:w="4819"/>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7"/>
                <w:szCs w:val="17"/>
              </w:rPr>
              <w:t xml:space="preserve">Main contractor and EPC contractor</w:t>
            </w:r>
          </w:p>
        </w:tc>
        <w:tc>
          <w:tcPr>
            <w:tcW w:type="dxa" w:w="4819"/>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7"/>
                <w:szCs w:val="17"/>
              </w:rPr>
              <w:t xml:space="preserve">Focus on the core construction business</w:t>
            </w:r>
          </w:p>
        </w:tc>
      </w:tr>
      <w:tr>
        <w:trPr>
          <w:cantSplit/>
        </w:trPr>
        <w:tc>
          <w:tcPr>
            <w:tcW w:type="dxa" w:w="4819"/>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7"/>
                <w:szCs w:val="17"/>
              </w:rPr>
              <w:t xml:space="preserve">Project developer</w:t>
            </w:r>
          </w:p>
        </w:tc>
        <w:tc>
          <w:tcPr>
            <w:tcW w:type="dxa" w:w="4819"/>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7"/>
                <w:szCs w:val="17"/>
              </w:rPr>
              <w:t xml:space="preserve">Selective: only projects with healthy margins</w:t>
            </w:r>
          </w:p>
        </w:tc>
      </w:tr>
      <w:tr>
        <w:trPr>
          <w:cantSplit/>
        </w:trPr>
        <w:tc>
          <w:tcPr>
            <w:tcW w:type="dxa" w:w="4819"/>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7"/>
                <w:szCs w:val="17"/>
              </w:rPr>
              <w:t xml:space="preserve">Toll-road investor and property developer</w:t>
            </w:r>
          </w:p>
        </w:tc>
        <w:tc>
          <w:tcPr>
            <w:tcW w:type="dxa" w:w="4819"/>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7"/>
                <w:szCs w:val="17"/>
              </w:rPr>
              <w:t xml:space="preserve">No excessive ownership of long-term assets</w:t>
            </w:r>
          </w:p>
        </w:tc>
      </w:tr>
      <w:tr>
        <w:trPr>
          <w:cantSplit/>
        </w:trPr>
        <w:tc>
          <w:tcPr>
            <w:tcW w:type="dxa" w:w="4819"/>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7"/>
                <w:szCs w:val="17"/>
              </w:rPr>
              <w:t xml:space="preserve">Owner of infrastructure assets</w:t>
            </w:r>
          </w:p>
        </w:tc>
        <w:tc>
          <w:tcPr>
            <w:tcW w:type="dxa" w:w="4819"/>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7"/>
                <w:szCs w:val="17"/>
              </w:rPr>
              <w:t xml:space="preserve">Project funding from the owner, not from company debt</w:t>
            </w:r>
          </w:p>
        </w:tc>
      </w:tr>
      <w:tr>
        <w:trPr>
          <w:cantSplit/>
        </w:trPr>
        <w:tc>
          <w:tcPr>
            <w:tcW w:type="dxa" w:w="4819"/>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7"/>
                <w:szCs w:val="17"/>
              </w:rPr>
              <w:t xml:space="preserve">Supplier through subsidiaries</w:t>
            </w:r>
          </w:p>
        </w:tc>
        <w:tc>
          <w:tcPr>
            <w:tcW w:type="dxa" w:w="4819"/>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7"/>
                <w:szCs w:val="17"/>
              </w:rPr>
              <w:t xml:space="preserve">Strong project risk management</w:t>
            </w:r>
          </w:p>
        </w:tc>
      </w:tr>
      <w:tr>
        <w:trPr>
          <w:cantSplit/>
        </w:trPr>
        <w:tc>
          <w:tcPr>
            <w:tcW w:type="dxa" w:w="4819"/>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7"/>
                <w:szCs w:val="17"/>
              </w:rPr>
              <w:t xml:space="preserve">Financier of government projects</w:t>
            </w:r>
          </w:p>
        </w:tc>
        <w:tc>
          <w:tcPr>
            <w:tcW w:type="dxa" w:w="4819"/>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7"/>
                <w:szCs w:val="17"/>
              </w:rPr>
              <w:t xml:space="preserve">Professional and independent governance</w:t>
            </w:r>
          </w:p>
        </w:tc>
      </w:tr>
      <w:tr>
        <w:trPr>
          <w:cantSplit/>
        </w:trPr>
        <w:tc>
          <w:tcPr>
            <w:tcW w:type="dxa" w:w="4819"/>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pPr>
            <w:r>
              <w:rPr>
                <w:rFonts w:ascii="Arial" w:cs="Arial" w:eastAsia="Arial" w:hAnsi="Arial"/>
                <w:color w:val="000000"/>
                <w:sz w:val="17"/>
                <w:szCs w:val="17"/>
              </w:rPr>
              <w:t xml:space="preserve">Instrument for accelerating national infrastructure</w:t>
            </w:r>
          </w:p>
        </w:tc>
        <w:tc>
          <w:tcPr>
            <w:tcW w:type="dxa" w:w="4819"/>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pPr>
            <w:r>
              <w:rPr>
                <w:rFonts w:ascii="Arial" w:cs="Arial" w:eastAsia="Arial" w:hAnsi="Arial"/>
                <w:color w:val="000000"/>
                <w:sz w:val="17"/>
                <w:szCs w:val="17"/>
              </w:rPr>
              <w:t xml:space="preserve">High operational capability and productivity; sustainable growth and profitability</w:t>
            </w:r>
          </w:p>
        </w:tc>
      </w:tr>
    </w:tbl>
    <w:p>
      <w:pPr>
        <w:keepNext w:val="false"/>
        <w:spacing w:after="140"/>
      </w:pPr>
    </w:p>
    <w:p>
      <w:pPr>
        <w:spacing w:after="160"/>
      </w:pPr>
      <w:r>
        <w:rPr>
          <w:rFonts w:ascii="Arial" w:cs="Arial" w:eastAsia="Arial" w:hAnsi="Arial"/>
          <w:i/>
          <w:iCs/>
          <w:color w:val="000000"/>
          <w:sz w:val="15"/>
          <w:szCs w:val="15"/>
        </w:rPr>
        <w:t xml:space="preserve">Source: D3 p.3.</w:t>
      </w:r>
    </w:p>
    <w:p>
      <w:pPr>
        <w:pStyle w:val="Heading3"/>
        <w:keepNext/>
        <w:keepLines/>
        <w:spacing w:after="80" w:before="200"/>
      </w:pPr>
      <w:r>
        <w:rPr>
          <w:rFonts w:ascii="Arial" w:cs="Arial" w:eastAsia="Arial" w:hAnsi="Arial"/>
          <w:b/>
          <w:bCs/>
          <w:color w:val="005EB8"/>
          <w:sz w:val="22"/>
          <w:szCs w:val="22"/>
        </w:rPr>
        <w:t xml:space="preserve">Assets that became burdens</w:t>
      </w:r>
    </w:p>
    <w:p>
      <w:pPr>
        <w:spacing w:after="110" w:before="0" w:line="264"/>
        <w:jc w:val="left"/>
      </w:pPr>
      <w:r>
        <w:rPr>
          <w:rFonts w:ascii="Arial" w:cs="Arial" w:eastAsia="Arial" w:hAnsi="Arial"/>
          <w:color w:val="000000"/>
          <w:sz w:val="20"/>
          <w:szCs w:val="20"/>
        </w:rPr>
        <w:t xml:space="preserve">Toll roads, residential property, airports, power plants, ports, mining concessions, hotels, industrial estates and factories. D3 recommends that these assets be placed in a </w:t>
      </w:r>
      <w:r>
        <w:rPr>
          <w:rFonts w:ascii="Arial" w:cs="Arial" w:eastAsia="Arial" w:hAnsi="Arial"/>
          <w:b/>
          <w:bCs/>
          <w:color w:val="000000"/>
          <w:sz w:val="20"/>
          <w:szCs w:val="20"/>
        </w:rPr>
        <w:t xml:space="preserve">separate investment company with separate funding and governance</w:t>
      </w:r>
      <w:r>
        <w:rPr>
          <w:rFonts w:ascii="Arial" w:cs="Arial" w:eastAsia="Arial" w:hAnsi="Arial"/>
          <w:color w:val="000000"/>
          <w:sz w:val="20"/>
          <w:szCs w:val="20"/>
        </w:rPr>
        <w:t xml:space="preserve"> [D3 p.3].</w:t>
      </w:r>
    </w:p>
    <w:p>
      <w:pPr>
        <w:pStyle w:val="Heading2"/>
        <w:keepNext/>
        <w:keepLines/>
        <w:spacing w:after="120" w:before="280"/>
      </w:pPr>
      <w:r>
        <w:rPr>
          <w:rFonts w:ascii="Arial" w:cs="Arial" w:eastAsia="Arial" w:hAnsi="Arial"/>
          <w:b/>
          <w:bCs/>
          <w:color w:val="00338D"/>
          <w:sz w:val="28"/>
          <w:szCs w:val="28"/>
        </w:rPr>
        <w:t xml:space="preserve">11.3 Direction of transformation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19"/>
        <w:gridCol w:w="260"/>
        <w:gridCol w:w="1719"/>
        <w:gridCol w:w="260"/>
        <w:gridCol w:w="1719"/>
        <w:gridCol w:w="260"/>
        <w:gridCol w:w="1719"/>
        <w:gridCol w:w="260"/>
        <w:gridCol w:w="1722"/>
      </w:tblGrid>
      <w:tr>
        <w:trPr>
          <w:cantSplit/>
        </w:trPr>
        <w:tc>
          <w:tcPr>
            <w:tcW w:type="dxa" w:w="1719"/>
            <w:tcBorders>
              <w:top w:val="none" w:color="FFFFFF" w:sz="0"/>
              <w:left w:val="none" w:color="FFFFFF" w:sz="0"/>
              <w:bottom w:val="none" w:color="FFFFFF" w:sz="0"/>
              <w:right w:val="none" w:color="FFFFFF" w:sz="0"/>
            </w:tcBorders>
            <w:shd w:fill="00338D" w:color="auto" w:val="clear"/>
            <w:tcMar>
              <w:top w:type="dxa" w:w="100"/>
              <w:left w:type="dxa" w:w="90"/>
              <w:bottom w:type="dxa" w:w="100"/>
              <w:right w:type="dxa" w:w="90"/>
            </w:tcMar>
          </w:tcPr>
          <w:p>
            <w:pPr>
              <w:spacing w:after="40" w:line="240"/>
            </w:pPr>
            <w:r>
              <w:rPr>
                <w:rFonts w:ascii="Arial" w:cs="Arial" w:eastAsia="Arial" w:hAnsi="Arial"/>
                <w:b/>
                <w:bCs/>
                <w:color w:val="FFFFFF"/>
                <w:sz w:val="17"/>
                <w:szCs w:val="17"/>
              </w:rPr>
              <w:t xml:space="preserve">1 Focus</w:t>
            </w:r>
          </w:p>
          <w:p>
            <w:pPr>
              <w:spacing w:after="0" w:line="236"/>
            </w:pPr>
            <w:r>
              <w:rPr>
                <w:rFonts w:ascii="Arial" w:cs="Arial" w:eastAsia="Arial" w:hAnsi="Arial"/>
                <w:color w:val="FFFFFF"/>
                <w:sz w:val="15"/>
                <w:szCs w:val="15"/>
              </w:rPr>
              <w:t xml:space="preserve">On the core construction business</w:t>
            </w:r>
          </w:p>
        </w:tc>
        <w:tc>
          <w:tcPr>
            <w:tcW w:type="dxa" w:w="26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jc w:val="center"/>
            </w:pPr>
            <w:r>
              <w:rPr>
                <w:rFonts w:ascii="Arial" w:cs="Arial" w:eastAsia="Arial" w:hAnsi="Arial"/>
                <w:color w:val="005EB8"/>
                <w:sz w:val="18"/>
                <w:szCs w:val="18"/>
              </w:rPr>
              <w:t xml:space="preserve">►</w:t>
            </w:r>
          </w:p>
        </w:tc>
        <w:tc>
          <w:tcPr>
            <w:tcW w:type="dxa" w:w="1719"/>
            <w:tcBorders>
              <w:top w:val="none" w:color="FFFFFF" w:sz="0"/>
              <w:left w:val="none" w:color="FFFFFF" w:sz="0"/>
              <w:bottom w:val="none" w:color="FFFFFF" w:sz="0"/>
              <w:right w:val="none" w:color="FFFFFF" w:sz="0"/>
            </w:tcBorders>
            <w:shd w:fill="005EB8" w:color="auto" w:val="clear"/>
            <w:tcMar>
              <w:top w:type="dxa" w:w="100"/>
              <w:left w:type="dxa" w:w="90"/>
              <w:bottom w:type="dxa" w:w="100"/>
              <w:right w:type="dxa" w:w="90"/>
            </w:tcMar>
          </w:tcPr>
          <w:p>
            <w:pPr>
              <w:spacing w:after="40" w:line="240"/>
            </w:pPr>
            <w:r>
              <w:rPr>
                <w:rFonts w:ascii="Arial" w:cs="Arial" w:eastAsia="Arial" w:hAnsi="Arial"/>
                <w:b/>
                <w:bCs/>
                <w:color w:val="FFFFFF"/>
                <w:sz w:val="17"/>
                <w:szCs w:val="17"/>
              </w:rPr>
              <w:t xml:space="preserve">2 Select</w:t>
            </w:r>
          </w:p>
          <w:p>
            <w:pPr>
              <w:spacing w:after="0" w:line="236"/>
            </w:pPr>
            <w:r>
              <w:rPr>
                <w:rFonts w:ascii="Arial" w:cs="Arial" w:eastAsia="Arial" w:hAnsi="Arial"/>
                <w:color w:val="FFFFFF"/>
                <w:sz w:val="15"/>
                <w:szCs w:val="15"/>
              </w:rPr>
              <w:t xml:space="preserve">Projects with healthy margins</w:t>
            </w:r>
          </w:p>
        </w:tc>
        <w:tc>
          <w:tcPr>
            <w:tcW w:type="dxa" w:w="26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jc w:val="center"/>
            </w:pPr>
            <w:r>
              <w:rPr>
                <w:rFonts w:ascii="Arial" w:cs="Arial" w:eastAsia="Arial" w:hAnsi="Arial"/>
                <w:color w:val="005EB8"/>
                <w:sz w:val="18"/>
                <w:szCs w:val="18"/>
              </w:rPr>
              <w:t xml:space="preserve">►</w:t>
            </w:r>
          </w:p>
        </w:tc>
        <w:tc>
          <w:tcPr>
            <w:tcW w:type="dxa" w:w="1719"/>
            <w:tcBorders>
              <w:top w:val="none" w:color="FFFFFF" w:sz="0"/>
              <w:left w:val="none" w:color="FFFFFF" w:sz="0"/>
              <w:bottom w:val="none" w:color="FFFFFF" w:sz="0"/>
              <w:right w:val="none" w:color="FFFFFF" w:sz="0"/>
            </w:tcBorders>
            <w:shd w:fill="00338D" w:color="auto" w:val="clear"/>
            <w:tcMar>
              <w:top w:type="dxa" w:w="100"/>
              <w:left w:type="dxa" w:w="90"/>
              <w:bottom w:type="dxa" w:w="100"/>
              <w:right w:type="dxa" w:w="90"/>
            </w:tcMar>
          </w:tcPr>
          <w:p>
            <w:pPr>
              <w:spacing w:after="40" w:line="240"/>
            </w:pPr>
            <w:r>
              <w:rPr>
                <w:rFonts w:ascii="Arial" w:cs="Arial" w:eastAsia="Arial" w:hAnsi="Arial"/>
                <w:b/>
                <w:bCs/>
                <w:color w:val="FFFFFF"/>
                <w:sz w:val="17"/>
                <w:szCs w:val="17"/>
              </w:rPr>
              <w:t xml:space="preserve">3 Control</w:t>
            </w:r>
          </w:p>
          <w:p>
            <w:pPr>
              <w:spacing w:after="0" w:line="236"/>
            </w:pPr>
            <w:r>
              <w:rPr>
                <w:rFonts w:ascii="Arial" w:cs="Arial" w:eastAsia="Arial" w:hAnsi="Arial"/>
                <w:color w:val="FFFFFF"/>
                <w:sz w:val="15"/>
                <w:szCs w:val="15"/>
              </w:rPr>
              <w:t xml:space="preserve">Project and risk management</w:t>
            </w:r>
          </w:p>
        </w:tc>
        <w:tc>
          <w:tcPr>
            <w:tcW w:type="dxa" w:w="26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jc w:val="center"/>
            </w:pPr>
            <w:r>
              <w:rPr>
                <w:rFonts w:ascii="Arial" w:cs="Arial" w:eastAsia="Arial" w:hAnsi="Arial"/>
                <w:color w:val="005EB8"/>
                <w:sz w:val="18"/>
                <w:szCs w:val="18"/>
              </w:rPr>
              <w:t xml:space="preserve">►</w:t>
            </w:r>
          </w:p>
        </w:tc>
        <w:tc>
          <w:tcPr>
            <w:tcW w:type="dxa" w:w="1719"/>
            <w:tcBorders>
              <w:top w:val="none" w:color="FFFFFF" w:sz="0"/>
              <w:left w:val="none" w:color="FFFFFF" w:sz="0"/>
              <w:bottom w:val="none" w:color="FFFFFF" w:sz="0"/>
              <w:right w:val="none" w:color="FFFFFF" w:sz="0"/>
            </w:tcBorders>
            <w:shd w:fill="005EB8" w:color="auto" w:val="clear"/>
            <w:tcMar>
              <w:top w:type="dxa" w:w="100"/>
              <w:left w:type="dxa" w:w="90"/>
              <w:bottom w:type="dxa" w:w="100"/>
              <w:right w:type="dxa" w:w="90"/>
            </w:tcMar>
          </w:tcPr>
          <w:p>
            <w:pPr>
              <w:spacing w:after="40" w:line="240"/>
            </w:pPr>
            <w:r>
              <w:rPr>
                <w:rFonts w:ascii="Arial" w:cs="Arial" w:eastAsia="Arial" w:hAnsi="Arial"/>
                <w:b/>
                <w:bCs/>
                <w:color w:val="FFFFFF"/>
                <w:sz w:val="17"/>
                <w:szCs w:val="17"/>
              </w:rPr>
              <w:t xml:space="preserve">4 Govern</w:t>
            </w:r>
          </w:p>
          <w:p>
            <w:pPr>
              <w:spacing w:after="0" w:line="236"/>
            </w:pPr>
            <w:r>
              <w:rPr>
                <w:rFonts w:ascii="Arial" w:cs="Arial" w:eastAsia="Arial" w:hAnsi="Arial"/>
                <w:color w:val="FFFFFF"/>
                <w:sz w:val="15"/>
                <w:szCs w:val="15"/>
              </w:rPr>
              <w:t xml:space="preserve">Professional and transparent</w:t>
            </w:r>
          </w:p>
        </w:tc>
        <w:tc>
          <w:tcPr>
            <w:tcW w:type="dxa" w:w="26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jc w:val="center"/>
            </w:pPr>
            <w:r>
              <w:rPr>
                <w:rFonts w:ascii="Arial" w:cs="Arial" w:eastAsia="Arial" w:hAnsi="Arial"/>
                <w:color w:val="005EB8"/>
                <w:sz w:val="18"/>
                <w:szCs w:val="18"/>
              </w:rPr>
              <w:t xml:space="preserve">►</w:t>
            </w:r>
          </w:p>
        </w:tc>
        <w:tc>
          <w:tcPr>
            <w:tcW w:type="dxa" w:w="1722"/>
            <w:tcBorders>
              <w:top w:val="none" w:color="FFFFFF" w:sz="0"/>
              <w:left w:val="none" w:color="FFFFFF" w:sz="0"/>
              <w:bottom w:val="none" w:color="FFFFFF" w:sz="0"/>
              <w:right w:val="none" w:color="FFFFFF" w:sz="0"/>
            </w:tcBorders>
            <w:shd w:fill="00338D" w:color="auto" w:val="clear"/>
            <w:tcMar>
              <w:top w:type="dxa" w:w="100"/>
              <w:left w:type="dxa" w:w="90"/>
              <w:bottom w:type="dxa" w:w="100"/>
              <w:right w:type="dxa" w:w="90"/>
            </w:tcMar>
          </w:tcPr>
          <w:p>
            <w:pPr>
              <w:spacing w:after="40" w:line="240"/>
            </w:pPr>
            <w:r>
              <w:rPr>
                <w:rFonts w:ascii="Arial" w:cs="Arial" w:eastAsia="Arial" w:hAnsi="Arial"/>
                <w:b/>
                <w:bCs/>
                <w:color w:val="FFFFFF"/>
                <w:sz w:val="17"/>
                <w:szCs w:val="17"/>
              </w:rPr>
              <w:t xml:space="preserve">5 Grow</w:t>
            </w:r>
          </w:p>
          <w:p>
            <w:pPr>
              <w:spacing w:after="0" w:line="236"/>
            </w:pPr>
            <w:r>
              <w:rPr>
                <w:rFonts w:ascii="Arial" w:cs="Arial" w:eastAsia="Arial" w:hAnsi="Arial"/>
                <w:color w:val="FFFFFF"/>
                <w:sz w:val="15"/>
                <w:szCs w:val="15"/>
              </w:rPr>
              <w:t xml:space="preserve">Sustainably</w:t>
            </w:r>
          </w:p>
        </w:tc>
      </w:tr>
    </w:tbl>
    <w:p>
      <w:pPr>
        <w:spacing w:after="160"/>
      </w:pPr>
    </w:p>
    <w:p>
      <w:pPr>
        <w:pStyle w:val="Heading3"/>
        <w:keepNext/>
        <w:keepLines/>
        <w:spacing w:after="80" w:before="200"/>
      </w:pPr>
      <w:r>
        <w:rPr>
          <w:rFonts w:ascii="Arial" w:cs="Arial" w:eastAsia="Arial" w:hAnsi="Arial"/>
          <w:b/>
          <w:bCs/>
          <w:color w:val="005EB8"/>
          <w:sz w:val="22"/>
          <w:szCs w:val="22"/>
        </w:rPr>
        <w:t xml:space="preserve">The healthy contractor's cash cycle</w:t>
      </w:r>
    </w:p>
    <w:p>
      <w:pPr>
        <w:spacing w:after="110" w:before="0" w:line="264"/>
        <w:jc w:val="left"/>
      </w:pPr>
      <w:r>
        <w:rPr>
          <w:rFonts w:ascii="Arial" w:cs="Arial" w:eastAsia="Arial" w:hAnsi="Arial"/>
          <w:color w:val="000000"/>
          <w:sz w:val="20"/>
          <w:szCs w:val="20"/>
        </w:rPr>
        <w:t xml:space="preserve">A healthy construction company is paid before it spends and bills as it builds. The six principles from D3 form a cycle that every bid and every project should be tested against:</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89"/>
        <w:gridCol w:w="260"/>
        <w:gridCol w:w="1389"/>
        <w:gridCol w:w="260"/>
        <w:gridCol w:w="1389"/>
        <w:gridCol w:w="260"/>
        <w:gridCol w:w="1389"/>
        <w:gridCol w:w="260"/>
        <w:gridCol w:w="1389"/>
        <w:gridCol w:w="260"/>
        <w:gridCol w:w="1393"/>
      </w:tblGrid>
      <w:tr>
        <w:trPr>
          <w:cantSplit/>
        </w:trPr>
        <w:tc>
          <w:tcPr>
            <w:tcW w:type="dxa" w:w="1389"/>
            <w:tcBorders>
              <w:top w:val="none" w:color="FFFFFF" w:sz="0"/>
              <w:left w:val="none" w:color="FFFFFF" w:sz="0"/>
              <w:bottom w:val="none" w:color="FFFFFF" w:sz="0"/>
              <w:right w:val="none" w:color="FFFFFF" w:sz="0"/>
            </w:tcBorders>
            <w:shd w:fill="00338D" w:color="auto" w:val="clear"/>
            <w:tcMar>
              <w:top w:type="dxa" w:w="100"/>
              <w:left w:type="dxa" w:w="90"/>
              <w:bottom w:type="dxa" w:w="100"/>
              <w:right w:type="dxa" w:w="90"/>
            </w:tcMar>
          </w:tcPr>
          <w:p>
            <w:pPr>
              <w:spacing w:after="40" w:line="240"/>
            </w:pPr>
            <w:r>
              <w:rPr>
                <w:rFonts w:ascii="Arial" w:cs="Arial" w:eastAsia="Arial" w:hAnsi="Arial"/>
                <w:b/>
                <w:bCs/>
                <w:color w:val="FFFFFF"/>
                <w:sz w:val="15"/>
                <w:szCs w:val="15"/>
              </w:rPr>
              <w:t xml:space="preserve">Receive</w:t>
            </w:r>
          </w:p>
          <w:p>
            <w:pPr>
              <w:spacing w:after="0" w:line="236"/>
            </w:pPr>
            <w:r>
              <w:rPr>
                <w:rFonts w:ascii="Arial" w:cs="Arial" w:eastAsia="Arial" w:hAnsi="Arial"/>
                <w:color w:val="FFFFFF"/>
                <w:sz w:val="14"/>
                <w:szCs w:val="14"/>
              </w:rPr>
              <w:t xml:space="preserve">Advance / mobilisation payment</w:t>
            </w:r>
          </w:p>
        </w:tc>
        <w:tc>
          <w:tcPr>
            <w:tcW w:type="dxa" w:w="26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jc w:val="center"/>
            </w:pPr>
            <w:r>
              <w:rPr>
                <w:rFonts w:ascii="Arial" w:cs="Arial" w:eastAsia="Arial" w:hAnsi="Arial"/>
                <w:color w:val="005EB8"/>
                <w:sz w:val="18"/>
                <w:szCs w:val="18"/>
              </w:rPr>
              <w:t xml:space="preserve">►</w:t>
            </w:r>
          </w:p>
        </w:tc>
        <w:tc>
          <w:tcPr>
            <w:tcW w:type="dxa" w:w="1389"/>
            <w:tcBorders>
              <w:top w:val="none" w:color="FFFFFF" w:sz="0"/>
              <w:left w:val="none" w:color="FFFFFF" w:sz="0"/>
              <w:bottom w:val="none" w:color="FFFFFF" w:sz="0"/>
              <w:right w:val="none" w:color="FFFFFF" w:sz="0"/>
            </w:tcBorders>
            <w:shd w:fill="005EB8" w:color="auto" w:val="clear"/>
            <w:tcMar>
              <w:top w:type="dxa" w:w="100"/>
              <w:left w:type="dxa" w:w="90"/>
              <w:bottom w:type="dxa" w:w="100"/>
              <w:right w:type="dxa" w:w="90"/>
            </w:tcMar>
          </w:tcPr>
          <w:p>
            <w:pPr>
              <w:spacing w:after="40" w:line="240"/>
            </w:pPr>
            <w:r>
              <w:rPr>
                <w:rFonts w:ascii="Arial" w:cs="Arial" w:eastAsia="Arial" w:hAnsi="Arial"/>
                <w:b/>
                <w:bCs/>
                <w:color w:val="FFFFFF"/>
                <w:sz w:val="15"/>
                <w:szCs w:val="15"/>
              </w:rPr>
              <w:t xml:space="preserve">Execute</w:t>
            </w:r>
          </w:p>
          <w:p>
            <w:pPr>
              <w:spacing w:after="0" w:line="236"/>
            </w:pPr>
            <w:r>
              <w:rPr>
                <w:rFonts w:ascii="Arial" w:cs="Arial" w:eastAsia="Arial" w:hAnsi="Arial"/>
                <w:color w:val="FFFFFF"/>
                <w:sz w:val="14"/>
                <w:szCs w:val="14"/>
              </w:rPr>
              <w:t xml:space="preserve">The work</w:t>
            </w:r>
          </w:p>
        </w:tc>
        <w:tc>
          <w:tcPr>
            <w:tcW w:type="dxa" w:w="26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jc w:val="center"/>
            </w:pPr>
            <w:r>
              <w:rPr>
                <w:rFonts w:ascii="Arial" w:cs="Arial" w:eastAsia="Arial" w:hAnsi="Arial"/>
                <w:color w:val="005EB8"/>
                <w:sz w:val="18"/>
                <w:szCs w:val="18"/>
              </w:rPr>
              <w:t xml:space="preserve">►</w:t>
            </w:r>
          </w:p>
        </w:tc>
        <w:tc>
          <w:tcPr>
            <w:tcW w:type="dxa" w:w="1389"/>
            <w:tcBorders>
              <w:top w:val="none" w:color="FFFFFF" w:sz="0"/>
              <w:left w:val="none" w:color="FFFFFF" w:sz="0"/>
              <w:bottom w:val="none" w:color="FFFFFF" w:sz="0"/>
              <w:right w:val="none" w:color="FFFFFF" w:sz="0"/>
            </w:tcBorders>
            <w:shd w:fill="00338D" w:color="auto" w:val="clear"/>
            <w:tcMar>
              <w:top w:type="dxa" w:w="100"/>
              <w:left w:type="dxa" w:w="90"/>
              <w:bottom w:type="dxa" w:w="100"/>
              <w:right w:type="dxa" w:w="90"/>
            </w:tcMar>
          </w:tcPr>
          <w:p>
            <w:pPr>
              <w:spacing w:after="40" w:line="240"/>
            </w:pPr>
            <w:r>
              <w:rPr>
                <w:rFonts w:ascii="Arial" w:cs="Arial" w:eastAsia="Arial" w:hAnsi="Arial"/>
                <w:b/>
                <w:bCs/>
                <w:color w:val="FFFFFF"/>
                <w:sz w:val="15"/>
                <w:szCs w:val="15"/>
              </w:rPr>
              <w:t xml:space="preserve">Certify</w:t>
            </w:r>
          </w:p>
          <w:p>
            <w:pPr>
              <w:spacing w:after="0" w:line="236"/>
            </w:pPr>
            <w:r>
              <w:rPr>
                <w:rFonts w:ascii="Arial" w:cs="Arial" w:eastAsia="Arial" w:hAnsi="Arial"/>
                <w:color w:val="FFFFFF"/>
                <w:sz w:val="14"/>
                <w:szCs w:val="14"/>
              </w:rPr>
              <w:t xml:space="preserve">Progress</w:t>
            </w:r>
          </w:p>
        </w:tc>
        <w:tc>
          <w:tcPr>
            <w:tcW w:type="dxa" w:w="26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jc w:val="center"/>
            </w:pPr>
            <w:r>
              <w:rPr>
                <w:rFonts w:ascii="Arial" w:cs="Arial" w:eastAsia="Arial" w:hAnsi="Arial"/>
                <w:color w:val="005EB8"/>
                <w:sz w:val="18"/>
                <w:szCs w:val="18"/>
              </w:rPr>
              <w:t xml:space="preserve">►</w:t>
            </w:r>
          </w:p>
        </w:tc>
        <w:tc>
          <w:tcPr>
            <w:tcW w:type="dxa" w:w="1389"/>
            <w:tcBorders>
              <w:top w:val="none" w:color="FFFFFF" w:sz="0"/>
              <w:left w:val="none" w:color="FFFFFF" w:sz="0"/>
              <w:bottom w:val="none" w:color="FFFFFF" w:sz="0"/>
              <w:right w:val="none" w:color="FFFFFF" w:sz="0"/>
            </w:tcBorders>
            <w:shd w:fill="005EB8" w:color="auto" w:val="clear"/>
            <w:tcMar>
              <w:top w:type="dxa" w:w="100"/>
              <w:left w:type="dxa" w:w="90"/>
              <w:bottom w:type="dxa" w:w="100"/>
              <w:right w:type="dxa" w:w="90"/>
            </w:tcMar>
          </w:tcPr>
          <w:p>
            <w:pPr>
              <w:spacing w:after="40" w:line="240"/>
            </w:pPr>
            <w:r>
              <w:rPr>
                <w:rFonts w:ascii="Arial" w:cs="Arial" w:eastAsia="Arial" w:hAnsi="Arial"/>
                <w:b/>
                <w:bCs/>
                <w:color w:val="FFFFFF"/>
                <w:sz w:val="15"/>
                <w:szCs w:val="15"/>
              </w:rPr>
              <w:t xml:space="preserve">Bill</w:t>
            </w:r>
          </w:p>
          <w:p>
            <w:pPr>
              <w:spacing w:after="0" w:line="236"/>
            </w:pPr>
            <w:r>
              <w:rPr>
                <w:rFonts w:ascii="Arial" w:cs="Arial" w:eastAsia="Arial" w:hAnsi="Arial"/>
                <w:color w:val="FFFFFF"/>
                <w:sz w:val="14"/>
                <w:szCs w:val="14"/>
              </w:rPr>
              <w:t xml:space="preserve">And collect receivables</w:t>
            </w:r>
          </w:p>
        </w:tc>
        <w:tc>
          <w:tcPr>
            <w:tcW w:type="dxa" w:w="26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jc w:val="center"/>
            </w:pPr>
            <w:r>
              <w:rPr>
                <w:rFonts w:ascii="Arial" w:cs="Arial" w:eastAsia="Arial" w:hAnsi="Arial"/>
                <w:color w:val="005EB8"/>
                <w:sz w:val="18"/>
                <w:szCs w:val="18"/>
              </w:rPr>
              <w:t xml:space="preserve">►</w:t>
            </w:r>
          </w:p>
        </w:tc>
        <w:tc>
          <w:tcPr>
            <w:tcW w:type="dxa" w:w="1389"/>
            <w:tcBorders>
              <w:top w:val="none" w:color="FFFFFF" w:sz="0"/>
              <w:left w:val="none" w:color="FFFFFF" w:sz="0"/>
              <w:bottom w:val="none" w:color="FFFFFF" w:sz="0"/>
              <w:right w:val="none" w:color="FFFFFF" w:sz="0"/>
            </w:tcBorders>
            <w:shd w:fill="00338D" w:color="auto" w:val="clear"/>
            <w:tcMar>
              <w:top w:type="dxa" w:w="100"/>
              <w:left w:type="dxa" w:w="90"/>
              <w:bottom w:type="dxa" w:w="100"/>
              <w:right w:type="dxa" w:w="90"/>
            </w:tcMar>
          </w:tcPr>
          <w:p>
            <w:pPr>
              <w:spacing w:after="40" w:line="240"/>
            </w:pPr>
            <w:r>
              <w:rPr>
                <w:rFonts w:ascii="Arial" w:cs="Arial" w:eastAsia="Arial" w:hAnsi="Arial"/>
                <w:b/>
                <w:bCs/>
                <w:color w:val="FFFFFF"/>
                <w:sz w:val="15"/>
                <w:szCs w:val="15"/>
              </w:rPr>
              <w:t xml:space="preserve">Pay</w:t>
            </w:r>
          </w:p>
          <w:p>
            <w:pPr>
              <w:spacing w:after="0" w:line="236"/>
            </w:pPr>
            <w:r>
              <w:rPr>
                <w:rFonts w:ascii="Arial" w:cs="Arial" w:eastAsia="Arial" w:hAnsi="Arial"/>
                <w:color w:val="FFFFFF"/>
                <w:sz w:val="14"/>
                <w:szCs w:val="14"/>
              </w:rPr>
              <w:t xml:space="preserve">Subcontractors and suppliers</w:t>
            </w:r>
          </w:p>
        </w:tc>
        <w:tc>
          <w:tcPr>
            <w:tcW w:type="dxa" w:w="26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jc w:val="center"/>
            </w:pPr>
            <w:r>
              <w:rPr>
                <w:rFonts w:ascii="Arial" w:cs="Arial" w:eastAsia="Arial" w:hAnsi="Arial"/>
                <w:color w:val="005EB8"/>
                <w:sz w:val="18"/>
                <w:szCs w:val="18"/>
              </w:rPr>
              <w:t xml:space="preserve">►</w:t>
            </w:r>
          </w:p>
        </w:tc>
        <w:tc>
          <w:tcPr>
            <w:tcW w:type="dxa" w:w="1393"/>
            <w:tcBorders>
              <w:top w:val="none" w:color="FFFFFF" w:sz="0"/>
              <w:left w:val="none" w:color="FFFFFF" w:sz="0"/>
              <w:bottom w:val="none" w:color="FFFFFF" w:sz="0"/>
              <w:right w:val="none" w:color="FFFFFF" w:sz="0"/>
            </w:tcBorders>
            <w:shd w:fill="005EB8" w:color="auto" w:val="clear"/>
            <w:tcMar>
              <w:top w:type="dxa" w:w="100"/>
              <w:left w:type="dxa" w:w="90"/>
              <w:bottom w:type="dxa" w:w="100"/>
              <w:right w:type="dxa" w:w="90"/>
            </w:tcMar>
          </w:tcPr>
          <w:p>
            <w:pPr>
              <w:spacing w:after="40" w:line="240"/>
            </w:pPr>
            <w:r>
              <w:rPr>
                <w:rFonts w:ascii="Arial" w:cs="Arial" w:eastAsia="Arial" w:hAnsi="Arial"/>
                <w:b/>
                <w:bCs/>
                <w:color w:val="FFFFFF"/>
                <w:sz w:val="15"/>
                <w:szCs w:val="15"/>
              </w:rPr>
              <w:t xml:space="preserve">Earn</w:t>
            </w:r>
          </w:p>
          <w:p>
            <w:pPr>
              <w:spacing w:after="0" w:line="236"/>
            </w:pPr>
            <w:r>
              <w:rPr>
                <w:rFonts w:ascii="Arial" w:cs="Arial" w:eastAsia="Arial" w:hAnsi="Arial"/>
                <w:color w:val="FFFFFF"/>
                <w:sz w:val="14"/>
                <w:szCs w:val="14"/>
              </w:rPr>
              <w:t xml:space="preserve">A fair margin</w:t>
            </w:r>
          </w:p>
        </w:tc>
      </w:tr>
    </w:tbl>
    <w:p>
      <w:pPr>
        <w:spacing w:after="160"/>
      </w:pPr>
    </w:p>
    <w:p>
      <w:pPr>
        <w:pStyle w:val="Heading2"/>
        <w:keepNext/>
        <w:keepLines/>
        <w:spacing w:after="120" w:before="280"/>
      </w:pPr>
      <w:r>
        <w:rPr>
          <w:rFonts w:ascii="Arial" w:cs="Arial" w:eastAsia="Arial" w:hAnsi="Arial"/>
          <w:b/>
          <w:bCs/>
          <w:color w:val="00338D"/>
          <w:sz w:val="28"/>
          <w:szCs w:val="28"/>
        </w:rPr>
        <w:t xml:space="preserve">11.4 Recommendations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86"/>
        <w:gridCol w:w="2699"/>
        <w:gridCol w:w="6553"/>
      </w:tblGrid>
      <w:tr>
        <w:trPr>
          <w:cantSplit/>
          <w:tblHeader/>
        </w:trPr>
        <w:tc>
          <w:tcPr>
            <w:tcW w:type="dxa" w:w="386"/>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w:t>
            </w:r>
          </w:p>
        </w:tc>
        <w:tc>
          <w:tcPr>
            <w:tcW w:type="dxa" w:w="2699"/>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Recommendation</w:t>
            </w:r>
          </w:p>
        </w:tc>
        <w:tc>
          <w:tcPr>
            <w:tcW w:type="dxa" w:w="6553"/>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Content</w:t>
            </w:r>
          </w:p>
        </w:tc>
      </w:tr>
      <w:tr>
        <w:trPr>
          <w:cantSplit/>
        </w:trPr>
        <w:tc>
          <w:tcPr>
            <w:tcW w:type="dxa" w:w="38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7"/>
                <w:szCs w:val="17"/>
              </w:rPr>
              <w:t xml:space="preserve">1</w:t>
            </w:r>
          </w:p>
        </w:tc>
        <w:tc>
          <w:tcPr>
            <w:tcW w:type="dxa" w:w="2699"/>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7"/>
                <w:szCs w:val="17"/>
              </w:rPr>
              <w:t xml:space="preserve">Diagnostic per company (Day 30–90)</w:t>
            </w:r>
          </w:p>
        </w:tc>
        <w:tc>
          <w:tcPr>
            <w:tcW w:type="dxa" w:w="6553"/>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7"/>
                <w:szCs w:val="17"/>
              </w:rPr>
              <w:t xml:space="preserve">Audited FY2025 results; backlog quality and margin; receivables ageing by owner; debt maturities and covenants; legacy-asset register with valuations; claims and variation orders outstanding; cost-to-complete on loss-making projects</w:t>
            </w:r>
          </w:p>
        </w:tc>
      </w:tr>
      <w:tr>
        <w:trPr>
          <w:cantSplit/>
        </w:trPr>
        <w:tc>
          <w:tcPr>
            <w:tcW w:type="dxa" w:w="386"/>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7"/>
                <w:szCs w:val="17"/>
              </w:rPr>
              <w:t xml:space="preserve">2</w:t>
            </w:r>
          </w:p>
        </w:tc>
        <w:tc>
          <w:tcPr>
            <w:tcW w:type="dxa" w:w="2699"/>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7"/>
                <w:szCs w:val="17"/>
              </w:rPr>
              <w:t xml:space="preserve">Separate legacy assets after the diagnostic</w:t>
            </w:r>
          </w:p>
        </w:tc>
        <w:tc>
          <w:tcPr>
            <w:tcW w:type="dxa" w:w="6553"/>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7"/>
                <w:szCs w:val="17"/>
              </w:rPr>
              <w:t xml:space="preserve">Transfer concessions and non-core assets to an asset vehicle with its own funding and governance; value at transfer with legacy liabilities separated [D1]; do not book transfers as returns</w:t>
            </w:r>
          </w:p>
        </w:tc>
      </w:tr>
      <w:tr>
        <w:trPr>
          <w:cantSplit/>
        </w:trPr>
        <w:tc>
          <w:tcPr>
            <w:tcW w:type="dxa" w:w="38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7"/>
                <w:szCs w:val="17"/>
              </w:rPr>
              <w:t xml:space="preserve">3</w:t>
            </w:r>
          </w:p>
        </w:tc>
        <w:tc>
          <w:tcPr>
            <w:tcW w:type="dxa" w:w="2699"/>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7"/>
                <w:szCs w:val="17"/>
              </w:rPr>
              <w:t xml:space="preserve">Bid discipline</w:t>
            </w:r>
          </w:p>
        </w:tc>
        <w:tc>
          <w:tcPr>
            <w:tcW w:type="dxa" w:w="6553"/>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7"/>
                <w:szCs w:val="17"/>
              </w:rPr>
              <w:t xml:space="preserve">Bid/no-bid gate with minimum risk-adjusted margin, payment security (owner funding, advance payment, payment guarantees) and working-capital test; no corporate-debt financing of owners' projects</w:t>
            </w:r>
          </w:p>
        </w:tc>
      </w:tr>
      <w:tr>
        <w:trPr>
          <w:cantSplit/>
        </w:trPr>
        <w:tc>
          <w:tcPr>
            <w:tcW w:type="dxa" w:w="386"/>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7"/>
                <w:szCs w:val="17"/>
              </w:rPr>
              <w:t xml:space="preserve">4</w:t>
            </w:r>
          </w:p>
        </w:tc>
        <w:tc>
          <w:tcPr>
            <w:tcW w:type="dxa" w:w="2699"/>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7"/>
                <w:szCs w:val="17"/>
              </w:rPr>
              <w:t xml:space="preserve">Cash protection</w:t>
            </w:r>
          </w:p>
        </w:tc>
        <w:tc>
          <w:tcPr>
            <w:tcW w:type="dxa" w:w="6553"/>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7"/>
                <w:szCs w:val="17"/>
              </w:rPr>
              <w:t xml:space="preserve">Escalation of overdue receivables from government and SOE owners; funded public-service contracts where SOEs act on assignment [D1]; collection-account and milestone mechanisms where suitable (Chapter 9)</w:t>
            </w:r>
          </w:p>
        </w:tc>
      </w:tr>
      <w:tr>
        <w:trPr>
          <w:cantSplit/>
        </w:trPr>
        <w:tc>
          <w:tcPr>
            <w:tcW w:type="dxa" w:w="38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7"/>
                <w:szCs w:val="17"/>
              </w:rPr>
              <w:t xml:space="preserve">5</w:t>
            </w:r>
          </w:p>
        </w:tc>
        <w:tc>
          <w:tcPr>
            <w:tcW w:type="dxa" w:w="2699"/>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7"/>
                <w:szCs w:val="17"/>
              </w:rPr>
              <w:t xml:space="preserve">Project control backbone</w:t>
            </w:r>
          </w:p>
        </w:tc>
        <w:tc>
          <w:tcPr>
            <w:tcW w:type="dxa" w:w="6553"/>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7"/>
                <w:szCs w:val="17"/>
              </w:rPr>
              <w:t xml:space="preserve">Common WBS and cost codes; commitment tracking; budget, quantity and timing checks at purchase request; three-way match; earned-value reporting; deployed through the AI operating system (Chapter 12)</w:t>
            </w:r>
          </w:p>
        </w:tc>
      </w:tr>
      <w:tr>
        <w:trPr>
          <w:cantSplit/>
        </w:trPr>
        <w:tc>
          <w:tcPr>
            <w:tcW w:type="dxa" w:w="386"/>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7"/>
                <w:szCs w:val="17"/>
              </w:rPr>
              <w:t xml:space="preserve">6</w:t>
            </w:r>
          </w:p>
        </w:tc>
        <w:tc>
          <w:tcPr>
            <w:tcW w:type="dxa" w:w="2699"/>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7"/>
                <w:szCs w:val="17"/>
              </w:rPr>
              <w:t xml:space="preserve">Role in anchor projects</w:t>
            </w:r>
          </w:p>
        </w:tc>
        <w:tc>
          <w:tcPr>
            <w:tcW w:type="dxa" w:w="6553"/>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7"/>
                <w:szCs w:val="17"/>
              </w:rPr>
              <w:t xml:space="preserve">Act as disciplined EPC contractors and as integrators for DOCK-UP packages in housing and coastal infrastructure, with owner funding</w:t>
            </w:r>
          </w:p>
        </w:tc>
      </w:tr>
      <w:tr>
        <w:trPr>
          <w:cantSplit/>
        </w:trPr>
        <w:tc>
          <w:tcPr>
            <w:tcW w:type="dxa" w:w="38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pPr>
            <w:r>
              <w:rPr>
                <w:rFonts w:ascii="Arial" w:cs="Arial" w:eastAsia="Arial" w:hAnsi="Arial"/>
                <w:color w:val="000000"/>
                <w:sz w:val="17"/>
                <w:szCs w:val="17"/>
              </w:rPr>
              <w:t xml:space="preserve">7</w:t>
            </w:r>
          </w:p>
        </w:tc>
        <w:tc>
          <w:tcPr>
            <w:tcW w:type="dxa" w:w="2699"/>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pPr>
            <w:r>
              <w:rPr>
                <w:rFonts w:ascii="Arial" w:cs="Arial" w:eastAsia="Arial" w:hAnsi="Arial"/>
                <w:b/>
                <w:bCs/>
                <w:color w:val="000000"/>
                <w:sz w:val="17"/>
                <w:szCs w:val="17"/>
              </w:rPr>
              <w:t xml:space="preserve">Structure decided on evidence</w:t>
            </w:r>
          </w:p>
        </w:tc>
        <w:tc>
          <w:tcPr>
            <w:tcW w:type="dxa" w:w="6553"/>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pPr>
            <w:r>
              <w:rPr>
                <w:rFonts w:ascii="Arial" w:cs="Arial" w:eastAsia="Arial" w:hAnsi="Arial"/>
                <w:color w:val="000000"/>
                <w:sz w:val="17"/>
                <w:szCs w:val="17"/>
              </w:rPr>
              <w:t xml:space="preserve">Decide on consolidation or specialisation only after the diagnostic; fewer legal entities is not a benefit in itself [D1]</w:t>
            </w:r>
          </w:p>
        </w:tc>
      </w:tr>
    </w:tbl>
    <w:p>
      <w:pPr>
        <w:keepNext w:val="false"/>
        <w:spacing w:after="140"/>
      </w:pPr>
    </w:p>
    <w:p>
      <w:pPr>
        <w:pStyle w:val="Heading3"/>
        <w:keepNext/>
        <w:keepLines/>
        <w:spacing w:after="80" w:before="200"/>
      </w:pPr>
      <w:r>
        <w:rPr>
          <w:rFonts w:ascii="Arial" w:cs="Arial" w:eastAsia="Arial" w:hAnsi="Arial"/>
          <w:b/>
          <w:bCs/>
          <w:color w:val="005EB8"/>
          <w:sz w:val="22"/>
          <w:szCs w:val="22"/>
        </w:rPr>
        <w:t xml:space="preserve">How to measure recovery</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048"/>
        <w:gridCol w:w="5590"/>
      </w:tblGrid>
      <w:tr>
        <w:trPr>
          <w:cantSplit/>
          <w:tblHeader/>
        </w:trPr>
        <w:tc>
          <w:tcPr>
            <w:tcW w:type="dxa" w:w="4048"/>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Metric</w:t>
            </w:r>
          </w:p>
        </w:tc>
        <w:tc>
          <w:tcPr>
            <w:tcW w:type="dxa" w:w="5590"/>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Why it matters</w:t>
            </w:r>
          </w:p>
        </w:tc>
      </w:tr>
      <w:tr>
        <w:trPr>
          <w:cantSplit/>
        </w:trPr>
        <w:tc>
          <w:tcPr>
            <w:tcW w:type="dxa" w:w="404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7"/>
                <w:szCs w:val="17"/>
              </w:rPr>
              <w:t xml:space="preserve">Incremental economic profit (O02)</w:t>
            </w:r>
          </w:p>
        </w:tc>
        <w:tc>
          <w:tcPr>
            <w:tcW w:type="dxa" w:w="559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7"/>
                <w:szCs w:val="17"/>
              </w:rPr>
              <w:t xml:space="preserve">Tests value creation above the cost of capital against a without-intervention path</w:t>
            </w:r>
          </w:p>
        </w:tc>
      </w:tr>
      <w:tr>
        <w:trPr>
          <w:cantSplit/>
        </w:trPr>
        <w:tc>
          <w:tcPr>
            <w:tcW w:type="dxa" w:w="4048"/>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7"/>
                <w:szCs w:val="17"/>
              </w:rPr>
              <w:t xml:space="preserve">Operating cash conversion (O04) and days sales outstanding</w:t>
            </w:r>
          </w:p>
        </w:tc>
        <w:tc>
          <w:tcPr>
            <w:tcW w:type="dxa" w:w="559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7"/>
                <w:szCs w:val="17"/>
              </w:rPr>
              <w:t xml:space="preserve">Shows whether margin turns into cash; does not reward overdue suppliers</w:t>
            </w:r>
          </w:p>
        </w:tc>
      </w:tr>
      <w:tr>
        <w:trPr>
          <w:cantSplit/>
        </w:trPr>
        <w:tc>
          <w:tcPr>
            <w:tcW w:type="dxa" w:w="404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7"/>
                <w:szCs w:val="17"/>
              </w:rPr>
              <w:t xml:space="preserve">Net debt / EBITDA (O08); interest coverage; net debt / equity; liquidity runway</w:t>
            </w:r>
          </w:p>
        </w:tc>
        <w:tc>
          <w:tcPr>
            <w:tcW w:type="dxa" w:w="559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7"/>
                <w:szCs w:val="17"/>
              </w:rPr>
              <w:t xml:space="preserve">Solvency and refinancing headroom. Where EBITDA is negative, ratios based on it are meaningless, so use interest coverage, net debt to equity and months of liquidity instead</w:t>
            </w:r>
          </w:p>
        </w:tc>
      </w:tr>
      <w:tr>
        <w:trPr>
          <w:cantSplit/>
        </w:trPr>
        <w:tc>
          <w:tcPr>
            <w:tcW w:type="dxa" w:w="4048"/>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7"/>
                <w:szCs w:val="17"/>
              </w:rPr>
              <w:t xml:space="preserve">Backlog margin at bid versus at completion</w:t>
            </w:r>
          </w:p>
        </w:tc>
        <w:tc>
          <w:tcPr>
            <w:tcW w:type="dxa" w:w="559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7"/>
                <w:szCs w:val="17"/>
              </w:rPr>
              <w:t xml:space="preserve">Tests bid discipline and estimating quality</w:t>
            </w:r>
          </w:p>
        </w:tc>
      </w:tr>
      <w:tr>
        <w:trPr>
          <w:cantSplit/>
        </w:trPr>
        <w:tc>
          <w:tcPr>
            <w:tcW w:type="dxa" w:w="404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7"/>
                <w:szCs w:val="17"/>
              </w:rPr>
              <w:t xml:space="preserve">Cost and schedule performance indices (CPI, SPI)</w:t>
            </w:r>
          </w:p>
        </w:tc>
        <w:tc>
          <w:tcPr>
            <w:tcW w:type="dxa" w:w="559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7"/>
                <w:szCs w:val="17"/>
              </w:rPr>
              <w:t xml:space="preserve">Early warning of overruns at project level</w:t>
            </w:r>
          </w:p>
        </w:tc>
      </w:tr>
      <w:tr>
        <w:trPr>
          <w:cantSplit/>
        </w:trPr>
        <w:tc>
          <w:tcPr>
            <w:tcW w:type="dxa" w:w="4048"/>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7"/>
                <w:szCs w:val="17"/>
              </w:rPr>
              <w:t xml:space="preserve">Claims and variations recovered / submitted</w:t>
            </w:r>
          </w:p>
        </w:tc>
        <w:tc>
          <w:tcPr>
            <w:tcW w:type="dxa" w:w="559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7"/>
                <w:szCs w:val="17"/>
              </w:rPr>
              <w:t xml:space="preserve">Commercial management capability</w:t>
            </w:r>
          </w:p>
        </w:tc>
      </w:tr>
      <w:tr>
        <w:trPr>
          <w:cantSplit/>
        </w:trPr>
        <w:tc>
          <w:tcPr>
            <w:tcW w:type="dxa" w:w="404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pPr>
            <w:r>
              <w:rPr>
                <w:rFonts w:ascii="Arial" w:cs="Arial" w:eastAsia="Arial" w:hAnsi="Arial"/>
                <w:b/>
                <w:bCs/>
                <w:color w:val="000000"/>
                <w:sz w:val="17"/>
                <w:szCs w:val="17"/>
              </w:rPr>
              <w:t xml:space="preserve">Verified net transformation benefits (O09)</w:t>
            </w:r>
          </w:p>
        </w:tc>
        <w:tc>
          <w:tcPr>
            <w:tcW w:type="dxa" w:w="559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7"/>
                <w:szCs w:val="17"/>
              </w:rPr>
              <w:t xml:space="preserve">Realised cash benefits net of implementation costs</w:t>
            </w:r>
          </w:p>
        </w:tc>
      </w:tr>
    </w:tbl>
    <w:p>
      <w:pPr>
        <w:pageBreakBefore/>
        <w:spacing w:after="0" w:line="240"/>
      </w:pPr>
      <w:r>
        <w:rPr>
          <w:sz w:val="2"/>
          <w:szCs w:val="2"/>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one" w:color="FFFFFF" w:sz="0"/>
              <w:left w:val="none" w:color="FFFFFF" w:sz="0"/>
              <w:bottom w:val="none" w:color="FFFFFF" w:sz="0"/>
              <w:right w:val="none" w:color="FFFFFF" w:sz="0"/>
            </w:tcBorders>
            <w:shd w:fill="00338D" w:color="auto" w:val="clear"/>
            <w:tcMar>
              <w:top w:type="dxa" w:w="260"/>
              <w:left w:type="dxa" w:w="300"/>
              <w:bottom w:type="dxa" w:w="300"/>
              <w:right w:type="dxa" w:w="300"/>
            </w:tcMar>
          </w:tcPr>
          <w:p>
            <w:pPr>
              <w:spacing w:after="0"/>
            </w:pPr>
            <w:r>
              <w:rPr>
                <w:rFonts w:ascii="Arial" w:cs="Arial" w:eastAsia="Arial" w:hAnsi="Arial"/>
                <w:b/>
                <w:bCs/>
                <w:color w:val="9CC7EF"/>
                <w:sz w:val="64"/>
                <w:szCs w:val="64"/>
              </w:rPr>
              <w:t xml:space="preserve">12</w:t>
            </w:r>
          </w:p>
          <w:p>
            <w:pPr>
              <w:pStyle w:val="Heading1"/>
              <w:spacing w:after="100"/>
            </w:pPr>
            <w:r>
              <w:rPr>
                <w:rFonts w:ascii="Arial" w:cs="Arial" w:eastAsia="Arial" w:hAnsi="Arial"/>
                <w:b/>
                <w:bCs/>
                <w:color w:val="FFFFFF"/>
                <w:sz w:val="40"/>
                <w:szCs w:val="40"/>
              </w:rPr>
              <w:t xml:space="preserve">Improving business management with multi-agentic AI</w:t>
            </w:r>
          </w:p>
          <w:p>
            <w:pPr>
              <w:spacing w:after="0" w:line="276"/>
            </w:pPr>
            <w:r>
              <w:rPr>
                <w:rFonts w:ascii="Arial" w:cs="Arial" w:eastAsia="Arial" w:hAnsi="Arial"/>
                <w:color w:val="FFFFFF"/>
                <w:sz w:val="20"/>
                <w:szCs w:val="20"/>
              </w:rPr>
              <w:t xml:space="preserve">An AI-based project operating system that protects cash, detects losses earlier, raises productivity and coordinates the SOE construction portfolio. It is built on existing systems, with humans accountable for every material decision.</w:t>
            </w:r>
          </w:p>
        </w:tc>
      </w:tr>
    </w:tbl>
    <w:p>
      <w:pPr>
        <w:spacing w:after="200"/>
      </w:pPr>
    </w:p>
    <w:p>
      <w:pPr>
        <w:pStyle w:val="Heading2"/>
        <w:keepNext/>
        <w:keepLines/>
        <w:spacing w:after="120" w:before="280"/>
      </w:pPr>
      <w:r>
        <w:rPr>
          <w:rFonts w:ascii="Arial" w:cs="Arial" w:eastAsia="Arial" w:hAnsi="Arial"/>
          <w:b/>
          <w:bCs/>
          <w:color w:val="00338D"/>
          <w:sz w:val="28"/>
          <w:szCs w:val="28"/>
        </w:rPr>
        <w:t xml:space="preserve">12.1 What is proposed</w:t>
      </w:r>
    </w:p>
    <w:p>
      <w:pPr>
        <w:spacing w:after="110" w:before="0" w:line="264"/>
        <w:jc w:val="left"/>
      </w:pPr>
      <w:r>
        <w:rPr>
          <w:rFonts w:ascii="Arial" w:cs="Arial" w:eastAsia="Arial" w:hAnsi="Arial"/>
          <w:color w:val="000000"/>
          <w:sz w:val="20"/>
          <w:szCs w:val="20"/>
        </w:rPr>
        <w:t xml:space="preserve">D3 proposes </w:t>
      </w:r>
      <w:r>
        <w:rPr>
          <w:rFonts w:ascii="Arial" w:cs="Arial" w:eastAsia="Arial" w:hAnsi="Arial"/>
          <w:b/>
          <w:bCs/>
          <w:color w:val="000000"/>
          <w:sz w:val="20"/>
          <w:szCs w:val="20"/>
        </w:rPr>
        <w:t xml:space="preserve">not a chatbot but an AI-based operating system for projects</w:t>
      </w:r>
      <w:r>
        <w:rPr>
          <w:rFonts w:ascii="Arial" w:cs="Arial" w:eastAsia="Arial" w:hAnsi="Arial"/>
          <w:color w:val="000000"/>
          <w:sz w:val="20"/>
          <w:szCs w:val="20"/>
        </w:rPr>
        <w:t xml:space="preserve"> that oversees work from individual projects up to the portfolio. Specialist AI agents analyse data from existing systems, predict risks and recommend actions; orchestrator agents coordinate them, resolve conflicting outputs and escalate high-risk decisions to people [D3 pp.4–6].</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89"/>
        <w:gridCol w:w="160"/>
        <w:gridCol w:w="2289"/>
        <w:gridCol w:w="160"/>
        <w:gridCol w:w="2289"/>
        <w:gridCol w:w="160"/>
        <w:gridCol w:w="2291"/>
      </w:tblGrid>
      <w:tr>
        <w:trPr>
          <w:cantSplit/>
        </w:trPr>
        <w:tc>
          <w:tcPr>
            <w:tcW w:type="dxa" w:w="2289"/>
            <w:tcBorders>
              <w:top w:val="none" w:color="FFFFFF" w:sz="0"/>
              <w:left w:val="none" w:color="FFFFFF" w:sz="0"/>
              <w:bottom w:val="none" w:color="FFFFFF" w:sz="0"/>
              <w:right w:val="none" w:color="FFFFFF" w:sz="0"/>
            </w:tcBorders>
            <w:shd w:fill="EAF2FB" w:color="auto" w:val="clear"/>
            <w:tcMar>
              <w:top w:type="dxa" w:w="140"/>
              <w:left w:type="dxa" w:w="160"/>
              <w:bottom w:type="dxa" w:w="120"/>
              <w:right w:type="dxa" w:w="160"/>
            </w:tcMar>
          </w:tcPr>
          <w:p>
            <w:pPr>
              <w:spacing w:after="30"/>
            </w:pPr>
            <w:r>
              <w:rPr>
                <w:rFonts w:ascii="Arial" w:cs="Arial" w:eastAsia="Arial" w:hAnsi="Arial"/>
                <w:b/>
                <w:bCs/>
                <w:color w:val="0091DA"/>
                <w:sz w:val="15"/>
                <w:szCs w:val="15"/>
              </w:rPr>
              <w:t xml:space="preserve">Pillar 1</w:t>
            </w:r>
          </w:p>
          <w:p>
            <w:pPr>
              <w:spacing w:after="70" w:line="250"/>
            </w:pPr>
            <w:r>
              <w:rPr>
                <w:rFonts w:ascii="Arial" w:cs="Arial" w:eastAsia="Arial" w:hAnsi="Arial"/>
                <w:b/>
                <w:bCs/>
                <w:color w:val="00338D"/>
                <w:sz w:val="19"/>
                <w:szCs w:val="19"/>
              </w:rPr>
              <w:t xml:space="preserve">Integrated data</w:t>
            </w:r>
          </w:p>
          <w:p>
            <w:pPr>
              <w:spacing w:after="50" w:line="252"/>
            </w:pPr>
            <w:r>
              <w:rPr>
                <w:rFonts w:ascii="Arial" w:cs="Arial" w:eastAsia="Arial" w:hAnsi="Arial"/>
                <w:sz w:val="17"/>
                <w:szCs w:val="17"/>
              </w:rPr>
              <w:t xml:space="preserve">One source of truth across ERP, BIM, procurement, contracts, finance and field data.</w:t>
            </w:r>
          </w:p>
        </w:tc>
        <w:tc>
          <w:tcPr>
            <w:tcW w:type="dxa" w:w="160"/>
            <w:tcBorders>
              <w:top w:val="none" w:color="FFFFFF" w:sz="0"/>
              <w:left w:val="none" w:color="FFFFFF" w:sz="0"/>
              <w:bottom w:val="none" w:color="FFFFFF" w:sz="0"/>
              <w:right w:val="none" w:color="FFFFFF" w:sz="0"/>
            </w:tcBorders>
          </w:tcPr>
          <w:p/>
        </w:tc>
        <w:tc>
          <w:tcPr>
            <w:tcW w:type="dxa" w:w="2289"/>
            <w:tcBorders>
              <w:top w:val="none" w:color="FFFFFF" w:sz="0"/>
              <w:left w:val="none" w:color="FFFFFF" w:sz="0"/>
              <w:bottom w:val="none" w:color="FFFFFF" w:sz="0"/>
              <w:right w:val="none" w:color="FFFFFF" w:sz="0"/>
            </w:tcBorders>
            <w:shd w:fill="EAF2FB" w:color="auto" w:val="clear"/>
            <w:tcMar>
              <w:top w:type="dxa" w:w="140"/>
              <w:left w:type="dxa" w:w="160"/>
              <w:bottom w:type="dxa" w:w="120"/>
              <w:right w:type="dxa" w:w="160"/>
            </w:tcMar>
          </w:tcPr>
          <w:p>
            <w:pPr>
              <w:spacing w:after="30"/>
            </w:pPr>
            <w:r>
              <w:rPr>
                <w:rFonts w:ascii="Arial" w:cs="Arial" w:eastAsia="Arial" w:hAnsi="Arial"/>
                <w:b/>
                <w:bCs/>
                <w:color w:val="0091DA"/>
                <w:sz w:val="15"/>
                <w:szCs w:val="15"/>
              </w:rPr>
              <w:t xml:space="preserve">Pillar 2</w:t>
            </w:r>
          </w:p>
          <w:p>
            <w:pPr>
              <w:spacing w:after="70" w:line="250"/>
            </w:pPr>
            <w:r>
              <w:rPr>
                <w:rFonts w:ascii="Arial" w:cs="Arial" w:eastAsia="Arial" w:hAnsi="Arial"/>
                <w:b/>
                <w:bCs/>
                <w:color w:val="00338D"/>
                <w:sz w:val="19"/>
                <w:szCs w:val="19"/>
              </w:rPr>
              <w:t xml:space="preserve">AI agents</w:t>
            </w:r>
          </w:p>
          <w:p>
            <w:pPr>
              <w:spacing w:after="50" w:line="252"/>
            </w:pPr>
            <w:r>
              <w:rPr>
                <w:rFonts w:ascii="Arial" w:cs="Arial" w:eastAsia="Arial" w:hAnsi="Arial"/>
                <w:sz w:val="17"/>
                <w:szCs w:val="17"/>
              </w:rPr>
              <w:t xml:space="preserve">Analysis and smart recommendations by specialist agents.</w:t>
            </w:r>
          </w:p>
        </w:tc>
        <w:tc>
          <w:tcPr>
            <w:tcW w:type="dxa" w:w="160"/>
            <w:tcBorders>
              <w:top w:val="none" w:color="FFFFFF" w:sz="0"/>
              <w:left w:val="none" w:color="FFFFFF" w:sz="0"/>
              <w:bottom w:val="none" w:color="FFFFFF" w:sz="0"/>
              <w:right w:val="none" w:color="FFFFFF" w:sz="0"/>
            </w:tcBorders>
          </w:tcPr>
          <w:p/>
        </w:tc>
        <w:tc>
          <w:tcPr>
            <w:tcW w:type="dxa" w:w="2289"/>
            <w:tcBorders>
              <w:top w:val="none" w:color="FFFFFF" w:sz="0"/>
              <w:left w:val="none" w:color="FFFFFF" w:sz="0"/>
              <w:bottom w:val="none" w:color="FFFFFF" w:sz="0"/>
              <w:right w:val="none" w:color="FFFFFF" w:sz="0"/>
            </w:tcBorders>
            <w:shd w:fill="EAF2FB" w:color="auto" w:val="clear"/>
            <w:tcMar>
              <w:top w:type="dxa" w:w="140"/>
              <w:left w:type="dxa" w:w="160"/>
              <w:bottom w:type="dxa" w:w="120"/>
              <w:right w:type="dxa" w:w="160"/>
            </w:tcMar>
          </w:tcPr>
          <w:p>
            <w:pPr>
              <w:spacing w:after="30"/>
            </w:pPr>
            <w:r>
              <w:rPr>
                <w:rFonts w:ascii="Arial" w:cs="Arial" w:eastAsia="Arial" w:hAnsi="Arial"/>
                <w:b/>
                <w:bCs/>
                <w:color w:val="0091DA"/>
                <w:sz w:val="15"/>
                <w:szCs w:val="15"/>
              </w:rPr>
              <w:t xml:space="preserve">Pillar 3</w:t>
            </w:r>
          </w:p>
          <w:p>
            <w:pPr>
              <w:spacing w:after="70" w:line="250"/>
            </w:pPr>
            <w:r>
              <w:rPr>
                <w:rFonts w:ascii="Arial" w:cs="Arial" w:eastAsia="Arial" w:hAnsi="Arial"/>
                <w:b/>
                <w:bCs/>
                <w:color w:val="00338D"/>
                <w:sz w:val="19"/>
                <w:szCs w:val="19"/>
              </w:rPr>
              <w:t xml:space="preserve">Collaboration</w:t>
            </w:r>
          </w:p>
          <w:p>
            <w:pPr>
              <w:spacing w:after="50" w:line="252"/>
            </w:pPr>
            <w:r>
              <w:rPr>
                <w:rFonts w:ascii="Arial" w:cs="Arial" w:eastAsia="Arial" w:hAnsi="Arial"/>
                <w:sz w:val="17"/>
                <w:szCs w:val="17"/>
              </w:rPr>
              <w:t xml:space="preserve">Across SOEs and stakeholders, from project manager to Danantara.</w:t>
            </w:r>
          </w:p>
        </w:tc>
        <w:tc>
          <w:tcPr>
            <w:tcW w:type="dxa" w:w="160"/>
            <w:tcBorders>
              <w:top w:val="none" w:color="FFFFFF" w:sz="0"/>
              <w:left w:val="none" w:color="FFFFFF" w:sz="0"/>
              <w:bottom w:val="none" w:color="FFFFFF" w:sz="0"/>
              <w:right w:val="none" w:color="FFFFFF" w:sz="0"/>
            </w:tcBorders>
          </w:tcPr>
          <w:p/>
        </w:tc>
        <w:tc>
          <w:tcPr>
            <w:tcW w:type="dxa" w:w="2291"/>
            <w:tcBorders>
              <w:top w:val="none" w:color="FFFFFF" w:sz="0"/>
              <w:left w:val="none" w:color="FFFFFF" w:sz="0"/>
              <w:bottom w:val="none" w:color="FFFFFF" w:sz="0"/>
              <w:right w:val="none" w:color="FFFFFF" w:sz="0"/>
            </w:tcBorders>
            <w:shd w:fill="EAF2FB" w:color="auto" w:val="clear"/>
            <w:tcMar>
              <w:top w:type="dxa" w:w="140"/>
              <w:left w:type="dxa" w:w="160"/>
              <w:bottom w:type="dxa" w:w="120"/>
              <w:right w:type="dxa" w:w="160"/>
            </w:tcMar>
          </w:tcPr>
          <w:p>
            <w:pPr>
              <w:spacing w:after="30"/>
            </w:pPr>
            <w:r>
              <w:rPr>
                <w:rFonts w:ascii="Arial" w:cs="Arial" w:eastAsia="Arial" w:hAnsi="Arial"/>
                <w:b/>
                <w:bCs/>
                <w:color w:val="0091DA"/>
                <w:sz w:val="15"/>
                <w:szCs w:val="15"/>
              </w:rPr>
              <w:t xml:space="preserve">Pillar 4</w:t>
            </w:r>
          </w:p>
          <w:p>
            <w:pPr>
              <w:spacing w:after="70" w:line="250"/>
            </w:pPr>
            <w:r>
              <w:rPr>
                <w:rFonts w:ascii="Arial" w:cs="Arial" w:eastAsia="Arial" w:hAnsi="Arial"/>
                <w:b/>
                <w:bCs/>
                <w:color w:val="00338D"/>
                <w:sz w:val="19"/>
                <w:szCs w:val="19"/>
              </w:rPr>
              <w:t xml:space="preserve">Tangible impact</w:t>
            </w:r>
          </w:p>
          <w:p>
            <w:pPr>
              <w:spacing w:after="50" w:line="252"/>
            </w:pPr>
            <w:r>
              <w:rPr>
                <w:rFonts w:ascii="Arial" w:cs="Arial" w:eastAsia="Arial" w:hAnsi="Arial"/>
                <w:sz w:val="17"/>
                <w:szCs w:val="17"/>
              </w:rPr>
              <w:t xml:space="preserve">Productivity, industrial resilience and national value.</w:t>
            </w:r>
          </w:p>
        </w:tc>
      </w:tr>
    </w:tbl>
    <w:p>
      <w:pPr>
        <w:spacing w:after="160"/>
      </w:pPr>
    </w:p>
    <w:p>
      <w:pPr>
        <w:pStyle w:val="Heading2"/>
        <w:keepNext/>
        <w:keepLines/>
        <w:spacing w:after="120" w:before="280"/>
      </w:pPr>
      <w:r>
        <w:rPr>
          <w:rFonts w:ascii="Arial" w:cs="Arial" w:eastAsia="Arial" w:hAnsi="Arial"/>
          <w:b/>
          <w:bCs/>
          <w:color w:val="00338D"/>
          <w:sz w:val="28"/>
          <w:szCs w:val="28"/>
        </w:rPr>
        <w:t xml:space="preserve">12.2 Target architecture</w:t>
      </w:r>
    </w:p>
    <w:p>
      <w:pPr>
        <w:keepNext/>
        <w:spacing w:after="80" w:before="120"/>
      </w:pPr>
      <w:r>
        <w:rPr>
          <w:rFonts w:ascii="Arial" w:cs="Arial" w:eastAsia="Arial" w:hAnsi="Arial"/>
          <w:b/>
          <w:bCs/>
          <w:color w:val="00338D"/>
          <w:sz w:val="18"/>
          <w:szCs w:val="18"/>
        </w:rPr>
        <w:t xml:space="preserve">Table 16: </w:t>
      </w:r>
      <w:r>
        <w:rPr>
          <w:rFonts w:ascii="Arial" w:cs="Arial" w:eastAsia="Arial" w:hAnsi="Arial"/>
          <w:b/>
          <w:bCs/>
          <w:color w:val="00338D"/>
          <w:sz w:val="18"/>
          <w:szCs w:val="18"/>
        </w:rPr>
        <w:t xml:space="preserve">Layered architecture of the AI project operating system</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13"/>
        <w:gridCol w:w="2602"/>
        <w:gridCol w:w="4723"/>
      </w:tblGrid>
      <w:tr>
        <w:trPr>
          <w:cantSplit/>
          <w:tblHeader/>
        </w:trPr>
        <w:tc>
          <w:tcPr>
            <w:tcW w:type="dxa" w:w="2313"/>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Layer</w:t>
            </w:r>
          </w:p>
        </w:tc>
        <w:tc>
          <w:tcPr>
            <w:tcW w:type="dxa" w:w="2602"/>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Role</w:t>
            </w:r>
          </w:p>
        </w:tc>
        <w:tc>
          <w:tcPr>
            <w:tcW w:type="dxa" w:w="4723"/>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Components</w:t>
            </w:r>
          </w:p>
        </w:tc>
      </w:tr>
      <w:tr>
        <w:trPr>
          <w:cantSplit/>
        </w:trPr>
        <w:tc>
          <w:tcPr>
            <w:tcW w:type="dxa" w:w="2313"/>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7"/>
                <w:szCs w:val="17"/>
              </w:rPr>
              <w:t xml:space="preserve">Danantara Portfolio Control Tower</w:t>
            </w:r>
          </w:p>
        </w:tc>
        <w:tc>
          <w:tcPr>
            <w:tcW w:type="dxa" w:w="260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7"/>
                <w:szCs w:val="17"/>
              </w:rPr>
              <w:t xml:space="preserve">Real-time, data-driven monitoring and strategic direction of the construction SOE portfolio</w:t>
            </w:r>
          </w:p>
        </w:tc>
        <w:tc>
          <w:tcPr>
            <w:tcW w:type="dxa" w:w="4723"/>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7"/>
                <w:szCs w:val="17"/>
              </w:rPr>
              <w:t xml:space="preserve">Portfolio orchestrator; capital allocation by risk and strategic value; SOE benchmarking (performance, margin, productivity); turnaround projects; strategic project priorities aligned with the national agenda; domestic industry impact (TKDN, capability development)</w:t>
            </w:r>
          </w:p>
        </w:tc>
      </w:tr>
      <w:tr>
        <w:trPr>
          <w:cantSplit/>
        </w:trPr>
        <w:tc>
          <w:tcPr>
            <w:tcW w:type="dxa" w:w="2313"/>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7"/>
                <w:szCs w:val="17"/>
              </w:rPr>
              <w:t xml:space="preserve">SOE Enterprise Orchestrator</w:t>
            </w:r>
          </w:p>
        </w:tc>
        <w:tc>
          <w:tcPr>
            <w:tcW w:type="dxa" w:w="260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7"/>
                <w:szCs w:val="17"/>
              </w:rPr>
              <w:t xml:space="preserve">Coordination across projects for resources, finance and execution</w:t>
            </w:r>
          </w:p>
        </w:tc>
        <w:tc>
          <w:tcPr>
            <w:tcW w:type="dxa" w:w="4723"/>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7"/>
                <w:szCs w:val="17"/>
              </w:rPr>
              <w:t xml:space="preserve">CEO, CFO and COO cockpits and Risk &amp; Compliance; functions for strategy and business development, finance and treasury, operations and projects, risk and compliance, HR and capabilities, consolidation and reporting</w:t>
            </w:r>
          </w:p>
        </w:tc>
      </w:tr>
      <w:tr>
        <w:trPr>
          <w:cantSplit/>
        </w:trPr>
        <w:tc>
          <w:tcPr>
            <w:tcW w:type="dxa" w:w="2313"/>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7"/>
                <w:szCs w:val="17"/>
              </w:rPr>
              <w:t xml:space="preserve">Corporate AI agent groups</w:t>
            </w:r>
          </w:p>
        </w:tc>
        <w:tc>
          <w:tcPr>
            <w:tcW w:type="dxa" w:w="260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7"/>
                <w:szCs w:val="17"/>
              </w:rPr>
              <w:t xml:space="preserve">Specialist agents by business function</w:t>
            </w:r>
          </w:p>
        </w:tc>
        <w:tc>
          <w:tcPr>
            <w:tcW w:type="dxa" w:w="4723"/>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7"/>
                <w:szCs w:val="17"/>
              </w:rPr>
              <w:t xml:space="preserve">Commercial</w:t>
            </w:r>
            <w:r>
              <w:rPr>
                <w:rFonts w:ascii="Arial" w:cs="Arial" w:eastAsia="Arial" w:hAnsi="Arial"/>
                <w:color w:val="000000"/>
                <w:sz w:val="17"/>
                <w:szCs w:val="17"/>
              </w:rPr>
              <w:t xml:space="preserve">: bid/no-bid, tender estimation, contract risk, claims, client payments, business development. </w:t>
            </w:r>
            <w:r>
              <w:rPr>
                <w:rFonts w:ascii="Arial" w:cs="Arial" w:eastAsia="Arial" w:hAnsi="Arial"/>
                <w:b/>
                <w:bCs/>
                <w:color w:val="000000"/>
                <w:sz w:val="17"/>
                <w:szCs w:val="17"/>
              </w:rPr>
              <w:t xml:space="preserve">Finance</w:t>
            </w:r>
            <w:r>
              <w:rPr>
                <w:rFonts w:ascii="Arial" w:cs="Arial" w:eastAsia="Arial" w:hAnsi="Arial"/>
                <w:color w:val="000000"/>
                <w:sz w:val="17"/>
                <w:szCs w:val="17"/>
              </w:rPr>
              <w:t xml:space="preserve">: cash and liquidity, receivables and collection, payables, treasury and funding, project profitability, consolidation. </w:t>
            </w:r>
            <w:r>
              <w:rPr>
                <w:rFonts w:ascii="Arial" w:cs="Arial" w:eastAsia="Arial" w:hAnsi="Arial"/>
                <w:b/>
                <w:bCs/>
                <w:color w:val="000000"/>
                <w:sz w:val="17"/>
                <w:szCs w:val="17"/>
              </w:rPr>
              <w:t xml:space="preserve">Delivery</w:t>
            </w:r>
            <w:r>
              <w:rPr>
                <w:rFonts w:ascii="Arial" w:cs="Arial" w:eastAsia="Arial" w:hAnsi="Arial"/>
                <w:color w:val="000000"/>
                <w:sz w:val="17"/>
                <w:szCs w:val="17"/>
              </w:rPr>
              <w:t xml:space="preserve">: project control, cost, schedule, procurement, supplier management, equipment and workforce, quality, HSE</w:t>
            </w:r>
          </w:p>
        </w:tc>
      </w:tr>
      <w:tr>
        <w:trPr>
          <w:cantSplit/>
        </w:trPr>
        <w:tc>
          <w:tcPr>
            <w:tcW w:type="dxa" w:w="2313"/>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7"/>
                <w:szCs w:val="17"/>
              </w:rPr>
              <w:t xml:space="preserve">Project Control Tower</w:t>
            </w:r>
            <w:r>
              <w:rPr>
                <w:rFonts w:ascii="Arial" w:cs="Arial" w:eastAsia="Arial" w:hAnsi="Arial"/>
                <w:color w:val="000000"/>
                <w:sz w:val="17"/>
                <w:szCs w:val="17"/>
              </w:rPr>
              <w:t xml:space="preserve"> (per project)</w:t>
            </w:r>
          </w:p>
        </w:tc>
        <w:tc>
          <w:tcPr>
            <w:tcW w:type="dxa" w:w="260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7"/>
                <w:szCs w:val="17"/>
              </w:rPr>
              <w:t xml:space="preserve">Agent coordination at project level for cost, schedule and quality</w:t>
            </w:r>
          </w:p>
        </w:tc>
        <w:tc>
          <w:tcPr>
            <w:tcW w:type="dxa" w:w="4723"/>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7"/>
                <w:szCs w:val="17"/>
              </w:rPr>
              <w:t xml:space="preserve">Project manager, cost, schedule, claims, procurement, supplier-risk, equipment, workforce, quality, safety, sustainability and BIM agents</w:t>
            </w:r>
          </w:p>
        </w:tc>
      </w:tr>
      <w:tr>
        <w:trPr>
          <w:cantSplit/>
        </w:trPr>
        <w:tc>
          <w:tcPr>
            <w:tcW w:type="dxa" w:w="2313"/>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7"/>
                <w:szCs w:val="17"/>
              </w:rPr>
              <w:t xml:space="preserve">Field intelligence</w:t>
            </w:r>
          </w:p>
        </w:tc>
        <w:tc>
          <w:tcPr>
            <w:tcW w:type="dxa" w:w="260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7"/>
                <w:szCs w:val="17"/>
              </w:rPr>
              <w:t xml:space="preserve">Real-time, evidence-based data from site</w:t>
            </w:r>
          </w:p>
        </w:tc>
        <w:tc>
          <w:tcPr>
            <w:tcW w:type="dxa" w:w="4723"/>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7"/>
                <w:szCs w:val="17"/>
              </w:rPr>
              <w:t xml:space="preserve">Mobile site app, drones, CCTV, IoT sensors, digital survey, BIM/digital twin, SCADA</w:t>
            </w:r>
          </w:p>
        </w:tc>
      </w:tr>
      <w:tr>
        <w:trPr>
          <w:cantSplit/>
        </w:trPr>
        <w:tc>
          <w:tcPr>
            <w:tcW w:type="dxa" w:w="2313"/>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pPr>
            <w:r>
              <w:rPr>
                <w:rFonts w:ascii="Arial" w:cs="Arial" w:eastAsia="Arial" w:hAnsi="Arial"/>
                <w:b/>
                <w:bCs/>
                <w:color w:val="000000"/>
                <w:sz w:val="17"/>
                <w:szCs w:val="17"/>
              </w:rPr>
              <w:t xml:space="preserve">Enterprise data platform</w:t>
            </w:r>
          </w:p>
        </w:tc>
        <w:tc>
          <w:tcPr>
            <w:tcW w:type="dxa" w:w="260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pPr>
            <w:r>
              <w:rPr>
                <w:rFonts w:ascii="Arial" w:cs="Arial" w:eastAsia="Arial" w:hAnsi="Arial"/>
                <w:color w:val="000000"/>
                <w:sz w:val="17"/>
                <w:szCs w:val="17"/>
              </w:rPr>
              <w:t xml:space="preserve">Central data layer with consistent master data for all agents, integrated with existing systems</w:t>
            </w:r>
          </w:p>
        </w:tc>
        <w:tc>
          <w:tcPr>
            <w:tcW w:type="dxa" w:w="4723"/>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pPr>
            <w:r>
              <w:rPr>
                <w:rFonts w:ascii="Arial" w:cs="Arial" w:eastAsia="Arial" w:hAnsi="Arial"/>
                <w:color w:val="000000"/>
                <w:sz w:val="17"/>
                <w:szCs w:val="17"/>
              </w:rPr>
              <w:t xml:space="preserve">ERP (finance, project, procurement), e-procurement, contract management, BIM/CDE, scheduling (Primavera P6), HR, finance, legal, safety and quality, equipment, IoT, external data (market prices)</w:t>
            </w:r>
          </w:p>
        </w:tc>
      </w:tr>
    </w:tbl>
    <w:p>
      <w:pPr>
        <w:keepNext w:val="false"/>
        <w:spacing w:after="140"/>
      </w:pPr>
    </w:p>
    <w:p>
      <w:pPr>
        <w:spacing w:after="160"/>
      </w:pPr>
      <w:r>
        <w:rPr>
          <w:rFonts w:ascii="Arial" w:cs="Arial" w:eastAsia="Arial" w:hAnsi="Arial"/>
          <w:i/>
          <w:iCs/>
          <w:color w:val="000000"/>
          <w:sz w:val="15"/>
          <w:szCs w:val="15"/>
        </w:rPr>
        <w:t xml:space="preserve">Source: D3 pp.5–6.</w:t>
      </w:r>
    </w:p>
    <w:p>
      <w:pPr>
        <w:pStyle w:val="Heading3"/>
        <w:keepNext/>
        <w:keepLines/>
        <w:spacing w:after="80" w:before="200"/>
      </w:pPr>
      <w:r>
        <w:rPr>
          <w:rFonts w:ascii="Arial" w:cs="Arial" w:eastAsia="Arial" w:hAnsi="Arial"/>
          <w:b/>
          <w:bCs/>
          <w:color w:val="005EB8"/>
          <w:sz w:val="22"/>
          <w:szCs w:val="22"/>
        </w:rPr>
        <w:t xml:space="preserve">Master data: the foundation</w:t>
      </w:r>
    </w:p>
    <w:p>
      <w:pPr>
        <w:spacing w:after="110" w:before="0" w:line="264"/>
        <w:jc w:val="left"/>
      </w:pPr>
      <w:r>
        <w:rPr>
          <w:rFonts w:ascii="Arial" w:cs="Arial" w:eastAsia="Arial" w:hAnsi="Arial"/>
          <w:color w:val="000000"/>
          <w:sz w:val="20"/>
          <w:szCs w:val="20"/>
        </w:rPr>
        <w:t xml:space="preserve">All agents share one set of identifiers: </w:t>
      </w:r>
      <w:r>
        <w:rPr>
          <w:rFonts w:ascii="Arial" w:cs="Arial" w:eastAsia="Arial" w:hAnsi="Arial"/>
          <w:b/>
          <w:bCs/>
          <w:color w:val="000000"/>
          <w:sz w:val="20"/>
          <w:szCs w:val="20"/>
        </w:rPr>
        <w:t xml:space="preserve">Project ID, WBS, cost code, activity code, material code, supplier ID, contract ID, variation-order ID, payment-certificate ID and asset ID</w:t>
      </w:r>
      <w:r>
        <w:rPr>
          <w:rFonts w:ascii="Arial" w:cs="Arial" w:eastAsia="Arial" w:hAnsi="Arial"/>
          <w:color w:val="000000"/>
          <w:sz w:val="20"/>
          <w:szCs w:val="20"/>
        </w:rPr>
        <w:t xml:space="preserve"> [D3 p.6]. Without consistent master data, agents produce confident answers from inconsistent numbers. Master-data work is therefore month-one work, not an afterthought.</w:t>
      </w:r>
    </w:p>
    <w:p>
      <w:pPr>
        <w:pStyle w:val="Heading3"/>
        <w:keepNext/>
        <w:keepLines/>
        <w:spacing w:after="80" w:before="200"/>
      </w:pPr>
      <w:r>
        <w:rPr>
          <w:rFonts w:ascii="Arial" w:cs="Arial" w:eastAsia="Arial" w:hAnsi="Arial"/>
          <w:b/>
          <w:bCs/>
          <w:color w:val="005EB8"/>
          <w:sz w:val="22"/>
          <w:szCs w:val="22"/>
        </w:rPr>
        <w:t xml:space="preserve">Data and interaction flow</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19"/>
        <w:gridCol w:w="260"/>
        <w:gridCol w:w="1719"/>
        <w:gridCol w:w="260"/>
        <w:gridCol w:w="1719"/>
        <w:gridCol w:w="260"/>
        <w:gridCol w:w="1719"/>
        <w:gridCol w:w="260"/>
        <w:gridCol w:w="1722"/>
      </w:tblGrid>
      <w:tr>
        <w:trPr>
          <w:cantSplit/>
        </w:trPr>
        <w:tc>
          <w:tcPr>
            <w:tcW w:type="dxa" w:w="1719"/>
            <w:tcBorders>
              <w:top w:val="none" w:color="FFFFFF" w:sz="0"/>
              <w:left w:val="none" w:color="FFFFFF" w:sz="0"/>
              <w:bottom w:val="none" w:color="FFFFFF" w:sz="0"/>
              <w:right w:val="none" w:color="FFFFFF" w:sz="0"/>
            </w:tcBorders>
            <w:shd w:fill="00338D" w:color="auto" w:val="clear"/>
            <w:tcMar>
              <w:top w:type="dxa" w:w="100"/>
              <w:left w:type="dxa" w:w="90"/>
              <w:bottom w:type="dxa" w:w="100"/>
              <w:right w:type="dxa" w:w="90"/>
            </w:tcMar>
          </w:tcPr>
          <w:p>
            <w:pPr>
              <w:spacing w:after="40" w:line="240"/>
            </w:pPr>
            <w:r>
              <w:rPr>
                <w:rFonts w:ascii="Arial" w:cs="Arial" w:eastAsia="Arial" w:hAnsi="Arial"/>
                <w:b/>
                <w:bCs/>
                <w:color w:val="FFFFFF"/>
                <w:sz w:val="17"/>
                <w:szCs w:val="17"/>
              </w:rPr>
              <w:t xml:space="preserve">Existing systems</w:t>
            </w:r>
          </w:p>
          <w:p>
            <w:pPr>
              <w:spacing w:after="0" w:line="236"/>
            </w:pPr>
            <w:r>
              <w:rPr>
                <w:rFonts w:ascii="Arial" w:cs="Arial" w:eastAsia="Arial" w:hAnsi="Arial"/>
                <w:color w:val="FFFFFF"/>
                <w:sz w:val="15"/>
                <w:szCs w:val="15"/>
              </w:rPr>
              <w:t xml:space="preserve">ERP, BIM, procurement, contracts, finance</w:t>
            </w:r>
          </w:p>
        </w:tc>
        <w:tc>
          <w:tcPr>
            <w:tcW w:type="dxa" w:w="26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jc w:val="center"/>
            </w:pPr>
            <w:r>
              <w:rPr>
                <w:rFonts w:ascii="Arial" w:cs="Arial" w:eastAsia="Arial" w:hAnsi="Arial"/>
                <w:color w:val="005EB8"/>
                <w:sz w:val="18"/>
                <w:szCs w:val="18"/>
              </w:rPr>
              <w:t xml:space="preserve">►</w:t>
            </w:r>
          </w:p>
        </w:tc>
        <w:tc>
          <w:tcPr>
            <w:tcW w:type="dxa" w:w="1719"/>
            <w:tcBorders>
              <w:top w:val="none" w:color="FFFFFF" w:sz="0"/>
              <w:left w:val="none" w:color="FFFFFF" w:sz="0"/>
              <w:bottom w:val="none" w:color="FFFFFF" w:sz="0"/>
              <w:right w:val="none" w:color="FFFFFF" w:sz="0"/>
            </w:tcBorders>
            <w:shd w:fill="005EB8" w:color="auto" w:val="clear"/>
            <w:tcMar>
              <w:top w:type="dxa" w:w="100"/>
              <w:left w:type="dxa" w:w="90"/>
              <w:bottom w:type="dxa" w:w="100"/>
              <w:right w:type="dxa" w:w="90"/>
            </w:tcMar>
          </w:tcPr>
          <w:p>
            <w:pPr>
              <w:spacing w:after="40" w:line="240"/>
            </w:pPr>
            <w:r>
              <w:rPr>
                <w:rFonts w:ascii="Arial" w:cs="Arial" w:eastAsia="Arial" w:hAnsi="Arial"/>
                <w:b/>
                <w:bCs/>
                <w:color w:val="FFFFFF"/>
                <w:sz w:val="17"/>
                <w:szCs w:val="17"/>
              </w:rPr>
              <w:t xml:space="preserve">Integrated data layer</w:t>
            </w:r>
          </w:p>
          <w:p>
            <w:pPr>
              <w:spacing w:after="0" w:line="236"/>
            </w:pPr>
            <w:r>
              <w:rPr>
                <w:rFonts w:ascii="Arial" w:cs="Arial" w:eastAsia="Arial" w:hAnsi="Arial"/>
                <w:color w:val="FFFFFF"/>
                <w:sz w:val="15"/>
                <w:szCs w:val="15"/>
              </w:rPr>
              <w:t xml:space="preserve">Standardised, cleaned, master data, access control</w:t>
            </w:r>
          </w:p>
        </w:tc>
        <w:tc>
          <w:tcPr>
            <w:tcW w:type="dxa" w:w="26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jc w:val="center"/>
            </w:pPr>
            <w:r>
              <w:rPr>
                <w:rFonts w:ascii="Arial" w:cs="Arial" w:eastAsia="Arial" w:hAnsi="Arial"/>
                <w:color w:val="005EB8"/>
                <w:sz w:val="18"/>
                <w:szCs w:val="18"/>
              </w:rPr>
              <w:t xml:space="preserve">►</w:t>
            </w:r>
          </w:p>
        </w:tc>
        <w:tc>
          <w:tcPr>
            <w:tcW w:type="dxa" w:w="1719"/>
            <w:tcBorders>
              <w:top w:val="none" w:color="FFFFFF" w:sz="0"/>
              <w:left w:val="none" w:color="FFFFFF" w:sz="0"/>
              <w:bottom w:val="none" w:color="FFFFFF" w:sz="0"/>
              <w:right w:val="none" w:color="FFFFFF" w:sz="0"/>
            </w:tcBorders>
            <w:shd w:fill="00338D" w:color="auto" w:val="clear"/>
            <w:tcMar>
              <w:top w:type="dxa" w:w="100"/>
              <w:left w:type="dxa" w:w="90"/>
              <w:bottom w:type="dxa" w:w="100"/>
              <w:right w:type="dxa" w:w="90"/>
            </w:tcMar>
          </w:tcPr>
          <w:p>
            <w:pPr>
              <w:spacing w:after="40" w:line="240"/>
            </w:pPr>
            <w:r>
              <w:rPr>
                <w:rFonts w:ascii="Arial" w:cs="Arial" w:eastAsia="Arial" w:hAnsi="Arial"/>
                <w:b/>
                <w:bCs/>
                <w:color w:val="FFFFFF"/>
                <w:sz w:val="17"/>
                <w:szCs w:val="17"/>
              </w:rPr>
              <w:t xml:space="preserve">AI agents</w:t>
            </w:r>
          </w:p>
          <w:p>
            <w:pPr>
              <w:spacing w:after="0" w:line="236"/>
            </w:pPr>
            <w:r>
              <w:rPr>
                <w:rFonts w:ascii="Arial" w:cs="Arial" w:eastAsia="Arial" w:hAnsi="Arial"/>
                <w:color w:val="FFFFFF"/>
                <w:sz w:val="15"/>
                <w:szCs w:val="15"/>
              </w:rPr>
              <w:t xml:space="preserve">Analysis, prediction, recommendation, cross-agent coordination</w:t>
            </w:r>
          </w:p>
        </w:tc>
        <w:tc>
          <w:tcPr>
            <w:tcW w:type="dxa" w:w="26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jc w:val="center"/>
            </w:pPr>
            <w:r>
              <w:rPr>
                <w:rFonts w:ascii="Arial" w:cs="Arial" w:eastAsia="Arial" w:hAnsi="Arial"/>
                <w:color w:val="005EB8"/>
                <w:sz w:val="18"/>
                <w:szCs w:val="18"/>
              </w:rPr>
              <w:t xml:space="preserve">►</w:t>
            </w:r>
          </w:p>
        </w:tc>
        <w:tc>
          <w:tcPr>
            <w:tcW w:type="dxa" w:w="1719"/>
            <w:tcBorders>
              <w:top w:val="none" w:color="FFFFFF" w:sz="0"/>
              <w:left w:val="none" w:color="FFFFFF" w:sz="0"/>
              <w:bottom w:val="none" w:color="FFFFFF" w:sz="0"/>
              <w:right w:val="none" w:color="FFFFFF" w:sz="0"/>
            </w:tcBorders>
            <w:shd w:fill="005EB8" w:color="auto" w:val="clear"/>
            <w:tcMar>
              <w:top w:type="dxa" w:w="100"/>
              <w:left w:type="dxa" w:w="90"/>
              <w:bottom w:type="dxa" w:w="100"/>
              <w:right w:type="dxa" w:w="90"/>
            </w:tcMar>
          </w:tcPr>
          <w:p>
            <w:pPr>
              <w:spacing w:after="40" w:line="240"/>
            </w:pPr>
            <w:r>
              <w:rPr>
                <w:rFonts w:ascii="Arial" w:cs="Arial" w:eastAsia="Arial" w:hAnsi="Arial"/>
                <w:b/>
                <w:bCs/>
                <w:color w:val="FFFFFF"/>
                <w:sz w:val="17"/>
                <w:szCs w:val="17"/>
              </w:rPr>
              <w:t xml:space="preserve">Dashboards</w:t>
            </w:r>
          </w:p>
          <w:p>
            <w:pPr>
              <w:spacing w:after="0" w:line="236"/>
            </w:pPr>
            <w:r>
              <w:rPr>
                <w:rFonts w:ascii="Arial" w:cs="Arial" w:eastAsia="Arial" w:hAnsi="Arial"/>
                <w:color w:val="FFFFFF"/>
                <w:sz w:val="15"/>
                <w:szCs w:val="15"/>
              </w:rPr>
              <w:t xml:space="preserve">CEO, CFO, COO, project manager, Danantara</w:t>
            </w:r>
          </w:p>
        </w:tc>
        <w:tc>
          <w:tcPr>
            <w:tcW w:type="dxa" w:w="26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jc w:val="center"/>
            </w:pPr>
            <w:r>
              <w:rPr>
                <w:rFonts w:ascii="Arial" w:cs="Arial" w:eastAsia="Arial" w:hAnsi="Arial"/>
                <w:color w:val="005EB8"/>
                <w:sz w:val="18"/>
                <w:szCs w:val="18"/>
              </w:rPr>
              <w:t xml:space="preserve">►</w:t>
            </w:r>
          </w:p>
        </w:tc>
        <w:tc>
          <w:tcPr>
            <w:tcW w:type="dxa" w:w="1722"/>
            <w:tcBorders>
              <w:top w:val="none" w:color="FFFFFF" w:sz="0"/>
              <w:left w:val="none" w:color="FFFFFF" w:sz="0"/>
              <w:bottom w:val="none" w:color="FFFFFF" w:sz="0"/>
              <w:right w:val="none" w:color="FFFFFF" w:sz="0"/>
            </w:tcBorders>
            <w:shd w:fill="00338D" w:color="auto" w:val="clear"/>
            <w:tcMar>
              <w:top w:type="dxa" w:w="100"/>
              <w:left w:type="dxa" w:w="90"/>
              <w:bottom w:type="dxa" w:w="100"/>
              <w:right w:type="dxa" w:w="90"/>
            </w:tcMar>
          </w:tcPr>
          <w:p>
            <w:pPr>
              <w:spacing w:after="40" w:line="240"/>
            </w:pPr>
            <w:r>
              <w:rPr>
                <w:rFonts w:ascii="Arial" w:cs="Arial" w:eastAsia="Arial" w:hAnsi="Arial"/>
                <w:b/>
                <w:bCs/>
                <w:color w:val="FFFFFF"/>
                <w:sz w:val="17"/>
                <w:szCs w:val="17"/>
              </w:rPr>
              <w:t xml:space="preserve">Action and approval</w:t>
            </w:r>
          </w:p>
          <w:p>
            <w:pPr>
              <w:spacing w:after="0" w:line="236"/>
            </w:pPr>
            <w:r>
              <w:rPr>
                <w:rFonts w:ascii="Arial" w:cs="Arial" w:eastAsia="Arial" w:hAnsi="Arial"/>
                <w:color w:val="FFFFFF"/>
                <w:sz w:val="15"/>
                <w:szCs w:val="15"/>
              </w:rPr>
              <w:t xml:space="preserve">Decisions by people; execution through linked systems</w:t>
            </w:r>
          </w:p>
        </w:tc>
      </w:tr>
    </w:tbl>
    <w:p>
      <w:pPr>
        <w:spacing w:after="160"/>
      </w:pPr>
    </w:p>
    <w:p>
      <w:pPr>
        <w:pStyle w:val="Heading2"/>
        <w:keepNext/>
        <w:keepLines/>
        <w:spacing w:after="120" w:before="280"/>
      </w:pPr>
      <w:r>
        <w:rPr>
          <w:rFonts w:ascii="Arial" w:cs="Arial" w:eastAsia="Arial" w:hAnsi="Arial"/>
          <w:b/>
          <w:bCs/>
          <w:color w:val="00338D"/>
          <w:sz w:val="28"/>
          <w:szCs w:val="28"/>
        </w:rPr>
        <w:t xml:space="preserve">12.3 Priority agents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99"/>
        <w:gridCol w:w="6939"/>
      </w:tblGrid>
      <w:tr>
        <w:trPr>
          <w:cantSplit/>
          <w:tblHeader/>
        </w:trPr>
        <w:tc>
          <w:tcPr>
            <w:tcW w:type="dxa" w:w="2699"/>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Agent</w:t>
            </w:r>
          </w:p>
        </w:tc>
        <w:tc>
          <w:tcPr>
            <w:tcW w:type="dxa" w:w="6939"/>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Functions</w:t>
            </w:r>
          </w:p>
        </w:tc>
      </w:tr>
      <w:tr>
        <w:trPr>
          <w:cantSplit/>
        </w:trPr>
        <w:tc>
          <w:tcPr>
            <w:tcW w:type="dxa" w:w="2699"/>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7"/>
                <w:szCs w:val="17"/>
              </w:rPr>
              <w:t xml:space="preserve">Portfolio risk agent</w:t>
            </w:r>
          </w:p>
        </w:tc>
        <w:tc>
          <w:tcPr>
            <w:tcW w:type="dxa" w:w="6939"/>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7"/>
                <w:szCs w:val="17"/>
              </w:rPr>
              <w:t xml:space="preserve">Ranks projects and subsidiaries by risk (cost, schedule, payments, receivables); early detection of potential losses; Green / Amber / Red / Black classification; recommends recovery plans</w:t>
            </w:r>
          </w:p>
        </w:tc>
      </w:tr>
      <w:tr>
        <w:trPr>
          <w:cantSplit/>
        </w:trPr>
        <w:tc>
          <w:tcPr>
            <w:tcW w:type="dxa" w:w="2699"/>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7"/>
                <w:szCs w:val="17"/>
              </w:rPr>
              <w:t xml:space="preserve">Bid / no-bid agent</w:t>
            </w:r>
          </w:p>
        </w:tc>
        <w:tc>
          <w:tcPr>
            <w:tcW w:type="dxa" w:w="6939"/>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7"/>
                <w:szCs w:val="17"/>
              </w:rPr>
              <w:t xml:space="preserve">Evaluates tender feasibility; analyses historical margins, contract risk and working-capital needs; simulates base, downside and severe-downside scenarios; recommends go / no-go</w:t>
            </w:r>
          </w:p>
        </w:tc>
      </w:tr>
      <w:tr>
        <w:trPr>
          <w:cantSplit/>
        </w:trPr>
        <w:tc>
          <w:tcPr>
            <w:tcW w:type="dxa" w:w="2699"/>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7"/>
                <w:szCs w:val="17"/>
              </w:rPr>
              <w:t xml:space="preserve">Cost estimating agent</w:t>
            </w:r>
          </w:p>
        </w:tc>
        <w:tc>
          <w:tcPr>
            <w:tcW w:type="dxa" w:w="6939"/>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7"/>
                <w:szCs w:val="17"/>
              </w:rPr>
              <w:t xml:space="preserve">Independent estimate from historical data and market prices; accounts for productivity, logistics, ground and weather conditions; compares with contract and changes; detects cost-risk</w:t>
            </w:r>
          </w:p>
        </w:tc>
      </w:tr>
      <w:tr>
        <w:trPr>
          <w:cantSplit/>
        </w:trPr>
        <w:tc>
          <w:tcPr>
            <w:tcW w:type="dxa" w:w="2699"/>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7"/>
                <w:szCs w:val="17"/>
              </w:rPr>
              <w:t xml:space="preserve">Receivables and payment agent</w:t>
            </w:r>
          </w:p>
        </w:tc>
        <w:tc>
          <w:tcPr>
            <w:tcW w:type="dxa" w:w="6939"/>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7"/>
                <w:szCs w:val="17"/>
              </w:rPr>
              <w:t xml:space="preserve">Monitors every invoice and payment certificate; detects delays and missing documents; reconciles with certification; predicts payment default; recommends collection acceleration and cash preservation</w:t>
            </w:r>
          </w:p>
        </w:tc>
      </w:tr>
      <w:tr>
        <w:trPr>
          <w:cantSplit/>
        </w:trPr>
        <w:tc>
          <w:tcPr>
            <w:tcW w:type="dxa" w:w="2699"/>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7"/>
                <w:szCs w:val="17"/>
              </w:rPr>
              <w:t xml:space="preserve">Schedule and progress agent</w:t>
            </w:r>
          </w:p>
        </w:tc>
        <w:tc>
          <w:tcPr>
            <w:tcW w:type="dxa" w:w="6939"/>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7"/>
                <w:szCs w:val="17"/>
              </w:rPr>
              <w:t xml:space="preserve">Monitors physical progress against plan; analyses delays and causes; assesses impact on cost and margin; integrates field data (photos, drones, IoT); recommends acceleration</w:t>
            </w:r>
          </w:p>
        </w:tc>
      </w:tr>
      <w:tr>
        <w:trPr>
          <w:cantSplit/>
        </w:trPr>
        <w:tc>
          <w:tcPr>
            <w:tcW w:type="dxa" w:w="2699"/>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pPr>
            <w:r>
              <w:rPr>
                <w:rFonts w:ascii="Arial" w:cs="Arial" w:eastAsia="Arial" w:hAnsi="Arial"/>
                <w:b/>
                <w:bCs/>
                <w:color w:val="000000"/>
                <w:sz w:val="17"/>
                <w:szCs w:val="17"/>
              </w:rPr>
              <w:t xml:space="preserve">Procurement and supplier agent</w:t>
            </w:r>
          </w:p>
        </w:tc>
        <w:tc>
          <w:tcPr>
            <w:tcW w:type="dxa" w:w="6939"/>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pPr>
            <w:r>
              <w:rPr>
                <w:rFonts w:ascii="Arial" w:cs="Arial" w:eastAsia="Arial" w:hAnsi="Arial"/>
                <w:color w:val="000000"/>
                <w:sz w:val="17"/>
                <w:szCs w:val="17"/>
              </w:rPr>
              <w:t xml:space="preserve">Analyses suppliers and market prices; detects supplier risk; optimises procurement strategy; monitors contracts and deliveries; recommends substitution and cost efficiency</w:t>
            </w:r>
          </w:p>
        </w:tc>
      </w:tr>
    </w:tbl>
    <w:p>
      <w:pPr>
        <w:keepNext w:val="false"/>
        <w:spacing w:after="140"/>
      </w:pPr>
    </w:p>
    <w:p>
      <w:pPr>
        <w:spacing w:after="160"/>
      </w:pPr>
      <w:r>
        <w:rPr>
          <w:rFonts w:ascii="Arial" w:cs="Arial" w:eastAsia="Arial" w:hAnsi="Arial"/>
          <w:i/>
          <w:iCs/>
          <w:color w:val="000000"/>
          <w:sz w:val="15"/>
          <w:szCs w:val="15"/>
        </w:rPr>
        <w:t xml:space="preserve">Source: D3 p.5.</w:t>
      </w:r>
    </w:p>
    <w:p>
      <w:pPr>
        <w:pStyle w:val="Heading2"/>
        <w:keepNext/>
        <w:keepLines/>
        <w:spacing w:after="120" w:before="280"/>
      </w:pPr>
      <w:r>
        <w:rPr>
          <w:rFonts w:ascii="Arial" w:cs="Arial" w:eastAsia="Arial" w:hAnsi="Arial"/>
          <w:b/>
          <w:bCs/>
          <w:color w:val="00338D"/>
          <w:sz w:val="28"/>
          <w:szCs w:val="28"/>
        </w:rPr>
        <w:t xml:space="preserve">12.4 Embedding project-control discipline</w:t>
      </w:r>
    </w:p>
    <w:p>
      <w:pPr>
        <w:spacing w:after="110" w:before="0" w:line="264"/>
        <w:jc w:val="left"/>
      </w:pPr>
      <w:r>
        <w:rPr>
          <w:rFonts w:ascii="Arial" w:cs="Arial" w:eastAsia="Arial" w:hAnsi="Arial"/>
          <w:color w:val="000000"/>
          <w:sz w:val="20"/>
          <w:szCs w:val="20"/>
        </w:rPr>
        <w:t xml:space="preserve">The agents are only as good as the control logic they enforce. We recommend that the first release encodes the standard EPC budget chain (estimate → control budget → commitment → actual → payment, with progress billing and collection on the revenue side) as explicit rules that agents check continuously:</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20"/>
        <w:gridCol w:w="5590"/>
        <w:gridCol w:w="1928"/>
      </w:tblGrid>
      <w:tr>
        <w:trPr>
          <w:cantSplit/>
          <w:tblHeader/>
        </w:trPr>
        <w:tc>
          <w:tcPr>
            <w:tcW w:type="dxa" w:w="2120"/>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Control</w:t>
            </w:r>
          </w:p>
        </w:tc>
        <w:tc>
          <w:tcPr>
            <w:tcW w:type="dxa" w:w="5590"/>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What the agent checks</w:t>
            </w:r>
          </w:p>
        </w:tc>
        <w:tc>
          <w:tcPr>
            <w:tcW w:type="dxa" w:w="1928"/>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Agent</w:t>
            </w:r>
          </w:p>
        </w:tc>
      </w:tr>
      <w:tr>
        <w:trPr>
          <w:cantSplit/>
        </w:trPr>
        <w:tc>
          <w:tcPr>
            <w:tcW w:type="dxa" w:w="212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7"/>
                <w:szCs w:val="17"/>
              </w:rPr>
              <w:t xml:space="preserve">One cost-code backbone</w:t>
            </w:r>
          </w:p>
        </w:tc>
        <w:tc>
          <w:tcPr>
            <w:tcW w:type="dxa" w:w="559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7"/>
                <w:szCs w:val="17"/>
              </w:rPr>
              <w:t xml:space="preserve">Every budget line, PR, PO, goods receipt and invoice carries the same WBS × PBS × cost-element code</w:t>
            </w:r>
          </w:p>
        </w:tc>
        <w:tc>
          <w:tcPr>
            <w:tcW w:type="dxa" w:w="192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7"/>
                <w:szCs w:val="17"/>
              </w:rPr>
              <w:t xml:space="preserve">Cost</w:t>
            </w:r>
          </w:p>
        </w:tc>
      </w:tr>
      <w:tr>
        <w:trPr>
          <w:cantSplit/>
        </w:trPr>
        <w:tc>
          <w:tcPr>
            <w:tcW w:type="dxa" w:w="212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7"/>
                <w:szCs w:val="17"/>
              </w:rPr>
              <w:t xml:space="preserve">Commitment tracking</w:t>
            </w:r>
          </w:p>
        </w:tc>
        <w:tc>
          <w:tcPr>
            <w:tcW w:type="dxa" w:w="559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7"/>
                <w:szCs w:val="17"/>
              </w:rPr>
              <w:t xml:space="preserve">Budget versus committed versus actual versus estimate at completion per control account, every week</w:t>
            </w:r>
          </w:p>
        </w:tc>
        <w:tc>
          <w:tcPr>
            <w:tcW w:type="dxa" w:w="1928"/>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7"/>
                <w:szCs w:val="17"/>
              </w:rPr>
              <w:t xml:space="preserve">Cost / Portfolio risk</w:t>
            </w:r>
          </w:p>
        </w:tc>
      </w:tr>
      <w:tr>
        <w:trPr>
          <w:cantSplit/>
        </w:trPr>
        <w:tc>
          <w:tcPr>
            <w:tcW w:type="dxa" w:w="212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7"/>
                <w:szCs w:val="17"/>
              </w:rPr>
              <w:t xml:space="preserve">Three checks at purchase request</w:t>
            </w:r>
          </w:p>
        </w:tc>
        <w:tc>
          <w:tcPr>
            <w:tcW w:type="dxa" w:w="559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7"/>
                <w:szCs w:val="17"/>
              </w:rPr>
              <w:t xml:space="preserve">Budget (money left on the WBS account), quantity (within the PBS item's material take-off balance) and timing (arrives before the required-on-site date)</w:t>
            </w:r>
          </w:p>
        </w:tc>
        <w:tc>
          <w:tcPr>
            <w:tcW w:type="dxa" w:w="192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7"/>
                <w:szCs w:val="17"/>
              </w:rPr>
              <w:t xml:space="preserve">Procurement</w:t>
            </w:r>
          </w:p>
        </w:tc>
      </w:tr>
      <w:tr>
        <w:trPr>
          <w:cantSplit/>
        </w:trPr>
        <w:tc>
          <w:tcPr>
            <w:tcW w:type="dxa" w:w="212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7"/>
                <w:szCs w:val="17"/>
              </w:rPr>
              <w:t xml:space="preserve">Three-way match</w:t>
            </w:r>
          </w:p>
        </w:tc>
        <w:tc>
          <w:tcPr>
            <w:tcW w:type="dxa" w:w="559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7"/>
                <w:szCs w:val="17"/>
              </w:rPr>
              <w:t xml:space="preserve">PO = goods receipt or certificate = invoice before payment; flags POs raised after work started</w:t>
            </w:r>
          </w:p>
        </w:tc>
        <w:tc>
          <w:tcPr>
            <w:tcW w:type="dxa" w:w="1928"/>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7"/>
                <w:szCs w:val="17"/>
              </w:rPr>
              <w:t xml:space="preserve">Receivables &amp; payment / Procurement</w:t>
            </w:r>
          </w:p>
        </w:tc>
      </w:tr>
      <w:tr>
        <w:trPr>
          <w:cantSplit/>
        </w:trPr>
        <w:tc>
          <w:tcPr>
            <w:tcW w:type="dxa" w:w="212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7"/>
                <w:szCs w:val="17"/>
              </w:rPr>
              <w:t xml:space="preserve">Earned value</w:t>
            </w:r>
          </w:p>
        </w:tc>
        <w:tc>
          <w:tcPr>
            <w:tcW w:type="dxa" w:w="559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7"/>
                <w:szCs w:val="17"/>
              </w:rPr>
              <w:t xml:space="preserve">CPI and SPI per control account; EAC from bottom-up forecast compared with AC + (BAC − EV)/CPI</w:t>
            </w:r>
          </w:p>
        </w:tc>
        <w:tc>
          <w:tcPr>
            <w:tcW w:type="dxa" w:w="192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7"/>
                <w:szCs w:val="17"/>
              </w:rPr>
              <w:t xml:space="preserve">Schedule &amp; progress / Cost</w:t>
            </w:r>
          </w:p>
        </w:tc>
      </w:tr>
      <w:tr>
        <w:trPr>
          <w:cantSplit/>
        </w:trPr>
        <w:tc>
          <w:tcPr>
            <w:tcW w:type="dxa" w:w="212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pPr>
            <w:r>
              <w:rPr>
                <w:rFonts w:ascii="Arial" w:cs="Arial" w:eastAsia="Arial" w:hAnsi="Arial"/>
                <w:b/>
                <w:bCs/>
                <w:color w:val="000000"/>
                <w:sz w:val="17"/>
                <w:szCs w:val="17"/>
              </w:rPr>
              <w:t xml:space="preserve">Revenue protection</w:t>
            </w:r>
          </w:p>
        </w:tc>
        <w:tc>
          <w:tcPr>
            <w:tcW w:type="dxa" w:w="559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7"/>
                <w:szCs w:val="17"/>
              </w:rPr>
              <w:t xml:space="preserve">Unbilled work, unapproved variation orders, retention and advance-payment recovery; ageing by owner</w:t>
            </w:r>
          </w:p>
        </w:tc>
        <w:tc>
          <w:tcPr>
            <w:tcW w:type="dxa" w:w="1928"/>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7"/>
                <w:szCs w:val="17"/>
              </w:rPr>
              <w:t xml:space="preserve">Receivables &amp; payment</w:t>
            </w:r>
          </w:p>
        </w:tc>
      </w:tr>
    </w:tbl>
    <w:p>
      <w:pPr>
        <w:keepNext w:val="false"/>
        <w:spacing w:after="140"/>
      </w:pPr>
    </w:p>
    <w:p>
      <w:pPr>
        <w:pStyle w:val="Heading2"/>
        <w:keepNext/>
        <w:keepLines/>
        <w:spacing w:after="120" w:before="280"/>
      </w:pPr>
      <w:r>
        <w:rPr>
          <w:rFonts w:ascii="Arial" w:cs="Arial" w:eastAsia="Arial" w:hAnsi="Arial"/>
          <w:b/>
          <w:bCs/>
          <w:color w:val="00338D"/>
          <w:sz w:val="28"/>
          <w:szCs w:val="28"/>
        </w:rPr>
        <w:t xml:space="preserve">12.5 Human in the loop</w:t>
      </w:r>
    </w:p>
    <w:p>
      <w:pPr>
        <w:spacing w:after="110" w:before="0" w:line="264"/>
        <w:jc w:val="left"/>
      </w:pPr>
      <w:r>
        <w:rPr>
          <w:rFonts w:ascii="Arial" w:cs="Arial" w:eastAsia="Arial" w:hAnsi="Arial"/>
          <w:color w:val="000000"/>
          <w:sz w:val="20"/>
          <w:szCs w:val="20"/>
        </w:rPr>
        <w:t xml:space="preserve">Agents analyse and recommend; people decide. Approval is required for material decisions, people intervene on complex cases, and accountability is preserved [D3 p.6]. We propose four autonomy levels with explicit limits: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38"/>
        <w:gridCol w:w="2602"/>
        <w:gridCol w:w="3084"/>
        <w:gridCol w:w="2314"/>
      </w:tblGrid>
      <w:tr>
        <w:trPr>
          <w:cantSplit/>
          <w:tblHeader/>
        </w:trPr>
        <w:tc>
          <w:tcPr>
            <w:tcW w:type="dxa" w:w="1638"/>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Level</w:t>
            </w:r>
          </w:p>
        </w:tc>
        <w:tc>
          <w:tcPr>
            <w:tcW w:type="dxa" w:w="2602"/>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Agent may</w:t>
            </w:r>
          </w:p>
        </w:tc>
        <w:tc>
          <w:tcPr>
            <w:tcW w:type="dxa" w:w="3084"/>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Examples</w:t>
            </w:r>
          </w:p>
        </w:tc>
        <w:tc>
          <w:tcPr>
            <w:tcW w:type="dxa" w:w="2314"/>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Never permitted</w:t>
            </w:r>
          </w:p>
        </w:tc>
      </w:tr>
      <w:tr>
        <w:trPr>
          <w:cantSplit/>
        </w:trPr>
        <w:tc>
          <w:tcPr>
            <w:tcW w:type="dxa" w:w="163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7"/>
                <w:szCs w:val="17"/>
              </w:rPr>
              <w:t xml:space="preserve">L0 Inform</w:t>
            </w:r>
          </w:p>
        </w:tc>
        <w:tc>
          <w:tcPr>
            <w:tcW w:type="dxa" w:w="260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7"/>
                <w:szCs w:val="17"/>
              </w:rPr>
              <w:t xml:space="preserve">Report and alert</w:t>
            </w:r>
          </w:p>
        </w:tc>
        <w:tc>
          <w:tcPr>
            <w:tcW w:type="dxa" w:w="3084"/>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7"/>
                <w:szCs w:val="17"/>
              </w:rPr>
              <w:t xml:space="preserve">Overdue receivable alert; CPI below threshold</w:t>
            </w:r>
          </w:p>
        </w:tc>
        <w:tc>
          <w:tcPr>
            <w:tcW w:type="dxa" w:w="2314"/>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7"/>
                <w:szCs w:val="17"/>
              </w:rPr>
              <w:t xml:space="preserve">–</w:t>
            </w:r>
          </w:p>
        </w:tc>
      </w:tr>
      <w:tr>
        <w:trPr>
          <w:cantSplit/>
        </w:trPr>
        <w:tc>
          <w:tcPr>
            <w:tcW w:type="dxa" w:w="1638"/>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7"/>
                <w:szCs w:val="17"/>
              </w:rPr>
              <w:t xml:space="preserve">L1 Recommend</w:t>
            </w:r>
          </w:p>
        </w:tc>
        <w:tc>
          <w:tcPr>
            <w:tcW w:type="dxa" w:w="260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7"/>
                <w:szCs w:val="17"/>
              </w:rPr>
              <w:t xml:space="preserve">Propose an action with evidence and alternatives</w:t>
            </w:r>
          </w:p>
        </w:tc>
        <w:tc>
          <w:tcPr>
            <w:tcW w:type="dxa" w:w="3084"/>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7"/>
                <w:szCs w:val="17"/>
              </w:rPr>
              <w:t xml:space="preserve">Bid/no-bid recommendation; recovery plan</w:t>
            </w:r>
          </w:p>
        </w:tc>
        <w:tc>
          <w:tcPr>
            <w:tcW w:type="dxa" w:w="2314"/>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7"/>
                <w:szCs w:val="17"/>
              </w:rPr>
              <w:t xml:space="preserve">–</w:t>
            </w:r>
          </w:p>
        </w:tc>
      </w:tr>
      <w:tr>
        <w:trPr>
          <w:cantSplit/>
        </w:trPr>
        <w:tc>
          <w:tcPr>
            <w:tcW w:type="dxa" w:w="163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7"/>
                <w:szCs w:val="17"/>
              </w:rPr>
              <w:t xml:space="preserve">L2 Prepare</w:t>
            </w:r>
          </w:p>
        </w:tc>
        <w:tc>
          <w:tcPr>
            <w:tcW w:type="dxa" w:w="260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7"/>
                <w:szCs w:val="17"/>
              </w:rPr>
              <w:t xml:space="preserve">Draft a transaction or document for human approval</w:t>
            </w:r>
          </w:p>
        </w:tc>
        <w:tc>
          <w:tcPr>
            <w:tcW w:type="dxa" w:w="3084"/>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7"/>
                <w:szCs w:val="17"/>
              </w:rPr>
              <w:t xml:space="preserve">Draft collection letter; draft change-order assessment</w:t>
            </w:r>
          </w:p>
        </w:tc>
        <w:tc>
          <w:tcPr>
            <w:tcW w:type="dxa" w:w="2314"/>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7"/>
                <w:szCs w:val="17"/>
              </w:rPr>
              <w:t xml:space="preserve">Submitting without approval</w:t>
            </w:r>
          </w:p>
        </w:tc>
      </w:tr>
      <w:tr>
        <w:trPr>
          <w:cantSplit/>
        </w:trPr>
        <w:tc>
          <w:tcPr>
            <w:tcW w:type="dxa" w:w="1638"/>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pPr>
            <w:r>
              <w:rPr>
                <w:rFonts w:ascii="Arial" w:cs="Arial" w:eastAsia="Arial" w:hAnsi="Arial"/>
                <w:b/>
                <w:bCs/>
                <w:color w:val="000000"/>
                <w:sz w:val="17"/>
                <w:szCs w:val="17"/>
              </w:rPr>
              <w:t xml:space="preserve">L3 Execute within limits</w:t>
            </w:r>
          </w:p>
        </w:tc>
        <w:tc>
          <w:tcPr>
            <w:tcW w:type="dxa" w:w="260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7"/>
                <w:szCs w:val="17"/>
              </w:rPr>
              <w:t xml:space="preserve">Perform low-risk, reversible actions inside set limits</w:t>
            </w:r>
          </w:p>
        </w:tc>
        <w:tc>
          <w:tcPr>
            <w:tcW w:type="dxa" w:w="3084"/>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7"/>
                <w:szCs w:val="17"/>
              </w:rPr>
              <w:t xml:space="preserve">Send reminders; update dashboards; open tickets</w:t>
            </w:r>
          </w:p>
        </w:tc>
        <w:tc>
          <w:tcPr>
            <w:tcW w:type="dxa" w:w="2314"/>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7"/>
                <w:szCs w:val="17"/>
              </w:rPr>
              <w:t xml:space="preserve">Approving payments, bids, contracts, budgets or personnel decisions</w:t>
            </w:r>
          </w:p>
        </w:tc>
      </w:tr>
    </w:tbl>
    <w:p>
      <w:pPr>
        <w:keepNext w:val="false"/>
        <w:spacing w:after="140"/>
      </w:pPr>
    </w:p>
    <w:p>
      <w:pPr>
        <w:pStyle w:val="Heading2"/>
        <w:keepNext/>
        <w:keepLines/>
        <w:spacing w:after="120" w:before="280"/>
      </w:pPr>
      <w:r>
        <w:rPr>
          <w:rFonts w:ascii="Arial" w:cs="Arial" w:eastAsia="Arial" w:hAnsi="Arial"/>
          <w:b/>
          <w:bCs/>
          <w:color w:val="00338D"/>
          <w:sz w:val="28"/>
          <w:szCs w:val="28"/>
        </w:rPr>
        <w:t xml:space="preserve">12.6 Three-month MVP</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57"/>
        <w:gridCol w:w="2824"/>
        <w:gridCol w:w="2824"/>
        <w:gridCol w:w="2833"/>
      </w:tblGrid>
      <w:tr>
        <w:trPr>
          <w:cantSplit/>
          <w:tblHeader/>
        </w:trPr>
        <w:tc>
          <w:tcPr>
            <w:tcW w:type="dxa" w:w="1157"/>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p>
        </w:tc>
        <w:tc>
          <w:tcPr>
            <w:tcW w:type="dxa" w:w="2824"/>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Month 1: foundation and data integration</w:t>
            </w:r>
          </w:p>
        </w:tc>
        <w:tc>
          <w:tcPr>
            <w:tcW w:type="dxa" w:w="2824"/>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Month 2: six priority agents</w:t>
            </w:r>
          </w:p>
        </w:tc>
        <w:tc>
          <w:tcPr>
            <w:tcW w:type="dxa" w:w="2833"/>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Month 3: integration, pilot and go-live</w:t>
            </w:r>
          </w:p>
        </w:tc>
      </w:tr>
      <w:tr>
        <w:trPr>
          <w:cantSplit/>
        </w:trPr>
        <w:tc>
          <w:tcPr>
            <w:tcW w:type="dxa" w:w="1157"/>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pPr>
            <w:r>
              <w:rPr>
                <w:rFonts w:ascii="Arial" w:cs="Arial" w:eastAsia="Arial" w:hAnsi="Arial"/>
                <w:b/>
                <w:bCs/>
                <w:color w:val="000000"/>
                <w:sz w:val="17"/>
                <w:szCs w:val="17"/>
              </w:rPr>
              <w:t xml:space="preserve">Work</w:t>
            </w:r>
          </w:p>
        </w:tc>
        <w:tc>
          <w:tcPr>
            <w:tcW w:type="dxa" w:w="2824"/>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7"/>
                <w:szCs w:val="17"/>
              </w:rPr>
              <w:t xml:space="preserve">Finalise scope and use cases; read-only integration with existing ERP; enterprise data layer and master data; infrastructure, security and access; multi-agent framework and tool gateway; recruit and onboard team; initial dashboard design</w:t>
            </w:r>
          </w:p>
        </w:tc>
        <w:tc>
          <w:tcPr>
            <w:tcW w:type="dxa" w:w="2824"/>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7"/>
                <w:szCs w:val="17"/>
              </w:rPr>
              <w:t xml:space="preserve">Develop and test six agents. D3 lists: (1) project document, (2) cost, (3) cash and receivables, (4) procurement, (5) schedule, (6) project-manager orchestrator. We recommend replacing the project-document agent with the </w:t>
            </w:r>
            <w:r>
              <w:rPr>
                <w:rFonts w:ascii="Arial" w:cs="Arial" w:eastAsia="Arial" w:hAnsi="Arial"/>
                <w:b/>
                <w:bCs/>
                <w:color w:val="000000"/>
                <w:sz w:val="17"/>
                <w:szCs w:val="17"/>
              </w:rPr>
              <w:t xml:space="preserve">bid/no-bid agent</w:t>
            </w:r>
            <w:r>
              <w:rPr>
                <w:rFonts w:ascii="Arial" w:cs="Arial" w:eastAsia="Arial" w:hAnsi="Arial"/>
                <w:b w:val="false"/>
                <w:bCs w:val="false"/>
                <w:color w:val="000000"/>
                <w:sz w:val="17"/>
                <w:szCs w:val="17"/>
              </w:rPr>
              <w:t xml:space="preserve">, because Chapter 11 traces losses to bidding. Integrate with ERP data; test and validate with key users; iterate</w:t>
            </w:r>
          </w:p>
        </w:tc>
        <w:tc>
          <w:tcPr>
            <w:tcW w:type="dxa" w:w="2833"/>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7"/>
                <w:szCs w:val="17"/>
              </w:rPr>
              <w:t xml:space="preserve">Full integration across agents; executive dashboards (Danantara, CEO, CFO, project manager); pilot on 2–3 priority projects; user acceptance testing; training; documentation, SOPs and handover; evaluate and plan next phase</w:t>
            </w:r>
          </w:p>
        </w:tc>
      </w:tr>
      <w:tr>
        <w:trPr>
          <w:cantSplit/>
        </w:trPr>
        <w:tc>
          <w:tcPr>
            <w:tcW w:type="dxa" w:w="1157"/>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pPr>
            <w:r>
              <w:rPr>
                <w:rFonts w:ascii="Arial" w:cs="Arial" w:eastAsia="Arial" w:hAnsi="Arial"/>
                <w:b/>
                <w:bCs/>
                <w:color w:val="000000"/>
                <w:sz w:val="17"/>
                <w:szCs w:val="17"/>
              </w:rPr>
              <w:t xml:space="preserve">Milestone</w:t>
            </w:r>
          </w:p>
        </w:tc>
        <w:tc>
          <w:tcPr>
            <w:tcW w:type="dxa" w:w="2824"/>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7"/>
                <w:szCs w:val="17"/>
              </w:rPr>
              <w:t xml:space="preserve">Team onboarded; ERP data layer ready; agent architecture selected; initial dashboard; sample data from 1–2 projects</w:t>
            </w:r>
          </w:p>
        </w:tc>
        <w:tc>
          <w:tcPr>
            <w:tcW w:type="dxa" w:w="2824"/>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7"/>
                <w:szCs w:val="17"/>
              </w:rPr>
              <w:t xml:space="preserve">Six agents built; internal integration tested; first insights from real project data; iteration on user feedback</w:t>
            </w:r>
          </w:p>
        </w:tc>
        <w:tc>
          <w:tcPr>
            <w:tcW w:type="dxa" w:w="2833"/>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7"/>
                <w:szCs w:val="17"/>
              </w:rPr>
              <w:t xml:space="preserve">Pilot on 2–3 projects running; executive dashboard ready; UAT and training complete; SOPs documented; next-phase plan evaluated</w:t>
            </w:r>
          </w:p>
        </w:tc>
      </w:tr>
    </w:tbl>
    <w:p>
      <w:pPr>
        <w:keepNext w:val="false"/>
        <w:spacing w:after="140"/>
      </w:pPr>
    </w:p>
    <w:p>
      <w:pPr>
        <w:spacing w:after="160"/>
      </w:pPr>
      <w:r>
        <w:rPr>
          <w:rFonts w:ascii="Arial" w:cs="Arial" w:eastAsia="Arial" w:hAnsi="Arial"/>
          <w:i/>
          <w:iCs/>
          <w:color w:val="000000"/>
          <w:sz w:val="15"/>
          <w:szCs w:val="15"/>
        </w:rPr>
        <w:t xml:space="preserve">Source: D3 p.7, with our recommended change to the agent list. D3's six MVP agents differ from its six target agents in Section 12.3; the portfolio-risk agent should follow in Phase 2. D3's Gantt chart labels twelve columns M1–M12 within three months; we read these as weeks.</w:t>
      </w:r>
    </w:p>
    <w:p>
      <w:pPr>
        <w:keepNext/>
        <w:spacing w:after="80" w:before="120"/>
      </w:pPr>
      <w:r>
        <w:rPr>
          <w:rFonts w:ascii="Arial" w:cs="Arial" w:eastAsia="Arial" w:hAnsi="Arial"/>
          <w:b/>
          <w:bCs/>
          <w:color w:val="00338D"/>
          <w:sz w:val="18"/>
          <w:szCs w:val="18"/>
        </w:rPr>
        <w:t xml:space="preserve">Table 17: </w:t>
      </w:r>
      <w:r>
        <w:rPr>
          <w:rFonts w:ascii="Arial" w:cs="Arial" w:eastAsia="Arial" w:hAnsi="Arial"/>
          <w:b/>
          <w:bCs/>
          <w:color w:val="00338D"/>
          <w:sz w:val="18"/>
          <w:szCs w:val="18"/>
        </w:rPr>
        <w:t xml:space="preserve">MVP team</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181"/>
        <w:gridCol w:w="1157"/>
        <w:gridCol w:w="4144"/>
        <w:gridCol w:w="1156"/>
      </w:tblGrid>
      <w:tr>
        <w:trPr>
          <w:cantSplit/>
          <w:tblHeader/>
        </w:trPr>
        <w:tc>
          <w:tcPr>
            <w:tcW w:type="dxa" w:w="3181"/>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Technical team (14)</w:t>
            </w:r>
          </w:p>
        </w:tc>
        <w:tc>
          <w:tcPr>
            <w:tcW w:type="dxa" w:w="1157"/>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No.</w:t>
            </w:r>
          </w:p>
        </w:tc>
        <w:tc>
          <w:tcPr>
            <w:tcW w:type="dxa" w:w="4144"/>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Business and domain team (6–8)</w:t>
            </w:r>
          </w:p>
        </w:tc>
        <w:tc>
          <w:tcPr>
            <w:tcW w:type="dxa" w:w="1156"/>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No.</w:t>
            </w:r>
          </w:p>
        </w:tc>
      </w:tr>
      <w:tr>
        <w:trPr>
          <w:cantSplit/>
        </w:trPr>
        <w:tc>
          <w:tcPr>
            <w:tcW w:type="dxa" w:w="3181"/>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7"/>
                <w:szCs w:val="17"/>
              </w:rPr>
              <w:t xml:space="preserve">Project lead</w:t>
            </w:r>
          </w:p>
        </w:tc>
        <w:tc>
          <w:tcPr>
            <w:tcW w:type="dxa" w:w="1157"/>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7"/>
                <w:szCs w:val="17"/>
              </w:rPr>
              <w:t xml:space="preserve">1</w:t>
            </w:r>
          </w:p>
        </w:tc>
        <w:tc>
          <w:tcPr>
            <w:tcW w:type="dxa" w:w="4144"/>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7"/>
                <w:szCs w:val="17"/>
              </w:rPr>
              <w:t xml:space="preserve">Project control expert (WBS, cost, schedule, risk)</w:t>
            </w:r>
          </w:p>
        </w:tc>
        <w:tc>
          <w:tcPr>
            <w:tcW w:type="dxa" w:w="115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7"/>
                <w:szCs w:val="17"/>
              </w:rPr>
              <w:t xml:space="preserve">1–2</w:t>
            </w:r>
          </w:p>
        </w:tc>
      </w:tr>
      <w:tr>
        <w:trPr>
          <w:cantSplit/>
        </w:trPr>
        <w:tc>
          <w:tcPr>
            <w:tcW w:type="dxa" w:w="3181"/>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7"/>
                <w:szCs w:val="17"/>
              </w:rPr>
              <w:t xml:space="preserve">AI / agent engineers</w:t>
            </w:r>
          </w:p>
        </w:tc>
        <w:tc>
          <w:tcPr>
            <w:tcW w:type="dxa" w:w="1157"/>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7"/>
                <w:szCs w:val="17"/>
              </w:rPr>
              <w:t xml:space="preserve">3</w:t>
            </w:r>
          </w:p>
        </w:tc>
        <w:tc>
          <w:tcPr>
            <w:tcW w:type="dxa" w:w="4144"/>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7"/>
                <w:szCs w:val="17"/>
              </w:rPr>
              <w:t xml:space="preserve">Finance / CFO expert (cash, receivables, payables, funding)</w:t>
            </w:r>
          </w:p>
        </w:tc>
        <w:tc>
          <w:tcPr>
            <w:tcW w:type="dxa" w:w="1156"/>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7"/>
                <w:szCs w:val="17"/>
              </w:rPr>
              <w:t xml:space="preserve">1</w:t>
            </w:r>
          </w:p>
        </w:tc>
      </w:tr>
      <w:tr>
        <w:trPr>
          <w:cantSplit/>
        </w:trPr>
        <w:tc>
          <w:tcPr>
            <w:tcW w:type="dxa" w:w="3181"/>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7"/>
                <w:szCs w:val="17"/>
              </w:rPr>
              <w:t xml:space="preserve">Backend engineers</w:t>
            </w:r>
          </w:p>
        </w:tc>
        <w:tc>
          <w:tcPr>
            <w:tcW w:type="dxa" w:w="1157"/>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7"/>
                <w:szCs w:val="17"/>
              </w:rPr>
              <w:t xml:space="preserve">3</w:t>
            </w:r>
          </w:p>
        </w:tc>
        <w:tc>
          <w:tcPr>
            <w:tcW w:type="dxa" w:w="4144"/>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7"/>
                <w:szCs w:val="17"/>
              </w:rPr>
              <w:t xml:space="preserve">Procurement expert</w:t>
            </w:r>
          </w:p>
        </w:tc>
        <w:tc>
          <w:tcPr>
            <w:tcW w:type="dxa" w:w="115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7"/>
                <w:szCs w:val="17"/>
              </w:rPr>
              <w:t xml:space="preserve">1</w:t>
            </w:r>
          </w:p>
        </w:tc>
      </w:tr>
      <w:tr>
        <w:trPr>
          <w:cantSplit/>
        </w:trPr>
        <w:tc>
          <w:tcPr>
            <w:tcW w:type="dxa" w:w="3181"/>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7"/>
                <w:szCs w:val="17"/>
              </w:rPr>
              <w:t xml:space="preserve">Data engineers</w:t>
            </w:r>
          </w:p>
        </w:tc>
        <w:tc>
          <w:tcPr>
            <w:tcW w:type="dxa" w:w="1157"/>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7"/>
                <w:szCs w:val="17"/>
              </w:rPr>
              <w:t xml:space="preserve">2</w:t>
            </w:r>
          </w:p>
        </w:tc>
        <w:tc>
          <w:tcPr>
            <w:tcW w:type="dxa" w:w="4144"/>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7"/>
                <w:szCs w:val="17"/>
              </w:rPr>
              <w:t xml:space="preserve">Contract / claims expert</w:t>
            </w:r>
          </w:p>
        </w:tc>
        <w:tc>
          <w:tcPr>
            <w:tcW w:type="dxa" w:w="1156"/>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7"/>
                <w:szCs w:val="17"/>
              </w:rPr>
              <w:t xml:space="preserve">1</w:t>
            </w:r>
          </w:p>
        </w:tc>
      </w:tr>
      <w:tr>
        <w:trPr>
          <w:cantSplit/>
        </w:trPr>
        <w:tc>
          <w:tcPr>
            <w:tcW w:type="dxa" w:w="3181"/>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7"/>
                <w:szCs w:val="17"/>
              </w:rPr>
              <w:t xml:space="preserve">AI/ML engineer</w:t>
            </w:r>
          </w:p>
        </w:tc>
        <w:tc>
          <w:tcPr>
            <w:tcW w:type="dxa" w:w="1157"/>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7"/>
                <w:szCs w:val="17"/>
              </w:rPr>
              <w:t xml:space="preserve">1</w:t>
            </w:r>
          </w:p>
        </w:tc>
        <w:tc>
          <w:tcPr>
            <w:tcW w:type="dxa" w:w="4144"/>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7"/>
                <w:szCs w:val="17"/>
              </w:rPr>
              <w:t xml:space="preserve">ERP functional specialist</w:t>
            </w:r>
          </w:p>
        </w:tc>
        <w:tc>
          <w:tcPr>
            <w:tcW w:type="dxa" w:w="115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7"/>
                <w:szCs w:val="17"/>
              </w:rPr>
              <w:t xml:space="preserve">1</w:t>
            </w:r>
          </w:p>
        </w:tc>
      </w:tr>
      <w:tr>
        <w:trPr>
          <w:cantSplit/>
        </w:trPr>
        <w:tc>
          <w:tcPr>
            <w:tcW w:type="dxa" w:w="3181"/>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7"/>
                <w:szCs w:val="17"/>
              </w:rPr>
              <w:t xml:space="preserve">Frontend engineers</w:t>
            </w:r>
          </w:p>
        </w:tc>
        <w:tc>
          <w:tcPr>
            <w:tcW w:type="dxa" w:w="1157"/>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7"/>
                <w:szCs w:val="17"/>
              </w:rPr>
              <w:t xml:space="preserve">2</w:t>
            </w:r>
          </w:p>
        </w:tc>
        <w:tc>
          <w:tcPr>
            <w:tcW w:type="dxa" w:w="4144"/>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7"/>
                <w:szCs w:val="17"/>
              </w:rPr>
              <w:t xml:space="preserve">Business analyst / product owner</w:t>
            </w:r>
          </w:p>
        </w:tc>
        <w:tc>
          <w:tcPr>
            <w:tcW w:type="dxa" w:w="1156"/>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7"/>
                <w:szCs w:val="17"/>
              </w:rPr>
              <w:t xml:space="preserve">1</w:t>
            </w:r>
          </w:p>
        </w:tc>
      </w:tr>
      <w:tr>
        <w:trPr>
          <w:cantSplit/>
        </w:trPr>
        <w:tc>
          <w:tcPr>
            <w:tcW w:type="dxa" w:w="3181"/>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7"/>
                <w:szCs w:val="17"/>
              </w:rPr>
              <w:t xml:space="preserve">DevOps / security</w:t>
            </w:r>
          </w:p>
        </w:tc>
        <w:tc>
          <w:tcPr>
            <w:tcW w:type="dxa" w:w="1157"/>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7"/>
                <w:szCs w:val="17"/>
              </w:rPr>
              <w:t xml:space="preserve">1</w:t>
            </w:r>
          </w:p>
        </w:tc>
        <w:tc>
          <w:tcPr>
            <w:tcW w:type="dxa" w:w="4144"/>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7"/>
                <w:szCs w:val="17"/>
              </w:rPr>
              <w:t xml:space="preserve">Data governance specialist</w:t>
            </w:r>
          </w:p>
        </w:tc>
        <w:tc>
          <w:tcPr>
            <w:tcW w:type="dxa" w:w="115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7"/>
                <w:szCs w:val="17"/>
              </w:rPr>
              <w:t xml:space="preserve">1</w:t>
            </w:r>
          </w:p>
        </w:tc>
      </w:tr>
      <w:tr>
        <w:trPr>
          <w:cantSplit/>
        </w:trPr>
        <w:tc>
          <w:tcPr>
            <w:tcW w:type="dxa" w:w="3181"/>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7"/>
                <w:szCs w:val="17"/>
              </w:rPr>
              <w:t xml:space="preserve">QA engineer</w:t>
            </w:r>
          </w:p>
        </w:tc>
        <w:tc>
          <w:tcPr>
            <w:tcW w:type="dxa" w:w="1157"/>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7"/>
                <w:szCs w:val="17"/>
              </w:rPr>
              <w:t xml:space="preserve">1</w:t>
            </w:r>
          </w:p>
        </w:tc>
        <w:tc>
          <w:tcPr>
            <w:tcW w:type="dxa" w:w="4144"/>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pPr>
          </w:p>
        </w:tc>
        <w:tc>
          <w:tcPr>
            <w:tcW w:type="dxa" w:w="1156"/>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pPr>
          </w:p>
        </w:tc>
      </w:tr>
    </w:tbl>
    <w:p>
      <w:pPr>
        <w:keepNext w:val="false"/>
        <w:spacing w:after="140"/>
      </w:pPr>
    </w:p>
    <w:p>
      <w:pPr>
        <w:spacing w:after="80" w:before="0" w:line="264"/>
        <w:jc w:val="left"/>
      </w:pPr>
      <w:r>
        <w:rPr>
          <w:rFonts w:ascii="Arial" w:cs="Arial" w:eastAsia="Arial" w:hAnsi="Arial"/>
          <w:color w:val="000000"/>
          <w:sz w:val="16"/>
          <w:szCs w:val="16"/>
        </w:rPr>
        <w:t xml:space="preserve">Source: D3 pp.7–8. D3 p.7 counts the project lead within the 14; D3 p.8 lists 13 specialist roles plus a separate security/IAM engineer and no project lead. The split should be confirmed; total remains 14.</w:t>
      </w:r>
    </w:p>
    <w:p>
      <w:pPr>
        <w:pStyle w:val="Heading2"/>
        <w:keepNext/>
        <w:keepLines/>
        <w:spacing w:after="120" w:before="280"/>
      </w:pPr>
      <w:r>
        <w:rPr>
          <w:rFonts w:ascii="Arial" w:cs="Arial" w:eastAsia="Arial" w:hAnsi="Arial"/>
          <w:b/>
          <w:bCs/>
          <w:color w:val="00338D"/>
          <w:sz w:val="28"/>
          <w:szCs w:val="28"/>
        </w:rPr>
        <w:t xml:space="preserve">12.7 Computing resources and scaling</w:t>
      </w:r>
    </w:p>
    <w:p>
      <w:pPr>
        <w:keepNext/>
        <w:spacing w:after="80" w:before="120"/>
      </w:pPr>
      <w:r>
        <w:rPr>
          <w:rFonts w:ascii="Arial" w:cs="Arial" w:eastAsia="Arial" w:hAnsi="Arial"/>
          <w:b/>
          <w:bCs/>
          <w:color w:val="00338D"/>
          <w:sz w:val="18"/>
          <w:szCs w:val="18"/>
        </w:rPr>
        <w:t xml:space="preserve">Table 18: </w:t>
      </w:r>
      <w:r>
        <w:rPr>
          <w:rFonts w:ascii="Arial" w:cs="Arial" w:eastAsia="Arial" w:hAnsi="Arial"/>
          <w:b/>
          <w:bCs/>
          <w:color w:val="00338D"/>
          <w:sz w:val="18"/>
          <w:szCs w:val="18"/>
        </w:rPr>
        <w:t xml:space="preserve">Scaling path</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53"/>
        <w:gridCol w:w="1446"/>
        <w:gridCol w:w="5012"/>
        <w:gridCol w:w="1927"/>
      </w:tblGrid>
      <w:tr>
        <w:trPr>
          <w:cantSplit/>
          <w:tblHeader/>
        </w:trPr>
        <w:tc>
          <w:tcPr>
            <w:tcW w:type="dxa" w:w="1253"/>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Phase</w:t>
            </w:r>
          </w:p>
        </w:tc>
        <w:tc>
          <w:tcPr>
            <w:tcW w:type="dxa" w:w="1446"/>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Timing (from MVP start)</w:t>
            </w:r>
          </w:p>
        </w:tc>
        <w:tc>
          <w:tcPr>
            <w:tcW w:type="dxa" w:w="5012"/>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Scope</w:t>
            </w:r>
          </w:p>
        </w:tc>
        <w:tc>
          <w:tcPr>
            <w:tcW w:type="dxa" w:w="1927"/>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GPU</w:t>
            </w:r>
          </w:p>
        </w:tc>
      </w:tr>
      <w:tr>
        <w:trPr>
          <w:cantSplit/>
        </w:trPr>
        <w:tc>
          <w:tcPr>
            <w:tcW w:type="dxa" w:w="1253"/>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1 Pilot</w:t>
            </w:r>
          </w:p>
        </w:tc>
        <w:tc>
          <w:tcPr>
            <w:tcW w:type="dxa" w:w="144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0–3 months</w:t>
            </w:r>
          </w:p>
        </w:tc>
        <w:tc>
          <w:tcPr>
            <w:tcW w:type="dxa" w:w="501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1 SOE, 2–3 projects, 6 main agents, limited users, validate architecture and data model</w:t>
            </w:r>
          </w:p>
        </w:tc>
        <w:tc>
          <w:tcPr>
            <w:tcW w:type="dxa" w:w="1927"/>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4 GPU (1 site)</w:t>
            </w:r>
          </w:p>
        </w:tc>
      </w:tr>
      <w:tr>
        <w:trPr>
          <w:cantSplit/>
        </w:trPr>
        <w:tc>
          <w:tcPr>
            <w:tcW w:type="dxa" w:w="1253"/>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2</w:t>
            </w:r>
          </w:p>
        </w:tc>
        <w:tc>
          <w:tcPr>
            <w:tcW w:type="dxa" w:w="1446"/>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6–12 months</w:t>
            </w:r>
          </w:p>
        </w:tc>
        <w:tc>
          <w:tcPr>
            <w:tcW w:type="dxa" w:w="501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2–3 SOEs, 20–50 projects, more agents and users, high availability</w:t>
            </w:r>
          </w:p>
        </w:tc>
        <w:tc>
          <w:tcPr>
            <w:tcW w:type="dxa" w:w="1927"/>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8 GPU (2 sites / HA)</w:t>
            </w:r>
          </w:p>
        </w:tc>
      </w:tr>
      <w:tr>
        <w:trPr>
          <w:cantSplit/>
        </w:trPr>
        <w:tc>
          <w:tcPr>
            <w:tcW w:type="dxa" w:w="1253"/>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3</w:t>
            </w:r>
          </w:p>
        </w:tc>
        <w:tc>
          <w:tcPr>
            <w:tcW w:type="dxa" w:w="144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12–24 months</w:t>
            </w:r>
          </w:p>
        </w:tc>
        <w:tc>
          <w:tcPr>
            <w:tcW w:type="dxa" w:w="501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All construction SOEs, 100+ projects, Danantara portfolio agents, large-scale computer vision, selected internal and external users</w:t>
            </w:r>
          </w:p>
        </w:tc>
        <w:tc>
          <w:tcPr>
            <w:tcW w:type="dxa" w:w="1927"/>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16 GPU (cluster)</w:t>
            </w:r>
          </w:p>
        </w:tc>
      </w:tr>
      <w:tr>
        <w:trPr>
          <w:cantSplit/>
        </w:trPr>
        <w:tc>
          <w:tcPr>
            <w:tcW w:type="dxa" w:w="1253"/>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pPr>
            <w:r>
              <w:rPr>
                <w:rFonts w:ascii="Arial" w:cs="Arial" w:eastAsia="Arial" w:hAnsi="Arial"/>
                <w:b/>
                <w:bCs/>
                <w:color w:val="000000"/>
                <w:sz w:val="16"/>
                <w:szCs w:val="16"/>
              </w:rPr>
              <w:t xml:space="preserve">4 National</w:t>
            </w:r>
          </w:p>
        </w:tc>
        <w:tc>
          <w:tcPr>
            <w:tcW w:type="dxa" w:w="1446"/>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6"/>
                <w:szCs w:val="16"/>
              </w:rPr>
              <w:t xml:space="preserve">&gt; 24 months</w:t>
            </w:r>
          </w:p>
        </w:tc>
        <w:tc>
          <w:tcPr>
            <w:tcW w:type="dxa" w:w="501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6"/>
                <w:szCs w:val="16"/>
              </w:rPr>
              <w:t xml:space="preserve">All construction SOEs, hundreds of projects, full SOE analytics, industrial ecosystem integration, disaster recovery, services for national stakeholders</w:t>
            </w:r>
          </w:p>
        </w:tc>
        <w:tc>
          <w:tcPr>
            <w:tcW w:type="dxa" w:w="1927"/>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6"/>
                <w:szCs w:val="16"/>
              </w:rPr>
              <w:t xml:space="preserve">16–24+ GPU (multi-site cluster)</w:t>
            </w:r>
          </w:p>
        </w:tc>
      </w:tr>
    </w:tbl>
    <w:p>
      <w:pPr>
        <w:keepNext w:val="false"/>
        <w:spacing w:after="140"/>
      </w:pPr>
    </w:p>
    <w:p>
      <w:pPr>
        <w:keepNext/>
        <w:spacing w:after="80" w:before="120"/>
      </w:pPr>
      <w:r>
        <w:rPr>
          <w:rFonts w:ascii="Arial" w:cs="Arial" w:eastAsia="Arial" w:hAnsi="Arial"/>
          <w:b/>
          <w:bCs/>
          <w:color w:val="00338D"/>
          <w:sz w:val="18"/>
          <w:szCs w:val="18"/>
        </w:rPr>
        <w:t xml:space="preserve">Table 19: </w:t>
      </w:r>
      <w:r>
        <w:rPr>
          <w:rFonts w:ascii="Arial" w:cs="Arial" w:eastAsia="Arial" w:hAnsi="Arial"/>
          <w:b/>
          <w:bCs/>
          <w:color w:val="00338D"/>
          <w:sz w:val="18"/>
          <w:szCs w:val="18"/>
        </w:rPr>
        <w:t xml:space="preserve">Phase 1 infrastructure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20"/>
        <w:gridCol w:w="675"/>
        <w:gridCol w:w="3662"/>
        <w:gridCol w:w="3181"/>
      </w:tblGrid>
      <w:tr>
        <w:trPr>
          <w:cantSplit/>
          <w:tblHeader/>
        </w:trPr>
        <w:tc>
          <w:tcPr>
            <w:tcW w:type="dxa" w:w="2120"/>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Component (Phase 1)</w:t>
            </w:r>
          </w:p>
        </w:tc>
        <w:tc>
          <w:tcPr>
            <w:tcW w:type="dxa" w:w="675"/>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Qty</w:t>
            </w:r>
          </w:p>
        </w:tc>
        <w:tc>
          <w:tcPr>
            <w:tcW w:type="dxa" w:w="3662"/>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Specification</w:t>
            </w:r>
          </w:p>
        </w:tc>
        <w:tc>
          <w:tcPr>
            <w:tcW w:type="dxa" w:w="3181"/>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Function</w:t>
            </w:r>
          </w:p>
        </w:tc>
      </w:tr>
      <w:tr>
        <w:trPr>
          <w:cantSplit/>
        </w:trPr>
        <w:tc>
          <w:tcPr>
            <w:tcW w:type="dxa" w:w="212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GPU server (LLM inference)</w:t>
            </w:r>
          </w:p>
        </w:tc>
        <w:tc>
          <w:tcPr>
            <w:tcW w:type="dxa" w:w="675"/>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1–2</w:t>
            </w:r>
          </w:p>
        </w:tc>
        <w:tc>
          <w:tcPr>
            <w:tcW w:type="dxa" w:w="366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4 × NVIDIA L40S 48 GB per server; 32–64 CPU cores; 256–512 GB RAM; 4–8 TB NVMe; 10/25 GbE</w:t>
            </w:r>
          </w:p>
        </w:tc>
        <w:tc>
          <w:tcPr>
            <w:tcW w:type="dxa" w:w="3181"/>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LLM serving (30–40B and 7–14B models), agent inference, embeddings, monitoring</w:t>
            </w:r>
          </w:p>
        </w:tc>
      </w:tr>
      <w:tr>
        <w:trPr>
          <w:cantSplit/>
        </w:trPr>
        <w:tc>
          <w:tcPr>
            <w:tcW w:type="dxa" w:w="212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Data platform server</w:t>
            </w:r>
          </w:p>
        </w:tc>
        <w:tc>
          <w:tcPr>
            <w:tcW w:type="dxa" w:w="675"/>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1</w:t>
            </w:r>
          </w:p>
        </w:tc>
        <w:tc>
          <w:tcPr>
            <w:tcW w:type="dxa" w:w="366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32–64 cores; 256 GB RAM; 8–16 TB NVMe</w:t>
            </w:r>
          </w:p>
        </w:tc>
        <w:tc>
          <w:tcPr>
            <w:tcW w:type="dxa" w:w="3181"/>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Database, lakehouse, vector DB, ETL, master data, knowledge graph, API gateway, workflow, audit log</w:t>
            </w:r>
          </w:p>
        </w:tc>
      </w:tr>
      <w:tr>
        <w:trPr>
          <w:cantSplit/>
        </w:trPr>
        <w:tc>
          <w:tcPr>
            <w:tcW w:type="dxa" w:w="212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Document processing server</w:t>
            </w:r>
          </w:p>
        </w:tc>
        <w:tc>
          <w:tcPr>
            <w:tcW w:type="dxa" w:w="675"/>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1</w:t>
            </w:r>
          </w:p>
        </w:tc>
        <w:tc>
          <w:tcPr>
            <w:tcW w:type="dxa" w:w="366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16–32 cores; 64–128 GB RAM; optional 1 GPU (L4/L40S)</w:t>
            </w:r>
          </w:p>
        </w:tc>
        <w:tc>
          <w:tcPr>
            <w:tcW w:type="dxa" w:w="3181"/>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OCR of contracts, drawings and reports; computer vision for progress; document classification</w:t>
            </w:r>
          </w:p>
        </w:tc>
      </w:tr>
      <w:tr>
        <w:trPr>
          <w:cantSplit/>
        </w:trPr>
        <w:tc>
          <w:tcPr>
            <w:tcW w:type="dxa" w:w="212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Storage / backup</w:t>
            </w:r>
          </w:p>
        </w:tc>
        <w:tc>
          <w:tcPr>
            <w:tcW w:type="dxa" w:w="675"/>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1</w:t>
            </w:r>
          </w:p>
        </w:tc>
        <w:tc>
          <w:tcPr>
            <w:tcW w:type="dxa" w:w="366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20–50 TB NAS / object storage</w:t>
            </w:r>
          </w:p>
        </w:tc>
        <w:tc>
          <w:tcPr>
            <w:tcW w:type="dxa" w:w="3181"/>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Documents, BIM, images, video; backup and disaster recovery</w:t>
            </w:r>
          </w:p>
        </w:tc>
      </w:tr>
      <w:tr>
        <w:trPr>
          <w:cantSplit/>
        </w:trPr>
        <w:tc>
          <w:tcPr>
            <w:tcW w:type="dxa" w:w="212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pPr>
            <w:r>
              <w:rPr>
                <w:rFonts w:ascii="Arial" w:cs="Arial" w:eastAsia="Arial" w:hAnsi="Arial"/>
                <w:b/>
                <w:bCs/>
                <w:color w:val="000000"/>
                <w:sz w:val="16"/>
                <w:szCs w:val="16"/>
              </w:rPr>
              <w:t xml:space="preserve">Network</w:t>
            </w:r>
          </w:p>
        </w:tc>
        <w:tc>
          <w:tcPr>
            <w:tcW w:type="dxa" w:w="675"/>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6"/>
                <w:szCs w:val="16"/>
              </w:rPr>
              <w:t xml:space="preserve">–</w:t>
            </w:r>
          </w:p>
        </w:tc>
        <w:tc>
          <w:tcPr>
            <w:tcW w:type="dxa" w:w="366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6"/>
                <w:szCs w:val="16"/>
              </w:rPr>
              <w:t xml:space="preserve">10/25 GbE</w:t>
            </w:r>
          </w:p>
        </w:tc>
        <w:tc>
          <w:tcPr>
            <w:tcW w:type="dxa" w:w="3181"/>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6"/>
                <w:szCs w:val="16"/>
              </w:rPr>
              <w:t xml:space="preserve">Server interconnect and internal access</w:t>
            </w:r>
          </w:p>
        </w:tc>
      </w:tr>
    </w:tbl>
    <w:p>
      <w:pPr>
        <w:keepNext w:val="false"/>
        <w:spacing w:after="140"/>
      </w:pPr>
    </w:p>
    <w:p>
      <w:pPr>
        <w:keepNext/>
        <w:spacing w:after="80" w:before="120"/>
      </w:pPr>
      <w:r>
        <w:rPr>
          <w:rFonts w:ascii="Arial" w:cs="Arial" w:eastAsia="Arial" w:hAnsi="Arial"/>
          <w:b/>
          <w:bCs/>
          <w:color w:val="00338D"/>
          <w:sz w:val="18"/>
          <w:szCs w:val="18"/>
        </w:rPr>
        <w:t xml:space="preserve">Table 20: </w:t>
      </w:r>
      <w:r>
        <w:rPr>
          <w:rFonts w:ascii="Arial" w:cs="Arial" w:eastAsia="Arial" w:hAnsi="Arial"/>
          <w:b/>
          <w:bCs/>
          <w:color w:val="00338D"/>
          <w:sz w:val="18"/>
          <w:szCs w:val="18"/>
        </w:rPr>
        <w:t xml:space="preserve">Model classes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28"/>
        <w:gridCol w:w="3181"/>
        <w:gridCol w:w="1446"/>
        <w:gridCol w:w="3083"/>
      </w:tblGrid>
      <w:tr>
        <w:trPr>
          <w:cantSplit/>
          <w:tblHeader/>
        </w:trPr>
        <w:tc>
          <w:tcPr>
            <w:tcW w:type="dxa" w:w="1928"/>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Model type</w:t>
            </w:r>
          </w:p>
        </w:tc>
        <w:tc>
          <w:tcPr>
            <w:tcW w:type="dxa" w:w="3181"/>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Examples named in D3</w:t>
            </w:r>
          </w:p>
        </w:tc>
        <w:tc>
          <w:tcPr>
            <w:tcW w:type="dxa" w:w="1446"/>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GPU estimate</w:t>
            </w:r>
          </w:p>
        </w:tc>
        <w:tc>
          <w:tcPr>
            <w:tcW w:type="dxa" w:w="3083"/>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Main use</w:t>
            </w:r>
          </w:p>
        </w:tc>
      </w:tr>
      <w:tr>
        <w:trPr>
          <w:cantSplit/>
        </w:trPr>
        <w:tc>
          <w:tcPr>
            <w:tcW w:type="dxa" w:w="192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Main LLM (30–40B)</w:t>
            </w:r>
          </w:p>
        </w:tc>
        <w:tc>
          <w:tcPr>
            <w:tcW w:type="dxa" w:w="3181"/>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Llama 3.1 70B (4-bit), Qwen 2.5 32B, Mistral Large</w:t>
            </w:r>
          </w:p>
        </w:tc>
        <w:tc>
          <w:tcPr>
            <w:tcW w:type="dxa" w:w="144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1–2 GPU (48 GB)</w:t>
            </w:r>
          </w:p>
        </w:tc>
        <w:tc>
          <w:tcPr>
            <w:tcW w:type="dxa" w:w="3083"/>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Agent reasoning, document analysis, executive summaries, recommendations</w:t>
            </w:r>
          </w:p>
        </w:tc>
      </w:tr>
      <w:tr>
        <w:trPr>
          <w:cantSplit/>
        </w:trPr>
        <w:tc>
          <w:tcPr>
            <w:tcW w:type="dxa" w:w="1928"/>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Small LLM (7–14B)</w:t>
            </w:r>
          </w:p>
        </w:tc>
        <w:tc>
          <w:tcPr>
            <w:tcW w:type="dxa" w:w="3181"/>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Llama 3.1 8B, Qwen 2.5 7B</w:t>
            </w:r>
          </w:p>
        </w:tc>
        <w:tc>
          <w:tcPr>
            <w:tcW w:type="dxa" w:w="1446"/>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1 GPU (48 GB)</w:t>
            </w:r>
          </w:p>
        </w:tc>
        <w:tc>
          <w:tcPr>
            <w:tcW w:type="dxa" w:w="3083"/>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Classification, routing, information extraction, light tasks between agents</w:t>
            </w:r>
          </w:p>
        </w:tc>
      </w:tr>
      <w:tr>
        <w:trPr>
          <w:cantSplit/>
        </w:trPr>
        <w:tc>
          <w:tcPr>
            <w:tcW w:type="dxa" w:w="192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Embedding model</w:t>
            </w:r>
          </w:p>
        </w:tc>
        <w:tc>
          <w:tcPr>
            <w:tcW w:type="dxa" w:w="3181"/>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bge-large, E5-large</w:t>
            </w:r>
          </w:p>
        </w:tc>
        <w:tc>
          <w:tcPr>
            <w:tcW w:type="dxa" w:w="144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1 GPU (48 GB)</w:t>
            </w:r>
          </w:p>
        </w:tc>
        <w:tc>
          <w:tcPr>
            <w:tcW w:type="dxa" w:w="3083"/>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Vector search, document RAG</w:t>
            </w:r>
          </w:p>
        </w:tc>
      </w:tr>
      <w:tr>
        <w:trPr>
          <w:cantSplit/>
        </w:trPr>
        <w:tc>
          <w:tcPr>
            <w:tcW w:type="dxa" w:w="1928"/>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pPr>
            <w:r>
              <w:rPr>
                <w:rFonts w:ascii="Arial" w:cs="Arial" w:eastAsia="Arial" w:hAnsi="Arial"/>
                <w:b/>
                <w:bCs/>
                <w:color w:val="000000"/>
                <w:sz w:val="16"/>
                <w:szCs w:val="16"/>
              </w:rPr>
              <w:t xml:space="preserve">Computer vision (optional)</w:t>
            </w:r>
          </w:p>
        </w:tc>
        <w:tc>
          <w:tcPr>
            <w:tcW w:type="dxa" w:w="3181"/>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6"/>
                <w:szCs w:val="16"/>
              </w:rPr>
              <w:t xml:space="preserve">YOLO, SAM, VideoMAE</w:t>
            </w:r>
          </w:p>
        </w:tc>
        <w:tc>
          <w:tcPr>
            <w:tcW w:type="dxa" w:w="1446"/>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6"/>
                <w:szCs w:val="16"/>
              </w:rPr>
              <w:t xml:space="preserve">1 GPU (48 GB)</w:t>
            </w:r>
          </w:p>
        </w:tc>
        <w:tc>
          <w:tcPr>
            <w:tcW w:type="dxa" w:w="3083"/>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6"/>
                <w:szCs w:val="16"/>
              </w:rPr>
              <w:t xml:space="preserve">Progress analysis; object and activity detection</w:t>
            </w:r>
          </w:p>
        </w:tc>
      </w:tr>
    </w:tbl>
    <w:p>
      <w:pPr>
        <w:keepNext w:val="false"/>
        <w:spacing w:after="140"/>
      </w:pPr>
    </w:p>
    <w:p>
      <w:pPr>
        <w:spacing w:after="160"/>
      </w:pPr>
      <w:r>
        <w:rPr>
          <w:rFonts w:ascii="Arial" w:cs="Arial" w:eastAsia="Arial" w:hAnsi="Arial"/>
          <w:i/>
          <w:iCs/>
          <w:color w:val="000000"/>
          <w:sz w:val="15"/>
          <w:szCs w:val="15"/>
        </w:rPr>
        <w:t xml:space="preserve">Source: D3 p.8. D3 groups Llama 3.1 70B (4-bit) under the 30–40B class; it is a 70B model quantised to fit and should be load-tested. Model choices date quickly: select current open-weight models with suitable commercial licences at procurement.</w:t>
      </w:r>
    </w:p>
    <w:p>
      <w:pPr>
        <w:spacing w:after="110" w:before="0" w:line="264"/>
        <w:jc w:val="left"/>
      </w:pPr>
      <w:r>
        <w:rPr>
          <w:rFonts w:ascii="Arial" w:cs="Arial" w:eastAsia="Arial" w:hAnsi="Arial"/>
          <w:color w:val="000000"/>
          <w:sz w:val="20"/>
          <w:szCs w:val="20"/>
        </w:rPr>
        <w:t xml:space="preserve">The end state is a </w:t>
      </w:r>
      <w:r>
        <w:rPr>
          <w:rFonts w:ascii="Arial" w:cs="Arial" w:eastAsia="Arial" w:hAnsi="Arial"/>
          <w:b/>
          <w:bCs/>
          <w:color w:val="000000"/>
          <w:sz w:val="20"/>
          <w:szCs w:val="20"/>
        </w:rPr>
        <w:t xml:space="preserve">hub-and-spoke</w:t>
      </w:r>
      <w:r>
        <w:rPr>
          <w:rFonts w:ascii="Arial" w:cs="Arial" w:eastAsia="Arial" w:hAnsi="Arial"/>
          <w:color w:val="000000"/>
          <w:sz w:val="20"/>
          <w:szCs w:val="20"/>
        </w:rPr>
        <w:t xml:space="preserve"> design: a Danantara AI platform (LLM gateway, agent platform, common data model, identity and access management, model management, portfolio control tower) as the hub, with AI control towers at WIKA, PP, Waskita, Adhi Karya and other construction SOEs as spokes. The platform team of about nine (3 AI/agent, 2 data, 2 backend, 1 DevOps/cloud, 1 security/IAM) builds the common platform and portfolio agents; each SOE pilot team of about five (2 frontend, 1 AI/ML, 1 QA, 1 integration engineer) integrates its ERP and project systems and runs user acceptance and training [D3 p.8].</w:t>
      </w:r>
    </w:p>
    <w:p>
      <w:pPr>
        <w:pStyle w:val="Heading3"/>
        <w:keepNext/>
        <w:keepLines/>
        <w:spacing w:after="80" w:before="200"/>
      </w:pPr>
      <w:r>
        <w:rPr>
          <w:rFonts w:ascii="Arial" w:cs="Arial" w:eastAsia="Arial" w:hAnsi="Arial"/>
          <w:b/>
          <w:bCs/>
          <w:color w:val="005EB8"/>
          <w:sz w:val="22"/>
          <w:szCs w:val="22"/>
        </w:rPr>
        <w:t xml:space="preserve">Beyond construction</w:t>
      </w:r>
    </w:p>
    <w:p>
      <w:pPr>
        <w:spacing w:after="110" w:before="0" w:line="264"/>
        <w:jc w:val="left"/>
      </w:pPr>
      <w:r>
        <w:rPr>
          <w:rFonts w:ascii="Arial" w:cs="Arial" w:eastAsia="Arial" w:hAnsi="Arial"/>
          <w:color w:val="000000"/>
          <w:sz w:val="20"/>
          <w:szCs w:val="20"/>
        </w:rPr>
        <w:t xml:space="preserve">Once proven, the same platform and master data can host the DOCK-UP readiness register and supplier portal, the data for the three scorecards, the NRF reserves and pledged-revenue register, and the evidence trail for milestone-released project notes. One platform then supports the capability, financing and performance chain described in this study.</w:t>
      </w:r>
    </w:p>
    <w:p>
      <w:pPr>
        <w:pStyle w:val="Heading2"/>
        <w:keepNext/>
        <w:keepLines/>
        <w:spacing w:after="120" w:before="280"/>
      </w:pPr>
      <w:r>
        <w:rPr>
          <w:rFonts w:ascii="Arial" w:cs="Arial" w:eastAsia="Arial" w:hAnsi="Arial"/>
          <w:b/>
          <w:bCs/>
          <w:color w:val="00338D"/>
          <w:sz w:val="28"/>
          <w:szCs w:val="28"/>
        </w:rPr>
        <w:t xml:space="preserve">12.8 Governance of the AI system</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20"/>
        <w:gridCol w:w="7518"/>
      </w:tblGrid>
      <w:tr>
        <w:trPr>
          <w:cantSplit/>
          <w:tblHeader/>
        </w:trPr>
        <w:tc>
          <w:tcPr>
            <w:tcW w:type="dxa" w:w="2120"/>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Area</w:t>
            </w:r>
          </w:p>
        </w:tc>
        <w:tc>
          <w:tcPr>
            <w:tcW w:type="dxa" w:w="7518"/>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Requirement (proposed)</w:t>
            </w:r>
          </w:p>
        </w:tc>
      </w:tr>
      <w:tr>
        <w:trPr>
          <w:cantSplit/>
        </w:trPr>
        <w:tc>
          <w:tcPr>
            <w:tcW w:type="dxa" w:w="212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Data sovereignty</w:t>
            </w:r>
          </w:p>
        </w:tc>
        <w:tc>
          <w:tcPr>
            <w:tcW w:type="dxa" w:w="751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Local infrastructure and open-weight models, as D3 proposes; classified or sensitive data never leaves controlled environments</w:t>
            </w:r>
          </w:p>
        </w:tc>
      </w:tr>
      <w:tr>
        <w:trPr>
          <w:cantSplit/>
        </w:trPr>
        <w:tc>
          <w:tcPr>
            <w:tcW w:type="dxa" w:w="212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Security</w:t>
            </w:r>
          </w:p>
        </w:tc>
        <w:tc>
          <w:tcPr>
            <w:tcW w:type="dxa" w:w="7518"/>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Role-based access, multi-tenant isolation between SOEs, audit logs of every agent action, BSSN-aligned controls</w:t>
            </w:r>
          </w:p>
        </w:tc>
      </w:tr>
      <w:tr>
        <w:trPr>
          <w:cantSplit/>
        </w:trPr>
        <w:tc>
          <w:tcPr>
            <w:tcW w:type="dxa" w:w="212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Model risk</w:t>
            </w:r>
          </w:p>
        </w:tc>
        <w:tc>
          <w:tcPr>
            <w:tcW w:type="dxa" w:w="751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Evaluation sets per agent; guardrails; every recommendation cites the source records it used; periodic accuracy review against outcomes</w:t>
            </w:r>
          </w:p>
        </w:tc>
      </w:tr>
      <w:tr>
        <w:trPr>
          <w:cantSplit/>
        </w:trPr>
        <w:tc>
          <w:tcPr>
            <w:tcW w:type="dxa" w:w="212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Read-only first</w:t>
            </w:r>
          </w:p>
        </w:tc>
        <w:tc>
          <w:tcPr>
            <w:tcW w:type="dxa" w:w="7518"/>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Phase 1 integration with ERP is read-only; write-back only after controls are proven</w:t>
            </w:r>
          </w:p>
        </w:tc>
      </w:tr>
      <w:tr>
        <w:trPr>
          <w:cantSplit/>
        </w:trPr>
        <w:tc>
          <w:tcPr>
            <w:tcW w:type="dxa" w:w="212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Accountability</w:t>
            </w:r>
          </w:p>
        </w:tc>
        <w:tc>
          <w:tcPr>
            <w:tcW w:type="dxa" w:w="751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Each agent has a named business owner; human approval for all material decisions (Section 12.5)</w:t>
            </w:r>
          </w:p>
        </w:tc>
      </w:tr>
      <w:tr>
        <w:trPr>
          <w:cantSplit/>
        </w:trPr>
        <w:tc>
          <w:tcPr>
            <w:tcW w:type="dxa" w:w="212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Benefits</w:t>
            </w:r>
          </w:p>
        </w:tc>
        <w:tc>
          <w:tcPr>
            <w:tcW w:type="dxa" w:w="7518"/>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Measured as verified net benefits after implementation and running costs (O09), not as hours saved or reports generated</w:t>
            </w:r>
          </w:p>
        </w:tc>
      </w:tr>
      <w:tr>
        <w:trPr>
          <w:cantSplit/>
        </w:trPr>
        <w:tc>
          <w:tcPr>
            <w:tcW w:type="dxa" w:w="212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pPr>
            <w:r>
              <w:rPr>
                <w:rFonts w:ascii="Arial" w:cs="Arial" w:eastAsia="Arial" w:hAnsi="Arial"/>
                <w:b/>
                <w:bCs/>
                <w:color w:val="000000"/>
                <w:sz w:val="16"/>
                <w:szCs w:val="16"/>
              </w:rPr>
              <w:t xml:space="preserve">Vendor independence</w:t>
            </w:r>
          </w:p>
        </w:tc>
        <w:tc>
          <w:tcPr>
            <w:tcW w:type="dxa" w:w="751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6"/>
                <w:szCs w:val="16"/>
              </w:rPr>
              <w:t xml:space="preserve">Open interfaces and portable models to avoid lock-in</w:t>
            </w:r>
          </w:p>
        </w:tc>
      </w:tr>
    </w:tbl>
    <w:p>
      <w:pPr>
        <w:keepNext w:val="false"/>
        <w:spacing w:after="140"/>
      </w:pPr>
    </w:p>
    <w:p>
      <w:pPr>
        <w:pStyle w:val="Heading3"/>
        <w:keepNext/>
        <w:keepLines/>
        <w:spacing w:after="80" w:before="200"/>
      </w:pPr>
      <w:r>
        <w:rPr>
          <w:rFonts w:ascii="Arial" w:cs="Arial" w:eastAsia="Arial" w:hAnsi="Arial"/>
          <w:b/>
          <w:bCs/>
          <w:color w:val="005EB8"/>
          <w:sz w:val="22"/>
          <w:szCs w:val="22"/>
        </w:rPr>
        <w:t xml:space="preserve">Expected results and how to measure them</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470"/>
        <w:gridCol w:w="6168"/>
      </w:tblGrid>
      <w:tr>
        <w:trPr>
          <w:cantSplit/>
          <w:tblHeader/>
        </w:trPr>
        <w:tc>
          <w:tcPr>
            <w:tcW w:type="dxa" w:w="3470"/>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Expected result (D3)</w:t>
            </w:r>
          </w:p>
        </w:tc>
        <w:tc>
          <w:tcPr>
            <w:tcW w:type="dxa" w:w="6168"/>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Proposed measurable indicator</w:t>
            </w:r>
          </w:p>
        </w:tc>
      </w:tr>
      <w:tr>
        <w:trPr>
          <w:cantSplit/>
        </w:trPr>
        <w:tc>
          <w:tcPr>
            <w:tcW w:type="dxa" w:w="347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7"/>
                <w:szCs w:val="17"/>
              </w:rPr>
              <w:t xml:space="preserve">More contracts with healthy margins</w:t>
            </w:r>
          </w:p>
        </w:tc>
        <w:tc>
          <w:tcPr>
            <w:tcW w:type="dxa" w:w="616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7"/>
                <w:szCs w:val="17"/>
              </w:rPr>
              <w:t xml:space="preserve">Share of new contract value bid at or above minimum risk-adjusted margin; margin at completion versus at bid</w:t>
            </w:r>
          </w:p>
        </w:tc>
      </w:tr>
      <w:tr>
        <w:trPr>
          <w:cantSplit/>
        </w:trPr>
        <w:tc>
          <w:tcPr>
            <w:tcW w:type="dxa" w:w="347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7"/>
                <w:szCs w:val="17"/>
              </w:rPr>
              <w:t xml:space="preserve">Faster collection of receivables</w:t>
            </w:r>
          </w:p>
        </w:tc>
        <w:tc>
          <w:tcPr>
            <w:tcW w:type="dxa" w:w="6168"/>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7"/>
                <w:szCs w:val="17"/>
              </w:rPr>
              <w:t xml:space="preserve">Days sales outstanding; overdue receivables by owner; unbilled work</w:t>
            </w:r>
          </w:p>
        </w:tc>
      </w:tr>
      <w:tr>
        <w:trPr>
          <w:cantSplit/>
        </w:trPr>
        <w:tc>
          <w:tcPr>
            <w:tcW w:type="dxa" w:w="347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7"/>
                <w:szCs w:val="17"/>
              </w:rPr>
              <w:t xml:space="preserve">Fewer problem projects and losses</w:t>
            </w:r>
          </w:p>
        </w:tc>
        <w:tc>
          <w:tcPr>
            <w:tcW w:type="dxa" w:w="616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7"/>
                <w:szCs w:val="17"/>
              </w:rPr>
              <w:t xml:space="preserve">Share of projects Red/Black; time from first warning to recovery plan; loss provisions</w:t>
            </w:r>
          </w:p>
        </w:tc>
      </w:tr>
      <w:tr>
        <w:trPr>
          <w:cantSplit/>
        </w:trPr>
        <w:tc>
          <w:tcPr>
            <w:tcW w:type="dxa" w:w="347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7"/>
                <w:szCs w:val="17"/>
              </w:rPr>
              <w:t xml:space="preserve">Better cash flow and balance-sheet health</w:t>
            </w:r>
          </w:p>
        </w:tc>
        <w:tc>
          <w:tcPr>
            <w:tcW w:type="dxa" w:w="6168"/>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7"/>
                <w:szCs w:val="17"/>
              </w:rPr>
              <w:t xml:space="preserve">Operating cash conversion; net debt/EBITDA</w:t>
            </w:r>
          </w:p>
        </w:tc>
      </w:tr>
      <w:tr>
        <w:trPr>
          <w:cantSplit/>
        </w:trPr>
        <w:tc>
          <w:tcPr>
            <w:tcW w:type="dxa" w:w="347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pPr>
            <w:r>
              <w:rPr>
                <w:rFonts w:ascii="Arial" w:cs="Arial" w:eastAsia="Arial" w:hAnsi="Arial"/>
                <w:b/>
                <w:bCs/>
                <w:color w:val="000000"/>
                <w:sz w:val="17"/>
                <w:szCs w:val="17"/>
              </w:rPr>
              <w:t xml:space="preserve">Adoption (proposed)</w:t>
            </w:r>
          </w:p>
        </w:tc>
        <w:tc>
          <w:tcPr>
            <w:tcW w:type="dxa" w:w="616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7"/>
                <w:szCs w:val="17"/>
              </w:rPr>
              <w:t xml:space="preserve">Weekly active users by role; share of decisions taken with agent evidence attached</w:t>
            </w:r>
          </w:p>
        </w:tc>
      </w:tr>
    </w:tbl>
    <w:p>
      <w:pPr>
        <w:keepNext w:val="false"/>
        <w:spacing w:after="140"/>
      </w:pPr>
    </w:p>
    <w:p>
      <w:pPr>
        <w:pStyle w:val="Heading3"/>
        <w:keepNext/>
        <w:keepLines/>
        <w:spacing w:after="80" w:before="200"/>
      </w:pPr>
      <w:r>
        <w:rPr>
          <w:rFonts w:ascii="Arial" w:cs="Arial" w:eastAsia="Arial" w:hAnsi="Arial"/>
          <w:b/>
          <w:bCs/>
          <w:color w:val="005EB8"/>
          <w:sz w:val="22"/>
          <w:szCs w:val="22"/>
        </w:rPr>
        <w:t xml:space="preserve">Business case, feasibility and change management</w:t>
      </w:r>
    </w:p>
    <w:p>
      <w:pPr>
        <w:spacing w:after="110" w:before="0" w:line="264"/>
        <w:jc w:val="left"/>
      </w:pPr>
      <w:r>
        <w:rPr>
          <w:rFonts w:ascii="Arial" w:cs="Arial" w:eastAsia="Arial" w:hAnsi="Arial"/>
          <w:color w:val="000000"/>
          <w:sz w:val="20"/>
          <w:szCs w:val="20"/>
        </w:rPr>
        <w:t xml:space="preserve">D3 does not cost the programme. A business case should be prepared before Phase 2. Its benefit side can be sized simply. For an illustrative construction SOE with Rp20 trillion of annual revenue, cutting days sales outstanding by 10 days releases about Rp0.55 trillion of cash, which saves about Rp55 billion a year at a 10% cost of debt. Avoiding one loss-making Rp1 trillion contract bid at −10% margin avoids a loss of about Rp100 billion. These are class D illustrations. On these orders of magnitude, an MVP of the size described is likely to pay back quickly if even one such effect is realised and verified, to be confirmed when the MVP is costed.</w:t>
      </w:r>
    </w:p>
    <w:p>
      <w:pPr>
        <w:pStyle w:val="ListParagraph"/>
        <w:numPr>
          <w:ilvl w:val="0"/>
          <w:numId w:val="2"/>
        </w:numPr>
        <w:spacing w:after="60" w:line="264"/>
      </w:pPr>
      <w:r>
        <w:rPr>
          <w:rFonts w:ascii="Arial" w:cs="Arial" w:eastAsia="Arial" w:hAnsi="Arial"/>
          <w:b/>
          <w:bCs/>
          <w:sz w:val="20"/>
          <w:szCs w:val="20"/>
        </w:rPr>
        <w:t xml:space="preserve">Feasibility.</w:t>
      </w:r>
      <w:r>
        <w:rPr>
          <w:rFonts w:ascii="Arial" w:cs="Arial" w:eastAsia="Arial" w:hAnsi="Arial"/>
          <w:sz w:val="20"/>
          <w:szCs w:val="20"/>
        </w:rPr>
        <w:t xml:space="preserve"> Recruiting 14 specialists and procuring GPU servers through SOE procurement in month 1 is ambitious. Use existing sovereign-cloud or SOE infrastructure for the MVP where possible, and procure dedicated hardware for Phase 2.</w:t>
      </w:r>
    </w:p>
    <w:p>
      <w:pPr>
        <w:pStyle w:val="ListParagraph"/>
        <w:numPr>
          <w:ilvl w:val="0"/>
          <w:numId w:val="2"/>
        </w:numPr>
        <w:spacing w:after="60" w:line="264"/>
      </w:pPr>
      <w:r>
        <w:rPr>
          <w:rFonts w:ascii="Arial" w:cs="Arial" w:eastAsia="Arial" w:hAnsi="Arial"/>
          <w:b/>
          <w:bCs/>
          <w:sz w:val="20"/>
          <w:szCs w:val="20"/>
        </w:rPr>
        <w:t xml:space="preserve">Change management.</w:t>
      </w:r>
      <w:r>
        <w:rPr>
          <w:rFonts w:ascii="Arial" w:cs="Arial" w:eastAsia="Arial" w:hAnsi="Arial"/>
          <w:sz w:val="20"/>
          <w:szCs w:val="20"/>
        </w:rPr>
        <w:t xml:space="preserve"> Name a business owner per agent. Require decision logs that record whether agent evidence was used. Align incentives with the cash and margin indicators above. Consult HR and worker representatives where roles change.</w:t>
      </w:r>
    </w:p>
    <w:p>
      <w:pPr>
        <w:pageBreakBefore/>
        <w:spacing w:after="0" w:line="240"/>
      </w:pPr>
      <w:r>
        <w:rPr>
          <w:sz w:val="2"/>
          <w:szCs w:val="2"/>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one" w:color="FFFFFF" w:sz="0"/>
              <w:left w:val="none" w:color="FFFFFF" w:sz="0"/>
              <w:bottom w:val="none" w:color="FFFFFF" w:sz="0"/>
              <w:right w:val="none" w:color="FFFFFF" w:sz="0"/>
            </w:tcBorders>
            <w:shd w:fill="00338D" w:color="auto" w:val="clear"/>
            <w:tcMar>
              <w:top w:type="dxa" w:w="260"/>
              <w:left w:type="dxa" w:w="300"/>
              <w:bottom w:type="dxa" w:w="300"/>
              <w:right w:type="dxa" w:w="300"/>
            </w:tcMar>
          </w:tcPr>
          <w:p>
            <w:pPr>
              <w:spacing w:after="0"/>
            </w:pPr>
            <w:r>
              <w:rPr>
                <w:rFonts w:ascii="Arial" w:cs="Arial" w:eastAsia="Arial" w:hAnsi="Arial"/>
                <w:b/>
                <w:bCs/>
                <w:color w:val="9CC7EF"/>
                <w:sz w:val="64"/>
                <w:szCs w:val="64"/>
              </w:rPr>
              <w:t xml:space="preserve">13</w:t>
            </w:r>
          </w:p>
          <w:p>
            <w:pPr>
              <w:pStyle w:val="Heading1"/>
              <w:spacing w:after="100"/>
            </w:pPr>
            <w:r>
              <w:rPr>
                <w:rFonts w:ascii="Arial" w:cs="Arial" w:eastAsia="Arial" w:hAnsi="Arial"/>
                <w:b/>
                <w:bCs/>
                <w:color w:val="FFFFFF"/>
                <w:sz w:val="40"/>
                <w:szCs w:val="40"/>
              </w:rPr>
              <w:t xml:space="preserve">Governance, organisation and decision rights</w:t>
            </w:r>
          </w:p>
          <w:p>
            <w:pPr>
              <w:spacing w:after="0" w:line="276"/>
            </w:pPr>
            <w:r>
              <w:rPr>
                <w:rFonts w:ascii="Arial" w:cs="Arial" w:eastAsia="Arial" w:hAnsi="Arial"/>
                <w:color w:val="FFFFFF"/>
                <w:sz w:val="20"/>
                <w:szCs w:val="20"/>
              </w:rPr>
              <w:t xml:space="preserve">Who integrates the portfolio, who decides, and how independence of risk, legal and audit is protected while projects are accelerated.</w:t>
            </w:r>
          </w:p>
        </w:tc>
      </w:tr>
    </w:tbl>
    <w:p>
      <w:pPr>
        <w:spacing w:after="200"/>
      </w:pPr>
    </w:p>
    <w:p>
      <w:pPr>
        <w:pStyle w:val="Heading2"/>
        <w:keepNext/>
        <w:keepLines/>
        <w:spacing w:after="120" w:before="280"/>
      </w:pPr>
      <w:r>
        <w:rPr>
          <w:rFonts w:ascii="Arial" w:cs="Arial" w:eastAsia="Arial" w:hAnsi="Arial"/>
          <w:b/>
          <w:bCs/>
          <w:color w:val="00338D"/>
          <w:sz w:val="28"/>
          <w:szCs w:val="28"/>
        </w:rPr>
        <w:t xml:space="preserve">13.1 Four organisational options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24"/>
        <w:gridCol w:w="2602"/>
        <w:gridCol w:w="2891"/>
        <w:gridCol w:w="2121"/>
      </w:tblGrid>
      <w:tr>
        <w:trPr>
          <w:cantSplit/>
          <w:tblHeader/>
        </w:trPr>
        <w:tc>
          <w:tcPr>
            <w:tcW w:type="dxa" w:w="2024"/>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Option</w:t>
            </w:r>
          </w:p>
        </w:tc>
        <w:tc>
          <w:tcPr>
            <w:tcW w:type="dxa" w:w="2602"/>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Strengths</w:t>
            </w:r>
          </w:p>
        </w:tc>
        <w:tc>
          <w:tcPr>
            <w:tcW w:type="dxa" w:w="2891"/>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Limitations</w:t>
            </w:r>
          </w:p>
        </w:tc>
        <w:tc>
          <w:tcPr>
            <w:tcW w:type="dxa" w:w="2121"/>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Assessment</w:t>
            </w:r>
          </w:p>
        </w:tc>
      </w:tr>
      <w:tr>
        <w:trPr>
          <w:cantSplit/>
        </w:trPr>
        <w:tc>
          <w:tcPr>
            <w:tcW w:type="dxa" w:w="2024"/>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7"/>
                <w:szCs w:val="17"/>
              </w:rPr>
              <w:t xml:space="preserve">A Strengthen CTO and DDMF</w:t>
            </w:r>
          </w:p>
        </w:tc>
        <w:tc>
          <w:tcPr>
            <w:tcW w:type="dxa" w:w="260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7"/>
                <w:szCs w:val="17"/>
              </w:rPr>
              <w:t xml:space="preserve">Fast; uses existing functions; suits development and technology projects</w:t>
            </w:r>
          </w:p>
        </w:tc>
        <w:tc>
          <w:tcPr>
            <w:tcW w:type="dxa" w:w="2891"/>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7"/>
                <w:szCs w:val="17"/>
              </w:rPr>
              <w:t xml:space="preserve">Mandate across DAM and DIM and corporate results needs a clear charter</w:t>
            </w:r>
          </w:p>
        </w:tc>
        <w:tc>
          <w:tcPr>
            <w:tcW w:type="dxa" w:w="2121"/>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7"/>
                <w:szCs w:val="17"/>
              </w:rPr>
              <w:t xml:space="preserve">Viable if almost the whole portfolio sits within DDMF's mandate</w:t>
            </w:r>
          </w:p>
        </w:tc>
      </w:tr>
      <w:tr>
        <w:trPr>
          <w:cantSplit/>
        </w:trPr>
        <w:tc>
          <w:tcPr>
            <w:tcW w:type="dxa" w:w="2024"/>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7"/>
                <w:szCs w:val="17"/>
              </w:rPr>
              <w:t xml:space="preserve">B Strategic Industry unit at BPI</w:t>
            </w:r>
          </w:p>
        </w:tc>
        <w:tc>
          <w:tcPr>
            <w:tcW w:type="dxa" w:w="260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7"/>
                <w:szCs w:val="17"/>
              </w:rPr>
              <w:t xml:space="preserve">Integrates the 40 projects across arms; one owner of portfolio management</w:t>
            </w:r>
          </w:p>
        </w:tc>
        <w:tc>
          <w:tcPr>
            <w:tcW w:type="dxa" w:w="2891"/>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7"/>
                <w:szCs w:val="17"/>
              </w:rPr>
              <w:t xml:space="preserve">Risk of becoming another meeting layer without data access and blocker-resolution authority</w:t>
            </w:r>
          </w:p>
        </w:tc>
        <w:tc>
          <w:tcPr>
            <w:tcW w:type="dxa" w:w="2121"/>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7"/>
                <w:szCs w:val="17"/>
              </w:rPr>
              <w:t xml:space="preserve">Recommended initial option</w:t>
            </w:r>
          </w:p>
        </w:tc>
      </w:tr>
      <w:tr>
        <w:trPr>
          <w:cantSplit/>
        </w:trPr>
        <w:tc>
          <w:tcPr>
            <w:tcW w:type="dxa" w:w="2024"/>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7"/>
                <w:szCs w:val="17"/>
              </w:rPr>
              <w:t xml:space="preserve">C Formal Deputy Head leads the arm</w:t>
            </w:r>
          </w:p>
        </w:tc>
        <w:tc>
          <w:tcPr>
            <w:tcW w:type="dxa" w:w="260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7"/>
                <w:szCs w:val="17"/>
              </w:rPr>
              <w:t xml:space="preserve">Senior executive standing can strengthen coordination and continuity</w:t>
            </w:r>
          </w:p>
        </w:tc>
        <w:tc>
          <w:tcPr>
            <w:tcW w:type="dxa" w:w="2891"/>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7"/>
                <w:szCs w:val="17"/>
              </w:rPr>
              <w:t xml:space="preserve">Needs legal certainty on the position, hierarchy and authority; risk of centralisation or conflict with COO/CIO/CTO</w:t>
            </w:r>
          </w:p>
        </w:tc>
        <w:tc>
          <w:tcPr>
            <w:tcW w:type="dxa" w:w="2121"/>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7"/>
                <w:szCs w:val="17"/>
              </w:rPr>
              <w:t xml:space="preserve">Development option once the need for authority is proven</w:t>
            </w:r>
          </w:p>
        </w:tc>
      </w:tr>
      <w:tr>
        <w:trPr>
          <w:cantSplit/>
        </w:trPr>
        <w:tc>
          <w:tcPr>
            <w:tcW w:type="dxa" w:w="2024"/>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pPr>
            <w:r>
              <w:rPr>
                <w:rFonts w:ascii="Arial" w:cs="Arial" w:eastAsia="Arial" w:hAnsi="Arial"/>
                <w:color w:val="000000"/>
                <w:sz w:val="17"/>
                <w:szCs w:val="17"/>
              </w:rPr>
              <w:t xml:space="preserve">D New industrial holding or body outside BPI</w:t>
            </w:r>
          </w:p>
        </w:tc>
        <w:tc>
          <w:tcPr>
            <w:tcW w:type="dxa" w:w="260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pPr>
            <w:r>
              <w:rPr>
                <w:rFonts w:ascii="Arial" w:cs="Arial" w:eastAsia="Arial" w:hAnsi="Arial"/>
                <w:color w:val="000000"/>
                <w:sz w:val="17"/>
                <w:szCs w:val="17"/>
              </w:rPr>
              <w:t xml:space="preserve">May suit ownership of specific platforms or a distinct cross-sector mandate</w:t>
            </w:r>
          </w:p>
        </w:tc>
        <w:tc>
          <w:tcPr>
            <w:tcW w:type="dxa" w:w="2891"/>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pPr>
            <w:r>
              <w:rPr>
                <w:rFonts w:ascii="Arial" w:cs="Arial" w:eastAsia="Arial" w:hAnsi="Arial"/>
                <w:color w:val="000000"/>
                <w:sz w:val="17"/>
                <w:szCs w:val="17"/>
              </w:rPr>
              <w:t xml:space="preserve">Complex asset transfers, funding, shareholding and regulation; may fragment the portfolio</w:t>
            </w:r>
          </w:p>
        </w:tc>
        <w:tc>
          <w:tcPr>
            <w:tcW w:type="dxa" w:w="2121"/>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pPr>
            <w:r>
              <w:rPr>
                <w:rFonts w:ascii="Arial" w:cs="Arial" w:eastAsia="Arial" w:hAnsi="Arial"/>
                <w:color w:val="000000"/>
                <w:sz w:val="17"/>
                <w:szCs w:val="17"/>
              </w:rPr>
              <w:t xml:space="preserve">Only if the need for a separate legal entity is proven</w:t>
            </w:r>
          </w:p>
        </w:tc>
      </w:tr>
    </w:tbl>
    <w:p>
      <w:pPr>
        <w:keepNext w:val="false"/>
        <w:spacing w:after="140"/>
      </w:pPr>
    </w:p>
    <w:p>
      <w:pPr>
        <w:spacing w:after="160"/>
      </w:pPr>
      <w:r>
        <w:rPr>
          <w:rFonts w:ascii="Arial" w:cs="Arial" w:eastAsia="Arial" w:hAnsi="Arial"/>
          <w:i/>
          <w:iCs/>
          <w:color w:val="000000"/>
          <w:sz w:val="15"/>
          <w:szCs w:val="15"/>
        </w:rPr>
        <w:t xml:space="preserve">Source: D2 §6.</w:t>
      </w:r>
    </w:p>
    <w:p>
      <w:pPr>
        <w:spacing w:after="110" w:before="0" w:line="264"/>
        <w:jc w:val="left"/>
      </w:pPr>
      <w:r>
        <w:rPr>
          <w:rFonts w:ascii="Arial" w:cs="Arial" w:eastAsia="Arial" w:hAnsi="Arial"/>
          <w:color w:val="000000"/>
          <w:sz w:val="20"/>
          <w:szCs w:val="20"/>
        </w:rPr>
        <w:t xml:space="preserve">Option B comes first because the gap is </w:t>
      </w:r>
      <w:r>
        <w:rPr>
          <w:rFonts w:ascii="Arial" w:cs="Arial" w:eastAsia="Arial" w:hAnsi="Arial"/>
          <w:b/>
          <w:bCs/>
          <w:color w:val="000000"/>
          <w:sz w:val="20"/>
          <w:szCs w:val="20"/>
        </w:rPr>
        <w:t xml:space="preserve">portfolio integration and blocker resolution</w:t>
      </w:r>
      <w:r>
        <w:rPr>
          <w:rFonts w:ascii="Arial" w:cs="Arial" w:eastAsia="Arial" w:hAnsi="Arial"/>
          <w:color w:val="000000"/>
          <w:sz w:val="20"/>
          <w:szCs w:val="20"/>
        </w:rPr>
        <w:t xml:space="preserve">; capital and project-development functions already exist. A BPI-level unit can manage cross-arm dependencies without waiting for projects to be moved or new companies to be formed, and projects already under way keep their lawful contract and decision paths [D2].</w:t>
      </w:r>
    </w:p>
    <w:p>
      <w:pPr>
        <w:pStyle w:val="Heading2"/>
        <w:keepNext/>
        <w:keepLines/>
        <w:spacing w:after="120" w:before="280"/>
      </w:pPr>
      <w:r>
        <w:rPr>
          <w:rFonts w:ascii="Arial" w:cs="Arial" w:eastAsia="Arial" w:hAnsi="Arial"/>
          <w:b/>
          <w:bCs/>
          <w:color w:val="00338D"/>
          <w:sz w:val="28"/>
          <w:szCs w:val="28"/>
        </w:rPr>
        <w:t xml:space="preserve">13.2 NITO: implementing the National Industrial Transformation Office as a unit</w:t>
      </w:r>
    </w:p>
    <w:p>
      <w:pPr>
        <w:spacing w:after="110" w:before="0" w:line="264"/>
        <w:jc w:val="left"/>
      </w:pPr>
      <w:r>
        <w:rPr>
          <w:rFonts w:ascii="Arial" w:cs="Arial" w:eastAsia="Arial" w:hAnsi="Arial"/>
          <w:color w:val="000000"/>
          <w:sz w:val="20"/>
          <w:szCs w:val="20"/>
        </w:rPr>
        <w:t xml:space="preserve">D3 proposes a </w:t>
      </w:r>
      <w:r>
        <w:rPr>
          <w:rFonts w:ascii="Arial" w:cs="Arial" w:eastAsia="Arial" w:hAnsi="Arial"/>
          <w:b/>
          <w:bCs/>
          <w:color w:val="000000"/>
          <w:sz w:val="20"/>
          <w:szCs w:val="20"/>
        </w:rPr>
        <w:t xml:space="preserve">Danantara National Industrial Transformation Office (NITO)</w:t>
      </w:r>
      <w:r>
        <w:rPr>
          <w:rFonts w:ascii="Arial" w:cs="Arial" w:eastAsia="Arial" w:hAnsi="Arial"/>
          <w:color w:val="000000"/>
          <w:sz w:val="20"/>
          <w:szCs w:val="20"/>
        </w:rPr>
        <w:t xml:space="preserve"> with eight functions. We recommend implementing NITO as the Option B unit inside BPI, not as a holding or a new legal entity, and mapping its functions onto the structure D2 proposes: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99"/>
        <w:gridCol w:w="3277"/>
        <w:gridCol w:w="3662"/>
      </w:tblGrid>
      <w:tr>
        <w:trPr>
          <w:cantSplit/>
          <w:tblHeader/>
        </w:trPr>
        <w:tc>
          <w:tcPr>
            <w:tcW w:type="dxa" w:w="2699"/>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NITO function (D3)</w:t>
            </w:r>
          </w:p>
        </w:tc>
        <w:tc>
          <w:tcPr>
            <w:tcW w:type="dxa" w:w="3277"/>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Placement in the unit (D2 structure)</w:t>
            </w:r>
          </w:p>
        </w:tc>
        <w:tc>
          <w:tcPr>
            <w:tcW w:type="dxa" w:w="3662"/>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Note</w:t>
            </w:r>
          </w:p>
        </w:tc>
      </w:tr>
      <w:tr>
        <w:trPr>
          <w:cantSplit/>
        </w:trPr>
        <w:tc>
          <w:tcPr>
            <w:tcW w:type="dxa" w:w="2699"/>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7"/>
                <w:szCs w:val="17"/>
              </w:rPr>
              <w:t xml:space="preserve">Industrial strategy and roadmap</w:t>
            </w:r>
          </w:p>
        </w:tc>
        <w:tc>
          <w:tcPr>
            <w:tcW w:type="dxa" w:w="3277"/>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7"/>
                <w:szCs w:val="17"/>
              </w:rPr>
              <w:t xml:space="preserve">MD Strategic Industry Development</w:t>
            </w:r>
          </w:p>
        </w:tc>
        <w:tc>
          <w:tcPr>
            <w:tcW w:type="dxa" w:w="366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7"/>
                <w:szCs w:val="17"/>
              </w:rPr>
              <w:t xml:space="preserve">Integrates Industrialization, Chief Economist, Stakeholders and Global Relations</w:t>
            </w:r>
          </w:p>
        </w:tc>
      </w:tr>
      <w:tr>
        <w:trPr>
          <w:cantSplit/>
        </w:trPr>
        <w:tc>
          <w:tcPr>
            <w:tcW w:type="dxa" w:w="2699"/>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7"/>
                <w:szCs w:val="17"/>
              </w:rPr>
              <w:t xml:space="preserve">Project development (pre-FEED, FEED, FID)</w:t>
            </w:r>
          </w:p>
        </w:tc>
        <w:tc>
          <w:tcPr>
            <w:tcW w:type="dxa" w:w="3277"/>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7"/>
                <w:szCs w:val="17"/>
              </w:rPr>
              <w:t xml:space="preserve">MD Engineering and Execution</w:t>
            </w:r>
          </w:p>
        </w:tc>
        <w:tc>
          <w:tcPr>
            <w:tcW w:type="dxa" w:w="366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7"/>
                <w:szCs w:val="17"/>
              </w:rPr>
              <w:t xml:space="preserve">Uses Technology Advancement and Strategic Technology Initiatives; each project keeps its own engineering lead</w:t>
            </w:r>
          </w:p>
        </w:tc>
      </w:tr>
      <w:tr>
        <w:trPr>
          <w:cantSplit/>
        </w:trPr>
        <w:tc>
          <w:tcPr>
            <w:tcW w:type="dxa" w:w="2699"/>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7"/>
                <w:szCs w:val="17"/>
              </w:rPr>
              <w:t xml:space="preserve">Technology and IP</w:t>
            </w:r>
          </w:p>
        </w:tc>
        <w:tc>
          <w:tcPr>
            <w:tcW w:type="dxa" w:w="3277"/>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7"/>
                <w:szCs w:val="17"/>
              </w:rPr>
              <w:t xml:space="preserve">MD Engineering and Execution with the CTO</w:t>
            </w:r>
          </w:p>
        </w:tc>
        <w:tc>
          <w:tcPr>
            <w:tcW w:type="dxa" w:w="366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7"/>
                <w:szCs w:val="17"/>
              </w:rPr>
              <w:t xml:space="preserve">CTO provides independent technical review of vendor claims</w:t>
            </w:r>
          </w:p>
        </w:tc>
      </w:tr>
      <w:tr>
        <w:trPr>
          <w:cantSplit/>
        </w:trPr>
        <w:tc>
          <w:tcPr>
            <w:tcW w:type="dxa" w:w="2699"/>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7"/>
                <w:szCs w:val="17"/>
              </w:rPr>
              <w:t xml:space="preserve">Supply-chain development (DOCK-UP)</w:t>
            </w:r>
          </w:p>
        </w:tc>
        <w:tc>
          <w:tcPr>
            <w:tcW w:type="dxa" w:w="3277"/>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7"/>
                <w:szCs w:val="17"/>
              </w:rPr>
              <w:t xml:space="preserve">MD Strategic Industry Development; cluster leaders</w:t>
            </w:r>
          </w:p>
        </w:tc>
        <w:tc>
          <w:tcPr>
            <w:tcW w:type="dxa" w:w="366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7"/>
                <w:szCs w:val="17"/>
              </w:rPr>
              <w:t xml:space="preserve">Runs the DOCK-UP office and readiness register</w:t>
            </w:r>
          </w:p>
        </w:tc>
      </w:tr>
      <w:tr>
        <w:trPr>
          <w:cantSplit/>
        </w:trPr>
        <w:tc>
          <w:tcPr>
            <w:tcW w:type="dxa" w:w="2699"/>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7"/>
                <w:szCs w:val="17"/>
              </w:rPr>
              <w:t xml:space="preserve">SOE demand integration</w:t>
            </w:r>
          </w:p>
        </w:tc>
        <w:tc>
          <w:tcPr>
            <w:tcW w:type="dxa" w:w="3277"/>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7"/>
                <w:szCs w:val="17"/>
              </w:rPr>
              <w:t xml:space="preserve">MD Portfolio and Project Delivery; cluster leaders</w:t>
            </w:r>
          </w:p>
        </w:tc>
        <w:tc>
          <w:tcPr>
            <w:tcW w:type="dxa" w:w="366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7"/>
                <w:szCs w:val="17"/>
              </w:rPr>
              <w:t xml:space="preserve">Aggregates anchor-project demand into localisation plans</w:t>
            </w:r>
          </w:p>
        </w:tc>
      </w:tr>
      <w:tr>
        <w:trPr>
          <w:cantSplit/>
        </w:trPr>
        <w:tc>
          <w:tcPr>
            <w:tcW w:type="dxa" w:w="2699"/>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7"/>
                <w:szCs w:val="17"/>
              </w:rPr>
              <w:t xml:space="preserve">Industrial financing</w:t>
            </w:r>
          </w:p>
        </w:tc>
        <w:tc>
          <w:tcPr>
            <w:tcW w:type="dxa" w:w="3277"/>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7"/>
                <w:szCs w:val="17"/>
              </w:rPr>
              <w:t xml:space="preserve">Prepared by the unit; decided by CIO/DIM and DDMF</w:t>
            </w:r>
          </w:p>
        </w:tc>
        <w:tc>
          <w:tcPr>
            <w:tcW w:type="dxa" w:w="366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7"/>
                <w:szCs w:val="17"/>
              </w:rPr>
              <w:t xml:space="preserve">The unit prepares packages; it does not approve capital</w:t>
            </w:r>
          </w:p>
        </w:tc>
      </w:tr>
      <w:tr>
        <w:trPr>
          <w:cantSplit/>
        </w:trPr>
        <w:tc>
          <w:tcPr>
            <w:tcW w:type="dxa" w:w="2699"/>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7"/>
                <w:szCs w:val="17"/>
              </w:rPr>
              <w:t xml:space="preserve">Performance office</w:t>
            </w:r>
          </w:p>
        </w:tc>
        <w:tc>
          <w:tcPr>
            <w:tcW w:type="dxa" w:w="3277"/>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7"/>
                <w:szCs w:val="17"/>
              </w:rPr>
              <w:t xml:space="preserve">MD Portfolio and Project Delivery</w:t>
            </w:r>
          </w:p>
        </w:tc>
        <w:tc>
          <w:tcPr>
            <w:tcW w:type="dxa" w:w="366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7"/>
                <w:szCs w:val="17"/>
              </w:rPr>
              <w:t xml:space="preserve">Maintains register, scorecards and benefits tracking</w:t>
            </w:r>
          </w:p>
        </w:tc>
      </w:tr>
      <w:tr>
        <w:trPr>
          <w:cantSplit/>
        </w:trPr>
        <w:tc>
          <w:tcPr>
            <w:tcW w:type="dxa" w:w="2699"/>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pPr>
            <w:r>
              <w:rPr>
                <w:rFonts w:ascii="Arial" w:cs="Arial" w:eastAsia="Arial" w:hAnsi="Arial"/>
                <w:b/>
                <w:bCs/>
                <w:color w:val="000000"/>
                <w:sz w:val="17"/>
                <w:szCs w:val="17"/>
              </w:rPr>
              <w:t xml:space="preserve">Independent assurance (D3: “asuransi independen”)</w:t>
            </w:r>
          </w:p>
        </w:tc>
        <w:tc>
          <w:tcPr>
            <w:tcW w:type="dxa" w:w="3277"/>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pPr>
            <w:r>
              <w:rPr>
                <w:rFonts w:ascii="Arial" w:cs="Arial" w:eastAsia="Arial" w:hAnsi="Arial"/>
                <w:b/>
                <w:bCs/>
                <w:color w:val="000000"/>
                <w:sz w:val="17"/>
                <w:szCs w:val="17"/>
              </w:rPr>
              <w:t xml:space="preserve">Outside the unit</w:t>
            </w:r>
            <w:r>
              <w:rPr>
                <w:rFonts w:ascii="Arial" w:cs="Arial" w:eastAsia="Arial" w:hAnsi="Arial"/>
                <w:b w:val="false"/>
                <w:bCs w:val="false"/>
                <w:color w:val="000000"/>
                <w:sz w:val="17"/>
                <w:szCs w:val="17"/>
              </w:rPr>
              <w:t xml:space="preserve">: Internal Audit and independent evaluation</w:t>
            </w:r>
          </w:p>
        </w:tc>
        <w:tc>
          <w:tcPr>
            <w:tcW w:type="dxa" w:w="366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7"/>
                <w:szCs w:val="17"/>
              </w:rPr>
              <w:t xml:space="preserve">A unit cannot assure its own work; this function must report independently</w:t>
            </w:r>
          </w:p>
        </w:tc>
      </w:tr>
    </w:tbl>
    <w:p>
      <w:pPr>
        <w:keepNext w:val="false"/>
        <w:spacing w:after="140"/>
      </w:pPr>
    </w:p>
    <w:p>
      <w:pPr>
        <w:pStyle w:val="Heading2"/>
        <w:keepNext/>
        <w:keepLines/>
        <w:spacing w:after="120" w:before="280"/>
      </w:pPr>
      <w:r>
        <w:rPr>
          <w:rFonts w:ascii="Arial" w:cs="Arial" w:eastAsia="Arial" w:hAnsi="Arial"/>
          <w:b/>
          <w:bCs/>
          <w:color w:val="00338D"/>
          <w:sz w:val="28"/>
          <w:szCs w:val="28"/>
        </w:rPr>
        <w:t xml:space="preserve">13.3 Unit structure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6"/>
        <w:gridCol w:w="3855"/>
        <w:gridCol w:w="3277"/>
      </w:tblGrid>
      <w:tr>
        <w:trPr>
          <w:cantSplit/>
          <w:tblHeader/>
        </w:trPr>
        <w:tc>
          <w:tcPr>
            <w:tcW w:type="dxa" w:w="2506"/>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Role</w:t>
            </w:r>
          </w:p>
        </w:tc>
        <w:tc>
          <w:tcPr>
            <w:tcW w:type="dxa" w:w="3855"/>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Main responsibility</w:t>
            </w:r>
          </w:p>
        </w:tc>
        <w:tc>
          <w:tcPr>
            <w:tcW w:type="dxa" w:w="3277"/>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Relationship with existing functions</w:t>
            </w:r>
          </w:p>
        </w:tc>
      </w:tr>
      <w:tr>
        <w:trPr>
          <w:cantSplit/>
        </w:trPr>
        <w:tc>
          <w:tcPr>
            <w:tcW w:type="dxa" w:w="250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7"/>
                <w:szCs w:val="17"/>
              </w:rPr>
              <w:t xml:space="preserve">Head of Strategic Industry and Project Delivery</w:t>
            </w:r>
          </w:p>
        </w:tc>
        <w:tc>
          <w:tcPr>
            <w:tcW w:type="dxa" w:w="3855"/>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7"/>
                <w:szCs w:val="17"/>
              </w:rPr>
              <w:t xml:space="preserve">Integrated priorities, dependency resolution, quality of decision packages, team capacity, results reporting</w:t>
            </w:r>
          </w:p>
        </w:tc>
        <w:tc>
          <w:tcPr>
            <w:tcW w:type="dxa" w:w="3277"/>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7"/>
                <w:szCs w:val="17"/>
              </w:rPr>
              <w:t xml:space="preserve">Reports to the Head of the Executive Body; no universal approval authority</w:t>
            </w:r>
          </w:p>
        </w:tc>
      </w:tr>
      <w:tr>
        <w:trPr>
          <w:cantSplit/>
        </w:trPr>
        <w:tc>
          <w:tcPr>
            <w:tcW w:type="dxa" w:w="2506"/>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7"/>
                <w:szCs w:val="17"/>
              </w:rPr>
              <w:t xml:space="preserve">MD Portfolio and Project Delivery</w:t>
            </w:r>
          </w:p>
        </w:tc>
        <w:tc>
          <w:tcPr>
            <w:tcW w:type="dxa" w:w="3855"/>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7"/>
                <w:szCs w:val="17"/>
              </w:rPr>
              <w:t xml:space="preserve">Register of 40 projects, integrated schedule, blockers, data quality, decision reports and benefits</w:t>
            </w:r>
          </w:p>
        </w:tc>
        <w:tc>
          <w:tcPr>
            <w:tcW w:type="dxa" w:w="3277"/>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7"/>
                <w:szCs w:val="17"/>
              </w:rPr>
              <w:t xml:space="preserve">Office of the Board, Digital Solutions and Finance support systems and the decision trail</w:t>
            </w:r>
          </w:p>
        </w:tc>
      </w:tr>
      <w:tr>
        <w:trPr>
          <w:cantSplit/>
        </w:trPr>
        <w:tc>
          <w:tcPr>
            <w:tcW w:type="dxa" w:w="250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7"/>
                <w:szCs w:val="17"/>
              </w:rPr>
              <w:t xml:space="preserve">MD Strategic Industry Development</w:t>
            </w:r>
          </w:p>
        </w:tc>
        <w:tc>
          <w:tcPr>
            <w:tcW w:type="dxa" w:w="3855"/>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7"/>
                <w:szCs w:val="17"/>
              </w:rPr>
              <w:t xml:space="preserve">Value-chain architecture, markets, offtake, partners, import substitution, supplier capacity, national benefits</w:t>
            </w:r>
          </w:p>
        </w:tc>
        <w:tc>
          <w:tcPr>
            <w:tcW w:type="dxa" w:w="3277"/>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7"/>
                <w:szCs w:val="17"/>
              </w:rPr>
              <w:t xml:space="preserve">Integrates Industrialization, Chief Economist, Stakeholders and Global Relations</w:t>
            </w:r>
          </w:p>
        </w:tc>
      </w:tr>
      <w:tr>
        <w:trPr>
          <w:cantSplit/>
        </w:trPr>
        <w:tc>
          <w:tcPr>
            <w:tcW w:type="dxa" w:w="2506"/>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7"/>
                <w:szCs w:val="17"/>
              </w:rPr>
              <w:t xml:space="preserve">MD Engineering and Execution</w:t>
            </w:r>
          </w:p>
        </w:tc>
        <w:tc>
          <w:tcPr>
            <w:tcW w:type="dxa" w:w="3855"/>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7"/>
                <w:szCs w:val="17"/>
              </w:rPr>
              <w:t xml:space="preserve">Study readiness, engineering, contract strategy, constructability, cost, commissioning and technical evaluation</w:t>
            </w:r>
          </w:p>
        </w:tc>
        <w:tc>
          <w:tcPr>
            <w:tcW w:type="dxa" w:w="3277"/>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7"/>
                <w:szCs w:val="17"/>
              </w:rPr>
              <w:t xml:space="preserve">Uses Technology Advancement and Strategic Technology Initiatives</w:t>
            </w:r>
          </w:p>
        </w:tc>
      </w:tr>
      <w:tr>
        <w:trPr>
          <w:cantSplit/>
        </w:trPr>
        <w:tc>
          <w:tcPr>
            <w:tcW w:type="dxa" w:w="250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pPr>
            <w:r>
              <w:rPr>
                <w:rFonts w:ascii="Arial" w:cs="Arial" w:eastAsia="Arial" w:hAnsi="Arial"/>
                <w:b/>
                <w:bCs/>
                <w:color w:val="000000"/>
                <w:sz w:val="17"/>
                <w:szCs w:val="17"/>
              </w:rPr>
              <w:t xml:space="preserve">Four cluster leaders</w:t>
            </w:r>
          </w:p>
        </w:tc>
        <w:tc>
          <w:tcPr>
            <w:tcW w:type="dxa" w:w="3855"/>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7"/>
                <w:szCs w:val="17"/>
              </w:rPr>
              <w:t xml:space="preserve">Resolve dependencies within a cluster; map raw materials, markets, technology and shared facilities</w:t>
            </w:r>
          </w:p>
        </w:tc>
        <w:tc>
          <w:tcPr>
            <w:tcW w:type="dxa" w:w="3277"/>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7"/>
                <w:szCs w:val="17"/>
              </w:rPr>
              <w:t xml:space="preserve">Matrix teams from SOEs, holdings and BPI functions by assignment</w:t>
            </w:r>
          </w:p>
        </w:tc>
      </w:tr>
    </w:tbl>
    <w:p>
      <w:pPr>
        <w:keepNext w:val="false"/>
        <w:spacing w:after="140"/>
      </w:pPr>
    </w:p>
    <w:p>
      <w:pPr>
        <w:spacing w:after="110" w:before="0" w:line="264"/>
        <w:jc w:val="left"/>
      </w:pPr>
      <w:r>
        <w:rPr>
          <w:rFonts w:ascii="Arial" w:cs="Arial" w:eastAsia="Arial" w:hAnsi="Arial"/>
          <w:color w:val="000000"/>
          <w:sz w:val="20"/>
          <w:szCs w:val="20"/>
        </w:rPr>
        <w:t xml:space="preserve">Staffing starts with secondment from existing functions. The number of MDs, project directors and experts should follow the number of active projects and their stages; no one leader should manage 40 projects day to day. Staff plans should fill proven gaps; this study does not assume headcount or overhead before an inventory [D2].</w:t>
      </w:r>
    </w:p>
    <w:p>
      <w:pPr>
        <w:pStyle w:val="Heading2"/>
        <w:keepNext/>
        <w:keepLines/>
        <w:spacing w:after="120" w:before="280"/>
      </w:pPr>
      <w:r>
        <w:rPr>
          <w:rFonts w:ascii="Arial" w:cs="Arial" w:eastAsia="Arial" w:hAnsi="Arial"/>
          <w:b/>
          <w:bCs/>
          <w:color w:val="00338D"/>
          <w:sz w:val="28"/>
          <w:szCs w:val="28"/>
        </w:rPr>
        <w:t xml:space="preserve">13.4 Working relationships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35"/>
        <w:gridCol w:w="3662"/>
        <w:gridCol w:w="4241"/>
      </w:tblGrid>
      <w:tr>
        <w:trPr>
          <w:cantSplit/>
          <w:tblHeader/>
        </w:trPr>
        <w:tc>
          <w:tcPr>
            <w:tcW w:type="dxa" w:w="1735"/>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Function</w:t>
            </w:r>
          </w:p>
        </w:tc>
        <w:tc>
          <w:tcPr>
            <w:tcW w:type="dxa" w:w="3662"/>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Retains responsibility for</w:t>
            </w:r>
          </w:p>
        </w:tc>
        <w:tc>
          <w:tcPr>
            <w:tcW w:type="dxa" w:w="4241"/>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Relationship with the unit</w:t>
            </w:r>
          </w:p>
        </w:tc>
      </w:tr>
      <w:tr>
        <w:trPr>
          <w:cantSplit/>
        </w:trPr>
        <w:tc>
          <w:tcPr>
            <w:tcW w:type="dxa" w:w="1735"/>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7"/>
                <w:szCs w:val="17"/>
              </w:rPr>
              <w:t xml:space="preserve">COO and DAM</w:t>
            </w:r>
          </w:p>
        </w:tc>
        <w:tc>
          <w:tcPr>
            <w:tcW w:type="dxa" w:w="366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7"/>
                <w:szCs w:val="17"/>
              </w:rPr>
              <w:t xml:space="preserve">Management and transformation of portfolio operations</w:t>
            </w:r>
          </w:p>
        </w:tc>
        <w:tc>
          <w:tcPr>
            <w:tcW w:type="dxa" w:w="4241"/>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7"/>
                <w:szCs w:val="17"/>
              </w:rPr>
              <w:t xml:space="preserve">Assigns sponsors and SOE operating capability; agrees asset boundaries and operational readiness</w:t>
            </w:r>
          </w:p>
        </w:tc>
      </w:tr>
      <w:tr>
        <w:trPr>
          <w:cantSplit/>
        </w:trPr>
        <w:tc>
          <w:tcPr>
            <w:tcW w:type="dxa" w:w="1735"/>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7"/>
                <w:szCs w:val="17"/>
              </w:rPr>
              <w:t xml:space="preserve">CIO and DIM</w:t>
            </w:r>
          </w:p>
        </w:tc>
        <w:tc>
          <w:tcPr>
            <w:tcW w:type="dxa" w:w="366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7"/>
                <w:szCs w:val="17"/>
              </w:rPr>
              <w:t xml:space="preserve">Commercial investment testing, capital allocation, investment partnerships</w:t>
            </w:r>
          </w:p>
        </w:tc>
        <w:tc>
          <w:tcPr>
            <w:tcW w:type="dxa" w:w="4241"/>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7"/>
                <w:szCs w:val="17"/>
              </w:rPr>
              <w:t xml:space="preserve">Reviews the financial case and funding structure within the same decision package</w:t>
            </w:r>
          </w:p>
        </w:tc>
      </w:tr>
      <w:tr>
        <w:trPr>
          <w:cantSplit/>
        </w:trPr>
        <w:tc>
          <w:tcPr>
            <w:tcW w:type="dxa" w:w="1735"/>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7"/>
                <w:szCs w:val="17"/>
              </w:rPr>
              <w:t xml:space="preserve">CTO</w:t>
            </w:r>
          </w:p>
        </w:tc>
        <w:tc>
          <w:tcPr>
            <w:tcW w:type="dxa" w:w="366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7"/>
                <w:szCs w:val="17"/>
              </w:rPr>
              <w:t xml:space="preserve">Technology architecture, scale readiness, IP, industrial capability strategy</w:t>
            </w:r>
          </w:p>
        </w:tc>
        <w:tc>
          <w:tcPr>
            <w:tcW w:type="dxa" w:w="4241"/>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7"/>
                <w:szCs w:val="17"/>
              </w:rPr>
              <w:t xml:space="preserve">Independent technical review of vendor claims; technology selection input</w:t>
            </w:r>
          </w:p>
        </w:tc>
      </w:tr>
      <w:tr>
        <w:trPr>
          <w:cantSplit/>
        </w:trPr>
        <w:tc>
          <w:tcPr>
            <w:tcW w:type="dxa" w:w="1735"/>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7"/>
                <w:szCs w:val="17"/>
              </w:rPr>
              <w:t xml:space="preserve">DDMF</w:t>
            </w:r>
          </w:p>
        </w:tc>
        <w:tc>
          <w:tcPr>
            <w:tcW w:type="dxa" w:w="366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7"/>
                <w:szCs w:val="17"/>
              </w:rPr>
              <w:t xml:space="preserve">Preparation, structuring, capital mobilisation and delivery of development projects</w:t>
            </w:r>
          </w:p>
        </w:tc>
        <w:tc>
          <w:tcPr>
            <w:tcW w:type="dxa" w:w="4241"/>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7"/>
                <w:szCs w:val="17"/>
              </w:rPr>
              <w:t xml:space="preserve">The unit manages dependencies across the portfolio; DDMF delivers projects assigned to it</w:t>
            </w:r>
          </w:p>
        </w:tc>
      </w:tr>
      <w:tr>
        <w:trPr>
          <w:cantSplit/>
        </w:trPr>
        <w:tc>
          <w:tcPr>
            <w:tcW w:type="dxa" w:w="1735"/>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7"/>
                <w:szCs w:val="17"/>
              </w:rPr>
              <w:t xml:space="preserve">Finance</w:t>
            </w:r>
          </w:p>
        </w:tc>
        <w:tc>
          <w:tcPr>
            <w:tcW w:type="dxa" w:w="366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7"/>
                <w:szCs w:val="17"/>
              </w:rPr>
              <w:t xml:space="preserve">Liquidity, cost of capital, accounting, exposure, consolidation</w:t>
            </w:r>
          </w:p>
        </w:tc>
        <w:tc>
          <w:tcPr>
            <w:tcW w:type="dxa" w:w="4241"/>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7"/>
                <w:szCs w:val="17"/>
              </w:rPr>
              <w:t xml:space="preserve">Tests capital sources and financing; supports project cost monitoring</w:t>
            </w:r>
          </w:p>
        </w:tc>
      </w:tr>
      <w:tr>
        <w:trPr>
          <w:cantSplit/>
        </w:trPr>
        <w:tc>
          <w:tcPr>
            <w:tcW w:type="dxa" w:w="1735"/>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7"/>
                <w:szCs w:val="17"/>
              </w:rPr>
              <w:t xml:space="preserve">Risk and Legal</w:t>
            </w:r>
          </w:p>
        </w:tc>
        <w:tc>
          <w:tcPr>
            <w:tcW w:type="dxa" w:w="366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7"/>
                <w:szCs w:val="17"/>
              </w:rPr>
              <w:t xml:space="preserve">Risk opinions, compliance and authority, with freedom to object</w:t>
            </w:r>
          </w:p>
        </w:tc>
        <w:tc>
          <w:tcPr>
            <w:tcW w:type="dxa" w:w="4241"/>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7"/>
                <w:szCs w:val="17"/>
              </w:rPr>
              <w:t xml:space="preserve">Do not report substantively to project promoters; opinions recorded in decision minutes</w:t>
            </w:r>
          </w:p>
        </w:tc>
      </w:tr>
      <w:tr>
        <w:trPr>
          <w:cantSplit/>
        </w:trPr>
        <w:tc>
          <w:tcPr>
            <w:tcW w:type="dxa" w:w="1735"/>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pPr>
            <w:r>
              <w:rPr>
                <w:rFonts w:ascii="Arial" w:cs="Arial" w:eastAsia="Arial" w:hAnsi="Arial"/>
                <w:b/>
                <w:bCs/>
                <w:color w:val="000000"/>
                <w:sz w:val="17"/>
                <w:szCs w:val="17"/>
              </w:rPr>
              <w:t xml:space="preserve">Internal Audit</w:t>
            </w:r>
          </w:p>
        </w:tc>
        <w:tc>
          <w:tcPr>
            <w:tcW w:type="dxa" w:w="366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7"/>
                <w:szCs w:val="17"/>
              </w:rPr>
              <w:t xml:space="preserve">Assurance over controls and follow-up of findings</w:t>
            </w:r>
          </w:p>
        </w:tc>
        <w:tc>
          <w:tcPr>
            <w:tcW w:type="dxa" w:w="4241"/>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7"/>
                <w:szCs w:val="17"/>
              </w:rPr>
              <w:t xml:space="preserve">Accesses information and reports through the lawful audit line; never an investment approver</w:t>
            </w:r>
          </w:p>
        </w:tc>
      </w:tr>
    </w:tbl>
    <w:p>
      <w:pPr>
        <w:keepNext w:val="false"/>
        <w:spacing w:after="140"/>
      </w:pPr>
    </w:p>
    <w:p>
      <w:pPr>
        <w:spacing w:after="110" w:before="0" w:line="264"/>
        <w:jc w:val="left"/>
      </w:pPr>
      <w:r>
        <w:rPr>
          <w:rFonts w:ascii="Arial" w:cs="Arial" w:eastAsia="Arial" w:hAnsi="Arial"/>
          <w:color w:val="000000"/>
          <w:sz w:val="20"/>
          <w:szCs w:val="20"/>
        </w:rPr>
        <w:t xml:space="preserve">The COO, CIO and CTO also head DAM, DIM and DDMF respectively. These dual capacities should be handled by separating decision documents and managing conflicts when interests diverge. One information package should serve several reviews, and each object should receive one decision from the entity with authority; coordination forums must not become a universal approval layer [D2].</w:t>
      </w:r>
    </w:p>
    <w:p>
      <w:pPr>
        <w:pStyle w:val="Heading2"/>
        <w:keepNext/>
        <w:keepLines/>
        <w:spacing w:after="120" w:before="280"/>
      </w:pPr>
      <w:r>
        <w:rPr>
          <w:rFonts w:ascii="Arial" w:cs="Arial" w:eastAsia="Arial" w:hAnsi="Arial"/>
          <w:b/>
          <w:bCs/>
          <w:color w:val="00338D"/>
          <w:sz w:val="28"/>
          <w:szCs w:val="28"/>
        </w:rPr>
        <w:t xml:space="preserve">13.5 Decision rights for key decisions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6"/>
        <w:gridCol w:w="3855"/>
        <w:gridCol w:w="3277"/>
      </w:tblGrid>
      <w:tr>
        <w:trPr>
          <w:cantSplit/>
          <w:tblHeader/>
        </w:trPr>
        <w:tc>
          <w:tcPr>
            <w:tcW w:type="dxa" w:w="2506"/>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Decision object</w:t>
            </w:r>
          </w:p>
        </w:tc>
        <w:tc>
          <w:tcPr>
            <w:tcW w:type="dxa" w:w="3855"/>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Who decides</w:t>
            </w:r>
          </w:p>
        </w:tc>
        <w:tc>
          <w:tcPr>
            <w:tcW w:type="dxa" w:w="3277"/>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Role of the unit</w:t>
            </w:r>
          </w:p>
        </w:tc>
      </w:tr>
      <w:tr>
        <w:trPr>
          <w:cantSplit/>
        </w:trPr>
        <w:tc>
          <w:tcPr>
            <w:tcW w:type="dxa" w:w="250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7"/>
                <w:szCs w:val="17"/>
              </w:rPr>
              <w:t xml:space="preserve">Portfolio priorities</w:t>
            </w:r>
          </w:p>
        </w:tc>
        <w:tc>
          <w:tcPr>
            <w:tcW w:type="dxa" w:w="3855"/>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7"/>
                <w:szCs w:val="17"/>
              </w:rPr>
              <w:t xml:space="preserve">Unit head drafts; Executive Body adoption by the Head within authority</w:t>
            </w:r>
          </w:p>
        </w:tc>
        <w:tc>
          <w:tcPr>
            <w:tcW w:type="dxa" w:w="3277"/>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7"/>
                <w:szCs w:val="17"/>
              </w:rPr>
              <w:t xml:space="preserve">Integrates proposals and shows resource conflicts</w:t>
            </w:r>
          </w:p>
        </w:tc>
      </w:tr>
      <w:tr>
        <w:trPr>
          <w:cantSplit/>
        </w:trPr>
        <w:tc>
          <w:tcPr>
            <w:tcW w:type="dxa" w:w="2506"/>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7"/>
                <w:szCs w:val="17"/>
              </w:rPr>
              <w:t xml:space="preserve">Executive Body plan and changes</w:t>
            </w:r>
          </w:p>
        </w:tc>
        <w:tc>
          <w:tcPr>
            <w:tcW w:type="dxa" w:w="3855"/>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7"/>
                <w:szCs w:val="17"/>
              </w:rPr>
              <w:t xml:space="preserve">Head proposes; Supervisory Board and President approve as regulations require</w:t>
            </w:r>
          </w:p>
        </w:tc>
        <w:tc>
          <w:tcPr>
            <w:tcW w:type="dxa" w:w="3277"/>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7"/>
                <w:szCs w:val="17"/>
              </w:rPr>
              <w:t xml:space="preserve">Prepares projects and budgets for the plan; does not replace approvals</w:t>
            </w:r>
          </w:p>
        </w:tc>
      </w:tr>
      <w:tr>
        <w:trPr>
          <w:cantSplit/>
        </w:trPr>
        <w:tc>
          <w:tcPr>
            <w:tcW w:type="dxa" w:w="250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7"/>
                <w:szCs w:val="17"/>
              </w:rPr>
              <w:t xml:space="preserve">Investment by a company</w:t>
            </w:r>
          </w:p>
        </w:tc>
        <w:tc>
          <w:tcPr>
            <w:tcW w:type="dxa" w:w="3855"/>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7"/>
                <w:szCs w:val="17"/>
              </w:rPr>
              <w:t xml:space="preserve">Board of directors, GMS or other organ per articles, limits of authority and regulation</w:t>
            </w:r>
          </w:p>
        </w:tc>
        <w:tc>
          <w:tcPr>
            <w:tcW w:type="dxa" w:w="3277"/>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7"/>
                <w:szCs w:val="17"/>
              </w:rPr>
              <w:t xml:space="preserve">Tests readiness and dependencies; not approval of all group investment</w:t>
            </w:r>
          </w:p>
        </w:tc>
      </w:tr>
      <w:tr>
        <w:trPr>
          <w:cantSplit/>
        </w:trPr>
        <w:tc>
          <w:tcPr>
            <w:tcW w:type="dxa" w:w="2506"/>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7"/>
                <w:szCs w:val="17"/>
              </w:rPr>
              <w:t xml:space="preserve">Borrowing or collateral by the Executive Body</w:t>
            </w:r>
          </w:p>
        </w:tc>
        <w:tc>
          <w:tcPr>
            <w:tcW w:type="dxa" w:w="3855"/>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7"/>
                <w:szCs w:val="17"/>
              </w:rPr>
              <w:t xml:space="preserve">Presidential approval and Supervisory Board authority under PP; executed by the Body when complete</w:t>
            </w:r>
          </w:p>
        </w:tc>
        <w:tc>
          <w:tcPr>
            <w:tcW w:type="dxa" w:w="3277"/>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7"/>
                <w:szCs w:val="17"/>
              </w:rPr>
              <w:t xml:space="preserve">Prepares needs and alternatives; Finance and Legal set the tested structure</w:t>
            </w:r>
          </w:p>
        </w:tc>
      </w:tr>
      <w:tr>
        <w:trPr>
          <w:cantSplit/>
        </w:trPr>
        <w:tc>
          <w:tcPr>
            <w:tcW w:type="dxa" w:w="250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7"/>
                <w:szCs w:val="17"/>
              </w:rPr>
              <w:t xml:space="preserve">Guarantees by the Executive Body to investment holdings</w:t>
            </w:r>
          </w:p>
        </w:tc>
        <w:tc>
          <w:tcPr>
            <w:tcW w:type="dxa" w:w="3855"/>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7"/>
                <w:szCs w:val="17"/>
              </w:rPr>
              <w:t xml:space="preserve">Supervisory Board approval and related Presidential approval checked under PP</w:t>
            </w:r>
          </w:p>
        </w:tc>
        <w:tc>
          <w:tcPr>
            <w:tcW w:type="dxa" w:w="3277"/>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7"/>
                <w:szCs w:val="17"/>
              </w:rPr>
              <w:t xml:space="preserve">Never issues guarantee commitments on the Body's behalf</w:t>
            </w:r>
          </w:p>
        </w:tc>
      </w:tr>
      <w:tr>
        <w:trPr>
          <w:cantSplit/>
        </w:trPr>
        <w:tc>
          <w:tcPr>
            <w:tcW w:type="dxa" w:w="2506"/>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7"/>
                <w:szCs w:val="17"/>
              </w:rPr>
              <w:t xml:space="preserve">Construction contracts and changes</w:t>
            </w:r>
          </w:p>
        </w:tc>
        <w:tc>
          <w:tcPr>
            <w:tcW w:type="dxa" w:w="3855"/>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7"/>
                <w:szCs w:val="17"/>
              </w:rPr>
              <w:t xml:space="preserve">Authorised organ or officer of the implementing company</w:t>
            </w:r>
          </w:p>
        </w:tc>
        <w:tc>
          <w:tcPr>
            <w:tcW w:type="dxa" w:w="3277"/>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7"/>
                <w:szCs w:val="17"/>
              </w:rPr>
              <w:t xml:space="preserve">MD Engineering reviews; project director controls execution</w:t>
            </w:r>
          </w:p>
        </w:tc>
      </w:tr>
      <w:tr>
        <w:trPr>
          <w:cantSplit/>
        </w:trPr>
        <w:tc>
          <w:tcPr>
            <w:tcW w:type="dxa" w:w="250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pPr>
            <w:r>
              <w:rPr>
                <w:rFonts w:ascii="Arial" w:cs="Arial" w:eastAsia="Arial" w:hAnsi="Arial"/>
                <w:b/>
                <w:bCs/>
                <w:color w:val="000000"/>
                <w:sz w:val="17"/>
                <w:szCs w:val="17"/>
              </w:rPr>
              <w:t xml:space="preserve">IP rights and standards</w:t>
            </w:r>
          </w:p>
        </w:tc>
        <w:tc>
          <w:tcPr>
            <w:tcW w:type="dxa" w:w="3855"/>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7"/>
                <w:szCs w:val="17"/>
              </w:rPr>
              <w:t xml:space="preserve">Agreements and company organs decide IP rights; state authorities set mandatory standards (including TKDN)</w:t>
            </w:r>
          </w:p>
        </w:tc>
        <w:tc>
          <w:tcPr>
            <w:tcW w:type="dxa" w:w="3277"/>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7"/>
                <w:szCs w:val="17"/>
              </w:rPr>
              <w:t xml:space="preserve">Negotiates IP strategy and technical requirements; does not set national standards</w:t>
            </w:r>
          </w:p>
        </w:tc>
      </w:tr>
    </w:tbl>
    <w:p>
      <w:pPr>
        <w:keepNext w:val="false"/>
        <w:spacing w:after="140"/>
      </w:pPr>
    </w:p>
    <w:p>
      <w:pPr>
        <w:spacing w:after="160"/>
      </w:pPr>
      <w:r>
        <w:rPr>
          <w:rFonts w:ascii="Arial" w:cs="Arial" w:eastAsia="Arial" w:hAnsi="Arial"/>
          <w:i/>
          <w:iCs/>
          <w:color w:val="000000"/>
          <w:sz w:val="15"/>
          <w:szCs w:val="15"/>
        </w:rPr>
        <w:t xml:space="preserve">Source: D2 §12.</w:t>
      </w:r>
    </w:p>
    <w:p>
      <w:pPr>
        <w:pStyle w:val="Heading2"/>
        <w:keepNext/>
        <w:keepLines/>
        <w:spacing w:after="120" w:before="280"/>
      </w:pPr>
      <w:r>
        <w:rPr>
          <w:rFonts w:ascii="Arial" w:cs="Arial" w:eastAsia="Arial" w:hAnsi="Arial"/>
          <w:b/>
          <w:bCs/>
          <w:color w:val="00338D"/>
          <w:sz w:val="28"/>
          <w:szCs w:val="28"/>
        </w:rPr>
        <w:t xml:space="preserve">13.6 RASCI for the 24 core activities</w:t>
      </w:r>
    </w:p>
    <w:p>
      <w:pPr>
        <w:spacing w:after="110" w:before="0" w:line="264"/>
        <w:jc w:val="left"/>
      </w:pPr>
      <w:r>
        <w:rPr>
          <w:rFonts w:ascii="Arial" w:cs="Arial" w:eastAsia="Arial" w:hAnsi="Arial"/>
          <w:color w:val="000000"/>
          <w:sz w:val="20"/>
          <w:szCs w:val="20"/>
        </w:rPr>
        <w:t xml:space="preserve">R = responsible; A = single owner of the final result; S = support; C = consulted; I = informed. The RASCI is a proposal for work allocation and creates no new legal authority. Each of the 24 activities has exactly one A [D2 §13–15].</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4"/>
        <w:gridCol w:w="3855"/>
        <w:gridCol w:w="964"/>
        <w:gridCol w:w="3855"/>
      </w:tblGrid>
      <w:tr>
        <w:trPr>
          <w:cantSplit/>
          <w:tblHeader/>
        </w:trPr>
        <w:tc>
          <w:tcPr>
            <w:tcW w:type="dxa" w:w="964"/>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Code</w:t>
            </w:r>
          </w:p>
        </w:tc>
        <w:tc>
          <w:tcPr>
            <w:tcW w:type="dxa" w:w="3855"/>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Role</w:t>
            </w:r>
          </w:p>
        </w:tc>
        <w:tc>
          <w:tcPr>
            <w:tcW w:type="dxa" w:w="964"/>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Code</w:t>
            </w:r>
          </w:p>
        </w:tc>
        <w:tc>
          <w:tcPr>
            <w:tcW w:type="dxa" w:w="3855"/>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Role</w:t>
            </w:r>
          </w:p>
        </w:tc>
      </w:tr>
      <w:tr>
        <w:trPr>
          <w:cantSplit/>
        </w:trPr>
        <w:tc>
          <w:tcPr>
            <w:tcW w:type="dxa" w:w="964"/>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KP</w:t>
            </w:r>
          </w:p>
        </w:tc>
        <w:tc>
          <w:tcPr>
            <w:tcW w:type="dxa" w:w="3855"/>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Head of the Executive Body</w:t>
            </w:r>
          </w:p>
        </w:tc>
        <w:tc>
          <w:tcPr>
            <w:tcW w:type="dxa" w:w="964"/>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CI</w:t>
            </w:r>
          </w:p>
        </w:tc>
        <w:tc>
          <w:tcPr>
            <w:tcW w:type="dxa" w:w="3855"/>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CIO or assigned DIM function</w:t>
            </w:r>
          </w:p>
        </w:tc>
      </w:tr>
      <w:tr>
        <w:trPr>
          <w:cantSplit/>
        </w:trPr>
        <w:tc>
          <w:tcPr>
            <w:tcW w:type="dxa" w:w="964"/>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SI</w:t>
            </w:r>
          </w:p>
        </w:tc>
        <w:tc>
          <w:tcPr>
            <w:tcW w:type="dxa" w:w="3855"/>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Head of Strategic Industry at BPI</w:t>
            </w:r>
          </w:p>
        </w:tc>
        <w:tc>
          <w:tcPr>
            <w:tcW w:type="dxa" w:w="964"/>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CT</w:t>
            </w:r>
          </w:p>
        </w:tc>
        <w:tc>
          <w:tcPr>
            <w:tcW w:type="dxa" w:w="3855"/>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CTO or assigned technology function</w:t>
            </w:r>
          </w:p>
        </w:tc>
      </w:tr>
      <w:tr>
        <w:trPr>
          <w:cantSplit/>
        </w:trPr>
        <w:tc>
          <w:tcPr>
            <w:tcW w:type="dxa" w:w="964"/>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PD</w:t>
            </w:r>
          </w:p>
        </w:tc>
        <w:tc>
          <w:tcPr>
            <w:tcW w:type="dxa" w:w="3855"/>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MD Portfolio and Project Delivery</w:t>
            </w:r>
          </w:p>
        </w:tc>
        <w:tc>
          <w:tcPr>
            <w:tcW w:type="dxa" w:w="964"/>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DD</w:t>
            </w:r>
          </w:p>
        </w:tc>
        <w:tc>
          <w:tcPr>
            <w:tcW w:type="dxa" w:w="3855"/>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DDMF or assigned MD Development Investment</w:t>
            </w:r>
          </w:p>
        </w:tc>
      </w:tr>
      <w:tr>
        <w:trPr>
          <w:cantSplit/>
        </w:trPr>
        <w:tc>
          <w:tcPr>
            <w:tcW w:type="dxa" w:w="964"/>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ID</w:t>
            </w:r>
          </w:p>
        </w:tc>
        <w:tc>
          <w:tcPr>
            <w:tcW w:type="dxa" w:w="3855"/>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MD Strategic Industry Development</w:t>
            </w:r>
          </w:p>
        </w:tc>
        <w:tc>
          <w:tcPr>
            <w:tcW w:type="dxa" w:w="964"/>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RS</w:t>
            </w:r>
          </w:p>
        </w:tc>
        <w:tc>
          <w:tcPr>
            <w:tcW w:type="dxa" w:w="3855"/>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Independent risk function</w:t>
            </w:r>
          </w:p>
        </w:tc>
      </w:tr>
      <w:tr>
        <w:trPr>
          <w:cantSplit/>
        </w:trPr>
        <w:tc>
          <w:tcPr>
            <w:tcW w:type="dxa" w:w="964"/>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EN</w:t>
            </w:r>
          </w:p>
        </w:tc>
        <w:tc>
          <w:tcPr>
            <w:tcW w:type="dxa" w:w="3855"/>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MD Engineering and Execution</w:t>
            </w:r>
          </w:p>
        </w:tc>
        <w:tc>
          <w:tcPr>
            <w:tcW w:type="dxa" w:w="964"/>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LC</w:t>
            </w:r>
          </w:p>
        </w:tc>
        <w:tc>
          <w:tcPr>
            <w:tcW w:type="dxa" w:w="3855"/>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Legal and Compliance</w:t>
            </w:r>
          </w:p>
        </w:tc>
      </w:tr>
      <w:tr>
        <w:trPr>
          <w:cantSplit/>
        </w:trPr>
        <w:tc>
          <w:tcPr>
            <w:tcW w:type="dxa" w:w="964"/>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SP</w:t>
            </w:r>
          </w:p>
        </w:tc>
        <w:tc>
          <w:tcPr>
            <w:tcW w:type="dxa" w:w="3855"/>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Corporate sponsor or assigned project company</w:t>
            </w:r>
          </w:p>
        </w:tc>
        <w:tc>
          <w:tcPr>
            <w:tcW w:type="dxa" w:w="964"/>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FI</w:t>
            </w:r>
          </w:p>
        </w:tc>
        <w:tc>
          <w:tcPr>
            <w:tcW w:type="dxa" w:w="3855"/>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Finance</w:t>
            </w:r>
          </w:p>
        </w:tc>
      </w:tr>
      <w:tr>
        <w:trPr>
          <w:cantSplit/>
        </w:trPr>
        <w:tc>
          <w:tcPr>
            <w:tcW w:type="dxa" w:w="964"/>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PJ</w:t>
            </w:r>
          </w:p>
        </w:tc>
        <w:tc>
          <w:tcPr>
            <w:tcW w:type="dxa" w:w="3855"/>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Project director at the implementing company</w:t>
            </w:r>
          </w:p>
        </w:tc>
        <w:tc>
          <w:tcPr>
            <w:tcW w:type="dxa" w:w="964"/>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IA</w:t>
            </w:r>
          </w:p>
        </w:tc>
        <w:tc>
          <w:tcPr>
            <w:tcW w:type="dxa" w:w="3855"/>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Internal Audit</w:t>
            </w:r>
          </w:p>
        </w:tc>
      </w:tr>
      <w:tr>
        <w:trPr>
          <w:cantSplit/>
        </w:trPr>
        <w:tc>
          <w:tcPr>
            <w:tcW w:type="dxa" w:w="964"/>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CO</w:t>
            </w:r>
          </w:p>
        </w:tc>
        <w:tc>
          <w:tcPr>
            <w:tcW w:type="dxa" w:w="3855"/>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COO or assigned DAM function</w:t>
            </w:r>
          </w:p>
        </w:tc>
        <w:tc>
          <w:tcPr>
            <w:tcW w:type="dxa" w:w="964"/>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DW / PR</w:t>
            </w:r>
          </w:p>
        </w:tc>
        <w:tc>
          <w:tcPr>
            <w:tcW w:type="dxa" w:w="3855"/>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Supervisory Board / President</w:t>
            </w:r>
          </w:p>
        </w:tc>
      </w:tr>
      <w:tr>
        <w:trPr>
          <w:cantSplit/>
        </w:trPr>
        <w:tc>
          <w:tcPr>
            <w:tcW w:type="dxa" w:w="964"/>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pPr>
          </w:p>
        </w:tc>
        <w:tc>
          <w:tcPr>
            <w:tcW w:type="dxa" w:w="3855"/>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pPr>
          </w:p>
        </w:tc>
        <w:tc>
          <w:tcPr>
            <w:tcW w:type="dxa" w:w="964"/>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pPr>
            <w:r>
              <w:rPr>
                <w:rFonts w:ascii="Arial" w:cs="Arial" w:eastAsia="Arial" w:hAnsi="Arial"/>
                <w:color w:val="000000"/>
                <w:sz w:val="16"/>
                <w:szCs w:val="16"/>
              </w:rPr>
              <w:t xml:space="preserve">OG</w:t>
            </w:r>
          </w:p>
        </w:tc>
        <w:tc>
          <w:tcPr>
            <w:tcW w:type="dxa" w:w="3855"/>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pPr>
            <w:r>
              <w:rPr>
                <w:rFonts w:ascii="Arial" w:cs="Arial" w:eastAsia="Arial" w:hAnsi="Arial"/>
                <w:color w:val="000000"/>
                <w:sz w:val="16"/>
                <w:szCs w:val="16"/>
              </w:rPr>
              <w:t xml:space="preserve">Lawful company organ for the decision object</w:t>
            </w:r>
          </w:p>
        </w:tc>
      </w:tr>
    </w:tbl>
    <w:p>
      <w:pPr>
        <w:keepNext w:val="false"/>
        <w:spacing w:after="14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470"/>
        <w:gridCol w:w="578"/>
        <w:gridCol w:w="1157"/>
        <w:gridCol w:w="1157"/>
        <w:gridCol w:w="2120"/>
        <w:gridCol w:w="1156"/>
      </w:tblGrid>
      <w:tr>
        <w:trPr>
          <w:cantSplit/>
          <w:tblHeader/>
        </w:trPr>
        <w:tc>
          <w:tcPr>
            <w:tcW w:type="dxa" w:w="3470"/>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5"/>
                <w:szCs w:val="15"/>
              </w:rPr>
              <w:t xml:space="preserve">Activity</w:t>
            </w:r>
          </w:p>
        </w:tc>
        <w:tc>
          <w:tcPr>
            <w:tcW w:type="dxa" w:w="578"/>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5"/>
                <w:szCs w:val="15"/>
              </w:rPr>
              <w:t xml:space="preserve">A</w:t>
            </w:r>
          </w:p>
        </w:tc>
        <w:tc>
          <w:tcPr>
            <w:tcW w:type="dxa" w:w="1157"/>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5"/>
                <w:szCs w:val="15"/>
              </w:rPr>
              <w:t xml:space="preserve">R</w:t>
            </w:r>
          </w:p>
        </w:tc>
        <w:tc>
          <w:tcPr>
            <w:tcW w:type="dxa" w:w="1157"/>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5"/>
                <w:szCs w:val="15"/>
              </w:rPr>
              <w:t xml:space="preserve">S</w:t>
            </w:r>
          </w:p>
        </w:tc>
        <w:tc>
          <w:tcPr>
            <w:tcW w:type="dxa" w:w="2120"/>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5"/>
                <w:szCs w:val="15"/>
              </w:rPr>
              <w:t xml:space="preserve">C</w:t>
            </w:r>
          </w:p>
        </w:tc>
        <w:tc>
          <w:tcPr>
            <w:tcW w:type="dxa" w:w="1156"/>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5"/>
                <w:szCs w:val="15"/>
              </w:rPr>
              <w:t xml:space="preserve">I</w:t>
            </w:r>
          </w:p>
        </w:tc>
      </w:tr>
      <w:tr>
        <w:trPr>
          <w:cantSplit/>
        </w:trPr>
        <w:tc>
          <w:tcPr>
            <w:tcW w:type="dxa" w:w="347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S01 Reconcile the 40-project register</w:t>
            </w:r>
          </w:p>
        </w:tc>
        <w:tc>
          <w:tcPr>
            <w:tcW w:type="dxa" w:w="57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PD</w:t>
            </w:r>
          </w:p>
        </w:tc>
        <w:tc>
          <w:tcPr>
            <w:tcW w:type="dxa" w:w="1157"/>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PD SP</w:t>
            </w:r>
          </w:p>
        </w:tc>
        <w:tc>
          <w:tcPr>
            <w:tcW w:type="dxa" w:w="1157"/>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FI</w:t>
            </w:r>
          </w:p>
        </w:tc>
        <w:tc>
          <w:tcPr>
            <w:tcW w:type="dxa" w:w="212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LC CO CI DD</w:t>
            </w:r>
          </w:p>
        </w:tc>
        <w:tc>
          <w:tcPr>
            <w:tcW w:type="dxa" w:w="115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SI KP</w:t>
            </w:r>
          </w:p>
        </w:tc>
      </w:tr>
      <w:tr>
        <w:trPr>
          <w:cantSplit/>
        </w:trPr>
        <w:tc>
          <w:tcPr>
            <w:tcW w:type="dxa" w:w="347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S02 Prepare industry map and priorities</w:t>
            </w:r>
          </w:p>
        </w:tc>
        <w:tc>
          <w:tcPr>
            <w:tcW w:type="dxa" w:w="578"/>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SI</w:t>
            </w:r>
          </w:p>
        </w:tc>
        <w:tc>
          <w:tcPr>
            <w:tcW w:type="dxa" w:w="1157"/>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ID PD</w:t>
            </w:r>
          </w:p>
        </w:tc>
        <w:tc>
          <w:tcPr>
            <w:tcW w:type="dxa" w:w="1157"/>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EN</w:t>
            </w:r>
          </w:p>
        </w:tc>
        <w:tc>
          <w:tcPr>
            <w:tcW w:type="dxa" w:w="212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CO CI CT DD RS FI</w:t>
            </w:r>
          </w:p>
        </w:tc>
        <w:tc>
          <w:tcPr>
            <w:tcW w:type="dxa" w:w="1156"/>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KP</w:t>
            </w:r>
          </w:p>
        </w:tc>
      </w:tr>
      <w:tr>
        <w:trPr>
          <w:cantSplit/>
        </w:trPr>
        <w:tc>
          <w:tcPr>
            <w:tcW w:type="dxa" w:w="347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S03 Set Executive Body priorities per mandate</w:t>
            </w:r>
          </w:p>
        </w:tc>
        <w:tc>
          <w:tcPr>
            <w:tcW w:type="dxa" w:w="57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KP</w:t>
            </w:r>
          </w:p>
        </w:tc>
        <w:tc>
          <w:tcPr>
            <w:tcW w:type="dxa" w:w="1157"/>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SI</w:t>
            </w:r>
          </w:p>
        </w:tc>
        <w:tc>
          <w:tcPr>
            <w:tcW w:type="dxa" w:w="1157"/>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PD</w:t>
            </w:r>
          </w:p>
        </w:tc>
        <w:tc>
          <w:tcPr>
            <w:tcW w:type="dxa" w:w="212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CO CI CT DD RS LC FI</w:t>
            </w:r>
          </w:p>
        </w:tc>
        <w:tc>
          <w:tcPr>
            <w:tcW w:type="dxa" w:w="115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DW</w:t>
            </w:r>
          </w:p>
        </w:tc>
      </w:tr>
      <w:tr>
        <w:trPr>
          <w:cantSplit/>
        </w:trPr>
        <w:tc>
          <w:tcPr>
            <w:tcW w:type="dxa" w:w="347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S04 Project feasibility and readiness package</w:t>
            </w:r>
          </w:p>
        </w:tc>
        <w:tc>
          <w:tcPr>
            <w:tcW w:type="dxa" w:w="578"/>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SP</w:t>
            </w:r>
          </w:p>
        </w:tc>
        <w:tc>
          <w:tcPr>
            <w:tcW w:type="dxa" w:w="1157"/>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PJ ID EN</w:t>
            </w:r>
          </w:p>
        </w:tc>
        <w:tc>
          <w:tcPr>
            <w:tcW w:type="dxa" w:w="1157"/>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PD</w:t>
            </w:r>
          </w:p>
        </w:tc>
        <w:tc>
          <w:tcPr>
            <w:tcW w:type="dxa" w:w="212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CI DD CT RS LC FI</w:t>
            </w:r>
          </w:p>
        </w:tc>
        <w:tc>
          <w:tcPr>
            <w:tcW w:type="dxa" w:w="1156"/>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SI</w:t>
            </w:r>
          </w:p>
        </w:tc>
      </w:tr>
      <w:tr>
        <w:trPr>
          <w:cantSplit/>
        </w:trPr>
        <w:tc>
          <w:tcPr>
            <w:tcW w:type="dxa" w:w="347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S05 Technology and IP opinion</w:t>
            </w:r>
          </w:p>
        </w:tc>
        <w:tc>
          <w:tcPr>
            <w:tcW w:type="dxa" w:w="57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CT</w:t>
            </w:r>
          </w:p>
        </w:tc>
        <w:tc>
          <w:tcPr>
            <w:tcW w:type="dxa" w:w="1157"/>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CT EN</w:t>
            </w:r>
          </w:p>
        </w:tc>
        <w:tc>
          <w:tcPr>
            <w:tcW w:type="dxa" w:w="1157"/>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ID</w:t>
            </w:r>
          </w:p>
        </w:tc>
        <w:tc>
          <w:tcPr>
            <w:tcW w:type="dxa" w:w="212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SP LC</w:t>
            </w:r>
          </w:p>
        </w:tc>
        <w:tc>
          <w:tcPr>
            <w:tcW w:type="dxa" w:w="115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SI CI DD</w:t>
            </w:r>
          </w:p>
        </w:tc>
      </w:tr>
      <w:tr>
        <w:trPr>
          <w:cantSplit/>
        </w:trPr>
        <w:tc>
          <w:tcPr>
            <w:tcW w:type="dxa" w:w="347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S06 Independent risk opinion</w:t>
            </w:r>
          </w:p>
        </w:tc>
        <w:tc>
          <w:tcPr>
            <w:tcW w:type="dxa" w:w="578"/>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RS</w:t>
            </w:r>
          </w:p>
        </w:tc>
        <w:tc>
          <w:tcPr>
            <w:tcW w:type="dxa" w:w="1157"/>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RS</w:t>
            </w:r>
          </w:p>
        </w:tc>
        <w:tc>
          <w:tcPr>
            <w:tcW w:type="dxa" w:w="1157"/>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FI</w:t>
            </w:r>
          </w:p>
        </w:tc>
        <w:tc>
          <w:tcPr>
            <w:tcW w:type="dxa" w:w="212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LC CT SP</w:t>
            </w:r>
          </w:p>
        </w:tc>
        <w:tc>
          <w:tcPr>
            <w:tcW w:type="dxa" w:w="1156"/>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KP SI</w:t>
            </w:r>
          </w:p>
        </w:tc>
      </w:tr>
      <w:tr>
        <w:trPr>
          <w:cantSplit/>
        </w:trPr>
        <w:tc>
          <w:tcPr>
            <w:tcW w:type="dxa" w:w="347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S07 Legal opinion and authorisation path</w:t>
            </w:r>
          </w:p>
        </w:tc>
        <w:tc>
          <w:tcPr>
            <w:tcW w:type="dxa" w:w="57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LC</w:t>
            </w:r>
          </w:p>
        </w:tc>
        <w:tc>
          <w:tcPr>
            <w:tcW w:type="dxa" w:w="1157"/>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LC</w:t>
            </w:r>
          </w:p>
        </w:tc>
        <w:tc>
          <w:tcPr>
            <w:tcW w:type="dxa" w:w="1157"/>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PD</w:t>
            </w:r>
          </w:p>
        </w:tc>
        <w:tc>
          <w:tcPr>
            <w:tcW w:type="dxa" w:w="212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RS FI SP</w:t>
            </w:r>
          </w:p>
        </w:tc>
        <w:tc>
          <w:tcPr>
            <w:tcW w:type="dxa" w:w="115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KP SI</w:t>
            </w:r>
          </w:p>
        </w:tc>
      </w:tr>
      <w:tr>
        <w:trPr>
          <w:cantSplit/>
        </w:trPr>
        <w:tc>
          <w:tcPr>
            <w:tcW w:type="dxa" w:w="347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S08 Draft financing structure</w:t>
            </w:r>
          </w:p>
        </w:tc>
        <w:tc>
          <w:tcPr>
            <w:tcW w:type="dxa" w:w="578"/>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CI</w:t>
            </w:r>
          </w:p>
        </w:tc>
        <w:tc>
          <w:tcPr>
            <w:tcW w:type="dxa" w:w="1157"/>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CI FI DD</w:t>
            </w:r>
          </w:p>
        </w:tc>
        <w:tc>
          <w:tcPr>
            <w:tcW w:type="dxa" w:w="1157"/>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SP</w:t>
            </w:r>
          </w:p>
        </w:tc>
        <w:tc>
          <w:tcPr>
            <w:tcW w:type="dxa" w:w="212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RS LC SI</w:t>
            </w:r>
          </w:p>
        </w:tc>
        <w:tc>
          <w:tcPr>
            <w:tcW w:type="dxa" w:w="1156"/>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KP</w:t>
            </w:r>
          </w:p>
        </w:tc>
      </w:tr>
      <w:tr>
        <w:trPr>
          <w:cantSplit/>
        </w:trPr>
        <w:tc>
          <w:tcPr>
            <w:tcW w:type="dxa" w:w="347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S09 Portfolio recommendation package</w:t>
            </w:r>
          </w:p>
        </w:tc>
        <w:tc>
          <w:tcPr>
            <w:tcW w:type="dxa" w:w="57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SI</w:t>
            </w:r>
          </w:p>
        </w:tc>
        <w:tc>
          <w:tcPr>
            <w:tcW w:type="dxa" w:w="1157"/>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PD ID EN</w:t>
            </w:r>
          </w:p>
        </w:tc>
        <w:tc>
          <w:tcPr>
            <w:tcW w:type="dxa" w:w="1157"/>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SP</w:t>
            </w:r>
          </w:p>
        </w:tc>
        <w:tc>
          <w:tcPr>
            <w:tcW w:type="dxa" w:w="212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CO CI CT DD RS LC FI</w:t>
            </w:r>
          </w:p>
        </w:tc>
        <w:tc>
          <w:tcPr>
            <w:tcW w:type="dxa" w:w="115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KP</w:t>
            </w:r>
          </w:p>
        </w:tc>
      </w:tr>
      <w:tr>
        <w:trPr>
          <w:cantSplit/>
        </w:trPr>
        <w:tc>
          <w:tcPr>
            <w:tcW w:type="dxa" w:w="347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S10 Executive Body decision within authority</w:t>
            </w:r>
          </w:p>
        </w:tc>
        <w:tc>
          <w:tcPr>
            <w:tcW w:type="dxa" w:w="578"/>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KP</w:t>
            </w:r>
          </w:p>
        </w:tc>
        <w:tc>
          <w:tcPr>
            <w:tcW w:type="dxa" w:w="1157"/>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KP</w:t>
            </w:r>
          </w:p>
        </w:tc>
        <w:tc>
          <w:tcPr>
            <w:tcW w:type="dxa" w:w="1157"/>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PD</w:t>
            </w:r>
          </w:p>
        </w:tc>
        <w:tc>
          <w:tcPr>
            <w:tcW w:type="dxa" w:w="212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SI RS LC FI</w:t>
            </w:r>
          </w:p>
        </w:tc>
        <w:tc>
          <w:tcPr>
            <w:tcW w:type="dxa" w:w="1156"/>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DW SP</w:t>
            </w:r>
          </w:p>
        </w:tc>
      </w:tr>
      <w:tr>
        <w:trPr>
          <w:cantSplit/>
        </w:trPr>
        <w:tc>
          <w:tcPr>
            <w:tcW w:type="dxa" w:w="347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S11 Presidential approval where required</w:t>
            </w:r>
          </w:p>
        </w:tc>
        <w:tc>
          <w:tcPr>
            <w:tcW w:type="dxa" w:w="57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PR</w:t>
            </w:r>
          </w:p>
        </w:tc>
        <w:tc>
          <w:tcPr>
            <w:tcW w:type="dxa" w:w="1157"/>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DW</w:t>
            </w:r>
          </w:p>
        </w:tc>
        <w:tc>
          <w:tcPr>
            <w:tcW w:type="dxa" w:w="1157"/>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KP PD</w:t>
            </w:r>
          </w:p>
        </w:tc>
        <w:tc>
          <w:tcPr>
            <w:tcW w:type="dxa" w:w="212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LC FI RS</w:t>
            </w:r>
          </w:p>
        </w:tc>
        <w:tc>
          <w:tcPr>
            <w:tcW w:type="dxa" w:w="115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SI</w:t>
            </w:r>
          </w:p>
        </w:tc>
      </w:tr>
      <w:tr>
        <w:trPr>
          <w:cantSplit/>
        </w:trPr>
        <w:tc>
          <w:tcPr>
            <w:tcW w:type="dxa" w:w="347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S12 Supervisory Board approval where required</w:t>
            </w:r>
          </w:p>
        </w:tc>
        <w:tc>
          <w:tcPr>
            <w:tcW w:type="dxa" w:w="578"/>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DW</w:t>
            </w:r>
          </w:p>
        </w:tc>
        <w:tc>
          <w:tcPr>
            <w:tcW w:type="dxa" w:w="1157"/>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DW</w:t>
            </w:r>
          </w:p>
        </w:tc>
        <w:tc>
          <w:tcPr>
            <w:tcW w:type="dxa" w:w="1157"/>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KP PD</w:t>
            </w:r>
          </w:p>
        </w:tc>
        <w:tc>
          <w:tcPr>
            <w:tcW w:type="dxa" w:w="212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LC FI RS</w:t>
            </w:r>
          </w:p>
        </w:tc>
        <w:tc>
          <w:tcPr>
            <w:tcW w:type="dxa" w:w="1156"/>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PR SI SP</w:t>
            </w:r>
          </w:p>
        </w:tc>
      </w:tr>
      <w:tr>
        <w:trPr>
          <w:cantSplit/>
        </w:trPr>
        <w:tc>
          <w:tcPr>
            <w:tcW w:type="dxa" w:w="347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S13 Company investment decision per articles</w:t>
            </w:r>
          </w:p>
        </w:tc>
        <w:tc>
          <w:tcPr>
            <w:tcW w:type="dxa" w:w="57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OG</w:t>
            </w:r>
          </w:p>
        </w:tc>
        <w:tc>
          <w:tcPr>
            <w:tcW w:type="dxa" w:w="1157"/>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SP</w:t>
            </w:r>
          </w:p>
        </w:tc>
        <w:tc>
          <w:tcPr>
            <w:tcW w:type="dxa" w:w="1157"/>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CI DD FI</w:t>
            </w:r>
          </w:p>
        </w:tc>
        <w:tc>
          <w:tcPr>
            <w:tcW w:type="dxa" w:w="212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RS LC CT SI</w:t>
            </w:r>
          </w:p>
        </w:tc>
        <w:tc>
          <w:tcPr>
            <w:tcW w:type="dxa" w:w="115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KP PD</w:t>
            </w:r>
          </w:p>
        </w:tc>
      </w:tr>
      <w:tr>
        <w:trPr>
          <w:cantSplit/>
        </w:trPr>
        <w:tc>
          <w:tcPr>
            <w:tcW w:type="dxa" w:w="347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S14 Contract effectiveness and financial close</w:t>
            </w:r>
          </w:p>
        </w:tc>
        <w:tc>
          <w:tcPr>
            <w:tcW w:type="dxa" w:w="578"/>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OG</w:t>
            </w:r>
          </w:p>
        </w:tc>
        <w:tc>
          <w:tcPr>
            <w:tcW w:type="dxa" w:w="1157"/>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SP PJ</w:t>
            </w:r>
          </w:p>
        </w:tc>
        <w:tc>
          <w:tcPr>
            <w:tcW w:type="dxa" w:w="1157"/>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FI CI DD</w:t>
            </w:r>
          </w:p>
        </w:tc>
        <w:tc>
          <w:tcPr>
            <w:tcW w:type="dxa" w:w="212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RS LC EN</w:t>
            </w:r>
          </w:p>
        </w:tc>
        <w:tc>
          <w:tcPr>
            <w:tcW w:type="dxa" w:w="1156"/>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SI PD</w:t>
            </w:r>
          </w:p>
        </w:tc>
      </w:tr>
      <w:tr>
        <w:trPr>
          <w:cantSplit/>
        </w:trPr>
        <w:tc>
          <w:tcPr>
            <w:tcW w:type="dxa" w:w="347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S15 Construction as assigned</w:t>
            </w:r>
          </w:p>
        </w:tc>
        <w:tc>
          <w:tcPr>
            <w:tcW w:type="dxa" w:w="57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PJ</w:t>
            </w:r>
          </w:p>
        </w:tc>
        <w:tc>
          <w:tcPr>
            <w:tcW w:type="dxa" w:w="1157"/>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PJ EN</w:t>
            </w:r>
          </w:p>
        </w:tc>
        <w:tc>
          <w:tcPr>
            <w:tcW w:type="dxa" w:w="1157"/>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PD</w:t>
            </w:r>
          </w:p>
        </w:tc>
        <w:tc>
          <w:tcPr>
            <w:tcW w:type="dxa" w:w="212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SP RS LC FI</w:t>
            </w:r>
          </w:p>
        </w:tc>
        <w:tc>
          <w:tcPr>
            <w:tcW w:type="dxa" w:w="115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SI</w:t>
            </w:r>
          </w:p>
        </w:tc>
      </w:tr>
      <w:tr>
        <w:trPr>
          <w:cantSplit/>
        </w:trPr>
        <w:tc>
          <w:tcPr>
            <w:tcW w:type="dxa" w:w="347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S16 Material contract or cost change</w:t>
            </w:r>
          </w:p>
        </w:tc>
        <w:tc>
          <w:tcPr>
            <w:tcW w:type="dxa" w:w="578"/>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OG</w:t>
            </w:r>
          </w:p>
        </w:tc>
        <w:tc>
          <w:tcPr>
            <w:tcW w:type="dxa" w:w="1157"/>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SP PJ</w:t>
            </w:r>
          </w:p>
        </w:tc>
        <w:tc>
          <w:tcPr>
            <w:tcW w:type="dxa" w:w="1157"/>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EN FI</w:t>
            </w:r>
          </w:p>
        </w:tc>
        <w:tc>
          <w:tcPr>
            <w:tcW w:type="dxa" w:w="212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RS LC CI DD SI</w:t>
            </w:r>
          </w:p>
        </w:tc>
        <w:tc>
          <w:tcPr>
            <w:tcW w:type="dxa" w:w="1156"/>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KP PD</w:t>
            </w:r>
          </w:p>
        </w:tc>
      </w:tr>
      <w:tr>
        <w:trPr>
          <w:cantSplit/>
        </w:trPr>
        <w:tc>
          <w:tcPr>
            <w:tcW w:type="dxa" w:w="347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S17 Resolve internal portfolio issues</w:t>
            </w:r>
          </w:p>
        </w:tc>
        <w:tc>
          <w:tcPr>
            <w:tcW w:type="dxa" w:w="57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SI</w:t>
            </w:r>
          </w:p>
        </w:tc>
        <w:tc>
          <w:tcPr>
            <w:tcW w:type="dxa" w:w="1157"/>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PD</w:t>
            </w:r>
          </w:p>
        </w:tc>
        <w:tc>
          <w:tcPr>
            <w:tcW w:type="dxa" w:w="1157"/>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ID EN SP</w:t>
            </w:r>
          </w:p>
        </w:tc>
        <w:tc>
          <w:tcPr>
            <w:tcW w:type="dxa" w:w="212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CO CI CT DD LC</w:t>
            </w:r>
          </w:p>
        </w:tc>
        <w:tc>
          <w:tcPr>
            <w:tcW w:type="dxa" w:w="115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KP</w:t>
            </w:r>
          </w:p>
        </w:tc>
      </w:tr>
      <w:tr>
        <w:trPr>
          <w:cantSplit/>
        </w:trPr>
        <w:tc>
          <w:tcPr>
            <w:tcW w:type="dxa" w:w="347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S18 Escalate cross-agency issues to lawful forum</w:t>
            </w:r>
          </w:p>
        </w:tc>
        <w:tc>
          <w:tcPr>
            <w:tcW w:type="dxa" w:w="578"/>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KP</w:t>
            </w:r>
          </w:p>
        </w:tc>
        <w:tc>
          <w:tcPr>
            <w:tcW w:type="dxa" w:w="1157"/>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SI</w:t>
            </w:r>
          </w:p>
        </w:tc>
        <w:tc>
          <w:tcPr>
            <w:tcW w:type="dxa" w:w="1157"/>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PD</w:t>
            </w:r>
          </w:p>
        </w:tc>
        <w:tc>
          <w:tcPr>
            <w:tcW w:type="dxa" w:w="212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LC SP CO CT</w:t>
            </w:r>
          </w:p>
        </w:tc>
        <w:tc>
          <w:tcPr>
            <w:tcW w:type="dxa" w:w="1156"/>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DW</w:t>
            </w:r>
          </w:p>
        </w:tc>
      </w:tr>
      <w:tr>
        <w:trPr>
          <w:cantSplit/>
        </w:trPr>
        <w:tc>
          <w:tcPr>
            <w:tcW w:type="dxa" w:w="347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S19 Company commissioning acceptance</w:t>
            </w:r>
          </w:p>
        </w:tc>
        <w:tc>
          <w:tcPr>
            <w:tcW w:type="dxa" w:w="57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OG</w:t>
            </w:r>
          </w:p>
        </w:tc>
        <w:tc>
          <w:tcPr>
            <w:tcW w:type="dxa" w:w="1157"/>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SP PJ</w:t>
            </w:r>
          </w:p>
        </w:tc>
        <w:tc>
          <w:tcPr>
            <w:tcW w:type="dxa" w:w="1157"/>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EN CT</w:t>
            </w:r>
          </w:p>
        </w:tc>
        <w:tc>
          <w:tcPr>
            <w:tcW w:type="dxa" w:w="212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RS LC</w:t>
            </w:r>
          </w:p>
        </w:tc>
        <w:tc>
          <w:tcPr>
            <w:tcW w:type="dxa" w:w="115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SI PD</w:t>
            </w:r>
          </w:p>
        </w:tc>
      </w:tr>
      <w:tr>
        <w:trPr>
          <w:cantSplit/>
        </w:trPr>
        <w:tc>
          <w:tcPr>
            <w:tcW w:type="dxa" w:w="347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S20 Operation and asset performance</w:t>
            </w:r>
          </w:p>
        </w:tc>
        <w:tc>
          <w:tcPr>
            <w:tcW w:type="dxa" w:w="578"/>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SP</w:t>
            </w:r>
          </w:p>
        </w:tc>
        <w:tc>
          <w:tcPr>
            <w:tcW w:type="dxa" w:w="1157"/>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SP</w:t>
            </w:r>
          </w:p>
        </w:tc>
        <w:tc>
          <w:tcPr>
            <w:tcW w:type="dxa" w:w="1157"/>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CO PJ</w:t>
            </w:r>
          </w:p>
        </w:tc>
        <w:tc>
          <w:tcPr>
            <w:tcW w:type="dxa" w:w="212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FI RS CT</w:t>
            </w:r>
          </w:p>
        </w:tc>
        <w:tc>
          <w:tcPr>
            <w:tcW w:type="dxa" w:w="1156"/>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SI PD</w:t>
            </w:r>
          </w:p>
        </w:tc>
      </w:tr>
      <w:tr>
        <w:trPr>
          <w:cantSplit/>
        </w:trPr>
        <w:tc>
          <w:tcPr>
            <w:tcW w:type="dxa" w:w="347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S21 Consolidate portfolio benefits and results</w:t>
            </w:r>
          </w:p>
        </w:tc>
        <w:tc>
          <w:tcPr>
            <w:tcW w:type="dxa" w:w="57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PD</w:t>
            </w:r>
          </w:p>
        </w:tc>
        <w:tc>
          <w:tcPr>
            <w:tcW w:type="dxa" w:w="1157"/>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PD ID</w:t>
            </w:r>
          </w:p>
        </w:tc>
        <w:tc>
          <w:tcPr>
            <w:tcW w:type="dxa" w:w="1157"/>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SP FI</w:t>
            </w:r>
          </w:p>
        </w:tc>
        <w:tc>
          <w:tcPr>
            <w:tcW w:type="dxa" w:w="212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CT RS CI DD</w:t>
            </w:r>
          </w:p>
        </w:tc>
        <w:tc>
          <w:tcPr>
            <w:tcW w:type="dxa" w:w="115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SI KP DW</w:t>
            </w:r>
          </w:p>
        </w:tc>
      </w:tr>
      <w:tr>
        <w:trPr>
          <w:cantSplit/>
        </w:trPr>
        <w:tc>
          <w:tcPr>
            <w:tcW w:type="dxa" w:w="347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S22 Independent process audit and findings</w:t>
            </w:r>
          </w:p>
        </w:tc>
        <w:tc>
          <w:tcPr>
            <w:tcW w:type="dxa" w:w="578"/>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IA</w:t>
            </w:r>
          </w:p>
        </w:tc>
        <w:tc>
          <w:tcPr>
            <w:tcW w:type="dxa" w:w="1157"/>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IA</w:t>
            </w:r>
          </w:p>
        </w:tc>
        <w:tc>
          <w:tcPr>
            <w:tcW w:type="dxa" w:w="1157"/>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PD</w:t>
            </w:r>
          </w:p>
        </w:tc>
        <w:tc>
          <w:tcPr>
            <w:tcW w:type="dxa" w:w="212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RS LC SP</w:t>
            </w:r>
          </w:p>
        </w:tc>
        <w:tc>
          <w:tcPr>
            <w:tcW w:type="dxa" w:w="1156"/>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DW KP</w:t>
            </w:r>
          </w:p>
        </w:tc>
      </w:tr>
      <w:tr>
        <w:trPr>
          <w:cantSplit/>
        </w:trPr>
        <w:tc>
          <w:tcPr>
            <w:tcW w:type="dxa" w:w="347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S23 Review proposed deferral, stop or exit</w:t>
            </w:r>
          </w:p>
        </w:tc>
        <w:tc>
          <w:tcPr>
            <w:tcW w:type="dxa" w:w="57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SI</w:t>
            </w:r>
          </w:p>
        </w:tc>
        <w:tc>
          <w:tcPr>
            <w:tcW w:type="dxa" w:w="1157"/>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PD SP</w:t>
            </w:r>
          </w:p>
        </w:tc>
        <w:tc>
          <w:tcPr>
            <w:tcW w:type="dxa" w:w="1157"/>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CI DD FI</w:t>
            </w:r>
          </w:p>
        </w:tc>
        <w:tc>
          <w:tcPr>
            <w:tcW w:type="dxa" w:w="212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RS LC CT</w:t>
            </w:r>
          </w:p>
        </w:tc>
        <w:tc>
          <w:tcPr>
            <w:tcW w:type="dxa" w:w="115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KP OG</w:t>
            </w:r>
          </w:p>
        </w:tc>
      </w:tr>
      <w:tr>
        <w:trPr>
          <w:cantSplit/>
        </w:trPr>
        <w:tc>
          <w:tcPr>
            <w:tcW w:type="dxa" w:w="347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pPr>
            <w:r>
              <w:rPr>
                <w:rFonts w:ascii="Arial" w:cs="Arial" w:eastAsia="Arial" w:hAnsi="Arial"/>
                <w:color w:val="000000"/>
                <w:sz w:val="15"/>
                <w:szCs w:val="15"/>
              </w:rPr>
              <w:t xml:space="preserve">S24 Company stop decision per articles</w:t>
            </w:r>
          </w:p>
        </w:tc>
        <w:tc>
          <w:tcPr>
            <w:tcW w:type="dxa" w:w="578"/>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pPr>
            <w:r>
              <w:rPr>
                <w:rFonts w:ascii="Arial" w:cs="Arial" w:eastAsia="Arial" w:hAnsi="Arial"/>
                <w:color w:val="000000"/>
                <w:sz w:val="15"/>
                <w:szCs w:val="15"/>
              </w:rPr>
              <w:t xml:space="preserve">OG</w:t>
            </w:r>
          </w:p>
        </w:tc>
        <w:tc>
          <w:tcPr>
            <w:tcW w:type="dxa" w:w="1157"/>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pPr>
            <w:r>
              <w:rPr>
                <w:rFonts w:ascii="Arial" w:cs="Arial" w:eastAsia="Arial" w:hAnsi="Arial"/>
                <w:color w:val="000000"/>
                <w:sz w:val="15"/>
                <w:szCs w:val="15"/>
              </w:rPr>
              <w:t xml:space="preserve">SP</w:t>
            </w:r>
          </w:p>
        </w:tc>
        <w:tc>
          <w:tcPr>
            <w:tcW w:type="dxa" w:w="1157"/>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pPr>
            <w:r>
              <w:rPr>
                <w:rFonts w:ascii="Arial" w:cs="Arial" w:eastAsia="Arial" w:hAnsi="Arial"/>
                <w:color w:val="000000"/>
                <w:sz w:val="15"/>
                <w:szCs w:val="15"/>
              </w:rPr>
              <w:t xml:space="preserve">LC FI</w:t>
            </w:r>
          </w:p>
        </w:tc>
        <w:tc>
          <w:tcPr>
            <w:tcW w:type="dxa" w:w="212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pPr>
            <w:r>
              <w:rPr>
                <w:rFonts w:ascii="Arial" w:cs="Arial" w:eastAsia="Arial" w:hAnsi="Arial"/>
                <w:color w:val="000000"/>
                <w:sz w:val="15"/>
                <w:szCs w:val="15"/>
              </w:rPr>
              <w:t xml:space="preserve">RS CI DD SI</w:t>
            </w:r>
          </w:p>
        </w:tc>
        <w:tc>
          <w:tcPr>
            <w:tcW w:type="dxa" w:w="1156"/>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pPr>
            <w:r>
              <w:rPr>
                <w:rFonts w:ascii="Arial" w:cs="Arial" w:eastAsia="Arial" w:hAnsi="Arial"/>
                <w:color w:val="000000"/>
                <w:sz w:val="15"/>
                <w:szCs w:val="15"/>
              </w:rPr>
              <w:t xml:space="preserve">KP PD</w:t>
            </w:r>
          </w:p>
        </w:tc>
      </w:tr>
    </w:tbl>
    <w:p>
      <w:pPr>
        <w:keepNext w:val="false"/>
        <w:spacing w:after="140"/>
      </w:pPr>
    </w:p>
    <w:p>
      <w:pPr>
        <w:spacing w:after="80" w:before="0" w:line="264"/>
        <w:jc w:val="left"/>
      </w:pPr>
      <w:r>
        <w:rPr>
          <w:rFonts w:ascii="Arial" w:cs="Arial" w:eastAsia="Arial" w:hAnsi="Arial"/>
          <w:color w:val="000000"/>
          <w:sz w:val="16"/>
          <w:szCs w:val="16"/>
        </w:rPr>
        <w:t xml:space="preserve">Rows S11 and S12 apply only when regulations require those approvals. The roles of the President and the Supervisory Board are those set by regulation; they are shown for completeness and are not assigned by this study.</w:t>
      </w:r>
    </w:p>
    <w:p>
      <w:pPr>
        <w:pStyle w:val="Heading2"/>
        <w:keepNext/>
        <w:keepLines/>
        <w:spacing w:after="120" w:before="280"/>
      </w:pPr>
      <w:r>
        <w:rPr>
          <w:rFonts w:ascii="Arial" w:cs="Arial" w:eastAsia="Arial" w:hAnsi="Arial"/>
          <w:b/>
          <w:bCs/>
          <w:color w:val="00338D"/>
          <w:sz w:val="28"/>
          <w:szCs w:val="28"/>
        </w:rPr>
        <w:t xml:space="preserve">13.7 Blocker resolution and escalation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19"/>
        <w:gridCol w:w="260"/>
        <w:gridCol w:w="1719"/>
        <w:gridCol w:w="260"/>
        <w:gridCol w:w="1719"/>
        <w:gridCol w:w="260"/>
        <w:gridCol w:w="1719"/>
        <w:gridCol w:w="260"/>
        <w:gridCol w:w="1722"/>
      </w:tblGrid>
      <w:tr>
        <w:trPr>
          <w:cantSplit/>
        </w:trPr>
        <w:tc>
          <w:tcPr>
            <w:tcW w:type="dxa" w:w="1719"/>
            <w:tcBorders>
              <w:top w:val="none" w:color="FFFFFF" w:sz="0"/>
              <w:left w:val="none" w:color="FFFFFF" w:sz="0"/>
              <w:bottom w:val="none" w:color="FFFFFF" w:sz="0"/>
              <w:right w:val="none" w:color="FFFFFF" w:sz="0"/>
            </w:tcBorders>
            <w:shd w:fill="00338D" w:color="auto" w:val="clear"/>
            <w:tcMar>
              <w:top w:type="dxa" w:w="100"/>
              <w:left w:type="dxa" w:w="90"/>
              <w:bottom w:type="dxa" w:w="100"/>
              <w:right w:type="dxa" w:w="90"/>
            </w:tcMar>
          </w:tcPr>
          <w:p>
            <w:pPr>
              <w:spacing w:after="40" w:line="240"/>
            </w:pPr>
            <w:r>
              <w:rPr>
                <w:rFonts w:ascii="Arial" w:cs="Arial" w:eastAsia="Arial" w:hAnsi="Arial"/>
                <w:b/>
                <w:bCs/>
                <w:color w:val="FFFFFF"/>
                <w:sz w:val="17"/>
                <w:szCs w:val="17"/>
              </w:rPr>
              <w:t xml:space="preserve">Triage</w:t>
            </w:r>
          </w:p>
          <w:p>
            <w:pPr>
              <w:spacing w:after="0" w:line="236"/>
            </w:pPr>
            <w:r>
              <w:rPr>
                <w:rFonts w:ascii="Arial" w:cs="Arial" w:eastAsia="Arial" w:hAnsi="Arial"/>
                <w:color w:val="FFFFFF"/>
                <w:sz w:val="15"/>
                <w:szCs w:val="15"/>
              </w:rPr>
              <w:t xml:space="preserve">Within 2 working days</w:t>
            </w:r>
          </w:p>
        </w:tc>
        <w:tc>
          <w:tcPr>
            <w:tcW w:type="dxa" w:w="26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jc w:val="center"/>
            </w:pPr>
            <w:r>
              <w:rPr>
                <w:rFonts w:ascii="Arial" w:cs="Arial" w:eastAsia="Arial" w:hAnsi="Arial"/>
                <w:color w:val="005EB8"/>
                <w:sz w:val="18"/>
                <w:szCs w:val="18"/>
              </w:rPr>
              <w:t xml:space="preserve">►</w:t>
            </w:r>
          </w:p>
        </w:tc>
        <w:tc>
          <w:tcPr>
            <w:tcW w:type="dxa" w:w="1719"/>
            <w:tcBorders>
              <w:top w:val="none" w:color="FFFFFF" w:sz="0"/>
              <w:left w:val="none" w:color="FFFFFF" w:sz="0"/>
              <w:bottom w:val="none" w:color="FFFFFF" w:sz="0"/>
              <w:right w:val="none" w:color="FFFFFF" w:sz="0"/>
            </w:tcBorders>
            <w:shd w:fill="005EB8" w:color="auto" w:val="clear"/>
            <w:tcMar>
              <w:top w:type="dxa" w:w="100"/>
              <w:left w:type="dxa" w:w="90"/>
              <w:bottom w:type="dxa" w:w="100"/>
              <w:right w:type="dxa" w:w="90"/>
            </w:tcMar>
          </w:tcPr>
          <w:p>
            <w:pPr>
              <w:spacing w:after="40" w:line="240"/>
            </w:pPr>
            <w:r>
              <w:rPr>
                <w:rFonts w:ascii="Arial" w:cs="Arial" w:eastAsia="Arial" w:hAnsi="Arial"/>
                <w:b/>
                <w:bCs/>
                <w:color w:val="FFFFFF"/>
                <w:sz w:val="17"/>
                <w:szCs w:val="17"/>
              </w:rPr>
              <w:t xml:space="preserve">Handling plan</w:t>
            </w:r>
          </w:p>
          <w:p>
            <w:pPr>
              <w:spacing w:after="0" w:line="236"/>
            </w:pPr>
            <w:r>
              <w:rPr>
                <w:rFonts w:ascii="Arial" w:cs="Arial" w:eastAsia="Arial" w:hAnsi="Arial"/>
                <w:color w:val="FFFFFF"/>
                <w:sz w:val="15"/>
                <w:szCs w:val="15"/>
              </w:rPr>
              <w:t xml:space="preserve">Within 5 days</w:t>
            </w:r>
          </w:p>
        </w:tc>
        <w:tc>
          <w:tcPr>
            <w:tcW w:type="dxa" w:w="26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jc w:val="center"/>
            </w:pPr>
            <w:r>
              <w:rPr>
                <w:rFonts w:ascii="Arial" w:cs="Arial" w:eastAsia="Arial" w:hAnsi="Arial"/>
                <w:color w:val="005EB8"/>
                <w:sz w:val="18"/>
                <w:szCs w:val="18"/>
              </w:rPr>
              <w:t xml:space="preserve">►</w:t>
            </w:r>
          </w:p>
        </w:tc>
        <w:tc>
          <w:tcPr>
            <w:tcW w:type="dxa" w:w="1719"/>
            <w:tcBorders>
              <w:top w:val="none" w:color="FFFFFF" w:sz="0"/>
              <w:left w:val="none" w:color="FFFFFF" w:sz="0"/>
              <w:bottom w:val="none" w:color="FFFFFF" w:sz="0"/>
              <w:right w:val="none" w:color="FFFFFF" w:sz="0"/>
            </w:tcBorders>
            <w:shd w:fill="00338D" w:color="auto" w:val="clear"/>
            <w:tcMar>
              <w:top w:type="dxa" w:w="100"/>
              <w:left w:type="dxa" w:w="90"/>
              <w:bottom w:type="dxa" w:w="100"/>
              <w:right w:type="dxa" w:w="90"/>
            </w:tcMar>
          </w:tcPr>
          <w:p>
            <w:pPr>
              <w:spacing w:after="40" w:line="240"/>
            </w:pPr>
            <w:r>
              <w:rPr>
                <w:rFonts w:ascii="Arial" w:cs="Arial" w:eastAsia="Arial" w:hAnsi="Arial"/>
                <w:b/>
                <w:bCs/>
                <w:color w:val="FFFFFF"/>
                <w:sz w:val="17"/>
                <w:szCs w:val="17"/>
              </w:rPr>
              <w:t xml:space="preserve">Full review</w:t>
            </w:r>
          </w:p>
          <w:p>
            <w:pPr>
              <w:spacing w:after="0" w:line="236"/>
            </w:pPr>
            <w:r>
              <w:rPr>
                <w:rFonts w:ascii="Arial" w:cs="Arial" w:eastAsia="Arial" w:hAnsi="Arial"/>
                <w:color w:val="FFFFFF"/>
                <w:sz w:val="15"/>
                <w:szCs w:val="15"/>
              </w:rPr>
              <w:t xml:space="preserve">Within 15 days of complete documents</w:t>
            </w:r>
          </w:p>
        </w:tc>
        <w:tc>
          <w:tcPr>
            <w:tcW w:type="dxa" w:w="26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jc w:val="center"/>
            </w:pPr>
            <w:r>
              <w:rPr>
                <w:rFonts w:ascii="Arial" w:cs="Arial" w:eastAsia="Arial" w:hAnsi="Arial"/>
                <w:color w:val="005EB8"/>
                <w:sz w:val="18"/>
                <w:szCs w:val="18"/>
              </w:rPr>
              <w:t xml:space="preserve">►</w:t>
            </w:r>
          </w:p>
        </w:tc>
        <w:tc>
          <w:tcPr>
            <w:tcW w:type="dxa" w:w="1719"/>
            <w:tcBorders>
              <w:top w:val="none" w:color="FFFFFF" w:sz="0"/>
              <w:left w:val="none" w:color="FFFFFF" w:sz="0"/>
              <w:bottom w:val="none" w:color="FFFFFF" w:sz="0"/>
              <w:right w:val="none" w:color="FFFFFF" w:sz="0"/>
            </w:tcBorders>
            <w:shd w:fill="005EB8" w:color="auto" w:val="clear"/>
            <w:tcMar>
              <w:top w:type="dxa" w:w="100"/>
              <w:left w:type="dxa" w:w="90"/>
              <w:bottom w:type="dxa" w:w="100"/>
              <w:right w:type="dxa" w:w="90"/>
            </w:tcMar>
          </w:tcPr>
          <w:p>
            <w:pPr>
              <w:spacing w:after="40" w:line="240"/>
            </w:pPr>
            <w:r>
              <w:rPr>
                <w:rFonts w:ascii="Arial" w:cs="Arial" w:eastAsia="Arial" w:hAnsi="Arial"/>
                <w:b/>
                <w:bCs/>
                <w:color w:val="FFFFFF"/>
                <w:sz w:val="17"/>
                <w:szCs w:val="17"/>
              </w:rPr>
              <w:t xml:space="preserve">Escalate to Head</w:t>
            </w:r>
          </w:p>
          <w:p>
            <w:pPr>
              <w:spacing w:after="0" w:line="236"/>
            </w:pPr>
            <w:r>
              <w:rPr>
                <w:rFonts w:ascii="Arial" w:cs="Arial" w:eastAsia="Arial" w:hAnsi="Arial"/>
                <w:color w:val="FFFFFF"/>
                <w:sz w:val="15"/>
                <w:szCs w:val="15"/>
              </w:rPr>
              <w:t xml:space="preserve">Cross-arm issue unresolved after 10 days</w:t>
            </w:r>
          </w:p>
        </w:tc>
        <w:tc>
          <w:tcPr>
            <w:tcW w:type="dxa" w:w="26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jc w:val="center"/>
            </w:pPr>
            <w:r>
              <w:rPr>
                <w:rFonts w:ascii="Arial" w:cs="Arial" w:eastAsia="Arial" w:hAnsi="Arial"/>
                <w:color w:val="005EB8"/>
                <w:sz w:val="18"/>
                <w:szCs w:val="18"/>
              </w:rPr>
              <w:t xml:space="preserve">►</w:t>
            </w:r>
          </w:p>
        </w:tc>
        <w:tc>
          <w:tcPr>
            <w:tcW w:type="dxa" w:w="1722"/>
            <w:tcBorders>
              <w:top w:val="none" w:color="FFFFFF" w:sz="0"/>
              <w:left w:val="none" w:color="FFFFFF" w:sz="0"/>
              <w:bottom w:val="none" w:color="FFFFFF" w:sz="0"/>
              <w:right w:val="none" w:color="FFFFFF" w:sz="0"/>
            </w:tcBorders>
            <w:shd w:fill="00338D" w:color="auto" w:val="clear"/>
            <w:tcMar>
              <w:top w:type="dxa" w:w="100"/>
              <w:left w:type="dxa" w:w="90"/>
              <w:bottom w:type="dxa" w:w="100"/>
              <w:right w:type="dxa" w:w="90"/>
            </w:tcMar>
          </w:tcPr>
          <w:p>
            <w:pPr>
              <w:spacing w:after="40" w:line="240"/>
            </w:pPr>
            <w:r>
              <w:rPr>
                <w:rFonts w:ascii="Arial" w:cs="Arial" w:eastAsia="Arial" w:hAnsi="Arial"/>
                <w:b/>
                <w:bCs/>
                <w:color w:val="FFFFFF"/>
                <w:sz w:val="17"/>
                <w:szCs w:val="17"/>
              </w:rPr>
              <w:t xml:space="preserve">Lawful forum</w:t>
            </w:r>
          </w:p>
          <w:p>
            <w:pPr>
              <w:spacing w:after="0" w:line="236"/>
            </w:pPr>
            <w:r>
              <w:rPr>
                <w:rFonts w:ascii="Arial" w:cs="Arial" w:eastAsia="Arial" w:hAnsi="Arial"/>
                <w:color w:val="FFFFFF"/>
                <w:sz w:val="15"/>
                <w:szCs w:val="15"/>
              </w:rPr>
              <w:t xml:space="preserve">External policy issues via government forum</w:t>
            </w:r>
          </w:p>
        </w:tc>
      </w:tr>
    </w:tbl>
    <w:p>
      <w:pPr>
        <w:spacing w:after="160"/>
      </w:pPr>
    </w:p>
    <w:p>
      <w:pPr>
        <w:spacing w:after="110" w:before="0" w:line="264"/>
        <w:jc w:val="left"/>
      </w:pPr>
      <w:r>
        <w:rPr>
          <w:rFonts w:ascii="Arial" w:cs="Arial" w:eastAsia="Arial" w:hAnsi="Arial"/>
          <w:color w:val="000000"/>
          <w:sz w:val="20"/>
          <w:szCs w:val="20"/>
        </w:rPr>
        <w:t xml:space="preserve">These are internal targets, not legal deadlines or permit promises. Delay never creates automatic approval. Reports separate review time from time spent waiting for sponsors, vendors, regulators or funders, and each escalation records the outcome, the reason and who must act [D2 §11].</w:t>
      </w:r>
    </w:p>
    <w:p>
      <w:pPr>
        <w:pStyle w:val="Heading2"/>
        <w:keepNext/>
        <w:keepLines/>
        <w:spacing w:after="120" w:before="280"/>
      </w:pPr>
      <w:r>
        <w:rPr>
          <w:rFonts w:ascii="Arial" w:cs="Arial" w:eastAsia="Arial" w:hAnsi="Arial"/>
          <w:b/>
          <w:bCs/>
          <w:color w:val="00338D"/>
          <w:sz w:val="28"/>
          <w:szCs w:val="28"/>
        </w:rPr>
        <w:t xml:space="preserve">13.8 The Deputy Head question</w:t>
      </w:r>
    </w:p>
    <w:p>
      <w:pPr>
        <w:spacing w:after="110" w:before="0" w:line="264"/>
        <w:jc w:val="left"/>
      </w:pPr>
      <w:r>
        <w:rPr>
          <w:rFonts w:ascii="Arial" w:cs="Arial" w:eastAsia="Arial" w:hAnsi="Arial"/>
          <w:color w:val="000000"/>
          <w:sz w:val="20"/>
          <w:szCs w:val="20"/>
        </w:rPr>
        <w:t xml:space="preserve">PP 19/2026 does not explicitly create a Deputy Head (Wakil Kepala) of the Executive Body. The Head takes Executive Body decisions; members are appointed by the President; Art. 14 allows members “as needed” for other portfolios [D2 §7].</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6"/>
        <w:gridCol w:w="4048"/>
        <w:gridCol w:w="3084"/>
      </w:tblGrid>
      <w:tr>
        <w:trPr>
          <w:cantSplit/>
          <w:tblHeader/>
        </w:trPr>
        <w:tc>
          <w:tcPr>
            <w:tcW w:type="dxa" w:w="2506"/>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Design</w:t>
            </w:r>
          </w:p>
        </w:tc>
        <w:tc>
          <w:tcPr>
            <w:tcW w:type="dxa" w:w="4048"/>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Instruments to review</w:t>
            </w:r>
          </w:p>
        </w:tc>
        <w:tc>
          <w:tcPr>
            <w:tcW w:type="dxa" w:w="3084"/>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Limit of authority</w:t>
            </w:r>
          </w:p>
        </w:tc>
      </w:tr>
      <w:tr>
        <w:trPr>
          <w:cantSplit/>
        </w:trPr>
        <w:tc>
          <w:tcPr>
            <w:tcW w:type="dxa" w:w="250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7"/>
                <w:szCs w:val="17"/>
              </w:rPr>
              <w:t xml:space="preserve">Strategic Industry unit with a professional leader</w:t>
            </w:r>
          </w:p>
        </w:tc>
        <w:tc>
          <w:tcPr>
            <w:tcW w:type="dxa" w:w="404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7"/>
                <w:szCs w:val="17"/>
              </w:rPr>
              <w:t xml:space="preserve">Head's regulation, unit charter, budget, board manual, staffing rules</w:t>
            </w:r>
          </w:p>
        </w:tc>
        <w:tc>
          <w:tcPr>
            <w:tcW w:type="dxa" w:w="3084"/>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7"/>
                <w:szCs w:val="17"/>
              </w:rPr>
              <w:t xml:space="preserve">Unit leader is not an organ member merely by holding a senior title</w:t>
            </w:r>
          </w:p>
        </w:tc>
      </w:tr>
      <w:tr>
        <w:trPr>
          <w:cantSplit/>
        </w:trPr>
        <w:tc>
          <w:tcPr>
            <w:tcW w:type="dxa" w:w="2506"/>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7"/>
                <w:szCs w:val="17"/>
              </w:rPr>
              <w:t xml:space="preserve">Executive Body member for Strategic Industry</w:t>
            </w:r>
          </w:p>
        </w:tc>
        <w:tc>
          <w:tcPr>
            <w:tcW w:type="dxa" w:w="4048"/>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7"/>
                <w:szCs w:val="17"/>
              </w:rPr>
              <w:t xml:space="preserve">Need under Art. 14; Presidential appointment; portfolio and work instruments</w:t>
            </w:r>
          </w:p>
        </w:tc>
        <w:tc>
          <w:tcPr>
            <w:tcW w:type="dxa" w:w="3084"/>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7"/>
                <w:szCs w:val="17"/>
              </w:rPr>
              <w:t xml:space="preserve">May lead coordination; membership does not transfer the Head's decisions</w:t>
            </w:r>
          </w:p>
        </w:tc>
      </w:tr>
      <w:tr>
        <w:trPr>
          <w:cantSplit/>
        </w:trPr>
        <w:tc>
          <w:tcPr>
            <w:tcW w:type="dxa" w:w="250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7"/>
                <w:szCs w:val="17"/>
              </w:rPr>
              <w:t xml:space="preserve">Formal Deputy Head</w:t>
            </w:r>
          </w:p>
        </w:tc>
        <w:tc>
          <w:tcPr>
            <w:tcW w:type="dxa" w:w="404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7"/>
                <w:szCs w:val="17"/>
              </w:rPr>
              <w:t xml:space="preserve">Harmonisation of Arts. 12–18 and related SOE Law provisions; PP amendment if the position changes those arrangements</w:t>
            </w:r>
          </w:p>
        </w:tc>
        <w:tc>
          <w:tcPr>
            <w:tcW w:type="dxa" w:w="3084"/>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7"/>
                <w:szCs w:val="17"/>
              </w:rPr>
              <w:t xml:space="preserve">A Presidential Decree, Regulation or internal rule cannot override higher law</w:t>
            </w:r>
          </w:p>
        </w:tc>
      </w:tr>
      <w:tr>
        <w:trPr>
          <w:cantSplit/>
        </w:trPr>
        <w:tc>
          <w:tcPr>
            <w:tcW w:type="dxa" w:w="2506"/>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pPr>
            <w:r>
              <w:rPr>
                <w:rFonts w:ascii="Arial" w:cs="Arial" w:eastAsia="Arial" w:hAnsi="Arial"/>
                <w:b/>
                <w:bCs/>
                <w:color w:val="000000"/>
                <w:sz w:val="17"/>
                <w:szCs w:val="17"/>
              </w:rPr>
              <w:t xml:space="preserve">New Strategic Industry holding</w:t>
            </w:r>
          </w:p>
        </w:tc>
        <w:tc>
          <w:tcPr>
            <w:tcW w:type="dxa" w:w="4048"/>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7"/>
                <w:szCs w:val="17"/>
              </w:rPr>
              <w:t xml:space="preserve">Presidential approval; purpose, articles, shares, capital and asset transfers as required (Art. 29B)</w:t>
            </w:r>
          </w:p>
        </w:tc>
        <w:tc>
          <w:tcPr>
            <w:tcW w:type="dxa" w:w="3084"/>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7"/>
                <w:szCs w:val="17"/>
              </w:rPr>
              <w:t xml:space="preserve">A holding does not automatically give an official authority over all projects</w:t>
            </w:r>
          </w:p>
        </w:tc>
      </w:tr>
    </w:tbl>
    <w:p>
      <w:pPr>
        <w:keepNext w:val="false"/>
        <w:spacing w:after="14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one" w:color="FFFFFF" w:sz="0"/>
              <w:left w:val="none" w:color="FFFFFF" w:sz="0"/>
              <w:bottom w:val="none" w:color="FFFFFF" w:sz="0"/>
              <w:right w:val="none" w:color="FFFFFF" w:sz="0"/>
            </w:tcBorders>
            <w:shd w:fill="EAF2FB" w:color="auto" w:val="clear"/>
            <w:tcMar>
              <w:top w:type="dxa" w:w="160"/>
              <w:left w:type="dxa" w:w="220"/>
              <w:bottom w:type="dxa" w:w="120"/>
              <w:right w:type="dxa" w:w="220"/>
            </w:tcMar>
          </w:tcPr>
          <w:p>
            <w:pPr>
              <w:keepNext/>
              <w:spacing w:after="80"/>
            </w:pPr>
            <w:r>
              <w:rPr>
                <w:rFonts w:ascii="Arial" w:cs="Arial" w:eastAsia="Arial" w:hAnsi="Arial"/>
                <w:b/>
                <w:bCs/>
                <w:color w:val="00338D"/>
                <w:sz w:val="20"/>
                <w:szCs w:val="20"/>
              </w:rPr>
              <w:t xml:space="preserve">Nomenclature and escalation criteria</w:t>
            </w:r>
          </w:p>
          <w:p>
            <w:pPr>
              <w:spacing w:after="80" w:line="264"/>
            </w:pPr>
            <w:r>
              <w:rPr>
                <w:rFonts w:ascii="Arial" w:cs="Arial" w:eastAsia="Arial" w:hAnsi="Arial"/>
                <w:color w:val="000000"/>
                <w:sz w:val="19"/>
                <w:szCs w:val="19"/>
              </w:rPr>
              <w:t xml:space="preserve">Appointments to the Executive Body are made by the President. Use “Head of Strategic Industry and Project Delivery” for a professional unit leader, or “Member of the Executive Body for Strategic Industries” if so appointed. If a formal position is later created, the clear English equivalent is “Deputy Head of the Executive Body for Strategic Industries and Project Delivery”. Avoid “Deputy Chairman”, which can be confused with the Deputy Chair of the Supervisory Board; an executive leader should not chair oversight of their own work [D2].</w:t>
            </w:r>
          </w:p>
          <w:p>
            <w:pPr>
              <w:spacing w:after="80" w:line="264"/>
            </w:pPr>
            <w:r>
              <w:rPr>
                <w:rFonts w:ascii="Arial" w:cs="Arial" w:eastAsia="Arial" w:hAnsi="Arial"/>
                <w:color w:val="000000"/>
                <w:sz w:val="19"/>
                <w:szCs w:val="19"/>
              </w:rPr>
              <w:t xml:space="preserve">Review a formal position no earlier than month 12, and only when evidence shows: unresolved mandate disputes, recurring cross-arm decision queues, a need for a deputy to the Head, or a scope that genuinely requires a formal office. Measure decision times before and after to confirm the unit has not simply moved the queue.</w:t>
            </w:r>
          </w:p>
        </w:tc>
      </w:tr>
    </w:tbl>
    <w:p>
      <w:pPr>
        <w:spacing w:after="160"/>
      </w:pPr>
    </w:p>
    <w:p>
      <w:pPr>
        <w:pStyle w:val="Heading2"/>
        <w:keepNext/>
        <w:keepLines/>
        <w:spacing w:after="120" w:before="280"/>
      </w:pPr>
      <w:r>
        <w:rPr>
          <w:rFonts w:ascii="Arial" w:cs="Arial" w:eastAsia="Arial" w:hAnsi="Arial"/>
          <w:b/>
          <w:bCs/>
          <w:color w:val="00338D"/>
          <w:sz w:val="28"/>
          <w:szCs w:val="28"/>
        </w:rPr>
        <w:t xml:space="preserve">13.9 Lessons from other countries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35"/>
        <w:gridCol w:w="4048"/>
        <w:gridCol w:w="3855"/>
      </w:tblGrid>
      <w:tr>
        <w:trPr>
          <w:cantSplit/>
          <w:tblHeader/>
        </w:trPr>
        <w:tc>
          <w:tcPr>
            <w:tcW w:type="dxa" w:w="1735"/>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Country / institution</w:t>
            </w:r>
          </w:p>
        </w:tc>
        <w:tc>
          <w:tcPr>
            <w:tcW w:type="dxa" w:w="4048"/>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Practice</w:t>
            </w:r>
          </w:p>
        </w:tc>
        <w:tc>
          <w:tcPr>
            <w:tcW w:type="dxa" w:w="3855"/>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Adaptation for Danantara</w:t>
            </w:r>
          </w:p>
        </w:tc>
      </w:tr>
      <w:tr>
        <w:trPr>
          <w:cantSplit/>
        </w:trPr>
        <w:tc>
          <w:tcPr>
            <w:tcW w:type="dxa" w:w="1735"/>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7"/>
                <w:szCs w:val="17"/>
              </w:rPr>
              <w:t xml:space="preserve">China: SASAC, SDIC</w:t>
            </w:r>
          </w:p>
        </w:tc>
        <w:tc>
          <w:tcPr>
            <w:tcW w:type="dxa" w:w="404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7"/>
                <w:szCs w:val="17"/>
              </w:rPr>
              <w:t xml:space="preserve">Companies are the subject of investment decisions and accountability; investment plans, prohibited and specially supervised lists, feasibility studies, post-investment evaluation; SDIC builds industrial ecosystems through direct investment and funds</w:t>
            </w:r>
          </w:p>
        </w:tc>
        <w:tc>
          <w:tcPr>
            <w:tcW w:type="dxa" w:w="3855"/>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7"/>
                <w:szCs w:val="17"/>
              </w:rPr>
              <w:t xml:space="preserve">Clear decision ownership per entity; transparent entry criteria; value-chain platforms. Not transferable wholesale; Danantara still needs market tests and stop discipline</w:t>
            </w:r>
          </w:p>
        </w:tc>
      </w:tr>
      <w:tr>
        <w:trPr>
          <w:cantSplit/>
        </w:trPr>
        <w:tc>
          <w:tcPr>
            <w:tcW w:type="dxa" w:w="1735"/>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7"/>
                <w:szCs w:val="17"/>
              </w:rPr>
              <w:t xml:space="preserve">Vietnam: CMSC, SCIC</w:t>
            </w:r>
          </w:p>
        </w:tc>
        <w:tc>
          <w:tcPr>
            <w:tcW w:type="dxa" w:w="4048"/>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7"/>
                <w:szCs w:val="17"/>
              </w:rPr>
              <w:t xml:space="preserve">CMSC (2018, 19 enterprises) dissolved effective 21 March 2025 and enterprises returned to ministries; June 2026 direction towards a national investment fund based on SCIC</w:t>
            </w:r>
          </w:p>
        </w:tc>
        <w:tc>
          <w:tcPr>
            <w:tcW w:type="dxa" w:w="3855"/>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7"/>
                <w:szCs w:val="17"/>
              </w:rPr>
              <w:t xml:space="preserve">Any reorganisation needs a transfer list of authorities, project files, contracts, assets, staff and liabilities. CMSC's dissolution is not proof that central ownership fails</w:t>
            </w:r>
          </w:p>
        </w:tc>
      </w:tr>
      <w:tr>
        <w:trPr>
          <w:cantSplit/>
        </w:trPr>
        <w:tc>
          <w:tcPr>
            <w:tcW w:type="dxa" w:w="1735"/>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7"/>
                <w:szCs w:val="17"/>
              </w:rPr>
              <w:t xml:space="preserve">India: PRAGATI, NIIF</w:t>
            </w:r>
          </w:p>
        </w:tc>
        <w:tc>
          <w:tcPr>
            <w:tcW w:type="dxa" w:w="404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7"/>
                <w:szCs w:val="17"/>
              </w:rPr>
              <w:t xml:space="preserve">Technology-enabled monitoring with top-level leadership to clear blockers; NIIF as a government-anchored platform attracting institutional capital with due diligence before investment</w:t>
            </w:r>
          </w:p>
        </w:tc>
        <w:tc>
          <w:tcPr>
            <w:tcW w:type="dxa" w:w="3855"/>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7"/>
                <w:szCs w:val="17"/>
              </w:rPr>
              <w:t xml:space="preserve">Separate the blocker-resolution forum from investment testing; meetings do not replace permits or company decisions</w:t>
            </w:r>
          </w:p>
        </w:tc>
      </w:tr>
      <w:tr>
        <w:trPr>
          <w:cantSplit/>
        </w:trPr>
        <w:tc>
          <w:tcPr>
            <w:tcW w:type="dxa" w:w="1735"/>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pPr>
            <w:r>
              <w:rPr>
                <w:rFonts w:ascii="Arial" w:cs="Arial" w:eastAsia="Arial" w:hAnsi="Arial"/>
                <w:b/>
                <w:bCs/>
                <w:color w:val="000000"/>
                <w:sz w:val="17"/>
                <w:szCs w:val="17"/>
              </w:rPr>
              <w:t xml:space="preserve">Malaysia: Khazanah, NIMP 2030</w:t>
            </w:r>
          </w:p>
        </w:tc>
        <w:tc>
          <w:tcPr>
            <w:tcW w:type="dxa" w:w="4048"/>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7"/>
                <w:szCs w:val="17"/>
              </w:rPr>
              <w:t xml:space="preserve">Board charter, schedule of matters, limits of authority, risk framework; mandates differentiated (Investments Portfolio, Dana Impak, Developmental Assets, Special Situation Assets); Delivery Management Unit at MITI</w:t>
            </w:r>
          </w:p>
        </w:tc>
        <w:tc>
          <w:tcPr>
            <w:tcW w:type="dxa" w:w="3855"/>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7"/>
                <w:szCs w:val="17"/>
              </w:rPr>
              <w:t xml:space="preserve">Mandate contracts per arm; national impact targets alongside financial targets and risk limits</w:t>
            </w:r>
          </w:p>
        </w:tc>
      </w:tr>
    </w:tbl>
    <w:p>
      <w:pPr>
        <w:keepNext w:val="false"/>
        <w:spacing w:after="140"/>
      </w:pPr>
    </w:p>
    <w:p>
      <w:pPr>
        <w:spacing w:after="160"/>
      </w:pPr>
      <w:r>
        <w:rPr>
          <w:rFonts w:ascii="Arial" w:cs="Arial" w:eastAsia="Arial" w:hAnsi="Arial"/>
          <w:i/>
          <w:iCs/>
          <w:color w:val="000000"/>
          <w:sz w:val="15"/>
          <w:szCs w:val="15"/>
        </w:rPr>
        <w:t xml:space="preserve">Source: D2 §4–5 and references R10–R19 therein.</w:t>
      </w:r>
    </w:p>
    <w:p>
      <w:pPr>
        <w:pStyle w:val="Heading2"/>
        <w:keepNext/>
        <w:keepLines/>
        <w:spacing w:after="120" w:before="280"/>
      </w:pPr>
      <w:r>
        <w:rPr>
          <w:rFonts w:ascii="Arial" w:cs="Arial" w:eastAsia="Arial" w:hAnsi="Arial"/>
          <w:b/>
          <w:bCs/>
          <w:color w:val="00338D"/>
          <w:sz w:val="28"/>
          <w:szCs w:val="28"/>
        </w:rPr>
        <w:t xml:space="preserve">13.10 Incentives</w:t>
      </w:r>
    </w:p>
    <w:p>
      <w:pPr>
        <w:spacing w:after="110" w:before="0" w:line="264"/>
        <w:jc w:val="left"/>
      </w:pPr>
      <w:r>
        <w:rPr>
          <w:rFonts w:ascii="Arial" w:cs="Arial" w:eastAsia="Arial" w:hAnsi="Arial"/>
          <w:color w:val="000000"/>
          <w:sz w:val="20"/>
          <w:szCs w:val="20"/>
        </w:rPr>
        <w:t xml:space="preserve">Tie variable pay to net value creation and verified operating and outcome improvements, with deferred assessment for long-cycle projects, risk and integrity conditions, adjustment for restatements, and recovery of awards where applicable. Avoid formulas based mainly on funds raised, MoUs signed, capex spent or dividends extracted [D1].</w:t>
      </w:r>
    </w:p>
    <w:p>
      <w:pPr>
        <w:pageBreakBefore/>
        <w:spacing w:after="0" w:line="240"/>
      </w:pPr>
      <w:r>
        <w:rPr>
          <w:sz w:val="2"/>
          <w:szCs w:val="2"/>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one" w:color="FFFFFF" w:sz="0"/>
              <w:left w:val="none" w:color="FFFFFF" w:sz="0"/>
              <w:bottom w:val="none" w:color="FFFFFF" w:sz="0"/>
              <w:right w:val="none" w:color="FFFFFF" w:sz="0"/>
            </w:tcBorders>
            <w:shd w:fill="00338D" w:color="auto" w:val="clear"/>
            <w:tcMar>
              <w:top w:type="dxa" w:w="260"/>
              <w:left w:type="dxa" w:w="300"/>
              <w:bottom w:type="dxa" w:w="300"/>
              <w:right w:type="dxa" w:w="300"/>
            </w:tcMar>
          </w:tcPr>
          <w:p>
            <w:pPr>
              <w:spacing w:after="0"/>
            </w:pPr>
            <w:r>
              <w:rPr>
                <w:rFonts w:ascii="Arial" w:cs="Arial" w:eastAsia="Arial" w:hAnsi="Arial"/>
                <w:b/>
                <w:bCs/>
                <w:color w:val="9CC7EF"/>
                <w:sz w:val="64"/>
                <w:szCs w:val="64"/>
              </w:rPr>
              <w:t xml:space="preserve">14</w:t>
            </w:r>
          </w:p>
          <w:p>
            <w:pPr>
              <w:pStyle w:val="Heading1"/>
              <w:spacing w:after="100"/>
            </w:pPr>
            <w:r>
              <w:rPr>
                <w:rFonts w:ascii="Arial" w:cs="Arial" w:eastAsia="Arial" w:hAnsi="Arial"/>
                <w:b/>
                <w:bCs/>
                <w:color w:val="FFFFFF"/>
                <w:sz w:val="40"/>
                <w:szCs w:val="40"/>
              </w:rPr>
              <w:t xml:space="preserve">Performance management and measurement</w:t>
            </w:r>
          </w:p>
          <w:p>
            <w:pPr>
              <w:spacing w:after="0" w:line="276"/>
            </w:pPr>
            <w:r>
              <w:rPr>
                <w:rFonts w:ascii="Arial" w:cs="Arial" w:eastAsia="Arial" w:hAnsi="Arial"/>
                <w:color w:val="FFFFFF"/>
                <w:sz w:val="20"/>
                <w:szCs w:val="20"/>
              </w:rPr>
              <w:t xml:space="preserve">Three linked scorecards, platform capability indicators, a fair rating system and controls against double counting.</w:t>
            </w:r>
          </w:p>
        </w:tc>
      </w:tr>
    </w:tbl>
    <w:p>
      <w:pPr>
        <w:spacing w:after="200"/>
      </w:pPr>
    </w:p>
    <w:p>
      <w:pPr>
        <w:pStyle w:val="Heading2"/>
        <w:keepNext/>
        <w:keepLines/>
        <w:spacing w:after="120" w:before="280"/>
      </w:pPr>
      <w:r>
        <w:rPr>
          <w:rFonts w:ascii="Arial" w:cs="Arial" w:eastAsia="Arial" w:hAnsi="Arial"/>
          <w:b/>
          <w:bCs/>
          <w:color w:val="00338D"/>
          <w:sz w:val="28"/>
          <w:szCs w:val="28"/>
        </w:rPr>
        <w:t xml:space="preserve">14.1 Three linked scorecards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20"/>
        <w:gridCol w:w="1253"/>
        <w:gridCol w:w="1446"/>
        <w:gridCol w:w="4819"/>
      </w:tblGrid>
      <w:tr>
        <w:trPr>
          <w:cantSplit/>
          <w:tblHeader/>
        </w:trPr>
        <w:tc>
          <w:tcPr>
            <w:tcW w:type="dxa" w:w="2120"/>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Scorecard</w:t>
            </w:r>
          </w:p>
        </w:tc>
        <w:tc>
          <w:tcPr>
            <w:tcW w:type="dxa" w:w="1253"/>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Metrics</w:t>
            </w:r>
          </w:p>
        </w:tc>
        <w:tc>
          <w:tcPr>
            <w:tcW w:type="dxa" w:w="1446"/>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Proposed weight</w:t>
            </w:r>
          </w:p>
        </w:tc>
        <w:tc>
          <w:tcPr>
            <w:tcW w:type="dxa" w:w="4819"/>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Examples</w:t>
            </w:r>
          </w:p>
        </w:tc>
      </w:tr>
      <w:tr>
        <w:trPr>
          <w:cantSplit/>
        </w:trPr>
        <w:tc>
          <w:tcPr>
            <w:tcW w:type="dxa" w:w="212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7"/>
                <w:szCs w:val="17"/>
              </w:rPr>
              <w:t xml:space="preserve">Investment</w:t>
            </w:r>
          </w:p>
        </w:tc>
        <w:tc>
          <w:tcPr>
            <w:tcW w:type="dxa" w:w="1253"/>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7"/>
                <w:szCs w:val="17"/>
              </w:rPr>
              <w:t xml:space="preserve">I01–I12</w:t>
            </w:r>
          </w:p>
        </w:tc>
        <w:tc>
          <w:tcPr>
            <w:tcW w:type="dxa" w:w="144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7"/>
                <w:szCs w:val="17"/>
              </w:rPr>
              <w:t xml:space="preserve">40%</w:t>
            </w:r>
          </w:p>
        </w:tc>
        <w:tc>
          <w:tcPr>
            <w:tcW w:type="dxa" w:w="4819"/>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7"/>
                <w:szCs w:val="17"/>
              </w:rPr>
              <w:t xml:space="preserve">Net return above benchmark; net IRR above hurdle; PME; DPI; financial NPV; liquidity coverage; attributable private mobilisation</w:t>
            </w:r>
          </w:p>
        </w:tc>
      </w:tr>
      <w:tr>
        <w:trPr>
          <w:cantSplit/>
        </w:trPr>
        <w:tc>
          <w:tcPr>
            <w:tcW w:type="dxa" w:w="212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7"/>
                <w:szCs w:val="17"/>
              </w:rPr>
              <w:t xml:space="preserve">SOE operations</w:t>
            </w:r>
          </w:p>
        </w:tc>
        <w:tc>
          <w:tcPr>
            <w:tcW w:type="dxa" w:w="1253"/>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7"/>
                <w:szCs w:val="17"/>
              </w:rPr>
              <w:t xml:space="preserve">O01–O15</w:t>
            </w:r>
          </w:p>
        </w:tc>
        <w:tc>
          <w:tcPr>
            <w:tcW w:type="dxa" w:w="1446"/>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7"/>
                <w:szCs w:val="17"/>
              </w:rPr>
              <w:t xml:space="preserve">35%</w:t>
            </w:r>
          </w:p>
        </w:tc>
        <w:tc>
          <w:tcPr>
            <w:tcW w:type="dxa" w:w="4819"/>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7"/>
                <w:szCs w:val="17"/>
              </w:rPr>
              <w:t xml:space="preserve">ROIC less WACC; incremental economic profit; cash conversion; real unit cost; bank ROE less cost of equity; unfunded PSO cost</w:t>
            </w:r>
          </w:p>
        </w:tc>
      </w:tr>
      <w:tr>
        <w:trPr>
          <w:cantSplit/>
        </w:trPr>
        <w:tc>
          <w:tcPr>
            <w:tcW w:type="dxa" w:w="212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7"/>
                <w:szCs w:val="17"/>
              </w:rPr>
              <w:t xml:space="preserve">Economic and industrial development</w:t>
            </w:r>
          </w:p>
        </w:tc>
        <w:tc>
          <w:tcPr>
            <w:tcW w:type="dxa" w:w="1253"/>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7"/>
                <w:szCs w:val="17"/>
              </w:rPr>
              <w:t xml:space="preserve">D01–D12</w:t>
            </w:r>
          </w:p>
        </w:tc>
        <w:tc>
          <w:tcPr>
            <w:tcW w:type="dxa" w:w="144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7"/>
                <w:szCs w:val="17"/>
              </w:rPr>
              <w:t xml:space="preserve">25%</w:t>
            </w:r>
          </w:p>
        </w:tc>
        <w:tc>
          <w:tcPr>
            <w:tcW w:type="dxa" w:w="4819"/>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7"/>
                <w:szCs w:val="17"/>
              </w:rPr>
              <w:t xml:space="preserve">Economic return above social hurdle; additional value added; sustained jobs; net FX; technology milestones; public support per outcome</w:t>
            </w:r>
          </w:p>
        </w:tc>
      </w:tr>
      <w:tr>
        <w:trPr>
          <w:cantSplit/>
        </w:trPr>
        <w:tc>
          <w:tcPr>
            <w:tcW w:type="dxa" w:w="212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pPr>
            <w:r>
              <w:rPr>
                <w:rFonts w:ascii="Arial" w:cs="Arial" w:eastAsia="Arial" w:hAnsi="Arial"/>
                <w:b/>
                <w:bCs/>
                <w:color w:val="000000"/>
                <w:sz w:val="17"/>
                <w:szCs w:val="17"/>
              </w:rPr>
              <w:t xml:space="preserve">Governance gates</w:t>
            </w:r>
          </w:p>
        </w:tc>
        <w:tc>
          <w:tcPr>
            <w:tcW w:type="dxa" w:w="1253"/>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7"/>
                <w:szCs w:val="17"/>
              </w:rPr>
              <w:t xml:space="preserve">6 controls</w:t>
            </w:r>
          </w:p>
        </w:tc>
        <w:tc>
          <w:tcPr>
            <w:tcW w:type="dxa" w:w="1446"/>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7"/>
                <w:szCs w:val="17"/>
              </w:rPr>
              <w:t xml:space="preserve">Pass / fail</w:t>
            </w:r>
          </w:p>
        </w:tc>
        <w:tc>
          <w:tcPr>
            <w:tcW w:type="dxa" w:w="4819"/>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7"/>
                <w:szCs w:val="17"/>
              </w:rPr>
              <w:t xml:space="preserve">Gates, not bonus points; an unresolved material gate prevents an unqualified overall score</w:t>
            </w:r>
          </w:p>
        </w:tc>
      </w:tr>
    </w:tbl>
    <w:p>
      <w:pPr>
        <w:keepNext w:val="false"/>
        <w:spacing w:after="140"/>
      </w:pPr>
    </w:p>
    <w:p>
      <w:pPr>
        <w:spacing w:after="160"/>
      </w:pPr>
      <w:r>
        <w:rPr>
          <w:rFonts w:ascii="Arial" w:cs="Arial" w:eastAsia="Arial" w:hAnsi="Arial"/>
          <w:i/>
          <w:iCs/>
          <w:color w:val="000000"/>
          <w:sz w:val="15"/>
          <w:szCs w:val="15"/>
        </w:rPr>
        <w:t xml:space="preserve">Source: D1. Weights are a governance starting point only. Full metric dictionary in Appendix A.</w:t>
      </w:r>
    </w:p>
    <w:p>
      <w:pPr>
        <w:spacing w:after="110" w:before="0" w:line="264"/>
        <w:jc w:val="left"/>
      </w:pPr>
      <w:r>
        <w:rPr>
          <w:rFonts w:ascii="Arial" w:cs="Arial" w:eastAsia="Arial" w:hAnsi="Arial"/>
          <w:color w:val="000000"/>
          <w:sz w:val="20"/>
          <w:szCs w:val="20"/>
        </w:rPr>
        <w:t xml:space="preserve">D1's 40/35/25 weighting reflects where data will be available first. It does not reflect the priority of the industrial mandate. We recommend publishing a glide path now: move to about </w:t>
      </w:r>
      <w:r>
        <w:rPr>
          <w:rFonts w:ascii="Arial" w:cs="Arial" w:eastAsia="Arial" w:hAnsi="Arial"/>
          <w:b/>
          <w:bCs/>
          <w:color w:val="000000"/>
          <w:sz w:val="20"/>
          <w:szCs w:val="20"/>
        </w:rPr>
        <w:t xml:space="preserve">30/30/40</w:t>
      </w:r>
      <w:r>
        <w:rPr>
          <w:rFonts w:ascii="Arial" w:cs="Arial" w:eastAsia="Arial" w:hAnsi="Arial"/>
          <w:color w:val="000000"/>
          <w:sz w:val="20"/>
          <w:szCs w:val="20"/>
        </w:rPr>
        <w:t xml:space="preserve"> by 2028, as development and capability data become rateable, and fold the platform capability indicators (Section 14.2) into the development stream when their evidence meets the eligibility rules.</w:t>
      </w:r>
    </w:p>
    <w:p>
      <w:pPr>
        <w:pStyle w:val="Heading3"/>
        <w:keepNext/>
        <w:keepLines/>
        <w:spacing w:after="80" w:before="200"/>
      </w:pPr>
      <w:r>
        <w:rPr>
          <w:rFonts w:ascii="Arial" w:cs="Arial" w:eastAsia="Arial" w:hAnsi="Arial"/>
          <w:b/>
          <w:bCs/>
          <w:color w:val="005EB8"/>
          <w:sz w:val="22"/>
          <w:szCs w:val="22"/>
        </w:rPr>
        <w:t xml:space="preserve">Scoring rules</w:t>
      </w:r>
    </w:p>
    <w:p>
      <w:pPr>
        <w:pStyle w:val="ListParagraph"/>
        <w:numPr>
          <w:ilvl w:val="0"/>
          <w:numId w:val="2"/>
        </w:numPr>
        <w:spacing w:after="60" w:line="264"/>
      </w:pPr>
      <w:r>
        <w:rPr>
          <w:rFonts w:ascii="Arial" w:cs="Arial" w:eastAsia="Arial" w:hAnsi="Arial"/>
          <w:sz w:val="20"/>
          <w:szCs w:val="20"/>
        </w:rPr>
        <w:t xml:space="preserve">Each metric has approved adverse, target and stretch anchors, scored </w:t>
      </w:r>
      <w:r>
        <w:rPr>
          <w:rFonts w:ascii="Arial" w:cs="Arial" w:eastAsia="Arial" w:hAnsi="Arial"/>
          <w:b/>
          <w:bCs/>
          <w:sz w:val="20"/>
          <w:szCs w:val="20"/>
        </w:rPr>
        <w:t xml:space="preserve">0, 80 and 100</w:t>
      </w:r>
      <w:r>
        <w:rPr>
          <w:rFonts w:ascii="Arial" w:cs="Arial" w:eastAsia="Arial" w:hAnsi="Arial"/>
          <w:sz w:val="20"/>
          <w:szCs w:val="20"/>
        </w:rPr>
        <w:t xml:space="preserve">, with linear interpolation capped at 0–100; lower-is-better metrics are reversed.</w:t>
      </w:r>
    </w:p>
    <w:p>
      <w:pPr>
        <w:pStyle w:val="ListParagraph"/>
        <w:numPr>
          <w:ilvl w:val="0"/>
          <w:numId w:val="2"/>
        </w:numPr>
        <w:spacing w:after="60" w:line="264"/>
      </w:pPr>
      <w:r>
        <w:rPr>
          <w:rFonts w:ascii="Arial" w:cs="Arial" w:eastAsia="Arial" w:hAnsi="Arial"/>
          <w:sz w:val="20"/>
          <w:szCs w:val="20"/>
        </w:rPr>
        <w:t xml:space="preserve">At least </w:t>
      </w:r>
      <w:r>
        <w:rPr>
          <w:rFonts w:ascii="Arial" w:cs="Arial" w:eastAsia="Arial" w:hAnsi="Arial"/>
          <w:b/>
          <w:bCs/>
          <w:sz w:val="20"/>
          <w:szCs w:val="20"/>
        </w:rPr>
        <w:t xml:space="preserve">80% of applicable metric weight</w:t>
      </w:r>
      <w:r>
        <w:rPr>
          <w:rFonts w:ascii="Arial" w:cs="Arial" w:eastAsia="Arial" w:hAnsi="Arial"/>
          <w:sz w:val="20"/>
          <w:szCs w:val="20"/>
        </w:rPr>
        <w:t xml:space="preserve"> must be rateable in each stream; all critical metrics and gates must pass before a composite score is published.</w:t>
      </w:r>
    </w:p>
    <w:p>
      <w:pPr>
        <w:pStyle w:val="ListParagraph"/>
        <w:numPr>
          <w:ilvl w:val="0"/>
          <w:numId w:val="2"/>
        </w:numPr>
        <w:spacing w:after="60" w:line="264"/>
      </w:pPr>
      <w:r>
        <w:rPr>
          <w:rFonts w:ascii="Arial" w:cs="Arial" w:eastAsia="Arial" w:hAnsi="Arial"/>
          <w:b/>
          <w:bCs/>
          <w:sz w:val="20"/>
          <w:szCs w:val="20"/>
        </w:rPr>
        <w:t xml:space="preserve">Missing metrics stay NR, never zero.</w:t>
      </w:r>
      <w:r>
        <w:rPr>
          <w:rFonts w:ascii="Arial" w:cs="Arial" w:eastAsia="Arial" w:hAnsi="Arial"/>
          <w:sz w:val="20"/>
          <w:szCs w:val="20"/>
        </w:rPr>
        <w:t xml:space="preserve"> Exclusions need a reason and approval; weights may not be removed because a result is poor.</w:t>
      </w:r>
    </w:p>
    <w:p>
      <w:pPr>
        <w:pStyle w:val="ListParagraph"/>
        <w:numPr>
          <w:ilvl w:val="0"/>
          <w:numId w:val="2"/>
        </w:numPr>
        <w:spacing w:after="60" w:line="264"/>
      </w:pPr>
      <w:r>
        <w:rPr>
          <w:rFonts w:ascii="Arial" w:cs="Arial" w:eastAsia="Arial" w:hAnsi="Arial"/>
          <w:sz w:val="20"/>
          <w:szCs w:val="20"/>
        </w:rPr>
        <w:t xml:space="preserve">Only class A or B evidence with comparable scope, an approved benchmark and a source is eligible for scoring.</w:t>
      </w:r>
    </w:p>
    <w:p>
      <w:pPr>
        <w:pStyle w:val="ListParagraph"/>
        <w:numPr>
          <w:ilvl w:val="0"/>
          <w:numId w:val="2"/>
        </w:numPr>
        <w:spacing w:after="60" w:line="264"/>
      </w:pPr>
      <w:r>
        <w:rPr>
          <w:rFonts w:ascii="Arial" w:cs="Arial" w:eastAsia="Arial" w:hAnsi="Arial"/>
          <w:b/>
          <w:bCs/>
          <w:sz w:val="20"/>
          <w:szCs w:val="20"/>
        </w:rPr>
        <w:t xml:space="preserve">No current aggregate score is assigned</w:t>
      </w:r>
      <w:r>
        <w:rPr>
          <w:rFonts w:ascii="Arial" w:cs="Arial" w:eastAsia="Arial" w:hAnsi="Arial"/>
          <w:sz w:val="20"/>
          <w:szCs w:val="20"/>
        </w:rPr>
        <w:t xml:space="preserve">: the system is ready for management data, but complete portfolio observations and approved benchmarks are not yet available [D1].</w:t>
      </w:r>
    </w:p>
    <w:p>
      <w:pPr>
        <w:pStyle w:val="Heading2"/>
        <w:keepNext/>
        <w:keepLines/>
        <w:spacing w:after="120" w:before="280"/>
      </w:pPr>
      <w:r>
        <w:rPr>
          <w:rFonts w:ascii="Arial" w:cs="Arial" w:eastAsia="Arial" w:hAnsi="Arial"/>
          <w:b/>
          <w:bCs/>
          <w:color w:val="00338D"/>
          <w:sz w:val="28"/>
          <w:szCs w:val="28"/>
        </w:rPr>
        <w:t xml:space="preserve">14.2 Platform capability indicators</w:t>
      </w:r>
    </w:p>
    <w:p>
      <w:pPr>
        <w:spacing w:after="110" w:before="0" w:line="264"/>
        <w:jc w:val="left"/>
      </w:pPr>
      <w:r>
        <w:rPr>
          <w:rFonts w:ascii="Arial" w:cs="Arial" w:eastAsia="Arial" w:hAnsi="Arial"/>
          <w:color w:val="000000"/>
          <w:sz w:val="20"/>
          <w:szCs w:val="20"/>
        </w:rPr>
        <w:t xml:space="preserve">D1's scorecards measure the three mandates. The platform model adds a fourth view: whether DOCK-UP is building suppliers. We propose five capability indicators, reported with the development scorecard:</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10"/>
        <w:gridCol w:w="4530"/>
        <w:gridCol w:w="2698"/>
      </w:tblGrid>
      <w:tr>
        <w:trPr>
          <w:cantSplit/>
          <w:tblHeader/>
        </w:trPr>
        <w:tc>
          <w:tcPr>
            <w:tcW w:type="dxa" w:w="2410"/>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Indicator</w:t>
            </w:r>
          </w:p>
        </w:tc>
        <w:tc>
          <w:tcPr>
            <w:tcW w:type="dxa" w:w="4530"/>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Definition</w:t>
            </w:r>
          </w:p>
        </w:tc>
        <w:tc>
          <w:tcPr>
            <w:tcW w:type="dxa" w:w="2698"/>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Evidence</w:t>
            </w:r>
          </w:p>
        </w:tc>
      </w:tr>
      <w:tr>
        <w:trPr>
          <w:cantSplit/>
        </w:trPr>
        <w:tc>
          <w:tcPr>
            <w:tcW w:type="dxa" w:w="241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7"/>
                <w:szCs w:val="17"/>
              </w:rPr>
              <w:t xml:space="preserve">Suppliers by gate</w:t>
            </w:r>
          </w:p>
        </w:tc>
        <w:tc>
          <w:tcPr>
            <w:tcW w:type="dxa" w:w="453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7"/>
                <w:szCs w:val="17"/>
              </w:rPr>
              <w:t xml:space="preserve">Number of SMEs at Entry, G1, G2, G3, G4, and movement per year</w:t>
            </w:r>
          </w:p>
        </w:tc>
        <w:tc>
          <w:tcPr>
            <w:tcW w:type="dxa" w:w="269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7"/>
                <w:szCs w:val="17"/>
              </w:rPr>
              <w:t xml:space="preserve">Independent assessor records in the shared register</w:t>
            </w:r>
          </w:p>
        </w:tc>
      </w:tr>
      <w:tr>
        <w:trPr>
          <w:cantSplit/>
        </w:trPr>
        <w:tc>
          <w:tcPr>
            <w:tcW w:type="dxa" w:w="241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7"/>
                <w:szCs w:val="17"/>
              </w:rPr>
              <w:t xml:space="preserve">Domestic value-added share in anchor packages</w:t>
            </w:r>
          </w:p>
        </w:tc>
        <w:tc>
          <w:tcPr>
            <w:tcW w:type="dxa" w:w="453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7"/>
                <w:szCs w:val="17"/>
              </w:rPr>
              <w:t xml:space="preserve">Verified domestic value added / package value, by anchor project (consistent with D05)</w:t>
            </w:r>
          </w:p>
        </w:tc>
        <w:tc>
          <w:tcPr>
            <w:tcW w:type="dxa" w:w="2698"/>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7"/>
                <w:szCs w:val="17"/>
              </w:rPr>
              <w:t xml:space="preserve">Localisation plan, invoices and value-added verification</w:t>
            </w:r>
          </w:p>
        </w:tc>
      </w:tr>
      <w:tr>
        <w:trPr>
          <w:cantSplit/>
        </w:trPr>
        <w:tc>
          <w:tcPr>
            <w:tcW w:type="dxa" w:w="241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7"/>
                <w:szCs w:val="17"/>
              </w:rPr>
              <w:t xml:space="preserve">Supplier productivity</w:t>
            </w:r>
          </w:p>
        </w:tc>
        <w:tc>
          <w:tcPr>
            <w:tcW w:type="dxa" w:w="453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7"/>
                <w:szCs w:val="17"/>
              </w:rPr>
              <w:t xml:space="preserve">Real value added per FTE of DOCK-UP suppliers versus a comparison group (consistent with D09)</w:t>
            </w:r>
          </w:p>
        </w:tc>
        <w:tc>
          <w:tcPr>
            <w:tcW w:type="dxa" w:w="269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7"/>
                <w:szCs w:val="17"/>
              </w:rPr>
              <w:t xml:space="preserve">Supplier financial data; cohort comparison</w:t>
            </w:r>
          </w:p>
        </w:tc>
      </w:tr>
      <w:tr>
        <w:trPr>
          <w:cantSplit/>
        </w:trPr>
        <w:tc>
          <w:tcPr>
            <w:tcW w:type="dxa" w:w="241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7"/>
                <w:szCs w:val="17"/>
              </w:rPr>
              <w:t xml:space="preserve">Cost parity</w:t>
            </w:r>
          </w:p>
        </w:tc>
        <w:tc>
          <w:tcPr>
            <w:tcW w:type="dxa" w:w="453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7"/>
                <w:szCs w:val="17"/>
              </w:rPr>
              <w:t xml:space="preserve">Supplier unit price / landed import price for the same specification</w:t>
            </w:r>
          </w:p>
        </w:tc>
        <w:tc>
          <w:tcPr>
            <w:tcW w:type="dxa" w:w="2698"/>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7"/>
                <w:szCs w:val="17"/>
              </w:rPr>
              <w:t xml:space="preserve">Purchase records; learning-curve tracking</w:t>
            </w:r>
          </w:p>
        </w:tc>
      </w:tr>
      <w:tr>
        <w:trPr>
          <w:cantSplit/>
        </w:trPr>
        <w:tc>
          <w:tcPr>
            <w:tcW w:type="dxa" w:w="241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pPr>
            <w:r>
              <w:rPr>
                <w:rFonts w:ascii="Arial" w:cs="Arial" w:eastAsia="Arial" w:hAnsi="Arial"/>
                <w:b/>
                <w:bCs/>
                <w:color w:val="000000"/>
                <w:sz w:val="17"/>
                <w:szCs w:val="17"/>
              </w:rPr>
              <w:t xml:space="preserve">Repeat and export orders</w:t>
            </w:r>
          </w:p>
        </w:tc>
        <w:tc>
          <w:tcPr>
            <w:tcW w:type="dxa" w:w="453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7"/>
                <w:szCs w:val="17"/>
              </w:rPr>
              <w:t xml:space="preserve">Value of orders outside the original anchor programme</w:t>
            </w:r>
          </w:p>
        </w:tc>
        <w:tc>
          <w:tcPr>
            <w:tcW w:type="dxa" w:w="269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7"/>
                <w:szCs w:val="17"/>
              </w:rPr>
              <w:t xml:space="preserve">Contracts and export documents</w:t>
            </w:r>
          </w:p>
        </w:tc>
      </w:tr>
    </w:tbl>
    <w:p>
      <w:pPr>
        <w:keepNext w:val="false"/>
        <w:spacing w:after="140"/>
      </w:pPr>
    </w:p>
    <w:p>
      <w:pPr>
        <w:pStyle w:val="Heading2"/>
        <w:keepNext/>
        <w:keepLines/>
        <w:spacing w:after="120" w:before="280"/>
      </w:pPr>
      <w:r>
        <w:rPr>
          <w:rFonts w:ascii="Arial" w:cs="Arial" w:eastAsia="Arial" w:hAnsi="Arial"/>
          <w:b/>
          <w:bCs/>
          <w:color w:val="00338D"/>
          <w:sz w:val="28"/>
          <w:szCs w:val="28"/>
        </w:rPr>
        <w:t xml:space="preserve">14.3 Five capital stages reported separately</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19"/>
        <w:gridCol w:w="260"/>
        <w:gridCol w:w="1719"/>
        <w:gridCol w:w="260"/>
        <w:gridCol w:w="1719"/>
        <w:gridCol w:w="260"/>
        <w:gridCol w:w="1719"/>
        <w:gridCol w:w="260"/>
        <w:gridCol w:w="1722"/>
      </w:tblGrid>
      <w:tr>
        <w:trPr>
          <w:cantSplit/>
        </w:trPr>
        <w:tc>
          <w:tcPr>
            <w:tcW w:type="dxa" w:w="1719"/>
            <w:tcBorders>
              <w:top w:val="none" w:color="FFFFFF" w:sz="0"/>
              <w:left w:val="none" w:color="FFFFFF" w:sz="0"/>
              <w:bottom w:val="none" w:color="FFFFFF" w:sz="0"/>
              <w:right w:val="none" w:color="FFFFFF" w:sz="0"/>
            </w:tcBorders>
            <w:shd w:fill="00338D" w:color="auto" w:val="clear"/>
            <w:tcMar>
              <w:top w:type="dxa" w:w="100"/>
              <w:left w:type="dxa" w:w="90"/>
              <w:bottom w:type="dxa" w:w="100"/>
              <w:right w:type="dxa" w:w="90"/>
            </w:tcMar>
          </w:tcPr>
          <w:p>
            <w:pPr>
              <w:spacing w:after="40" w:line="240"/>
            </w:pPr>
            <w:r>
              <w:rPr>
                <w:rFonts w:ascii="Arial" w:cs="Arial" w:eastAsia="Arial" w:hAnsi="Arial"/>
                <w:b/>
                <w:bCs/>
                <w:color w:val="FFFFFF"/>
                <w:sz w:val="17"/>
                <w:szCs w:val="17"/>
              </w:rPr>
              <w:t xml:space="preserve">Raised</w:t>
            </w:r>
          </w:p>
          <w:p>
            <w:pPr>
              <w:spacing w:after="0" w:line="236"/>
            </w:pPr>
            <w:r>
              <w:rPr>
                <w:rFonts w:ascii="Arial" w:cs="Arial" w:eastAsia="Arial" w:hAnsi="Arial"/>
                <w:color w:val="FFFFFF"/>
                <w:sz w:val="15"/>
                <w:szCs w:val="15"/>
              </w:rPr>
              <w:t xml:space="preserve">Funds obtained (financing inflow, not profit)</w:t>
            </w:r>
          </w:p>
        </w:tc>
        <w:tc>
          <w:tcPr>
            <w:tcW w:type="dxa" w:w="26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jc w:val="center"/>
            </w:pPr>
            <w:r>
              <w:rPr>
                <w:rFonts w:ascii="Arial" w:cs="Arial" w:eastAsia="Arial" w:hAnsi="Arial"/>
                <w:color w:val="005EB8"/>
                <w:sz w:val="18"/>
                <w:szCs w:val="18"/>
              </w:rPr>
              <w:t xml:space="preserve">►</w:t>
            </w:r>
          </w:p>
        </w:tc>
        <w:tc>
          <w:tcPr>
            <w:tcW w:type="dxa" w:w="1719"/>
            <w:tcBorders>
              <w:top w:val="none" w:color="FFFFFF" w:sz="0"/>
              <w:left w:val="none" w:color="FFFFFF" w:sz="0"/>
              <w:bottom w:val="none" w:color="FFFFFF" w:sz="0"/>
              <w:right w:val="none" w:color="FFFFFF" w:sz="0"/>
            </w:tcBorders>
            <w:shd w:fill="005EB8" w:color="auto" w:val="clear"/>
            <w:tcMar>
              <w:top w:type="dxa" w:w="100"/>
              <w:left w:type="dxa" w:w="90"/>
              <w:bottom w:type="dxa" w:w="100"/>
              <w:right w:type="dxa" w:w="90"/>
            </w:tcMar>
          </w:tcPr>
          <w:p>
            <w:pPr>
              <w:spacing w:after="40" w:line="240"/>
            </w:pPr>
            <w:r>
              <w:rPr>
                <w:rFonts w:ascii="Arial" w:cs="Arial" w:eastAsia="Arial" w:hAnsi="Arial"/>
                <w:b/>
                <w:bCs/>
                <w:color w:val="FFFFFF"/>
                <w:sz w:val="17"/>
                <w:szCs w:val="17"/>
              </w:rPr>
              <w:t xml:space="preserve">Committed</w:t>
            </w:r>
          </w:p>
          <w:p>
            <w:pPr>
              <w:spacing w:after="0" w:line="236"/>
            </w:pPr>
            <w:r>
              <w:rPr>
                <w:rFonts w:ascii="Arial" w:cs="Arial" w:eastAsia="Arial" w:hAnsi="Arial"/>
                <w:color w:val="FFFFFF"/>
                <w:sz w:val="15"/>
                <w:szCs w:val="15"/>
              </w:rPr>
              <w:t xml:space="preserve">Binding commitments with conditions</w:t>
            </w:r>
          </w:p>
        </w:tc>
        <w:tc>
          <w:tcPr>
            <w:tcW w:type="dxa" w:w="26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jc w:val="center"/>
            </w:pPr>
            <w:r>
              <w:rPr>
                <w:rFonts w:ascii="Arial" w:cs="Arial" w:eastAsia="Arial" w:hAnsi="Arial"/>
                <w:color w:val="005EB8"/>
                <w:sz w:val="18"/>
                <w:szCs w:val="18"/>
              </w:rPr>
              <w:t xml:space="preserve">►</w:t>
            </w:r>
          </w:p>
        </w:tc>
        <w:tc>
          <w:tcPr>
            <w:tcW w:type="dxa" w:w="1719"/>
            <w:tcBorders>
              <w:top w:val="none" w:color="FFFFFF" w:sz="0"/>
              <w:left w:val="none" w:color="FFFFFF" w:sz="0"/>
              <w:bottom w:val="none" w:color="FFFFFF" w:sz="0"/>
              <w:right w:val="none" w:color="FFFFFF" w:sz="0"/>
            </w:tcBorders>
            <w:shd w:fill="00338D" w:color="auto" w:val="clear"/>
            <w:tcMar>
              <w:top w:type="dxa" w:w="100"/>
              <w:left w:type="dxa" w:w="90"/>
              <w:bottom w:type="dxa" w:w="100"/>
              <w:right w:type="dxa" w:w="90"/>
            </w:tcMar>
          </w:tcPr>
          <w:p>
            <w:pPr>
              <w:spacing w:after="40" w:line="240"/>
            </w:pPr>
            <w:r>
              <w:rPr>
                <w:rFonts w:ascii="Arial" w:cs="Arial" w:eastAsia="Arial" w:hAnsi="Arial"/>
                <w:b/>
                <w:bCs/>
                <w:color w:val="FFFFFF"/>
                <w:sz w:val="17"/>
                <w:szCs w:val="17"/>
              </w:rPr>
              <w:t xml:space="preserve">Disbursed</w:t>
            </w:r>
          </w:p>
          <w:p>
            <w:pPr>
              <w:spacing w:after="0" w:line="236"/>
            </w:pPr>
            <w:r>
              <w:rPr>
                <w:rFonts w:ascii="Arial" w:cs="Arial" w:eastAsia="Arial" w:hAnsi="Arial"/>
                <w:color w:val="FFFFFF"/>
                <w:sz w:val="15"/>
                <w:szCs w:val="15"/>
              </w:rPr>
              <w:t xml:space="preserve">Cash actually paid</w:t>
            </w:r>
          </w:p>
        </w:tc>
        <w:tc>
          <w:tcPr>
            <w:tcW w:type="dxa" w:w="26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jc w:val="center"/>
            </w:pPr>
            <w:r>
              <w:rPr>
                <w:rFonts w:ascii="Arial" w:cs="Arial" w:eastAsia="Arial" w:hAnsi="Arial"/>
                <w:color w:val="005EB8"/>
                <w:sz w:val="18"/>
                <w:szCs w:val="18"/>
              </w:rPr>
              <w:t xml:space="preserve">►</w:t>
            </w:r>
          </w:p>
        </w:tc>
        <w:tc>
          <w:tcPr>
            <w:tcW w:type="dxa" w:w="1719"/>
            <w:tcBorders>
              <w:top w:val="none" w:color="FFFFFF" w:sz="0"/>
              <w:left w:val="none" w:color="FFFFFF" w:sz="0"/>
              <w:bottom w:val="none" w:color="FFFFFF" w:sz="0"/>
              <w:right w:val="none" w:color="FFFFFF" w:sz="0"/>
            </w:tcBorders>
            <w:shd w:fill="005EB8" w:color="auto" w:val="clear"/>
            <w:tcMar>
              <w:top w:type="dxa" w:w="100"/>
              <w:left w:type="dxa" w:w="90"/>
              <w:bottom w:type="dxa" w:w="100"/>
              <w:right w:type="dxa" w:w="90"/>
            </w:tcMar>
          </w:tcPr>
          <w:p>
            <w:pPr>
              <w:spacing w:after="40" w:line="240"/>
            </w:pPr>
            <w:r>
              <w:rPr>
                <w:rFonts w:ascii="Arial" w:cs="Arial" w:eastAsia="Arial" w:hAnsi="Arial"/>
                <w:b/>
                <w:bCs/>
                <w:color w:val="FFFFFF"/>
                <w:sz w:val="17"/>
                <w:szCs w:val="17"/>
              </w:rPr>
              <w:t xml:space="preserve">Built</w:t>
            </w:r>
          </w:p>
          <w:p>
            <w:pPr>
              <w:spacing w:after="0" w:line="236"/>
            </w:pPr>
            <w:r>
              <w:rPr>
                <w:rFonts w:ascii="Arial" w:cs="Arial" w:eastAsia="Arial" w:hAnsi="Arial"/>
                <w:color w:val="FFFFFF"/>
                <w:sz w:val="15"/>
                <w:szCs w:val="15"/>
              </w:rPr>
              <w:t xml:space="preserve">Certified physical completion</w:t>
            </w:r>
          </w:p>
        </w:tc>
        <w:tc>
          <w:tcPr>
            <w:tcW w:type="dxa" w:w="26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jc w:val="center"/>
            </w:pPr>
            <w:r>
              <w:rPr>
                <w:rFonts w:ascii="Arial" w:cs="Arial" w:eastAsia="Arial" w:hAnsi="Arial"/>
                <w:color w:val="005EB8"/>
                <w:sz w:val="18"/>
                <w:szCs w:val="18"/>
              </w:rPr>
              <w:t xml:space="preserve">►</w:t>
            </w:r>
          </w:p>
        </w:tc>
        <w:tc>
          <w:tcPr>
            <w:tcW w:type="dxa" w:w="1722"/>
            <w:tcBorders>
              <w:top w:val="none" w:color="FFFFFF" w:sz="0"/>
              <w:left w:val="none" w:color="FFFFFF" w:sz="0"/>
              <w:bottom w:val="none" w:color="FFFFFF" w:sz="0"/>
              <w:right w:val="none" w:color="FFFFFF" w:sz="0"/>
            </w:tcBorders>
            <w:shd w:fill="00338D" w:color="auto" w:val="clear"/>
            <w:tcMar>
              <w:top w:type="dxa" w:w="100"/>
              <w:left w:type="dxa" w:w="90"/>
              <w:bottom w:type="dxa" w:w="100"/>
              <w:right w:type="dxa" w:w="90"/>
            </w:tcMar>
          </w:tcPr>
          <w:p>
            <w:pPr>
              <w:spacing w:after="40" w:line="240"/>
            </w:pPr>
            <w:r>
              <w:rPr>
                <w:rFonts w:ascii="Arial" w:cs="Arial" w:eastAsia="Arial" w:hAnsi="Arial"/>
                <w:b/>
                <w:bCs/>
                <w:color w:val="FFFFFF"/>
                <w:sz w:val="17"/>
                <w:szCs w:val="17"/>
              </w:rPr>
              <w:t xml:space="preserve">Benefits</w:t>
            </w:r>
          </w:p>
          <w:p>
            <w:pPr>
              <w:spacing w:after="0" w:line="236"/>
            </w:pPr>
            <w:r>
              <w:rPr>
                <w:rFonts w:ascii="Arial" w:cs="Arial" w:eastAsia="Arial" w:hAnsi="Arial"/>
                <w:color w:val="FFFFFF"/>
                <w:sz w:val="15"/>
                <w:szCs w:val="15"/>
              </w:rPr>
              <w:t xml:space="preserve">Verified outcomes after commissioning</w:t>
            </w:r>
          </w:p>
        </w:tc>
      </w:tr>
    </w:tbl>
    <w:p>
      <w:pPr>
        <w:spacing w:after="160"/>
      </w:pPr>
    </w:p>
    <w:p>
      <w:pPr>
        <w:spacing w:after="110" w:before="0" w:line="264"/>
        <w:jc w:val="left"/>
      </w:pPr>
      <w:r>
        <w:rPr>
          <w:rFonts w:ascii="Arial" w:cs="Arial" w:eastAsia="Arial" w:hAnsi="Arial"/>
          <w:color w:val="000000"/>
          <w:sz w:val="20"/>
          <w:szCs w:val="20"/>
        </w:rPr>
        <w:t xml:space="preserve">Fundraising and investment spending are not profit. Each stage needs its own evidence, and a later stage can never be inferred from an earlier one [D1].</w:t>
      </w:r>
    </w:p>
    <w:p>
      <w:pPr>
        <w:pStyle w:val="Heading2"/>
        <w:keepNext/>
        <w:keepLines/>
        <w:spacing w:after="120" w:before="280"/>
      </w:pPr>
      <w:r>
        <w:rPr>
          <w:rFonts w:ascii="Arial" w:cs="Arial" w:eastAsia="Arial" w:hAnsi="Arial"/>
          <w:b/>
          <w:bCs/>
          <w:color w:val="00338D"/>
          <w:sz w:val="28"/>
          <w:szCs w:val="28"/>
        </w:rPr>
        <w:t xml:space="preserve">14.4 Controls against double counting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470"/>
        <w:gridCol w:w="6168"/>
      </w:tblGrid>
      <w:tr>
        <w:trPr>
          <w:cantSplit/>
          <w:tblHeader/>
        </w:trPr>
        <w:tc>
          <w:tcPr>
            <w:tcW w:type="dxa" w:w="3470"/>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Potential misstatement</w:t>
            </w:r>
          </w:p>
        </w:tc>
        <w:tc>
          <w:tcPr>
            <w:tcW w:type="dxa" w:w="6168"/>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Required control</w:t>
            </w:r>
          </w:p>
        </w:tc>
      </w:tr>
      <w:tr>
        <w:trPr>
          <w:cantSplit/>
        </w:trPr>
        <w:tc>
          <w:tcPr>
            <w:tcW w:type="dxa" w:w="347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7"/>
                <w:szCs w:val="17"/>
              </w:rPr>
              <w:t xml:space="preserve">Asset transfers called investment returns</w:t>
            </w:r>
          </w:p>
        </w:tc>
        <w:tc>
          <w:tcPr>
            <w:tcW w:type="dxa" w:w="616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7"/>
                <w:szCs w:val="17"/>
              </w:rPr>
              <w:t xml:space="preserve">Bridge: opening NAV + external capital + investment result − distributions = closing NAV; explain FX and perimeter changes separately</w:t>
            </w:r>
          </w:p>
        </w:tc>
      </w:tr>
      <w:tr>
        <w:trPr>
          <w:cantSplit/>
        </w:trPr>
        <w:tc>
          <w:tcPr>
            <w:tcW w:type="dxa" w:w="347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7"/>
                <w:szCs w:val="17"/>
              </w:rPr>
              <w:t xml:space="preserve">SOE profit and its dividend both added as group income</w:t>
            </w:r>
          </w:p>
        </w:tc>
        <w:tc>
          <w:tcPr>
            <w:tcW w:type="dxa" w:w="6168"/>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7"/>
                <w:szCs w:val="17"/>
              </w:rPr>
              <w:t xml:space="preserve">Apply consolidation eliminations; report cash remittance as a separate financing-capacity measure</w:t>
            </w:r>
          </w:p>
        </w:tc>
      </w:tr>
      <w:tr>
        <w:trPr>
          <w:cantSplit/>
        </w:trPr>
        <w:tc>
          <w:tcPr>
            <w:tcW w:type="dxa" w:w="347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7"/>
                <w:szCs w:val="17"/>
              </w:rPr>
              <w:t xml:space="preserve">Entire project cost called Danantara investment</w:t>
            </w:r>
          </w:p>
        </w:tc>
        <w:tc>
          <w:tcPr>
            <w:tcW w:type="dxa" w:w="616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7"/>
                <w:szCs w:val="17"/>
              </w:rPr>
              <w:t xml:space="preserve">Record total capex, Danantara equity/debt, other public capital and private funding separately</w:t>
            </w:r>
          </w:p>
        </w:tc>
      </w:tr>
      <w:tr>
        <w:trPr>
          <w:cantSplit/>
        </w:trPr>
        <w:tc>
          <w:tcPr>
            <w:tcW w:type="dxa" w:w="347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7"/>
                <w:szCs w:val="17"/>
              </w:rPr>
              <w:t xml:space="preserve">Same investment claimed by multiple co-financiers</w:t>
            </w:r>
          </w:p>
        </w:tc>
        <w:tc>
          <w:tcPr>
            <w:tcW w:type="dxa" w:w="6168"/>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7"/>
                <w:szCs w:val="17"/>
              </w:rPr>
              <w:t xml:space="preserve">MDB-aligned attribution; distinguish direct mobilisation, indirect co-finance and total financing</w:t>
            </w:r>
          </w:p>
        </w:tc>
      </w:tr>
      <w:tr>
        <w:trPr>
          <w:cantSplit/>
        </w:trPr>
        <w:tc>
          <w:tcPr>
            <w:tcW w:type="dxa" w:w="347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7"/>
                <w:szCs w:val="17"/>
              </w:rPr>
              <w:t xml:space="preserve">Project sales, supplier sales and GDP benefits summed</w:t>
            </w:r>
          </w:p>
        </w:tc>
        <w:tc>
          <w:tcPr>
            <w:tcW w:type="dxa" w:w="616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7"/>
                <w:szCs w:val="17"/>
              </w:rPr>
              <w:t xml:space="preserve">Use value added and a reconciled input–output framework; deduct imports and intermediate transactions</w:t>
            </w:r>
          </w:p>
        </w:tc>
      </w:tr>
      <w:tr>
        <w:trPr>
          <w:cantSplit/>
        </w:trPr>
        <w:tc>
          <w:tcPr>
            <w:tcW w:type="dxa" w:w="347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7"/>
                <w:szCs w:val="17"/>
              </w:rPr>
              <w:t xml:space="preserve">Gross job counts across the supply chain</w:t>
            </w:r>
          </w:p>
        </w:tc>
        <w:tc>
          <w:tcPr>
            <w:tcW w:type="dxa" w:w="6168"/>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7"/>
                <w:szCs w:val="17"/>
              </w:rPr>
              <w:t xml:space="preserve">Separate direct FTE, temporary person-years and modelled indirect jobs; identify overlap and displacement</w:t>
            </w:r>
          </w:p>
        </w:tc>
      </w:tr>
      <w:tr>
        <w:trPr>
          <w:cantSplit/>
        </w:trPr>
        <w:tc>
          <w:tcPr>
            <w:tcW w:type="dxa" w:w="347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pPr>
            <w:r>
              <w:rPr>
                <w:rFonts w:ascii="Arial" w:cs="Arial" w:eastAsia="Arial" w:hAnsi="Arial"/>
                <w:b/>
                <w:bCs/>
                <w:color w:val="000000"/>
                <w:sz w:val="17"/>
                <w:szCs w:val="17"/>
              </w:rPr>
              <w:t xml:space="preserve">A national GDP change called Danantara impact</w:t>
            </w:r>
          </w:p>
        </w:tc>
        <w:tc>
          <w:tcPr>
            <w:tcW w:type="dxa" w:w="616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7"/>
                <w:szCs w:val="17"/>
              </w:rPr>
              <w:t xml:space="preserve">Specify without-project scenarios; report contribution ranges, not unsupported point estimates</w:t>
            </w:r>
          </w:p>
        </w:tc>
      </w:tr>
    </w:tbl>
    <w:p>
      <w:pPr>
        <w:keepNext w:val="false"/>
        <w:spacing w:after="140"/>
      </w:pPr>
    </w:p>
    <w:p>
      <w:pPr>
        <w:spacing w:after="160"/>
      </w:pPr>
      <w:r>
        <w:rPr>
          <w:rFonts w:ascii="Arial" w:cs="Arial" w:eastAsia="Arial" w:hAnsi="Arial"/>
          <w:i/>
          <w:iCs/>
          <w:color w:val="000000"/>
          <w:sz w:val="15"/>
          <w:szCs w:val="15"/>
        </w:rPr>
        <w:t xml:space="preserve">Source: D1.</w:t>
      </w:r>
    </w:p>
    <w:p>
      <w:pPr>
        <w:pStyle w:val="Heading2"/>
        <w:keepNext/>
        <w:keepLines/>
        <w:spacing w:after="120" w:before="280"/>
      </w:pPr>
      <w:r>
        <w:rPr>
          <w:rFonts w:ascii="Arial" w:cs="Arial" w:eastAsia="Arial" w:hAnsi="Arial"/>
          <w:b/>
          <w:bCs/>
          <w:color w:val="00338D"/>
          <w:sz w:val="28"/>
          <w:szCs w:val="28"/>
        </w:rPr>
        <w:t xml:space="preserve">14.5 Fifteen leadership KPIs</w:t>
      </w:r>
    </w:p>
    <w:p>
      <w:pPr>
        <w:spacing w:after="110" w:before="0" w:line="264"/>
        <w:jc w:val="left"/>
      </w:pPr>
      <w:r>
        <w:rPr>
          <w:rFonts w:ascii="Arial" w:cs="Arial" w:eastAsia="Arial" w:hAnsi="Arial"/>
          <w:color w:val="000000"/>
          <w:sz w:val="20"/>
          <w:szCs w:val="20"/>
        </w:rPr>
        <w:t xml:space="preserve">For the Head of the Executive Body and the Supervisory Board, we propose fifteen KPIs that connect data, decisions, investment, SOEs, development, suppliers and financing. Targets should be set after baselines are established.</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2"/>
        <w:gridCol w:w="2602"/>
        <w:gridCol w:w="6554"/>
      </w:tblGrid>
      <w:tr>
        <w:trPr>
          <w:cantSplit/>
          <w:tblHeader/>
        </w:trPr>
        <w:tc>
          <w:tcPr>
            <w:tcW w:type="dxa" w:w="482"/>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w:t>
            </w:r>
          </w:p>
        </w:tc>
        <w:tc>
          <w:tcPr>
            <w:tcW w:type="dxa" w:w="2602"/>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KPI</w:t>
            </w:r>
          </w:p>
        </w:tc>
        <w:tc>
          <w:tcPr>
            <w:tcW w:type="dxa" w:w="6554"/>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Source metric / definition</w:t>
            </w:r>
          </w:p>
        </w:tc>
      </w:tr>
      <w:tr>
        <w:trPr>
          <w:cantSplit/>
        </w:trPr>
        <w:tc>
          <w:tcPr>
            <w:tcW w:type="dxa" w:w="48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7"/>
                <w:szCs w:val="17"/>
              </w:rPr>
              <w:t xml:space="preserve">1</w:t>
            </w:r>
          </w:p>
        </w:tc>
        <w:tc>
          <w:tcPr>
            <w:tcW w:type="dxa" w:w="260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7"/>
                <w:szCs w:val="17"/>
              </w:rPr>
              <w:t xml:space="preserve">Register quality</w:t>
            </w:r>
          </w:p>
        </w:tc>
        <w:tc>
          <w:tcPr>
            <w:tcW w:type="dxa" w:w="6554"/>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7"/>
                <w:szCs w:val="17"/>
              </w:rPr>
              <w:t xml:space="preserve">Share of projects with confirmed sponsor, scope, stage, cost, funding and schedule (100% of identities mapped in 30 days) [D2]</w:t>
            </w:r>
          </w:p>
        </w:tc>
      </w:tr>
      <w:tr>
        <w:trPr>
          <w:cantSplit/>
        </w:trPr>
        <w:tc>
          <w:tcPr>
            <w:tcW w:type="dxa" w:w="48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7"/>
                <w:szCs w:val="17"/>
              </w:rPr>
              <w:t xml:space="preserve">2</w:t>
            </w:r>
          </w:p>
        </w:tc>
        <w:tc>
          <w:tcPr>
            <w:tcW w:type="dxa" w:w="260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7"/>
                <w:szCs w:val="17"/>
              </w:rPr>
              <w:t xml:space="preserve">Decision time</w:t>
            </w:r>
          </w:p>
        </w:tc>
        <w:tc>
          <w:tcPr>
            <w:tcW w:type="dxa" w:w="6554"/>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7"/>
                <w:szCs w:val="17"/>
              </w:rPr>
              <w:t xml:space="preserve">Median and 90th percentile from complete documents to decision; waiting time separate (proposed −30% median in six months, after baseline) [D2]</w:t>
            </w:r>
          </w:p>
        </w:tc>
      </w:tr>
      <w:tr>
        <w:trPr>
          <w:cantSplit/>
        </w:trPr>
        <w:tc>
          <w:tcPr>
            <w:tcW w:type="dxa" w:w="48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7"/>
                <w:szCs w:val="17"/>
              </w:rPr>
              <w:t xml:space="preserve">3</w:t>
            </w:r>
          </w:p>
        </w:tc>
        <w:tc>
          <w:tcPr>
            <w:tcW w:type="dxa" w:w="260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7"/>
                <w:szCs w:val="17"/>
              </w:rPr>
              <w:t xml:space="preserve">Blocker resolution</w:t>
            </w:r>
          </w:p>
        </w:tc>
        <w:tc>
          <w:tcPr>
            <w:tcW w:type="dxa" w:w="6554"/>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7"/>
                <w:szCs w:val="17"/>
              </w:rPr>
              <w:t xml:space="preserve">Issues lawfully resolved / issues due, with ageing</w:t>
            </w:r>
          </w:p>
        </w:tc>
      </w:tr>
      <w:tr>
        <w:trPr>
          <w:cantSplit/>
        </w:trPr>
        <w:tc>
          <w:tcPr>
            <w:tcW w:type="dxa" w:w="48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7"/>
                <w:szCs w:val="17"/>
              </w:rPr>
              <w:t xml:space="preserve">4</w:t>
            </w:r>
          </w:p>
        </w:tc>
        <w:tc>
          <w:tcPr>
            <w:tcW w:type="dxa" w:w="260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7"/>
                <w:szCs w:val="17"/>
              </w:rPr>
              <w:t xml:space="preserve">Evidence coverage</w:t>
            </w:r>
          </w:p>
        </w:tc>
        <w:tc>
          <w:tcPr>
            <w:tcW w:type="dxa" w:w="6554"/>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7"/>
                <w:szCs w:val="17"/>
              </w:rPr>
              <w:t xml:space="preserve">Share of applicable metric weight rateable, per stream (≥ 80%)</w:t>
            </w:r>
          </w:p>
        </w:tc>
      </w:tr>
      <w:tr>
        <w:trPr>
          <w:cantSplit/>
        </w:trPr>
        <w:tc>
          <w:tcPr>
            <w:tcW w:type="dxa" w:w="48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7"/>
                <w:szCs w:val="17"/>
              </w:rPr>
              <w:t xml:space="preserve">5</w:t>
            </w:r>
          </w:p>
        </w:tc>
        <w:tc>
          <w:tcPr>
            <w:tcW w:type="dxa" w:w="260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7"/>
                <w:szCs w:val="17"/>
              </w:rPr>
              <w:t xml:space="preserve">Investment return</w:t>
            </w:r>
          </w:p>
        </w:tc>
        <w:tc>
          <w:tcPr>
            <w:tcW w:type="dxa" w:w="6554"/>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7"/>
                <w:szCs w:val="17"/>
              </w:rPr>
              <w:t xml:space="preserve">I01 and I02: net return above benchmark; net IRR above hurdle</w:t>
            </w:r>
          </w:p>
        </w:tc>
      </w:tr>
      <w:tr>
        <w:trPr>
          <w:cantSplit/>
        </w:trPr>
        <w:tc>
          <w:tcPr>
            <w:tcW w:type="dxa" w:w="48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7"/>
                <w:szCs w:val="17"/>
              </w:rPr>
              <w:t xml:space="preserve">6</w:t>
            </w:r>
          </w:p>
        </w:tc>
        <w:tc>
          <w:tcPr>
            <w:tcW w:type="dxa" w:w="260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7"/>
                <w:szCs w:val="17"/>
              </w:rPr>
              <w:t xml:space="preserve">SOE value creation</w:t>
            </w:r>
          </w:p>
        </w:tc>
        <w:tc>
          <w:tcPr>
            <w:tcW w:type="dxa" w:w="6554"/>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7"/>
                <w:szCs w:val="17"/>
              </w:rPr>
              <w:t xml:space="preserve">O02: incremental economic profit</w:t>
            </w:r>
          </w:p>
        </w:tc>
      </w:tr>
      <w:tr>
        <w:trPr>
          <w:cantSplit/>
        </w:trPr>
        <w:tc>
          <w:tcPr>
            <w:tcW w:type="dxa" w:w="48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7"/>
                <w:szCs w:val="17"/>
              </w:rPr>
              <w:t xml:space="preserve">7</w:t>
            </w:r>
          </w:p>
        </w:tc>
        <w:tc>
          <w:tcPr>
            <w:tcW w:type="dxa" w:w="260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7"/>
                <w:szCs w:val="17"/>
              </w:rPr>
              <w:t xml:space="preserve">Construction SOE cash health</w:t>
            </w:r>
          </w:p>
        </w:tc>
        <w:tc>
          <w:tcPr>
            <w:tcW w:type="dxa" w:w="6554"/>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7"/>
                <w:szCs w:val="17"/>
              </w:rPr>
              <w:t xml:space="preserve">O04 operating cash conversion, days sales outstanding, interest coverage and liquidity runway</w:t>
            </w:r>
          </w:p>
        </w:tc>
      </w:tr>
      <w:tr>
        <w:trPr>
          <w:cantSplit/>
        </w:trPr>
        <w:tc>
          <w:tcPr>
            <w:tcW w:type="dxa" w:w="48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7"/>
                <w:szCs w:val="17"/>
              </w:rPr>
              <w:t xml:space="preserve">8</w:t>
            </w:r>
          </w:p>
        </w:tc>
        <w:tc>
          <w:tcPr>
            <w:tcW w:type="dxa" w:w="260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7"/>
                <w:szCs w:val="17"/>
              </w:rPr>
              <w:t xml:space="preserve">Delivery</w:t>
            </w:r>
          </w:p>
        </w:tc>
        <w:tc>
          <w:tcPr>
            <w:tcW w:type="dxa" w:w="6554"/>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7"/>
                <w:szCs w:val="17"/>
              </w:rPr>
              <w:t xml:space="preserve">D08: on-time, on-budget commissioning</w:t>
            </w:r>
          </w:p>
        </w:tc>
      </w:tr>
      <w:tr>
        <w:trPr>
          <w:cantSplit/>
        </w:trPr>
        <w:tc>
          <w:tcPr>
            <w:tcW w:type="dxa" w:w="48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7"/>
                <w:szCs w:val="17"/>
              </w:rPr>
              <w:t xml:space="preserve">9</w:t>
            </w:r>
          </w:p>
        </w:tc>
        <w:tc>
          <w:tcPr>
            <w:tcW w:type="dxa" w:w="260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7"/>
                <w:szCs w:val="17"/>
              </w:rPr>
              <w:t xml:space="preserve">Additional value added</w:t>
            </w:r>
          </w:p>
        </w:tc>
        <w:tc>
          <w:tcPr>
            <w:tcW w:type="dxa" w:w="6554"/>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7"/>
                <w:szCs w:val="17"/>
              </w:rPr>
              <w:t xml:space="preserve">D02: additional domestic value added, real</w:t>
            </w:r>
          </w:p>
        </w:tc>
      </w:tr>
      <w:tr>
        <w:trPr>
          <w:cantSplit/>
        </w:trPr>
        <w:tc>
          <w:tcPr>
            <w:tcW w:type="dxa" w:w="48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7"/>
                <w:szCs w:val="17"/>
              </w:rPr>
              <w:t xml:space="preserve">10</w:t>
            </w:r>
          </w:p>
        </w:tc>
        <w:tc>
          <w:tcPr>
            <w:tcW w:type="dxa" w:w="260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7"/>
                <w:szCs w:val="17"/>
              </w:rPr>
              <w:t xml:space="preserve">Supplier progression</w:t>
            </w:r>
          </w:p>
        </w:tc>
        <w:tc>
          <w:tcPr>
            <w:tcW w:type="dxa" w:w="6554"/>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7"/>
                <w:szCs w:val="17"/>
              </w:rPr>
              <w:t xml:space="preserve">DOCK-UP suppliers reaching G2 or above</w:t>
            </w:r>
          </w:p>
        </w:tc>
      </w:tr>
      <w:tr>
        <w:trPr>
          <w:cantSplit/>
        </w:trPr>
        <w:tc>
          <w:tcPr>
            <w:tcW w:type="dxa" w:w="48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7"/>
                <w:szCs w:val="17"/>
              </w:rPr>
              <w:t xml:space="preserve">11</w:t>
            </w:r>
          </w:p>
        </w:tc>
        <w:tc>
          <w:tcPr>
            <w:tcW w:type="dxa" w:w="260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7"/>
                <w:szCs w:val="17"/>
              </w:rPr>
              <w:t xml:space="preserve">Localisation</w:t>
            </w:r>
          </w:p>
        </w:tc>
        <w:tc>
          <w:tcPr>
            <w:tcW w:type="dxa" w:w="6554"/>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7"/>
                <w:szCs w:val="17"/>
              </w:rPr>
              <w:t xml:space="preserve">D05: domestic value-added share in anchor packages</w:t>
            </w:r>
          </w:p>
        </w:tc>
      </w:tr>
      <w:tr>
        <w:trPr>
          <w:cantSplit/>
        </w:trPr>
        <w:tc>
          <w:tcPr>
            <w:tcW w:type="dxa" w:w="48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7"/>
                <w:szCs w:val="17"/>
              </w:rPr>
              <w:t xml:space="preserve">12</w:t>
            </w:r>
          </w:p>
        </w:tc>
        <w:tc>
          <w:tcPr>
            <w:tcW w:type="dxa" w:w="260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7"/>
                <w:szCs w:val="17"/>
              </w:rPr>
              <w:t xml:space="preserve">Technology</w:t>
            </w:r>
          </w:p>
        </w:tc>
        <w:tc>
          <w:tcPr>
            <w:tcW w:type="dxa" w:w="6554"/>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7"/>
                <w:szCs w:val="17"/>
              </w:rPr>
              <w:t xml:space="preserve">D06: verified technology capability milestones</w:t>
            </w:r>
          </w:p>
        </w:tc>
      </w:tr>
      <w:tr>
        <w:trPr>
          <w:cantSplit/>
        </w:trPr>
        <w:tc>
          <w:tcPr>
            <w:tcW w:type="dxa" w:w="48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7"/>
                <w:szCs w:val="17"/>
              </w:rPr>
              <w:t xml:space="preserve">13</w:t>
            </w:r>
          </w:p>
        </w:tc>
        <w:tc>
          <w:tcPr>
            <w:tcW w:type="dxa" w:w="260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7"/>
                <w:szCs w:val="17"/>
              </w:rPr>
              <w:t xml:space="preserve">Jobs</w:t>
            </w:r>
          </w:p>
        </w:tc>
        <w:tc>
          <w:tcPr>
            <w:tcW w:type="dxa" w:w="6554"/>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7"/>
                <w:szCs w:val="17"/>
              </w:rPr>
              <w:t xml:space="preserve">D03: sustained additional employment</w:t>
            </w:r>
          </w:p>
        </w:tc>
      </w:tr>
      <w:tr>
        <w:trPr>
          <w:cantSplit/>
        </w:trPr>
        <w:tc>
          <w:tcPr>
            <w:tcW w:type="dxa" w:w="48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7"/>
                <w:szCs w:val="17"/>
              </w:rPr>
              <w:t xml:space="preserve">14</w:t>
            </w:r>
          </w:p>
        </w:tc>
        <w:tc>
          <w:tcPr>
            <w:tcW w:type="dxa" w:w="260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7"/>
                <w:szCs w:val="17"/>
              </w:rPr>
              <w:t xml:space="preserve">Resource-finance discipline</w:t>
            </w:r>
          </w:p>
        </w:tc>
        <w:tc>
          <w:tcPr>
            <w:tcW w:type="dxa" w:w="6554"/>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7"/>
                <w:szCs w:val="17"/>
              </w:rPr>
              <w:t xml:space="preserve">Coverage ratio of NRF instruments; present value of revenue given up, disclosed</w:t>
            </w:r>
          </w:p>
        </w:tc>
      </w:tr>
      <w:tr>
        <w:trPr>
          <w:cantSplit/>
        </w:trPr>
        <w:tc>
          <w:tcPr>
            <w:tcW w:type="dxa" w:w="48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pPr>
            <w:r>
              <w:rPr>
                <w:rFonts w:ascii="Arial" w:cs="Arial" w:eastAsia="Arial" w:hAnsi="Arial"/>
                <w:b/>
                <w:bCs/>
                <w:color w:val="000000"/>
                <w:sz w:val="17"/>
                <w:szCs w:val="17"/>
              </w:rPr>
              <w:t xml:space="preserve">15</w:t>
            </w:r>
          </w:p>
        </w:tc>
        <w:tc>
          <w:tcPr>
            <w:tcW w:type="dxa" w:w="260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7"/>
                <w:szCs w:val="17"/>
              </w:rPr>
              <w:t xml:space="preserve">Domestic financing share</w:t>
            </w:r>
          </w:p>
        </w:tc>
        <w:tc>
          <w:tcPr>
            <w:tcW w:type="dxa" w:w="6554"/>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7"/>
                <w:szCs w:val="17"/>
              </w:rPr>
              <w:t xml:space="preserve">Share of strategic-programme finance raised domestically versus new foreign loans (substitution test)</w:t>
            </w:r>
          </w:p>
        </w:tc>
      </w:tr>
    </w:tbl>
    <w:p>
      <w:pPr>
        <w:keepNext w:val="false"/>
        <w:spacing w:after="140"/>
      </w:pPr>
    </w:p>
    <w:p>
      <w:pPr>
        <w:pStyle w:val="Heading2"/>
        <w:keepNext/>
        <w:keepLines/>
        <w:spacing w:after="120" w:before="280"/>
      </w:pPr>
      <w:r>
        <w:rPr>
          <w:rFonts w:ascii="Arial" w:cs="Arial" w:eastAsia="Arial" w:hAnsi="Arial"/>
          <w:b/>
          <w:bCs/>
          <w:color w:val="00338D"/>
          <w:sz w:val="28"/>
          <w:szCs w:val="28"/>
        </w:rPr>
        <w:t xml:space="preserve">14.6 Reporting cadence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6"/>
        <w:gridCol w:w="7132"/>
      </w:tblGrid>
      <w:tr>
        <w:trPr>
          <w:cantSplit/>
          <w:tblHeader/>
        </w:trPr>
        <w:tc>
          <w:tcPr>
            <w:tcW w:type="dxa" w:w="2506"/>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Frequency</w:t>
            </w:r>
          </w:p>
        </w:tc>
        <w:tc>
          <w:tcPr>
            <w:tcW w:type="dxa" w:w="7132"/>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Content</w:t>
            </w:r>
          </w:p>
        </w:tc>
      </w:tr>
      <w:tr>
        <w:trPr>
          <w:cantSplit/>
        </w:trPr>
        <w:tc>
          <w:tcPr>
            <w:tcW w:type="dxa" w:w="250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7"/>
                <w:szCs w:val="17"/>
              </w:rPr>
              <w:t xml:space="preserve">Monthly</w:t>
            </w:r>
          </w:p>
        </w:tc>
        <w:tc>
          <w:tcPr>
            <w:tcW w:type="dxa" w:w="713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7"/>
                <w:szCs w:val="17"/>
              </w:rPr>
              <w:t xml:space="preserve">Liquidity, construction progress, operating exceptions, critical risks</w:t>
            </w:r>
          </w:p>
        </w:tc>
      </w:tr>
      <w:tr>
        <w:trPr>
          <w:cantSplit/>
        </w:trPr>
        <w:tc>
          <w:tcPr>
            <w:tcW w:type="dxa" w:w="2506"/>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7"/>
                <w:szCs w:val="17"/>
              </w:rPr>
              <w:t xml:space="preserve">Quarterly</w:t>
            </w:r>
          </w:p>
        </w:tc>
        <w:tc>
          <w:tcPr>
            <w:tcW w:type="dxa" w:w="713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7"/>
                <w:szCs w:val="17"/>
              </w:rPr>
              <w:t xml:space="preserve">Investment returns, SOE transformation, project cost and schedule, evidence coverage, DOCK-UP gate movements</w:t>
            </w:r>
          </w:p>
        </w:tc>
      </w:tr>
      <w:tr>
        <w:trPr>
          <w:cantSplit/>
        </w:trPr>
        <w:tc>
          <w:tcPr>
            <w:tcW w:type="dxa" w:w="250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7"/>
                <w:szCs w:val="17"/>
              </w:rPr>
              <w:t xml:space="preserve">Annually</w:t>
            </w:r>
          </w:p>
        </w:tc>
        <w:tc>
          <w:tcPr>
            <w:tcW w:type="dxa" w:w="713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7"/>
                <w:szCs w:val="17"/>
              </w:rPr>
              <w:t xml:space="preserve">Audited financial statements, outcome evaluation, peer review, capital reallocation, public portfolio report</w:t>
            </w:r>
          </w:p>
        </w:tc>
      </w:tr>
      <w:tr>
        <w:trPr>
          <w:cantSplit/>
        </w:trPr>
        <w:tc>
          <w:tcPr>
            <w:tcW w:type="dxa" w:w="2506"/>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pPr>
            <w:r>
              <w:rPr>
                <w:rFonts w:ascii="Arial" w:cs="Arial" w:eastAsia="Arial" w:hAnsi="Arial"/>
                <w:b/>
                <w:bCs/>
                <w:color w:val="000000"/>
                <w:sz w:val="17"/>
                <w:szCs w:val="17"/>
              </w:rPr>
              <w:t xml:space="preserve">At commissioning and 12–24 months later</w:t>
            </w:r>
          </w:p>
        </w:tc>
        <w:tc>
          <w:tcPr>
            <w:tcW w:type="dxa" w:w="713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7"/>
                <w:szCs w:val="17"/>
              </w:rPr>
              <w:t xml:space="preserve">Technical performance, commercial ramp-up and benefits realisation</w:t>
            </w:r>
          </w:p>
        </w:tc>
      </w:tr>
    </w:tbl>
    <w:p>
      <w:pPr>
        <w:pageBreakBefore/>
        <w:spacing w:after="0" w:line="240"/>
      </w:pPr>
      <w:r>
        <w:rPr>
          <w:sz w:val="2"/>
          <w:szCs w:val="2"/>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one" w:color="FFFFFF" w:sz="0"/>
              <w:left w:val="none" w:color="FFFFFF" w:sz="0"/>
              <w:bottom w:val="none" w:color="FFFFFF" w:sz="0"/>
              <w:right w:val="none" w:color="FFFFFF" w:sz="0"/>
            </w:tcBorders>
            <w:shd w:fill="00338D" w:color="auto" w:val="clear"/>
            <w:tcMar>
              <w:top w:type="dxa" w:w="260"/>
              <w:left w:type="dxa" w:w="300"/>
              <w:bottom w:type="dxa" w:w="300"/>
              <w:right w:type="dxa" w:w="300"/>
            </w:tcMar>
          </w:tcPr>
          <w:p>
            <w:pPr>
              <w:spacing w:after="0"/>
            </w:pPr>
            <w:r>
              <w:rPr>
                <w:rFonts w:ascii="Arial" w:cs="Arial" w:eastAsia="Arial" w:hAnsi="Arial"/>
                <w:b/>
                <w:bCs/>
                <w:color w:val="9CC7EF"/>
                <w:sz w:val="64"/>
                <w:szCs w:val="64"/>
              </w:rPr>
              <w:t xml:space="preserve">15</w:t>
            </w:r>
          </w:p>
          <w:p>
            <w:pPr>
              <w:pStyle w:val="Heading1"/>
              <w:spacing w:after="100"/>
            </w:pPr>
            <w:r>
              <w:rPr>
                <w:rFonts w:ascii="Arial" w:cs="Arial" w:eastAsia="Arial" w:hAnsi="Arial"/>
                <w:b/>
                <w:bCs/>
                <w:color w:val="FFFFFF"/>
                <w:sz w:val="40"/>
                <w:szCs w:val="40"/>
              </w:rPr>
              <w:t xml:space="preserve">Key risks and mitigations</w:t>
            </w:r>
          </w:p>
          <w:p>
            <w:pPr>
              <w:spacing w:after="0" w:line="276"/>
            </w:pPr>
            <w:r>
              <w:rPr>
                <w:rFonts w:ascii="Arial" w:cs="Arial" w:eastAsia="Arial" w:hAnsi="Arial"/>
                <w:color w:val="FFFFFF"/>
                <w:sz w:val="20"/>
                <w:szCs w:val="20"/>
              </w:rPr>
              <w:t xml:space="preserve">Risks that could defeat the transformation, with the controls proposed in this study.</w:t>
            </w:r>
          </w:p>
        </w:tc>
      </w:tr>
    </w:tbl>
    <w:p>
      <w:pPr>
        <w:spacing w:after="200"/>
      </w:pPr>
    </w:p>
    <w:p>
      <w:pPr>
        <w:keepNext/>
        <w:spacing w:after="80" w:before="120"/>
      </w:pPr>
      <w:r>
        <w:rPr>
          <w:rFonts w:ascii="Arial" w:cs="Arial" w:eastAsia="Arial" w:hAnsi="Arial"/>
          <w:b/>
          <w:bCs/>
          <w:color w:val="00338D"/>
          <w:sz w:val="18"/>
          <w:szCs w:val="18"/>
        </w:rPr>
        <w:t xml:space="preserve">Table 21: </w:t>
      </w:r>
      <w:r>
        <w:rPr>
          <w:rFonts w:ascii="Arial" w:cs="Arial" w:eastAsia="Arial" w:hAnsi="Arial"/>
          <w:b/>
          <w:bCs/>
          <w:color w:val="00338D"/>
          <w:sz w:val="18"/>
          <w:szCs w:val="18"/>
        </w:rPr>
        <w:t xml:space="preserve">Risk register</w:t>
      </w:r>
    </w:p>
    <w:p>
      <w:pPr>
        <w:spacing w:after="110" w:before="0" w:line="264"/>
        <w:jc w:val="left"/>
      </w:pPr>
      <w:r>
        <w:rPr>
          <w:rFonts w:ascii="Arial" w:cs="Arial" w:eastAsia="Arial" w:hAnsi="Arial"/>
          <w:color w:val="000000"/>
          <w:sz w:val="20"/>
          <w:szCs w:val="20"/>
        </w:rPr>
        <w:t xml:space="preserve">Ratings are qualitative judgements of likelihood (L) and impact (I) over the next 24 months: High, Medium or Low. Owners are Danantara functions; where another institution must act, the Danantara owner coordinates with it.</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2"/>
        <w:gridCol w:w="1446"/>
        <w:gridCol w:w="2217"/>
        <w:gridCol w:w="2988"/>
        <w:gridCol w:w="771"/>
        <w:gridCol w:w="1734"/>
      </w:tblGrid>
      <w:tr>
        <w:trPr>
          <w:cantSplit/>
          <w:tblHeader/>
        </w:trPr>
        <w:tc>
          <w:tcPr>
            <w:tcW w:type="dxa" w:w="482"/>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5"/>
                <w:szCs w:val="15"/>
              </w:rPr>
              <w:t xml:space="preserve">#</w:t>
            </w:r>
          </w:p>
        </w:tc>
        <w:tc>
          <w:tcPr>
            <w:tcW w:type="dxa" w:w="1446"/>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5"/>
                <w:szCs w:val="15"/>
              </w:rPr>
              <w:t xml:space="preserve">Risk</w:t>
            </w:r>
          </w:p>
        </w:tc>
        <w:tc>
          <w:tcPr>
            <w:tcW w:type="dxa" w:w="2217"/>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5"/>
                <w:szCs w:val="15"/>
              </w:rPr>
              <w:t xml:space="preserve">How it would materialise</w:t>
            </w:r>
          </w:p>
        </w:tc>
        <w:tc>
          <w:tcPr>
            <w:tcW w:type="dxa" w:w="2988"/>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5"/>
                <w:szCs w:val="15"/>
              </w:rPr>
              <w:t xml:space="preserve">Mitigation</w:t>
            </w:r>
          </w:p>
        </w:tc>
        <w:tc>
          <w:tcPr>
            <w:tcW w:type="dxa" w:w="771"/>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5"/>
                <w:szCs w:val="15"/>
              </w:rPr>
              <w:t xml:space="preserve">L / I</w:t>
            </w:r>
          </w:p>
        </w:tc>
        <w:tc>
          <w:tcPr>
            <w:tcW w:type="dxa" w:w="1734"/>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5"/>
                <w:szCs w:val="15"/>
              </w:rPr>
              <w:t xml:space="preserve">Owner</w:t>
            </w:r>
          </w:p>
        </w:tc>
      </w:tr>
      <w:tr>
        <w:trPr>
          <w:cantSplit/>
        </w:trPr>
        <w:tc>
          <w:tcPr>
            <w:tcW w:type="dxa" w:w="48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1</w:t>
            </w:r>
          </w:p>
        </w:tc>
        <w:tc>
          <w:tcPr>
            <w:tcW w:type="dxa" w:w="144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Quota instead of gates</w:t>
            </w:r>
          </w:p>
        </w:tc>
        <w:tc>
          <w:tcPr>
            <w:tcW w:type="dxa" w:w="2217"/>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Orders placed before verified readiness; quality failures on warships or infrastructure</w:t>
            </w:r>
          </w:p>
        </w:tc>
        <w:tc>
          <w:tcPr>
            <w:tcW w:type="dxa" w:w="298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Gate rules in contracts; independent assessors; pre-approved fall-back sources</w:t>
            </w:r>
          </w:p>
        </w:tc>
        <w:tc>
          <w:tcPr>
            <w:tcW w:type="dxa" w:w="771"/>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M / H</w:t>
            </w:r>
          </w:p>
        </w:tc>
        <w:tc>
          <w:tcPr>
            <w:tcW w:type="dxa" w:w="1734"/>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Unit (with integrators)</w:t>
            </w:r>
          </w:p>
        </w:tc>
      </w:tr>
      <w:tr>
        <w:trPr>
          <w:cantSplit/>
        </w:trPr>
        <w:tc>
          <w:tcPr>
            <w:tcW w:type="dxa" w:w="48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2</w:t>
            </w:r>
          </w:p>
        </w:tc>
        <w:tc>
          <w:tcPr>
            <w:tcW w:type="dxa" w:w="1446"/>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Mandate duplication</w:t>
            </w:r>
          </w:p>
        </w:tc>
        <w:tc>
          <w:tcPr>
            <w:tcW w:type="dxa" w:w="2217"/>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Unit becomes an extra meeting layer; arms dispute ownership</w:t>
            </w:r>
          </w:p>
        </w:tc>
        <w:tc>
          <w:tcPr>
            <w:tcW w:type="dxa" w:w="2988"/>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Charters per function; single decision package; stop recurring meetings</w:t>
            </w:r>
          </w:p>
        </w:tc>
        <w:tc>
          <w:tcPr>
            <w:tcW w:type="dxa" w:w="771"/>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M / M</w:t>
            </w:r>
          </w:p>
        </w:tc>
        <w:tc>
          <w:tcPr>
            <w:tcW w:type="dxa" w:w="1734"/>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Head of the Executive Body</w:t>
            </w:r>
          </w:p>
        </w:tc>
      </w:tr>
      <w:tr>
        <w:trPr>
          <w:cantSplit/>
        </w:trPr>
        <w:tc>
          <w:tcPr>
            <w:tcW w:type="dxa" w:w="48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3</w:t>
            </w:r>
          </w:p>
        </w:tc>
        <w:tc>
          <w:tcPr>
            <w:tcW w:type="dxa" w:w="144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Promoter dominance</w:t>
            </w:r>
          </w:p>
        </w:tc>
        <w:tc>
          <w:tcPr>
            <w:tcW w:type="dxa" w:w="2217"/>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Project champions override risk and legal objections</w:t>
            </w:r>
          </w:p>
        </w:tc>
        <w:tc>
          <w:tcPr>
            <w:tcW w:type="dxa" w:w="298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Independent risk and legal lines; dissent recorded in minutes</w:t>
            </w:r>
          </w:p>
        </w:tc>
        <w:tc>
          <w:tcPr>
            <w:tcW w:type="dxa" w:w="771"/>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M / H</w:t>
            </w:r>
          </w:p>
        </w:tc>
        <w:tc>
          <w:tcPr>
            <w:tcW w:type="dxa" w:w="1734"/>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Risk; Legal</w:t>
            </w:r>
          </w:p>
        </w:tc>
      </w:tr>
      <w:tr>
        <w:trPr>
          <w:cantSplit/>
        </w:trPr>
        <w:tc>
          <w:tcPr>
            <w:tcW w:type="dxa" w:w="48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4</w:t>
            </w:r>
          </w:p>
        </w:tc>
        <w:tc>
          <w:tcPr>
            <w:tcW w:type="dxa" w:w="1446"/>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Hidden fiscal liabilities</w:t>
            </w:r>
          </w:p>
        </w:tc>
        <w:tc>
          <w:tcPr>
            <w:tcW w:type="dxa" w:w="2217"/>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NRF or project notes treated as non-debt; contingent claims surface later</w:t>
            </w:r>
          </w:p>
        </w:tc>
        <w:tc>
          <w:tcPr>
            <w:tcW w:type="dxa" w:w="2988"/>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Substance-based classification; pledged-revenue register; disclosure</w:t>
            </w:r>
          </w:p>
        </w:tc>
        <w:tc>
          <w:tcPr>
            <w:tcW w:type="dxa" w:w="771"/>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M / H</w:t>
            </w:r>
          </w:p>
        </w:tc>
        <w:tc>
          <w:tcPr>
            <w:tcW w:type="dxa" w:w="1734"/>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Finance, with the Ministry of Finance</w:t>
            </w:r>
          </w:p>
        </w:tc>
      </w:tr>
      <w:tr>
        <w:trPr>
          <w:cantSplit/>
        </w:trPr>
        <w:tc>
          <w:tcPr>
            <w:tcW w:type="dxa" w:w="48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5</w:t>
            </w:r>
          </w:p>
        </w:tc>
        <w:tc>
          <w:tcPr>
            <w:tcW w:type="dxa" w:w="144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Legal challenge to resource rights</w:t>
            </w:r>
          </w:p>
        </w:tc>
        <w:tc>
          <w:tcPr>
            <w:tcW w:type="dxa" w:w="2217"/>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Licence holders or investors contest pledges or licence reviews</w:t>
            </w:r>
          </w:p>
        </w:tc>
        <w:tc>
          <w:tcPr>
            <w:tcW w:type="dxa" w:w="298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Pre-issuance legal review; due process; issue only on undisputed assets</w:t>
            </w:r>
          </w:p>
        </w:tc>
        <w:tc>
          <w:tcPr>
            <w:tcW w:type="dxa" w:w="771"/>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M / H</w:t>
            </w:r>
          </w:p>
        </w:tc>
        <w:tc>
          <w:tcPr>
            <w:tcW w:type="dxa" w:w="1734"/>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Legal, with the Government</w:t>
            </w:r>
          </w:p>
        </w:tc>
      </w:tr>
      <w:tr>
        <w:trPr>
          <w:cantSplit/>
        </w:trPr>
        <w:tc>
          <w:tcPr>
            <w:tcW w:type="dxa" w:w="48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6</w:t>
            </w:r>
          </w:p>
        </w:tc>
        <w:tc>
          <w:tcPr>
            <w:tcW w:type="dxa" w:w="1446"/>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Overstated valuations</w:t>
            </w:r>
          </w:p>
        </w:tc>
        <w:tc>
          <w:tcPr>
            <w:tcW w:type="dxa" w:w="2217"/>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Headline reserve values read as financing capacity</w:t>
            </w:r>
          </w:p>
        </w:tc>
        <w:tc>
          <w:tcPr>
            <w:tcW w:type="dxa" w:w="2988"/>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KCMI/CRIRSCO proven and probable only; independent valuers; coverage caps</w:t>
            </w:r>
          </w:p>
        </w:tc>
        <w:tc>
          <w:tcPr>
            <w:tcW w:type="dxa" w:w="771"/>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H / H</w:t>
            </w:r>
          </w:p>
        </w:tc>
        <w:tc>
          <w:tcPr>
            <w:tcW w:type="dxa" w:w="1734"/>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Finance (with an NRF board if created)</w:t>
            </w:r>
          </w:p>
        </w:tc>
      </w:tr>
      <w:tr>
        <w:trPr>
          <w:cantSplit/>
        </w:trPr>
        <w:tc>
          <w:tcPr>
            <w:tcW w:type="dxa" w:w="48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7</w:t>
            </w:r>
          </w:p>
        </w:tc>
        <w:tc>
          <w:tcPr>
            <w:tcW w:type="dxa" w:w="144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Programme delay or late state payment</w:t>
            </w:r>
          </w:p>
        </w:tc>
        <w:tc>
          <w:tcPr>
            <w:tcW w:type="dxa" w:w="2217"/>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A milestone or state payment slips; project-note investors unpaid</w:t>
            </w:r>
          </w:p>
        </w:tc>
        <w:tc>
          <w:tcPr>
            <w:tcW w:type="dxa" w:w="298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Liquidity lines; stress tests; conservative tranche sizing</w:t>
            </w:r>
          </w:p>
        </w:tc>
        <w:tc>
          <w:tcPr>
            <w:tcW w:type="dxa" w:w="771"/>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M / M</w:t>
            </w:r>
          </w:p>
        </w:tc>
        <w:tc>
          <w:tcPr>
            <w:tcW w:type="dxa" w:w="1734"/>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DIM (with the issuer)</w:t>
            </w:r>
          </w:p>
        </w:tc>
      </w:tr>
      <w:tr>
        <w:trPr>
          <w:cantSplit/>
        </w:trPr>
        <w:tc>
          <w:tcPr>
            <w:tcW w:type="dxa" w:w="48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8</w:t>
            </w:r>
          </w:p>
        </w:tc>
        <w:tc>
          <w:tcPr>
            <w:tcW w:type="dxa" w:w="1446"/>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Technology and cyber</w:t>
            </w:r>
          </w:p>
        </w:tc>
        <w:tc>
          <w:tcPr>
            <w:tcW w:type="dxa" w:w="2217"/>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Smart-contract fault, key compromise, data leak</w:t>
            </w:r>
          </w:p>
        </w:tc>
        <w:tc>
          <w:tcPr>
            <w:tcW w:type="dxa" w:w="2988"/>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Independent audits; HSM key management; BSSN controls; fiat fall-back ledger</w:t>
            </w:r>
          </w:p>
        </w:tc>
        <w:tc>
          <w:tcPr>
            <w:tcW w:type="dxa" w:w="771"/>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L / H</w:t>
            </w:r>
          </w:p>
        </w:tc>
        <w:tc>
          <w:tcPr>
            <w:tcW w:type="dxa" w:w="1734"/>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CTO (with the issuer)</w:t>
            </w:r>
          </w:p>
        </w:tc>
      </w:tr>
      <w:tr>
        <w:trPr>
          <w:cantSplit/>
        </w:trPr>
        <w:tc>
          <w:tcPr>
            <w:tcW w:type="dxa" w:w="48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9</w:t>
            </w:r>
          </w:p>
        </w:tc>
        <w:tc>
          <w:tcPr>
            <w:tcW w:type="dxa" w:w="144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Construction SOE contagion</w:t>
            </w:r>
          </w:p>
        </w:tc>
        <w:tc>
          <w:tcPr>
            <w:tcW w:type="dxa" w:w="2217"/>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Losses impair state-bank asset quality and SOE dividends</w:t>
            </w:r>
          </w:p>
        </w:tc>
        <w:tc>
          <w:tcPr>
            <w:tcW w:type="dxa" w:w="298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Group stress tests; legacy-asset separation; concentration limits</w:t>
            </w:r>
          </w:p>
        </w:tc>
        <w:tc>
          <w:tcPr>
            <w:tcW w:type="dxa" w:w="771"/>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H / H</w:t>
            </w:r>
          </w:p>
        </w:tc>
        <w:tc>
          <w:tcPr>
            <w:tcW w:type="dxa" w:w="1734"/>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DAM; Risk</w:t>
            </w:r>
          </w:p>
        </w:tc>
      </w:tr>
      <w:tr>
        <w:trPr>
          <w:cantSplit/>
        </w:trPr>
        <w:tc>
          <w:tcPr>
            <w:tcW w:type="dxa" w:w="48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10</w:t>
            </w:r>
          </w:p>
        </w:tc>
        <w:tc>
          <w:tcPr>
            <w:tcW w:type="dxa" w:w="1446"/>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AI model and data risk</w:t>
            </w:r>
          </w:p>
        </w:tc>
        <w:tc>
          <w:tcPr>
            <w:tcW w:type="dxa" w:w="2217"/>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Agents act on poor master data or produce unsupported answers</w:t>
            </w:r>
          </w:p>
        </w:tc>
        <w:tc>
          <w:tcPr>
            <w:tcW w:type="dxa" w:w="2988"/>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Read-only start; source citations; evaluation sets; human approval</w:t>
            </w:r>
          </w:p>
        </w:tc>
        <w:tc>
          <w:tcPr>
            <w:tcW w:type="dxa" w:w="771"/>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M / M</w:t>
            </w:r>
          </w:p>
        </w:tc>
        <w:tc>
          <w:tcPr>
            <w:tcW w:type="dxa" w:w="1734"/>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AI platform owner</w:t>
            </w:r>
          </w:p>
        </w:tc>
      </w:tr>
      <w:tr>
        <w:trPr>
          <w:cantSplit/>
        </w:trPr>
        <w:tc>
          <w:tcPr>
            <w:tcW w:type="dxa" w:w="48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11</w:t>
            </w:r>
          </w:p>
        </w:tc>
        <w:tc>
          <w:tcPr>
            <w:tcW w:type="dxa" w:w="144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Adoption failure</w:t>
            </w:r>
          </w:p>
        </w:tc>
        <w:tc>
          <w:tcPr>
            <w:tcW w:type="dxa" w:w="2217"/>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Dashboards built but not used for decisions</w:t>
            </w:r>
          </w:p>
        </w:tc>
        <w:tc>
          <w:tcPr>
            <w:tcW w:type="dxa" w:w="298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Business team in the build; decisions logged with agent evidence</w:t>
            </w:r>
          </w:p>
        </w:tc>
        <w:tc>
          <w:tcPr>
            <w:tcW w:type="dxa" w:w="771"/>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M / M</w:t>
            </w:r>
          </w:p>
        </w:tc>
        <w:tc>
          <w:tcPr>
            <w:tcW w:type="dxa" w:w="1734"/>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DAM (with SOE CEOs)</w:t>
            </w:r>
          </w:p>
        </w:tc>
      </w:tr>
      <w:tr>
        <w:trPr>
          <w:cantSplit/>
        </w:trPr>
        <w:tc>
          <w:tcPr>
            <w:tcW w:type="dxa" w:w="48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12</w:t>
            </w:r>
          </w:p>
        </w:tc>
        <w:tc>
          <w:tcPr>
            <w:tcW w:type="dxa" w:w="1446"/>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Misuse of the strategic label</w:t>
            </w:r>
          </w:p>
        </w:tc>
        <w:tc>
          <w:tcPr>
            <w:tcW w:type="dxa" w:w="2217"/>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Weak projects enter the portfolio to gain support</w:t>
            </w:r>
          </w:p>
        </w:tc>
        <w:tc>
          <w:tcPr>
            <w:tcW w:type="dxa" w:w="2988"/>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Entry criteria; re-evaluation; stop and exit discipline</w:t>
            </w:r>
          </w:p>
        </w:tc>
        <w:tc>
          <w:tcPr>
            <w:tcW w:type="dxa" w:w="771"/>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M / H</w:t>
            </w:r>
          </w:p>
        </w:tc>
        <w:tc>
          <w:tcPr>
            <w:tcW w:type="dxa" w:w="1734"/>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Unit; Supervisory Board</w:t>
            </w:r>
          </w:p>
        </w:tc>
      </w:tr>
      <w:tr>
        <w:trPr>
          <w:cantSplit/>
        </w:trPr>
        <w:tc>
          <w:tcPr>
            <w:tcW w:type="dxa" w:w="48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13</w:t>
            </w:r>
          </w:p>
        </w:tc>
        <w:tc>
          <w:tcPr>
            <w:tcW w:type="dxa" w:w="144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Vendor and technology dependence</w:t>
            </w:r>
          </w:p>
        </w:tc>
        <w:tc>
          <w:tcPr>
            <w:tcW w:type="dxa" w:w="2217"/>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Foreign partners retain IP; local capability not built</w:t>
            </w:r>
          </w:p>
        </w:tc>
        <w:tc>
          <w:tcPr>
            <w:tcW w:type="dxa" w:w="298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IP strategy at P2/P3; independently accepted technology milestones</w:t>
            </w:r>
          </w:p>
        </w:tc>
        <w:tc>
          <w:tcPr>
            <w:tcW w:type="dxa" w:w="771"/>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H / M</w:t>
            </w:r>
          </w:p>
        </w:tc>
        <w:tc>
          <w:tcPr>
            <w:tcW w:type="dxa" w:w="1734"/>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CTO</w:t>
            </w:r>
          </w:p>
        </w:tc>
      </w:tr>
      <w:tr>
        <w:trPr>
          <w:cantSplit/>
        </w:trPr>
        <w:tc>
          <w:tcPr>
            <w:tcW w:type="dxa" w:w="48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14</w:t>
            </w:r>
          </w:p>
        </w:tc>
        <w:tc>
          <w:tcPr>
            <w:tcW w:type="dxa" w:w="1446"/>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Claims without evidence</w:t>
            </w:r>
          </w:p>
        </w:tc>
        <w:tc>
          <w:tcPr>
            <w:tcW w:type="dxa" w:w="2217"/>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Announcements reported as results</w:t>
            </w:r>
          </w:p>
        </w:tc>
        <w:tc>
          <w:tcPr>
            <w:tcW w:type="dxa" w:w="2988"/>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Evidence classes; NR treatment; capital-stage reporting</w:t>
            </w:r>
          </w:p>
        </w:tc>
        <w:tc>
          <w:tcPr>
            <w:tcW w:type="dxa" w:w="771"/>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H / M</w:t>
            </w:r>
          </w:p>
        </w:tc>
        <w:tc>
          <w:tcPr>
            <w:tcW w:type="dxa" w:w="1734"/>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Performance office</w:t>
            </w:r>
          </w:p>
        </w:tc>
      </w:tr>
      <w:tr>
        <w:trPr>
          <w:cantSplit/>
        </w:trPr>
        <w:tc>
          <w:tcPr>
            <w:tcW w:type="dxa" w:w="48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15</w:t>
            </w:r>
          </w:p>
        </w:tc>
        <w:tc>
          <w:tcPr>
            <w:tcW w:type="dxa" w:w="144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Sovereign rating and fiscal space</w:t>
            </w:r>
          </w:p>
        </w:tc>
        <w:tc>
          <w:tcPr>
            <w:tcW w:type="dxa" w:w="2217"/>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Rating agencies treat NRF notes or project notes as government debt</w:t>
            </w:r>
          </w:p>
        </w:tc>
        <w:tc>
          <w:tcPr>
            <w:tcW w:type="dxa" w:w="298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Early dialogue with the Ministry of Finance; conservative issuance; disclosure</w:t>
            </w:r>
          </w:p>
        </w:tc>
        <w:tc>
          <w:tcPr>
            <w:tcW w:type="dxa" w:w="771"/>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M / H</w:t>
            </w:r>
          </w:p>
        </w:tc>
        <w:tc>
          <w:tcPr>
            <w:tcW w:type="dxa" w:w="1734"/>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Finance</w:t>
            </w:r>
          </w:p>
        </w:tc>
      </w:tr>
      <w:tr>
        <w:trPr>
          <w:cantSplit/>
        </w:trPr>
        <w:tc>
          <w:tcPr>
            <w:tcW w:type="dxa" w:w="48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16</w:t>
            </w:r>
          </w:p>
        </w:tc>
        <w:tc>
          <w:tcPr>
            <w:tcW w:type="dxa" w:w="1446"/>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Overlapping institutional mandates</w:t>
            </w:r>
          </w:p>
        </w:tc>
        <w:tc>
          <w:tcPr>
            <w:tcW w:type="dxa" w:w="2217"/>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NRF, Danantara and ministries contest roles</w:t>
            </w:r>
          </w:p>
        </w:tc>
        <w:tc>
          <w:tcPr>
            <w:tcW w:type="dxa" w:w="2988"/>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Mandate letters; owner–manager separation; agreed coordination forum</w:t>
            </w:r>
          </w:p>
        </w:tc>
        <w:tc>
          <w:tcPr>
            <w:tcW w:type="dxa" w:w="771"/>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M / H</w:t>
            </w:r>
          </w:p>
        </w:tc>
        <w:tc>
          <w:tcPr>
            <w:tcW w:type="dxa" w:w="1734"/>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Head of the Executive Body</w:t>
            </w:r>
          </w:p>
        </w:tc>
      </w:tr>
      <w:tr>
        <w:trPr>
          <w:cantSplit/>
        </w:trPr>
        <w:tc>
          <w:tcPr>
            <w:tcW w:type="dxa" w:w="48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17</w:t>
            </w:r>
          </w:p>
        </w:tc>
        <w:tc>
          <w:tcPr>
            <w:tcW w:type="dxa" w:w="144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Leadership transition and key people</w:t>
            </w:r>
          </w:p>
        </w:tc>
        <w:tc>
          <w:tcPr>
            <w:tcW w:type="dxa" w:w="2217"/>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Programme loses its sponsor or scarce specialists</w:t>
            </w:r>
          </w:p>
        </w:tc>
        <w:tc>
          <w:tcPr>
            <w:tcW w:type="dxa" w:w="298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Documented mandates; succession plans; institutional rather than personal ownership</w:t>
            </w:r>
          </w:p>
        </w:tc>
        <w:tc>
          <w:tcPr>
            <w:tcW w:type="dxa" w:w="771"/>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M / M</w:t>
            </w:r>
          </w:p>
        </w:tc>
        <w:tc>
          <w:tcPr>
            <w:tcW w:type="dxa" w:w="1734"/>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Head of the Executive Body; HR</w:t>
            </w:r>
          </w:p>
        </w:tc>
      </w:tr>
      <w:tr>
        <w:trPr>
          <w:cantSplit/>
        </w:trPr>
        <w:tc>
          <w:tcPr>
            <w:tcW w:type="dxa" w:w="48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18</w:t>
            </w:r>
          </w:p>
        </w:tc>
        <w:tc>
          <w:tcPr>
            <w:tcW w:type="dxa" w:w="1446"/>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Procurement and integrity in DOCK-UP</w:t>
            </w:r>
          </w:p>
        </w:tc>
        <w:tc>
          <w:tcPr>
            <w:tcW w:type="dxa" w:w="2217"/>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Gate results or orders influenced improperly</w:t>
            </w:r>
          </w:p>
        </w:tc>
        <w:tc>
          <w:tcPr>
            <w:tcW w:type="dxa" w:w="2988"/>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Independent assessors; rotation; audit trail in the register; conflict declarations</w:t>
            </w:r>
          </w:p>
        </w:tc>
        <w:tc>
          <w:tcPr>
            <w:tcW w:type="dxa" w:w="771"/>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M / H</w:t>
            </w:r>
          </w:p>
        </w:tc>
        <w:tc>
          <w:tcPr>
            <w:tcW w:type="dxa" w:w="1734"/>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Internal Audit; unit</w:t>
            </w:r>
          </w:p>
        </w:tc>
      </w:tr>
      <w:tr>
        <w:trPr>
          <w:cantSplit/>
        </w:trPr>
        <w:tc>
          <w:tcPr>
            <w:tcW w:type="dxa" w:w="48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pPr>
            <w:r>
              <w:rPr>
                <w:rFonts w:ascii="Arial" w:cs="Arial" w:eastAsia="Arial" w:hAnsi="Arial"/>
                <w:color w:val="000000"/>
                <w:sz w:val="15"/>
                <w:szCs w:val="15"/>
              </w:rPr>
              <w:t xml:space="preserve">19</w:t>
            </w:r>
          </w:p>
        </w:tc>
        <w:tc>
          <w:tcPr>
            <w:tcW w:type="dxa" w:w="144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pPr>
            <w:r>
              <w:rPr>
                <w:rFonts w:ascii="Arial" w:cs="Arial" w:eastAsia="Arial" w:hAnsi="Arial"/>
                <w:color w:val="000000"/>
                <w:sz w:val="15"/>
                <w:szCs w:val="15"/>
              </w:rPr>
              <w:t xml:space="preserve">SME credit concentration</w:t>
            </w:r>
          </w:p>
        </w:tc>
        <w:tc>
          <w:tcPr>
            <w:tcW w:type="dxa" w:w="2217"/>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pPr>
            <w:r>
              <w:rPr>
                <w:rFonts w:ascii="Arial" w:cs="Arial" w:eastAsia="Arial" w:hAnsi="Arial"/>
                <w:color w:val="000000"/>
                <w:sz w:val="15"/>
                <w:szCs w:val="15"/>
              </w:rPr>
              <w:t xml:space="preserve">SME defaults cluster in banks lending against gates</w:t>
            </w:r>
          </w:p>
        </w:tc>
        <w:tc>
          <w:tcPr>
            <w:tcW w:type="dxa" w:w="298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pPr>
            <w:r>
              <w:rPr>
                <w:rFonts w:ascii="Arial" w:cs="Arial" w:eastAsia="Arial" w:hAnsi="Arial"/>
                <w:color w:val="000000"/>
                <w:sz w:val="15"/>
                <w:szCs w:val="15"/>
              </w:rPr>
              <w:t xml:space="preserve">Credit limits per programme; first-loss sizing; monitoring</w:t>
            </w:r>
          </w:p>
        </w:tc>
        <w:tc>
          <w:tcPr>
            <w:tcW w:type="dxa" w:w="771"/>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pPr>
            <w:r>
              <w:rPr>
                <w:rFonts w:ascii="Arial" w:cs="Arial" w:eastAsia="Arial" w:hAnsi="Arial"/>
                <w:color w:val="000000"/>
                <w:sz w:val="15"/>
                <w:szCs w:val="15"/>
              </w:rPr>
              <w:t xml:space="preserve">M / M</w:t>
            </w:r>
          </w:p>
        </w:tc>
        <w:tc>
          <w:tcPr>
            <w:tcW w:type="dxa" w:w="1734"/>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pPr>
            <w:r>
              <w:rPr>
                <w:rFonts w:ascii="Arial" w:cs="Arial" w:eastAsia="Arial" w:hAnsi="Arial"/>
                <w:color w:val="000000"/>
                <w:sz w:val="15"/>
                <w:szCs w:val="15"/>
              </w:rPr>
              <w:t xml:space="preserve">Risk, with lending banks</w:t>
            </w:r>
          </w:p>
        </w:tc>
      </w:tr>
    </w:tbl>
    <w:p>
      <w:pPr>
        <w:keepNext w:val="false"/>
        <w:spacing w:after="140"/>
      </w:pPr>
    </w:p>
    <w:p>
      <w:pPr>
        <w:keepNext/>
        <w:spacing w:after="80" w:before="120"/>
      </w:pPr>
      <w:r>
        <w:rPr>
          <w:rFonts w:ascii="Arial" w:cs="Arial" w:eastAsia="Arial" w:hAnsi="Arial"/>
          <w:b/>
          <w:bCs/>
          <w:color w:val="00338D"/>
          <w:sz w:val="18"/>
          <w:szCs w:val="18"/>
        </w:rPr>
        <w:t xml:space="preserve">Table 22: </w:t>
      </w:r>
      <w:r>
        <w:rPr>
          <w:rFonts w:ascii="Arial" w:cs="Arial" w:eastAsia="Arial" w:hAnsi="Arial"/>
          <w:b/>
          <w:bCs/>
          <w:color w:val="00338D"/>
          <w:sz w:val="18"/>
          <w:szCs w:val="18"/>
        </w:rPr>
        <w:t xml:space="preserve">Risk map (risk numbers by likelihood and impact)</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10"/>
        <w:gridCol w:w="2410"/>
        <w:gridCol w:w="2410"/>
        <w:gridCol w:w="2408"/>
      </w:tblGrid>
      <w:tr>
        <w:trPr>
          <w:cantSplit/>
          <w:tblHeader/>
        </w:trPr>
        <w:tc>
          <w:tcPr>
            <w:tcW w:type="dxa" w:w="2410"/>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Likelihood \ Impact</w:t>
            </w:r>
          </w:p>
        </w:tc>
        <w:tc>
          <w:tcPr>
            <w:tcW w:type="dxa" w:w="2410"/>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Low impact</w:t>
            </w:r>
          </w:p>
        </w:tc>
        <w:tc>
          <w:tcPr>
            <w:tcW w:type="dxa" w:w="2410"/>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Medium impact</w:t>
            </w:r>
          </w:p>
        </w:tc>
        <w:tc>
          <w:tcPr>
            <w:tcW w:type="dxa" w:w="2408"/>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High impact</w:t>
            </w:r>
          </w:p>
        </w:tc>
      </w:tr>
      <w:tr>
        <w:trPr>
          <w:cantSplit/>
        </w:trPr>
        <w:tc>
          <w:tcPr>
            <w:tcW w:type="dxa" w:w="241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pPr>
            <w:r>
              <w:rPr>
                <w:rFonts w:ascii="Arial" w:cs="Arial" w:eastAsia="Arial" w:hAnsi="Arial"/>
                <w:b/>
                <w:bCs/>
                <w:color w:val="000000"/>
                <w:sz w:val="17"/>
                <w:szCs w:val="17"/>
              </w:rPr>
              <w:t xml:space="preserve">High likelihood</w:t>
            </w:r>
          </w:p>
        </w:tc>
        <w:tc>
          <w:tcPr>
            <w:tcW w:type="dxa" w:w="241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7"/>
                <w:szCs w:val="17"/>
              </w:rPr>
              <w:t xml:space="preserve">–</w:t>
            </w:r>
          </w:p>
        </w:tc>
        <w:tc>
          <w:tcPr>
            <w:tcW w:type="dxa" w:w="241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7"/>
                <w:szCs w:val="17"/>
              </w:rPr>
              <w:t xml:space="preserve">13, 14</w:t>
            </w:r>
          </w:p>
        </w:tc>
        <w:tc>
          <w:tcPr>
            <w:tcW w:type="dxa" w:w="240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7"/>
                <w:szCs w:val="17"/>
              </w:rPr>
              <w:t xml:space="preserve">6, 9</w:t>
            </w:r>
          </w:p>
        </w:tc>
      </w:tr>
      <w:tr>
        <w:trPr>
          <w:cantSplit/>
        </w:trPr>
        <w:tc>
          <w:tcPr>
            <w:tcW w:type="dxa" w:w="241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pPr>
            <w:r>
              <w:rPr>
                <w:rFonts w:ascii="Arial" w:cs="Arial" w:eastAsia="Arial" w:hAnsi="Arial"/>
                <w:b/>
                <w:bCs/>
                <w:color w:val="000000"/>
                <w:sz w:val="17"/>
                <w:szCs w:val="17"/>
              </w:rPr>
              <w:t xml:space="preserve">Medium likelihood</w:t>
            </w:r>
          </w:p>
        </w:tc>
        <w:tc>
          <w:tcPr>
            <w:tcW w:type="dxa" w:w="241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7"/>
                <w:szCs w:val="17"/>
              </w:rPr>
              <w:t xml:space="preserve">–</w:t>
            </w:r>
          </w:p>
        </w:tc>
        <w:tc>
          <w:tcPr>
            <w:tcW w:type="dxa" w:w="241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7"/>
                <w:szCs w:val="17"/>
              </w:rPr>
              <w:t xml:space="preserve">2, 7, 10, 11, 17, 19</w:t>
            </w:r>
          </w:p>
        </w:tc>
        <w:tc>
          <w:tcPr>
            <w:tcW w:type="dxa" w:w="240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7"/>
                <w:szCs w:val="17"/>
              </w:rPr>
              <w:t xml:space="preserve">1, 3, 4, 5, 12, 15, 16, 18</w:t>
            </w:r>
          </w:p>
        </w:tc>
      </w:tr>
      <w:tr>
        <w:trPr>
          <w:cantSplit/>
        </w:trPr>
        <w:tc>
          <w:tcPr>
            <w:tcW w:type="dxa" w:w="241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pPr>
            <w:r>
              <w:rPr>
                <w:rFonts w:ascii="Arial" w:cs="Arial" w:eastAsia="Arial" w:hAnsi="Arial"/>
                <w:b/>
                <w:bCs/>
                <w:color w:val="000000"/>
                <w:sz w:val="17"/>
                <w:szCs w:val="17"/>
              </w:rPr>
              <w:t xml:space="preserve">Low likelihood</w:t>
            </w:r>
          </w:p>
        </w:tc>
        <w:tc>
          <w:tcPr>
            <w:tcW w:type="dxa" w:w="241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7"/>
                <w:szCs w:val="17"/>
              </w:rPr>
              <w:t xml:space="preserve">–</w:t>
            </w:r>
          </w:p>
        </w:tc>
        <w:tc>
          <w:tcPr>
            <w:tcW w:type="dxa" w:w="241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7"/>
                <w:szCs w:val="17"/>
              </w:rPr>
              <w:t xml:space="preserve">–</w:t>
            </w:r>
          </w:p>
        </w:tc>
        <w:tc>
          <w:tcPr>
            <w:tcW w:type="dxa" w:w="240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7"/>
                <w:szCs w:val="17"/>
              </w:rPr>
              <w:t xml:space="preserve">8</w:t>
            </w:r>
          </w:p>
        </w:tc>
      </w:tr>
    </w:tbl>
    <w:p>
      <w:pPr>
        <w:pageBreakBefore/>
        <w:spacing w:after="0" w:line="240"/>
      </w:pPr>
      <w:r>
        <w:rPr>
          <w:sz w:val="2"/>
          <w:szCs w:val="2"/>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one" w:color="FFFFFF" w:sz="0"/>
              <w:left w:val="none" w:color="FFFFFF" w:sz="0"/>
              <w:bottom w:val="none" w:color="FFFFFF" w:sz="0"/>
              <w:right w:val="none" w:color="FFFFFF" w:sz="0"/>
            </w:tcBorders>
            <w:shd w:fill="00338D" w:color="auto" w:val="clear"/>
            <w:tcMar>
              <w:top w:type="dxa" w:w="260"/>
              <w:left w:type="dxa" w:w="300"/>
              <w:bottom w:type="dxa" w:w="300"/>
              <w:right w:type="dxa" w:w="300"/>
            </w:tcMar>
          </w:tcPr>
          <w:p>
            <w:pPr>
              <w:spacing w:after="0"/>
            </w:pPr>
            <w:r>
              <w:rPr>
                <w:rFonts w:ascii="Arial" w:cs="Arial" w:eastAsia="Arial" w:hAnsi="Arial"/>
                <w:b/>
                <w:bCs/>
                <w:color w:val="9CC7EF"/>
                <w:sz w:val="64"/>
                <w:szCs w:val="64"/>
              </w:rPr>
              <w:t xml:space="preserve">16</w:t>
            </w:r>
          </w:p>
          <w:p>
            <w:pPr>
              <w:pStyle w:val="Heading1"/>
              <w:spacing w:after="100"/>
            </w:pPr>
            <w:r>
              <w:rPr>
                <w:rFonts w:ascii="Arial" w:cs="Arial" w:eastAsia="Arial" w:hAnsi="Arial"/>
                <w:b/>
                <w:bCs/>
                <w:color w:val="FFFFFF"/>
                <w:sz w:val="40"/>
                <w:szCs w:val="40"/>
              </w:rPr>
              <w:t xml:space="preserve">Integrated roadmap</w:t>
            </w:r>
          </w:p>
          <w:p>
            <w:pPr>
              <w:spacing w:after="0" w:line="276"/>
            </w:pPr>
            <w:r>
              <w:rPr>
                <w:rFonts w:ascii="Arial" w:cs="Arial" w:eastAsia="Arial" w:hAnsi="Arial"/>
                <w:color w:val="FFFFFF"/>
                <w:sz w:val="20"/>
                <w:szCs w:val="20"/>
              </w:rPr>
              <w:t xml:space="preserve">Eight workstreams in four phases over 24 months and beyond, with decision points that make every expansion conditional on evidence.</w:t>
            </w:r>
          </w:p>
        </w:tc>
      </w:tr>
    </w:tbl>
    <w:p>
      <w:pPr>
        <w:spacing w:after="200"/>
      </w:pPr>
    </w:p>
    <w:p>
      <w:pPr>
        <w:pStyle w:val="Heading2"/>
        <w:keepNext/>
        <w:keepLines/>
        <w:spacing w:after="120" w:before="280"/>
      </w:pPr>
      <w:r>
        <w:rPr>
          <w:rFonts w:ascii="Arial" w:cs="Arial" w:eastAsia="Arial" w:hAnsi="Arial"/>
          <w:b/>
          <w:bCs/>
          <w:color w:val="00338D"/>
          <w:sz w:val="28"/>
          <w:szCs w:val="28"/>
        </w:rPr>
        <w:t xml:space="preserve">16.1 Workstreams and phases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42"/>
        <w:gridCol w:w="2024"/>
        <w:gridCol w:w="2024"/>
        <w:gridCol w:w="2024"/>
        <w:gridCol w:w="2024"/>
      </w:tblGrid>
      <w:tr>
        <w:trPr>
          <w:cantSplit/>
          <w:tblHeader/>
        </w:trPr>
        <w:tc>
          <w:tcPr>
            <w:tcW w:type="dxa" w:w="1542"/>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5"/>
                <w:szCs w:val="15"/>
              </w:rPr>
              <w:t xml:space="preserve">Workstream</w:t>
            </w:r>
          </w:p>
        </w:tc>
        <w:tc>
          <w:tcPr>
            <w:tcW w:type="dxa" w:w="2024"/>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5"/>
                <w:szCs w:val="15"/>
              </w:rPr>
              <w:t xml:space="preserve">0–90 days</w:t>
            </w:r>
          </w:p>
        </w:tc>
        <w:tc>
          <w:tcPr>
            <w:tcW w:type="dxa" w:w="2024"/>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5"/>
                <w:szCs w:val="15"/>
              </w:rPr>
              <w:t xml:space="preserve">4–12 months</w:t>
            </w:r>
          </w:p>
        </w:tc>
        <w:tc>
          <w:tcPr>
            <w:tcW w:type="dxa" w:w="2024"/>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5"/>
                <w:szCs w:val="15"/>
              </w:rPr>
              <w:t xml:space="preserve">12–24 months</w:t>
            </w:r>
          </w:p>
        </w:tc>
        <w:tc>
          <w:tcPr>
            <w:tcW w:type="dxa" w:w="2024"/>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5"/>
                <w:szCs w:val="15"/>
              </w:rPr>
              <w:t xml:space="preserve">&gt; 24 months</w:t>
            </w:r>
          </w:p>
        </w:tc>
      </w:tr>
      <w:tr>
        <w:trPr>
          <w:cantSplit/>
        </w:trPr>
        <w:tc>
          <w:tcPr>
            <w:tcW w:type="dxa" w:w="154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5"/>
                <w:szCs w:val="15"/>
              </w:rPr>
              <w:t xml:space="preserve">1 Governance and unit</w:t>
            </w:r>
          </w:p>
        </w:tc>
        <w:tc>
          <w:tcPr>
            <w:tcW w:type="dxa" w:w="2024"/>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Approval in principle (Day 0); charter; leader; secondments; authorisation map; pilot project group; design confirmed Day 90</w:t>
            </w:r>
          </w:p>
        </w:tc>
        <w:tc>
          <w:tcPr>
            <w:tcW w:type="dxa" w:w="2024"/>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Extend unit to full portfolio; assurance review; review of any formal position no earlier than month 12</w:t>
            </w:r>
          </w:p>
        </w:tc>
        <w:tc>
          <w:tcPr>
            <w:tcW w:type="dxa" w:w="2024"/>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Decide permanent structure on evidence</w:t>
            </w:r>
          </w:p>
        </w:tc>
        <w:tc>
          <w:tcPr>
            <w:tcW w:type="dxa" w:w="2024"/>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Review holding options only if criteria met</w:t>
            </w:r>
          </w:p>
        </w:tc>
      </w:tr>
      <w:tr>
        <w:trPr>
          <w:cantSplit/>
        </w:trPr>
        <w:tc>
          <w:tcPr>
            <w:tcW w:type="dxa" w:w="154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5"/>
                <w:szCs w:val="15"/>
              </w:rPr>
              <w:t xml:space="preserve">2 Register and scorecards</w:t>
            </w:r>
          </w:p>
        </w:tc>
        <w:tc>
          <w:tcPr>
            <w:tcW w:type="dxa" w:w="2024"/>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Reconciled register; capital/perimeter bridge; data dictionary; benchmark policy</w:t>
            </w:r>
          </w:p>
        </w:tc>
        <w:tc>
          <w:tcPr>
            <w:tcW w:type="dxa" w:w="2024"/>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First reconciled dashboard; quarterly scorecards</w:t>
            </w:r>
          </w:p>
        </w:tc>
        <w:tc>
          <w:tcPr>
            <w:tcW w:type="dxa" w:w="2024"/>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Published annual portfolio report</w:t>
            </w:r>
          </w:p>
        </w:tc>
        <w:tc>
          <w:tcPr>
            <w:tcW w:type="dxa" w:w="2024"/>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Completed-project evaluations</w:t>
            </w:r>
          </w:p>
        </w:tc>
      </w:tr>
      <w:tr>
        <w:trPr>
          <w:cantSplit/>
        </w:trPr>
        <w:tc>
          <w:tcPr>
            <w:tcW w:type="dxa" w:w="154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5"/>
                <w:szCs w:val="15"/>
              </w:rPr>
              <w:t xml:space="preserve">3 DOCK-UP</w:t>
            </w:r>
          </w:p>
        </w:tc>
        <w:tc>
          <w:tcPr>
            <w:tcW w:type="dxa" w:w="2024"/>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Gates and pilot design adopted (Day 60); assessor pool; entry assessments</w:t>
            </w:r>
          </w:p>
        </w:tc>
        <w:tc>
          <w:tcPr>
            <w:tcW w:type="dxa" w:w="2024"/>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Pilot starts month 4: 1 integrator, 20–30 SMEs, 3–5 component groups; first G1 orders around months 10–11</w:t>
            </w:r>
          </w:p>
        </w:tc>
        <w:tc>
          <w:tcPr>
            <w:tcW w:type="dxa" w:w="2024"/>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Decision on second integrator and civil anchors (months 12–15); first G2–G3 suppliers</w:t>
            </w:r>
          </w:p>
        </w:tc>
        <w:tc>
          <w:tcPr>
            <w:tcW w:type="dxa" w:w="2024"/>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Standard model across DEFEND ID and anchor projects</w:t>
            </w:r>
          </w:p>
        </w:tc>
      </w:tr>
      <w:tr>
        <w:trPr>
          <w:cantSplit/>
        </w:trPr>
        <w:tc>
          <w:tcPr>
            <w:tcW w:type="dxa" w:w="154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5"/>
                <w:szCs w:val="15"/>
              </w:rPr>
              <w:t xml:space="preserve">4 Anchor projects</w:t>
            </w:r>
          </w:p>
        </w:tc>
        <w:tc>
          <w:tcPr>
            <w:tcW w:type="dxa" w:w="2024"/>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Identify anchors; long-list localisable packages</w:t>
            </w:r>
          </w:p>
        </w:tc>
        <w:tc>
          <w:tcPr>
            <w:tcW w:type="dxa" w:w="2024"/>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Localisation plans at P2 for priority anchors</w:t>
            </w:r>
          </w:p>
        </w:tc>
        <w:tc>
          <w:tcPr>
            <w:tcW w:type="dxa" w:w="2024"/>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Framework contracts at P3/P4</w:t>
            </w:r>
          </w:p>
        </w:tc>
        <w:tc>
          <w:tcPr>
            <w:tcW w:type="dxa" w:w="2024"/>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Verified value-added reporting at P6</w:t>
            </w:r>
          </w:p>
        </w:tc>
      </w:tr>
      <w:tr>
        <w:trPr>
          <w:cantSplit/>
        </w:trPr>
        <w:tc>
          <w:tcPr>
            <w:tcW w:type="dxa" w:w="154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5"/>
                <w:szCs w:val="15"/>
              </w:rPr>
              <w:t xml:space="preserve">5 NRF</w:t>
            </w:r>
          </w:p>
        </w:tc>
        <w:tc>
          <w:tcPr>
            <w:tcW w:type="dxa" w:w="2024"/>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Proposal for the Government's consideration (Day 90)</w:t>
            </w:r>
          </w:p>
        </w:tc>
        <w:tc>
          <w:tcPr>
            <w:tcW w:type="dxa" w:w="2024"/>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If the Government proceeds: Stage 0 (rights, reserves, valuation, fiscal treatment), then a Stage 1 pilot if the gate is met</w:t>
            </w:r>
          </w:p>
        </w:tc>
        <w:tc>
          <w:tcPr>
            <w:tcW w:type="dxa" w:w="2024"/>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Stage 2: strategic minerals; industrial and DOCK-UP windows</w:t>
            </w:r>
          </w:p>
        </w:tc>
        <w:tc>
          <w:tcPr>
            <w:tcW w:type="dxa" w:w="2024"/>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Stage 3: mature fund</w:t>
            </w:r>
          </w:p>
        </w:tc>
      </w:tr>
      <w:tr>
        <w:trPr>
          <w:cantSplit/>
        </w:trPr>
        <w:tc>
          <w:tcPr>
            <w:tcW w:type="dxa" w:w="154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5"/>
                <w:szCs w:val="15"/>
              </w:rPr>
              <w:t xml:space="preserve">6 Project tokenisation</w:t>
            </w:r>
          </w:p>
        </w:tc>
        <w:tc>
          <w:tcPr>
            <w:tcW w:type="dxa" w:w="2024"/>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Work on six pre-conditions; corrected term sheet</w:t>
            </w:r>
          </w:p>
        </w:tc>
        <w:tc>
          <w:tcPr>
            <w:tcW w:type="dxa" w:w="2024"/>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Phase 1 pilot (US$150 m) in the OJK sandbox once pre-conditions are certified (earliest Q1 2027); compare with conventional escrow</w:t>
            </w:r>
          </w:p>
        </w:tc>
        <w:tc>
          <w:tcPr>
            <w:tcW w:type="dxa" w:w="2024"/>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Phase 2 decision on interim evidence; IDR receivable notes for other sectors</w:t>
            </w:r>
          </w:p>
        </w:tc>
        <w:tc>
          <w:tcPr>
            <w:tcW w:type="dxa" w:w="2024"/>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Phase 3 distribution only after licence and pilot maturity</w:t>
            </w:r>
          </w:p>
        </w:tc>
      </w:tr>
      <w:tr>
        <w:trPr>
          <w:cantSplit/>
        </w:trPr>
        <w:tc>
          <w:tcPr>
            <w:tcW w:type="dxa" w:w="154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5"/>
                <w:szCs w:val="15"/>
              </w:rPr>
              <w:t xml:space="preserve">7 Construction SOEs</w:t>
            </w:r>
          </w:p>
        </w:tc>
        <w:tc>
          <w:tcPr>
            <w:tcW w:type="dxa" w:w="2024"/>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Audited diagnostic (Day 30–90); bid discipline rules</w:t>
            </w:r>
          </w:p>
        </w:tc>
        <w:tc>
          <w:tcPr>
            <w:tcW w:type="dxa" w:w="2024"/>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Legacy-asset separation; cash protection</w:t>
            </w:r>
          </w:p>
        </w:tc>
        <w:tc>
          <w:tcPr>
            <w:tcW w:type="dxa" w:w="2024"/>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Structure decision on evidence</w:t>
            </w:r>
          </w:p>
        </w:tc>
        <w:tc>
          <w:tcPr>
            <w:tcW w:type="dxa" w:w="2024"/>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Sustained economic profit</w:t>
            </w:r>
          </w:p>
        </w:tc>
      </w:tr>
      <w:tr>
        <w:trPr>
          <w:cantSplit/>
        </w:trPr>
        <w:tc>
          <w:tcPr>
            <w:tcW w:type="dxa" w:w="154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pPr>
            <w:r>
              <w:rPr>
                <w:rFonts w:ascii="Arial" w:cs="Arial" w:eastAsia="Arial" w:hAnsi="Arial"/>
                <w:b/>
                <w:bCs/>
                <w:color w:val="000000"/>
                <w:sz w:val="15"/>
                <w:szCs w:val="15"/>
              </w:rPr>
              <w:t xml:space="preserve">8 AI platform</w:t>
            </w:r>
          </w:p>
        </w:tc>
        <w:tc>
          <w:tcPr>
            <w:tcW w:type="dxa" w:w="2024"/>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5"/>
                <w:szCs w:val="15"/>
              </w:rPr>
              <w:t xml:space="preserve">MVP starts Day 30; 6 agents; pilot on 2–3 projects live about Day 120</w:t>
            </w:r>
          </w:p>
        </w:tc>
        <w:tc>
          <w:tcPr>
            <w:tcW w:type="dxa" w:w="2024"/>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5"/>
                <w:szCs w:val="15"/>
              </w:rPr>
              <w:t xml:space="preserve">Phase 2 (6–12 months after MVP start): 2–3 SOEs; 20–50 projects</w:t>
            </w:r>
          </w:p>
        </w:tc>
        <w:tc>
          <w:tcPr>
            <w:tcW w:type="dxa" w:w="2024"/>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5"/>
                <w:szCs w:val="15"/>
              </w:rPr>
              <w:t xml:space="preserve">Phase 3: all construction SOEs; 100+ projects</w:t>
            </w:r>
          </w:p>
        </w:tc>
        <w:tc>
          <w:tcPr>
            <w:tcW w:type="dxa" w:w="2024"/>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5"/>
                <w:szCs w:val="15"/>
              </w:rPr>
              <w:t xml:space="preserve">Phase 4: national platform; extend to DOCK-UP, NRF, scorecards</w:t>
            </w:r>
          </w:p>
        </w:tc>
      </w:tr>
    </w:tbl>
    <w:p>
      <w:pPr>
        <w:keepNext w:val="false"/>
        <w:spacing w:after="140"/>
      </w:pPr>
    </w:p>
    <w:p>
      <w:pPr>
        <w:pStyle w:val="Heading2"/>
        <w:keepNext/>
        <w:keepLines/>
        <w:spacing w:after="120" w:before="280"/>
      </w:pPr>
      <w:r>
        <w:rPr>
          <w:rFonts w:ascii="Arial" w:cs="Arial" w:eastAsia="Arial" w:hAnsi="Arial"/>
          <w:b/>
          <w:bCs/>
          <w:color w:val="00338D"/>
          <w:sz w:val="28"/>
          <w:szCs w:val="28"/>
        </w:rPr>
        <w:t xml:space="preserve">16.2 Decision points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49"/>
        <w:gridCol w:w="4048"/>
        <w:gridCol w:w="4241"/>
      </w:tblGrid>
      <w:tr>
        <w:trPr>
          <w:cantSplit/>
          <w:tblHeader/>
        </w:trPr>
        <w:tc>
          <w:tcPr>
            <w:tcW w:type="dxa" w:w="1349"/>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When</w:t>
            </w:r>
          </w:p>
        </w:tc>
        <w:tc>
          <w:tcPr>
            <w:tcW w:type="dxa" w:w="4048"/>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Decision</w:t>
            </w:r>
          </w:p>
        </w:tc>
        <w:tc>
          <w:tcPr>
            <w:tcW w:type="dxa" w:w="4241"/>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Evidence required</w:t>
            </w:r>
          </w:p>
        </w:tc>
      </w:tr>
      <w:tr>
        <w:trPr>
          <w:cantSplit/>
        </w:trPr>
        <w:tc>
          <w:tcPr>
            <w:tcW w:type="dxa" w:w="1349"/>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7"/>
                <w:szCs w:val="17"/>
              </w:rPr>
              <w:t xml:space="preserve">Day 90</w:t>
            </w:r>
          </w:p>
        </w:tc>
        <w:tc>
          <w:tcPr>
            <w:tcW w:type="dxa" w:w="404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7"/>
                <w:szCs w:val="17"/>
              </w:rPr>
              <w:t xml:space="preserve">Confirm, adjust or stop the unit design</w:t>
            </w:r>
          </w:p>
        </w:tc>
        <w:tc>
          <w:tcPr>
            <w:tcW w:type="dxa" w:w="4241"/>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7"/>
                <w:szCs w:val="17"/>
              </w:rPr>
              <w:t xml:space="preserve">Decision-time data; resolved and unresolved blockers; decision packages with risk and legal opinions</w:t>
            </w:r>
          </w:p>
        </w:tc>
      </w:tr>
      <w:tr>
        <w:trPr>
          <w:cantSplit/>
        </w:trPr>
        <w:tc>
          <w:tcPr>
            <w:tcW w:type="dxa" w:w="1349"/>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7"/>
                <w:szCs w:val="17"/>
              </w:rPr>
              <w:t xml:space="preserve">About month 6 (after MVP evaluation)</w:t>
            </w:r>
          </w:p>
        </w:tc>
        <w:tc>
          <w:tcPr>
            <w:tcW w:type="dxa" w:w="4048"/>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7"/>
                <w:szCs w:val="17"/>
              </w:rPr>
              <w:t xml:space="preserve">Scale AI to Phase 2</w:t>
            </w:r>
          </w:p>
        </w:tc>
        <w:tc>
          <w:tcPr>
            <w:tcW w:type="dxa" w:w="4241"/>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7"/>
                <w:szCs w:val="17"/>
              </w:rPr>
              <w:t xml:space="preserve">MVP outcomes; net benefits measured</w:t>
            </w:r>
          </w:p>
        </w:tc>
      </w:tr>
      <w:tr>
        <w:trPr>
          <w:cantSplit/>
        </w:trPr>
        <w:tc>
          <w:tcPr>
            <w:tcW w:type="dxa" w:w="1349"/>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7"/>
                <w:szCs w:val="17"/>
              </w:rPr>
              <w:t xml:space="preserve">Month 12 or later</w:t>
            </w:r>
          </w:p>
        </w:tc>
        <w:tc>
          <w:tcPr>
            <w:tcW w:type="dxa" w:w="404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7"/>
                <w:szCs w:val="17"/>
              </w:rPr>
              <w:t xml:space="preserve">Review whether a formal Executive Body position is needed</w:t>
            </w:r>
          </w:p>
        </w:tc>
        <w:tc>
          <w:tcPr>
            <w:tcW w:type="dxa" w:w="4241"/>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7"/>
                <w:szCs w:val="17"/>
              </w:rPr>
              <w:t xml:space="preserve">Criteria in Section 13.8, measured over at least two quarters</w:t>
            </w:r>
          </w:p>
        </w:tc>
      </w:tr>
      <w:tr>
        <w:trPr>
          <w:cantSplit/>
        </w:trPr>
        <w:tc>
          <w:tcPr>
            <w:tcW w:type="dxa" w:w="1349"/>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7"/>
                <w:szCs w:val="17"/>
              </w:rPr>
              <w:t xml:space="preserve">Months 12–15</w:t>
            </w:r>
          </w:p>
        </w:tc>
        <w:tc>
          <w:tcPr>
            <w:tcW w:type="dxa" w:w="4048"/>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7"/>
                <w:szCs w:val="17"/>
              </w:rPr>
              <w:t xml:space="preserve">Extend DOCK-UP to a second integrator and to civil anchors</w:t>
            </w:r>
          </w:p>
        </w:tc>
        <w:tc>
          <w:tcPr>
            <w:tcW w:type="dxa" w:w="4241"/>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7"/>
                <w:szCs w:val="17"/>
              </w:rPr>
              <w:t xml:space="preserve">Pilot suppliers' gate results; quality records; integrator feedback</w:t>
            </w:r>
          </w:p>
        </w:tc>
      </w:tr>
      <w:tr>
        <w:trPr>
          <w:cantSplit/>
        </w:trPr>
        <w:tc>
          <w:tcPr>
            <w:tcW w:type="dxa" w:w="1349"/>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7"/>
                <w:szCs w:val="17"/>
              </w:rPr>
              <w:t xml:space="preserve">When Stage 0 is complete</w:t>
            </w:r>
          </w:p>
        </w:tc>
        <w:tc>
          <w:tcPr>
            <w:tcW w:type="dxa" w:w="404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7"/>
                <w:szCs w:val="17"/>
              </w:rPr>
              <w:t xml:space="preserve">Proceed from NRF Stage 0 to a pilot instrument (Government decision)</w:t>
            </w:r>
          </w:p>
        </w:tc>
        <w:tc>
          <w:tcPr>
            <w:tcW w:type="dxa" w:w="4241"/>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7"/>
                <w:szCs w:val="17"/>
              </w:rPr>
              <w:t xml:space="preserve">Legal rights confirmed; independent valuation; fiscal classification</w:t>
            </w:r>
          </w:p>
        </w:tc>
      </w:tr>
      <w:tr>
        <w:trPr>
          <w:cantSplit/>
        </w:trPr>
        <w:tc>
          <w:tcPr>
            <w:tcW w:type="dxa" w:w="1349"/>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pPr>
            <w:r>
              <w:rPr>
                <w:rFonts w:ascii="Arial" w:cs="Arial" w:eastAsia="Arial" w:hAnsi="Arial"/>
                <w:b/>
                <w:bCs/>
                <w:color w:val="000000"/>
                <w:sz w:val="17"/>
                <w:szCs w:val="17"/>
              </w:rPr>
              <w:t xml:space="preserve">Interim, during the pilot</w:t>
            </w:r>
          </w:p>
        </w:tc>
        <w:tc>
          <w:tcPr>
            <w:tcW w:type="dxa" w:w="4048"/>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7"/>
                <w:szCs w:val="17"/>
              </w:rPr>
              <w:t xml:space="preserve">PALCapital Phase 2</w:t>
            </w:r>
          </w:p>
        </w:tc>
        <w:tc>
          <w:tcPr>
            <w:tcW w:type="dxa" w:w="4241"/>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7"/>
                <w:szCs w:val="17"/>
              </w:rPr>
              <w:t xml:space="preserve">Release controls and cost comparison proven; full credit performance known only at the pilot's 720-day maturity</w:t>
            </w:r>
          </w:p>
        </w:tc>
      </w:tr>
    </w:tbl>
    <w:p>
      <w:pPr>
        <w:keepNext w:val="false"/>
        <w:spacing w:after="140"/>
      </w:pPr>
    </w:p>
    <w:p>
      <w:pPr>
        <w:spacing w:after="110" w:before="0" w:line="264"/>
        <w:jc w:val="left"/>
      </w:pPr>
      <w:r>
        <w:rPr>
          <w:rFonts w:ascii="Arial" w:cs="Arial" w:eastAsia="Arial" w:hAnsi="Arial"/>
          <w:color w:val="000000"/>
          <w:sz w:val="20"/>
          <w:szCs w:val="20"/>
        </w:rPr>
        <w:t xml:space="preserve">The previously discussed planning direction (institutional preparation in 2026, development of financing in 2027 and industrialisation from 2028) can be retained as a guide. Projects that are ready need not wait for the next calendar stage, and resource-based financing should open only after the review of rights, revenue, risk and authority is complete [D2].</w:t>
      </w:r>
    </w:p>
    <w:p>
      <w:pPr>
        <w:pStyle w:val="Heading2"/>
        <w:keepNext/>
        <w:keepLines/>
        <w:spacing w:after="120" w:before="280"/>
      </w:pPr>
      <w:r>
        <w:rPr>
          <w:rFonts w:ascii="Arial" w:cs="Arial" w:eastAsia="Arial" w:hAnsi="Arial"/>
          <w:b/>
          <w:bCs/>
          <w:color w:val="00338D"/>
          <w:sz w:val="28"/>
          <w:szCs w:val="28"/>
        </w:rPr>
        <w:t xml:space="preserve">16.3 First 90 days in detail</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53"/>
        <w:gridCol w:w="5301"/>
        <w:gridCol w:w="3084"/>
      </w:tblGrid>
      <w:tr>
        <w:trPr>
          <w:cantSplit/>
          <w:tblHeader/>
        </w:trPr>
        <w:tc>
          <w:tcPr>
            <w:tcW w:type="dxa" w:w="1253"/>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Period</w:t>
            </w:r>
          </w:p>
        </w:tc>
        <w:tc>
          <w:tcPr>
            <w:tcW w:type="dxa" w:w="5301"/>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Deliverable</w:t>
            </w:r>
          </w:p>
        </w:tc>
        <w:tc>
          <w:tcPr>
            <w:tcW w:type="dxa" w:w="3084"/>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Accountable / acceptance</w:t>
            </w:r>
          </w:p>
        </w:tc>
      </w:tr>
      <w:tr>
        <w:trPr>
          <w:cantSplit/>
        </w:trPr>
        <w:tc>
          <w:tcPr>
            <w:tcW w:type="dxa" w:w="1253"/>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7"/>
                <w:szCs w:val="17"/>
              </w:rPr>
              <w:t xml:space="preserve">Days 1–45</w:t>
            </w:r>
          </w:p>
        </w:tc>
        <w:tc>
          <w:tcPr>
            <w:tcW w:type="dxa" w:w="5301"/>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7"/>
                <w:szCs w:val="17"/>
              </w:rPr>
              <w:t xml:space="preserve">Draft (Day 30) and approved (Day 45) ownership and project register; capital and perimeter bridge; data dictionary; three mandate statements; unit charter; pilot project group selected</w:t>
            </w:r>
          </w:p>
        </w:tc>
        <w:tc>
          <w:tcPr>
            <w:tcW w:type="dxa" w:w="3084"/>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7"/>
                <w:szCs w:val="17"/>
              </w:rPr>
              <w:t xml:space="preserve">CFO as interim owner with DAM, DIM and DDMF, handing over to the MD Portfolio and Project Delivery once appointed</w:t>
            </w:r>
          </w:p>
        </w:tc>
      </w:tr>
      <w:tr>
        <w:trPr>
          <w:cantSplit/>
        </w:trPr>
        <w:tc>
          <w:tcPr>
            <w:tcW w:type="dxa" w:w="1253"/>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7"/>
                <w:szCs w:val="17"/>
              </w:rPr>
              <w:t xml:space="preserve">Days 1–30</w:t>
            </w:r>
          </w:p>
        </w:tc>
        <w:tc>
          <w:tcPr>
            <w:tcW w:type="dxa" w:w="5301"/>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7"/>
                <w:szCs w:val="17"/>
              </w:rPr>
              <w:t xml:space="preserve">Investor-return methodology and benchmark policy; critical risk and assurance gates</w:t>
            </w:r>
          </w:p>
        </w:tc>
        <w:tc>
          <w:tcPr>
            <w:tcW w:type="dxa" w:w="3084"/>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7"/>
                <w:szCs w:val="17"/>
              </w:rPr>
              <w:t xml:space="preserve">Investment and risk committees</w:t>
            </w:r>
          </w:p>
        </w:tc>
      </w:tr>
      <w:tr>
        <w:trPr>
          <w:cantSplit/>
        </w:trPr>
        <w:tc>
          <w:tcPr>
            <w:tcW w:type="dxa" w:w="1253"/>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7"/>
                <w:szCs w:val="17"/>
              </w:rPr>
              <w:t xml:space="preserve">Days 31–60</w:t>
            </w:r>
          </w:p>
        </w:tc>
        <w:tc>
          <w:tcPr>
            <w:tcW w:type="dxa" w:w="5301"/>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7"/>
                <w:szCs w:val="17"/>
              </w:rPr>
              <w:t xml:space="preserve">Populate high-exposure SOEs and all active strategic projects; reconcile cash, commitments and physical milestones; parallel reviews, dashboard and blocker list</w:t>
            </w:r>
          </w:p>
        </w:tc>
        <w:tc>
          <w:tcPr>
            <w:tcW w:type="dxa" w:w="3084"/>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7"/>
                <w:szCs w:val="17"/>
              </w:rPr>
              <w:t xml:space="preserve">Arm heads and project CFOs: source-backed actuals and explicit NR entries</w:t>
            </w:r>
          </w:p>
        </w:tc>
      </w:tr>
      <w:tr>
        <w:trPr>
          <w:cantSplit/>
        </w:trPr>
        <w:tc>
          <w:tcPr>
            <w:tcW w:type="dxa" w:w="1253"/>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7"/>
                <w:szCs w:val="17"/>
              </w:rPr>
              <w:t xml:space="preserve">Days 31–60</w:t>
            </w:r>
          </w:p>
        </w:tc>
        <w:tc>
          <w:tcPr>
            <w:tcW w:type="dxa" w:w="5301"/>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7"/>
                <w:szCs w:val="17"/>
              </w:rPr>
              <w:t xml:space="preserve">Independent appraisal of the largest fiscal and technology risks; public-support and additionality cases; NRF proposal for the Government prepared</w:t>
            </w:r>
          </w:p>
        </w:tc>
        <w:tc>
          <w:tcPr>
            <w:tcW w:type="dxa" w:w="3084"/>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7"/>
                <w:szCs w:val="17"/>
              </w:rPr>
              <w:t xml:space="preserve">DDMF economists and Risk; Legal</w:t>
            </w:r>
          </w:p>
        </w:tc>
      </w:tr>
      <w:tr>
        <w:trPr>
          <w:cantSplit/>
        </w:trPr>
        <w:tc>
          <w:tcPr>
            <w:tcW w:type="dxa" w:w="1253"/>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pPr>
            <w:r>
              <w:rPr>
                <w:rFonts w:ascii="Arial" w:cs="Arial" w:eastAsia="Arial" w:hAnsi="Arial"/>
                <w:b/>
                <w:bCs/>
                <w:color w:val="000000"/>
                <w:sz w:val="17"/>
                <w:szCs w:val="17"/>
              </w:rPr>
              <w:t xml:space="preserve">Days 61–90</w:t>
            </w:r>
          </w:p>
        </w:tc>
        <w:tc>
          <w:tcPr>
            <w:tcW w:type="dxa" w:w="5301"/>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7"/>
                <w:szCs w:val="17"/>
              </w:rPr>
              <w:t xml:space="preserve">First reconciled dashboard; independent assurance review; evaluation of pilot projects; construction SOE diagnostic report; AI MVP in build (pilot live about Day 120)</w:t>
            </w:r>
          </w:p>
        </w:tc>
        <w:tc>
          <w:tcPr>
            <w:tcW w:type="dxa" w:w="3084"/>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7"/>
                <w:szCs w:val="17"/>
              </w:rPr>
              <w:t xml:space="preserve">CFO with Audit: coverage and qualification statement signed; unit evaluation report</w:t>
            </w:r>
          </w:p>
        </w:tc>
      </w:tr>
    </w:tbl>
    <w:p>
      <w:pPr>
        <w:pageBreakBefore/>
        <w:spacing w:after="0" w:line="240"/>
      </w:pPr>
      <w:r>
        <w:rPr>
          <w:sz w:val="2"/>
          <w:szCs w:val="2"/>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one" w:color="FFFFFF" w:sz="0"/>
              <w:left w:val="none" w:color="FFFFFF" w:sz="0"/>
              <w:bottom w:val="none" w:color="FFFFFF" w:sz="0"/>
              <w:right w:val="none" w:color="FFFFFF" w:sz="0"/>
            </w:tcBorders>
            <w:shd w:fill="00338D" w:color="auto" w:val="clear"/>
            <w:tcMar>
              <w:top w:type="dxa" w:w="260"/>
              <w:left w:type="dxa" w:w="300"/>
              <w:bottom w:type="dxa" w:w="300"/>
              <w:right w:type="dxa" w:w="300"/>
            </w:tcMar>
          </w:tcPr>
          <w:p>
            <w:pPr>
              <w:spacing w:after="0"/>
            </w:pPr>
            <w:r>
              <w:rPr>
                <w:rFonts w:ascii="Arial" w:cs="Arial" w:eastAsia="Arial" w:hAnsi="Arial"/>
                <w:b/>
                <w:bCs/>
                <w:color w:val="9CC7EF"/>
                <w:sz w:val="64"/>
                <w:szCs w:val="64"/>
              </w:rPr>
              <w:t xml:space="preserve">17</w:t>
            </w:r>
          </w:p>
          <w:p>
            <w:pPr>
              <w:pStyle w:val="Heading1"/>
              <w:spacing w:after="100"/>
            </w:pPr>
            <w:r>
              <w:rPr>
                <w:rFonts w:ascii="Arial" w:cs="Arial" w:eastAsia="Arial" w:hAnsi="Arial"/>
                <w:b/>
                <w:bCs/>
                <w:color w:val="FFFFFF"/>
                <w:sz w:val="40"/>
                <w:szCs w:val="40"/>
              </w:rPr>
              <w:t xml:space="preserve">Recommendations by stakeholder</w:t>
            </w:r>
          </w:p>
          <w:p>
            <w:pPr>
              <w:spacing w:after="0" w:line="276"/>
            </w:pPr>
            <w:r>
              <w:rPr>
                <w:rFonts w:ascii="Arial" w:cs="Arial" w:eastAsia="Arial" w:hAnsi="Arial"/>
                <w:color w:val="FFFFFF"/>
                <w:sz w:val="20"/>
                <w:szCs w:val="20"/>
              </w:rPr>
              <w:t xml:space="preserve">What each stakeholder is asked to do.</w:t>
            </w:r>
          </w:p>
        </w:tc>
      </w:tr>
    </w:tbl>
    <w:p>
      <w:pPr>
        <w:spacing w:after="20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6"/>
        <w:gridCol w:w="7132"/>
      </w:tblGrid>
      <w:tr>
        <w:trPr>
          <w:cantSplit/>
          <w:tblHeader/>
        </w:trPr>
        <w:tc>
          <w:tcPr>
            <w:tcW w:type="dxa" w:w="2506"/>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Stakeholder</w:t>
            </w:r>
          </w:p>
        </w:tc>
        <w:tc>
          <w:tcPr>
            <w:tcW w:type="dxa" w:w="7132"/>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Recommended actions</w:t>
            </w:r>
          </w:p>
        </w:tc>
      </w:tr>
      <w:tr>
        <w:trPr>
          <w:cantSplit/>
        </w:trPr>
        <w:tc>
          <w:tcPr>
            <w:tcW w:type="dxa" w:w="250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For the Government's consideration</w:t>
            </w:r>
          </w:p>
        </w:tc>
        <w:tc>
          <w:tcPr>
            <w:tcW w:type="dxa" w:w="713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Consider the National Industrial Capability Platform as Danantara's industrialisation model.</w:t>
            </w:r>
          </w:p>
          <w:p>
            <w:pPr>
              <w:keepNext w:val="false"/>
              <w:spacing w:after="40" w:line="252"/>
            </w:pPr>
            <w:r>
              <w:rPr>
                <w:rFonts w:ascii="Arial" w:cs="Arial" w:eastAsia="Arial" w:hAnsi="Arial"/>
                <w:b w:val="false"/>
                <w:bCs w:val="false"/>
                <w:color w:val="000000"/>
                <w:sz w:val="16"/>
                <w:szCs w:val="16"/>
              </w:rPr>
              <w:t xml:space="preserve">Consider a legal, valuation and fiscal review before establishing an NRF, with separate owner and manager roles.</w:t>
            </w:r>
          </w:p>
          <w:p>
            <w:pPr>
              <w:keepNext w:val="false"/>
              <w:spacing w:after="40" w:line="252"/>
            </w:pPr>
            <w:r>
              <w:rPr>
                <w:rFonts w:ascii="Arial" w:cs="Arial" w:eastAsia="Arial" w:hAnsi="Arial"/>
                <w:b w:val="false"/>
                <w:bCs w:val="false"/>
                <w:color w:val="000000"/>
                <w:sz w:val="16"/>
                <w:szCs w:val="16"/>
              </w:rPr>
              <w:t xml:space="preserve">Consider domestic-financing substitution tests before new foreign loans for strategic programmes.</w:t>
            </w:r>
          </w:p>
        </w:tc>
      </w:tr>
      <w:tr>
        <w:trPr>
          <w:cantSplit/>
        </w:trPr>
        <w:tc>
          <w:tcPr>
            <w:tcW w:type="dxa" w:w="2506"/>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For the Ministry of Finance's consideration</w:t>
            </w:r>
          </w:p>
        </w:tc>
        <w:tc>
          <w:tcPr>
            <w:tcW w:type="dxa" w:w="713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Consider classifying resource-backed and receivable-backed instruments by substance in the fiscal-risk statement.</w:t>
            </w:r>
          </w:p>
          <w:p>
            <w:pPr>
              <w:keepNext w:val="false"/>
              <w:spacing w:after="40" w:line="252"/>
            </w:pPr>
            <w:r>
              <w:rPr>
                <w:rFonts w:ascii="Arial" w:cs="Arial" w:eastAsia="Arial" w:hAnsi="Arial"/>
                <w:b w:val="false"/>
                <w:bCs w:val="false"/>
                <w:color w:val="000000"/>
                <w:sz w:val="16"/>
                <w:szCs w:val="16"/>
              </w:rPr>
              <w:t xml:space="preserve">Consider defining a consent process for assigning state contract receivables to collection accounts.</w:t>
            </w:r>
          </w:p>
        </w:tc>
      </w:tr>
      <w:tr>
        <w:trPr>
          <w:cantSplit/>
        </w:trPr>
        <w:tc>
          <w:tcPr>
            <w:tcW w:type="dxa" w:w="250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Supervisory Board</w:t>
            </w:r>
          </w:p>
        </w:tc>
        <w:tc>
          <w:tcPr>
            <w:tcW w:type="dxa" w:w="713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Approve the three-scorecard framework, NR treatment and governance gates.</w:t>
            </w:r>
          </w:p>
          <w:p>
            <w:pPr>
              <w:keepNext w:val="false"/>
              <w:spacing w:after="40" w:line="252"/>
            </w:pPr>
            <w:r>
              <w:rPr>
                <w:rFonts w:ascii="Arial" w:cs="Arial" w:eastAsia="Arial" w:hAnsi="Arial"/>
                <w:b w:val="false"/>
                <w:bCs w:val="false"/>
                <w:color w:val="000000"/>
                <w:sz w:val="16"/>
                <w:szCs w:val="16"/>
              </w:rPr>
              <w:t xml:space="preserve">Require an audited opening-balance bridge and a published annual portfolio report.</w:t>
            </w:r>
          </w:p>
          <w:p>
            <w:pPr>
              <w:keepNext w:val="false"/>
              <w:spacing w:after="40" w:line="252"/>
            </w:pPr>
            <w:r>
              <w:rPr>
                <w:rFonts w:ascii="Arial" w:cs="Arial" w:eastAsia="Arial" w:hAnsi="Arial"/>
                <w:b w:val="false"/>
                <w:bCs w:val="false"/>
                <w:color w:val="000000"/>
                <w:sz w:val="16"/>
                <w:szCs w:val="16"/>
              </w:rPr>
              <w:t xml:space="preserve">Oversee the 90-day unit test and the evidence for any Deputy Head proposal.</w:t>
            </w:r>
          </w:p>
        </w:tc>
      </w:tr>
      <w:tr>
        <w:trPr>
          <w:cantSplit/>
        </w:trPr>
        <w:tc>
          <w:tcPr>
            <w:tcW w:type="dxa" w:w="2506"/>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Head of the Executive Body</w:t>
            </w:r>
          </w:p>
        </w:tc>
        <w:tc>
          <w:tcPr>
            <w:tcW w:type="dxa" w:w="713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Establish the Strategic Industry and Project Delivery unit (implementing NITO) with a limited charter.</w:t>
            </w:r>
          </w:p>
          <w:p>
            <w:pPr>
              <w:keepNext w:val="false"/>
              <w:spacing w:after="40" w:line="252"/>
            </w:pPr>
            <w:r>
              <w:rPr>
                <w:rFonts w:ascii="Arial" w:cs="Arial" w:eastAsia="Arial" w:hAnsi="Arial"/>
                <w:b w:val="false"/>
                <w:bCs w:val="false"/>
                <w:color w:val="000000"/>
                <w:sz w:val="16"/>
                <w:szCs w:val="16"/>
              </w:rPr>
              <w:t xml:space="preserve">Approve the reconciled 40-project register as the single denominator.</w:t>
            </w:r>
          </w:p>
          <w:p>
            <w:pPr>
              <w:keepNext w:val="false"/>
              <w:spacing w:after="40" w:line="252"/>
            </w:pPr>
            <w:r>
              <w:rPr>
                <w:rFonts w:ascii="Arial" w:cs="Arial" w:eastAsia="Arial" w:hAnsi="Arial"/>
                <w:b w:val="false"/>
                <w:bCs w:val="false"/>
                <w:color w:val="000000"/>
                <w:sz w:val="16"/>
                <w:szCs w:val="16"/>
              </w:rPr>
              <w:t xml:space="preserve">Chair cross-arm escalations; keep risk, legal and audit independent.</w:t>
            </w:r>
          </w:p>
        </w:tc>
      </w:tr>
      <w:tr>
        <w:trPr>
          <w:cantSplit/>
        </w:trPr>
        <w:tc>
          <w:tcPr>
            <w:tcW w:type="dxa" w:w="250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DAM / COO</w:t>
            </w:r>
          </w:p>
        </w:tc>
        <w:tc>
          <w:tcPr>
            <w:tcW w:type="dxa" w:w="713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Launch the construction SOE diagnostic and legacy-asset separation.</w:t>
            </w:r>
          </w:p>
          <w:p>
            <w:pPr>
              <w:keepNext w:val="false"/>
              <w:spacing w:after="40" w:line="252"/>
            </w:pPr>
            <w:r>
              <w:rPr>
                <w:rFonts w:ascii="Arial" w:cs="Arial" w:eastAsia="Arial" w:hAnsi="Arial"/>
                <w:b w:val="false"/>
                <w:bCs w:val="false"/>
                <w:color w:val="000000"/>
                <w:sz w:val="16"/>
                <w:szCs w:val="16"/>
              </w:rPr>
              <w:t xml:space="preserve">Sponsor the AI MVP and Phase 2 rollout.</w:t>
            </w:r>
          </w:p>
        </w:tc>
      </w:tr>
      <w:tr>
        <w:trPr>
          <w:cantSplit/>
        </w:trPr>
        <w:tc>
          <w:tcPr>
            <w:tcW w:type="dxa" w:w="2506"/>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DIM / CIO</w:t>
            </w:r>
          </w:p>
        </w:tc>
        <w:tc>
          <w:tcPr>
            <w:tcW w:type="dxa" w:w="713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Publish return methodology by capital pool; apply investment discipline to project notes and NRF windows.</w:t>
            </w:r>
          </w:p>
          <w:p>
            <w:pPr>
              <w:keepNext w:val="false"/>
              <w:spacing w:after="40" w:line="252"/>
            </w:pPr>
            <w:r>
              <w:rPr>
                <w:rFonts w:ascii="Arial" w:cs="Arial" w:eastAsia="Arial" w:hAnsi="Arial"/>
                <w:b w:val="false"/>
                <w:bCs w:val="false"/>
                <w:color w:val="000000"/>
                <w:sz w:val="16"/>
                <w:szCs w:val="16"/>
              </w:rPr>
              <w:t xml:space="preserve">Run the PALCapital pilot only after the six pre-conditions are met.</w:t>
            </w:r>
          </w:p>
        </w:tc>
      </w:tr>
      <w:tr>
        <w:trPr>
          <w:cantSplit/>
        </w:trPr>
        <w:tc>
          <w:tcPr>
            <w:tcW w:type="dxa" w:w="250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DDMF / CTO</w:t>
            </w:r>
          </w:p>
        </w:tc>
        <w:tc>
          <w:tcPr>
            <w:tcW w:type="dxa" w:w="713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Require financial and economic cases with explicit public support for development projects.</w:t>
            </w:r>
          </w:p>
          <w:p>
            <w:pPr>
              <w:keepNext w:val="false"/>
              <w:spacing w:after="40" w:line="252"/>
            </w:pPr>
            <w:r>
              <w:rPr>
                <w:rFonts w:ascii="Arial" w:cs="Arial" w:eastAsia="Arial" w:hAnsi="Arial"/>
                <w:b w:val="false"/>
                <w:bCs w:val="false"/>
                <w:color w:val="000000"/>
                <w:sz w:val="16"/>
                <w:szCs w:val="16"/>
              </w:rPr>
              <w:t xml:space="preserve">Provide independent technical review and own technology-milestone acceptance with an independent panel.</w:t>
            </w:r>
          </w:p>
        </w:tc>
      </w:tr>
      <w:tr>
        <w:trPr>
          <w:cantSplit/>
        </w:trPr>
        <w:tc>
          <w:tcPr>
            <w:tcW w:type="dxa" w:w="2506"/>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For the Ministry of Defence and KKIP's consideration</w:t>
            </w:r>
          </w:p>
        </w:tc>
        <w:tc>
          <w:tcPr>
            <w:tcW w:type="dxa" w:w="713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Consider DOCK-UP as the standard SME participation model, with gate-based packages in framework and offset contracts.</w:t>
            </w:r>
          </w:p>
          <w:p>
            <w:pPr>
              <w:keepNext w:val="false"/>
              <w:spacing w:after="40" w:line="252"/>
            </w:pPr>
            <w:r>
              <w:rPr>
                <w:rFonts w:ascii="Arial" w:cs="Arial" w:eastAsia="Arial" w:hAnsi="Arial"/>
                <w:b w:val="false"/>
                <w:bCs w:val="false"/>
                <w:color w:val="000000"/>
                <w:sz w:val="16"/>
                <w:szCs w:val="16"/>
              </w:rPr>
              <w:t xml:space="preserve">Consider supporting assignment of contract receivables to milestone escrow.</w:t>
            </w:r>
          </w:p>
        </w:tc>
      </w:tr>
      <w:tr>
        <w:trPr>
          <w:cantSplit/>
        </w:trPr>
        <w:tc>
          <w:tcPr>
            <w:tcW w:type="dxa" w:w="250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For OJK and Bank Indonesia's consideration</w:t>
            </w:r>
          </w:p>
        </w:tc>
        <w:tc>
          <w:tcPr>
            <w:tcW w:type="dxa" w:w="713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Consider the PALCapital pilot under the IKD sandbox with regulator nodes.</w:t>
            </w:r>
          </w:p>
          <w:p>
            <w:pPr>
              <w:keepNext w:val="false"/>
              <w:spacing w:after="40" w:line="252"/>
            </w:pPr>
            <w:r>
              <w:rPr>
                <w:rFonts w:ascii="Arial" w:cs="Arial" w:eastAsia="Arial" w:hAnsi="Arial"/>
                <w:b w:val="false"/>
                <w:bCs w:val="false"/>
                <w:color w:val="000000"/>
                <w:sz w:val="16"/>
                <w:szCs w:val="16"/>
              </w:rPr>
              <w:t xml:space="preserve">Consider the treatment of tokenised receivable notes for institutional investors.</w:t>
            </w:r>
          </w:p>
        </w:tc>
      </w:tr>
      <w:tr>
        <w:trPr>
          <w:cantSplit/>
        </w:trPr>
        <w:tc>
          <w:tcPr>
            <w:tcW w:type="dxa" w:w="2506"/>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Integrators (PT PAL, DEFEND ID members)</w:t>
            </w:r>
          </w:p>
        </w:tc>
        <w:tc>
          <w:tcPr>
            <w:tcW w:type="dxa" w:w="713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Publish localisation plans; place orders only on verified gates.</w:t>
            </w:r>
          </w:p>
          <w:p>
            <w:pPr>
              <w:keepNext w:val="false"/>
              <w:spacing w:after="40" w:line="252"/>
            </w:pPr>
            <w:r>
              <w:rPr>
                <w:rFonts w:ascii="Arial" w:cs="Arial" w:eastAsia="Arial" w:hAnsi="Arial"/>
                <w:b w:val="false"/>
                <w:bCs w:val="false"/>
                <w:color w:val="000000"/>
                <w:sz w:val="16"/>
                <w:szCs w:val="16"/>
              </w:rPr>
              <w:t xml:space="preserve">Open supplier portals linked to ERP; share drawings and gate records.</w:t>
            </w:r>
          </w:p>
        </w:tc>
      </w:tr>
      <w:tr>
        <w:trPr>
          <w:cantSplit/>
        </w:trPr>
        <w:tc>
          <w:tcPr>
            <w:tcW w:type="dxa" w:w="250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Construction SOEs</w:t>
            </w:r>
          </w:p>
        </w:tc>
        <w:tc>
          <w:tcPr>
            <w:tcW w:type="dxa" w:w="713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Adopt bid discipline and cash protection rules; implement the cost-code backbone and AI pilot.</w:t>
            </w:r>
          </w:p>
        </w:tc>
      </w:tr>
      <w:tr>
        <w:trPr>
          <w:cantSplit/>
        </w:trPr>
        <w:tc>
          <w:tcPr>
            <w:tcW w:type="dxa" w:w="2506"/>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Banks, LPEI and guarantee providers</w:t>
            </w:r>
          </w:p>
        </w:tc>
        <w:tc>
          <w:tcPr>
            <w:tcW w:type="dxa" w:w="713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Link KUR, supply-chain finance, investment credit and export finance to DOCK-UP gates; co-design first-loss guarantees.</w:t>
            </w:r>
          </w:p>
        </w:tc>
      </w:tr>
      <w:tr>
        <w:trPr>
          <w:cantSplit/>
        </w:trPr>
        <w:tc>
          <w:tcPr>
            <w:tcW w:type="dxa" w:w="250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SMEs</w:t>
            </w:r>
          </w:p>
        </w:tc>
        <w:tc>
          <w:tcPr>
            <w:tcW w:type="dxa" w:w="713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Enter the readiness register; follow the development plan to G1–G4; invest in process quality first.</w:t>
            </w:r>
          </w:p>
        </w:tc>
      </w:tr>
      <w:tr>
        <w:trPr>
          <w:cantSplit/>
        </w:trPr>
        <w:tc>
          <w:tcPr>
            <w:tcW w:type="dxa" w:w="2506"/>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BKI, test laboratories, universities and BRIN</w:t>
            </w:r>
          </w:p>
        </w:tc>
        <w:tc>
          <w:tcPr>
            <w:tcW w:type="dxa" w:w="713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Form the independent assessor pool; support TRL maturation and certification.</w:t>
            </w:r>
          </w:p>
        </w:tc>
      </w:tr>
    </w:tbl>
    <w:p>
      <w:pPr>
        <w:keepNext w:val="false"/>
        <w:spacing w:after="14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one" w:color="FFFFFF" w:sz="0"/>
              <w:left w:val="none" w:color="FFFFFF" w:sz="0"/>
              <w:bottom w:val="none" w:color="FFFFFF" w:sz="0"/>
              <w:right w:val="none" w:color="FFFFFF" w:sz="0"/>
            </w:tcBorders>
            <w:shd w:fill="00338D" w:color="auto" w:val="clear"/>
            <w:tcMar>
              <w:top w:type="dxa" w:w="160"/>
              <w:left w:type="dxa" w:w="220"/>
              <w:bottom w:type="dxa" w:w="120"/>
              <w:right w:type="dxa" w:w="220"/>
            </w:tcMar>
          </w:tcPr>
          <w:p>
            <w:pPr>
              <w:keepNext/>
              <w:spacing w:after="80"/>
            </w:pPr>
            <w:r>
              <w:rPr>
                <w:rFonts w:ascii="Arial" w:cs="Arial" w:eastAsia="Arial" w:hAnsi="Arial"/>
                <w:b/>
                <w:bCs/>
                <w:color w:val="FFFFFF"/>
                <w:sz w:val="20"/>
                <w:szCs w:val="20"/>
              </w:rPr>
              <w:t xml:space="preserve">Closing</w:t>
            </w:r>
          </w:p>
          <w:p>
            <w:pPr>
              <w:spacing w:after="80" w:line="264"/>
            </w:pPr>
            <w:r>
              <w:rPr>
                <w:rFonts w:ascii="Arial" w:cs="Arial" w:eastAsia="Arial" w:hAnsi="Arial"/>
                <w:color w:val="FFFFFF"/>
                <w:sz w:val="19"/>
                <w:szCs w:val="19"/>
              </w:rPr>
              <w:t xml:space="preserve">Danantara does not need more announcements to prove its relevance. It needs a mechanism that converts capital into capability, financing that respects the substance of what is borrowed, and evidence that the results are real. The proposals in this study are designed to be tested quickly, measured honestly, and expanded only where they work.</w:t>
            </w:r>
          </w:p>
        </w:tc>
      </w:tr>
    </w:tbl>
    <w:p>
      <w:pPr>
        <w:pageBreakBefore/>
        <w:spacing w:after="0" w:line="240"/>
      </w:pPr>
      <w:r>
        <w:rPr>
          <w:sz w:val="2"/>
          <w:szCs w:val="2"/>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one" w:color="FFFFFF" w:sz="0"/>
              <w:left w:val="none" w:color="FFFFFF" w:sz="0"/>
              <w:bottom w:val="none" w:color="FFFFFF" w:sz="0"/>
              <w:right w:val="none" w:color="FFFFFF" w:sz="0"/>
            </w:tcBorders>
            <w:shd w:fill="00338D" w:color="auto" w:val="clear"/>
            <w:tcMar>
              <w:top w:type="dxa" w:w="260"/>
              <w:left w:type="dxa" w:w="300"/>
              <w:bottom w:type="dxa" w:w="300"/>
              <w:right w:type="dxa" w:w="300"/>
            </w:tcMar>
          </w:tcPr>
          <w:p>
            <w:pPr>
              <w:spacing w:after="0"/>
            </w:pPr>
            <w:r>
              <w:rPr>
                <w:rFonts w:ascii="Arial" w:cs="Arial" w:eastAsia="Arial" w:hAnsi="Arial"/>
                <w:b/>
                <w:bCs/>
                <w:color w:val="9CC7EF"/>
                <w:sz w:val="64"/>
                <w:szCs w:val="64"/>
              </w:rPr>
              <w:t xml:space="preserve">A</w:t>
            </w:r>
          </w:p>
          <w:p>
            <w:pPr>
              <w:pStyle w:val="Heading1"/>
              <w:spacing w:after="100"/>
            </w:pPr>
            <w:r>
              <w:rPr>
                <w:rFonts w:ascii="Arial" w:cs="Arial" w:eastAsia="Arial" w:hAnsi="Arial"/>
                <w:b/>
                <w:bCs/>
                <w:color w:val="FFFFFF"/>
                <w:sz w:val="40"/>
                <w:szCs w:val="40"/>
              </w:rPr>
              <w:t xml:space="preserve">Appendix A: Metric dictionary</w:t>
            </w:r>
          </w:p>
          <w:p>
            <w:pPr>
              <w:spacing w:after="0" w:line="276"/>
            </w:pPr>
            <w:r>
              <w:rPr>
                <w:rFonts w:ascii="Arial" w:cs="Arial" w:eastAsia="Arial" w:hAnsi="Arial"/>
                <w:color w:val="FFFFFF"/>
                <w:sz w:val="20"/>
                <w:szCs w:val="20"/>
              </w:rPr>
              <w:t xml:space="preserve">The 39 result metrics proposed in D1, in three scorecards. All thresholds require a defined reporting scope and approval; a peer's return or a generic sector ratio is not automatically a Danantara hurdle.</w:t>
            </w:r>
          </w:p>
        </w:tc>
      </w:tr>
    </w:tbl>
    <w:p>
      <w:pPr>
        <w:spacing w:after="200"/>
      </w:pPr>
    </w:p>
    <w:p>
      <w:pPr>
        <w:pStyle w:val="Heading2"/>
        <w:keepNext/>
        <w:keepLines/>
        <w:spacing w:after="120" w:before="280"/>
      </w:pPr>
      <w:r>
        <w:rPr>
          <w:rFonts w:ascii="Arial" w:cs="Arial" w:eastAsia="Arial" w:hAnsi="Arial"/>
          <w:b/>
          <w:bCs/>
          <w:color w:val="00338D"/>
          <w:sz w:val="28"/>
          <w:szCs w:val="28"/>
        </w:rPr>
        <w:t xml:space="preserve">A.1 Investment metrics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75"/>
        <w:gridCol w:w="2313"/>
        <w:gridCol w:w="3373"/>
        <w:gridCol w:w="3277"/>
      </w:tblGrid>
      <w:tr>
        <w:trPr>
          <w:cantSplit/>
          <w:tblHeader/>
        </w:trPr>
        <w:tc>
          <w:tcPr>
            <w:tcW w:type="dxa" w:w="675"/>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5"/>
                <w:szCs w:val="15"/>
              </w:rPr>
              <w:t xml:space="preserve">Code</w:t>
            </w:r>
          </w:p>
        </w:tc>
        <w:tc>
          <w:tcPr>
            <w:tcW w:type="dxa" w:w="2313"/>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5"/>
                <w:szCs w:val="15"/>
              </w:rPr>
              <w:t xml:space="preserve">Metric (unit)</w:t>
            </w:r>
          </w:p>
        </w:tc>
        <w:tc>
          <w:tcPr>
            <w:tcW w:type="dxa" w:w="3373"/>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5"/>
                <w:szCs w:val="15"/>
              </w:rPr>
              <w:t xml:space="preserve">Measurement</w:t>
            </w:r>
          </w:p>
        </w:tc>
        <w:tc>
          <w:tcPr>
            <w:tcW w:type="dxa" w:w="3277"/>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5"/>
                <w:szCs w:val="15"/>
              </w:rPr>
              <w:t xml:space="preserve">Benchmark and caution</w:t>
            </w:r>
          </w:p>
        </w:tc>
      </w:tr>
      <w:tr>
        <w:trPr>
          <w:cantSplit/>
        </w:trPr>
        <w:tc>
          <w:tcPr>
            <w:tcW w:type="dxa" w:w="675"/>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5"/>
                <w:szCs w:val="15"/>
              </w:rPr>
              <w:t xml:space="preserve">I01</w:t>
            </w:r>
          </w:p>
        </w:tc>
        <w:tc>
          <w:tcPr>
            <w:tcW w:type="dxa" w:w="2313"/>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Net public-market return above policy benchmark (pp)</w:t>
            </w:r>
          </w:p>
        </w:tc>
        <w:tc>
          <w:tcPr>
            <w:tcW w:type="dxa" w:w="3373"/>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Geometrically linked TWR net of all investment costs minus matched policy-index return</w:t>
            </w:r>
          </w:p>
        </w:tc>
        <w:tc>
          <w:tcPr>
            <w:tcW w:type="dxa" w:w="3277"/>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Same dates, currency, total-return basis and mix; since inception and rolling 3/5 years; no annualised short-history claims</w:t>
            </w:r>
          </w:p>
        </w:tc>
      </w:tr>
      <w:tr>
        <w:trPr>
          <w:cantSplit/>
        </w:trPr>
        <w:tc>
          <w:tcPr>
            <w:tcW w:type="dxa" w:w="675"/>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5"/>
                <w:szCs w:val="15"/>
              </w:rPr>
              <w:t xml:space="preserve">I02</w:t>
            </w:r>
          </w:p>
        </w:tc>
        <w:tc>
          <w:tcPr>
            <w:tcW w:type="dxa" w:w="2313"/>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Private investment net IRR above hurdle (pp)</w:t>
            </w:r>
          </w:p>
        </w:tc>
        <w:tc>
          <w:tcPr>
            <w:tcW w:type="dxa" w:w="3373"/>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XIRR of dated investor cash flows incl. independently reviewed residual NAV, less approved equity hurdle</w:t>
            </w:r>
          </w:p>
        </w:tc>
        <w:tc>
          <w:tcPr>
            <w:tcW w:type="dxa" w:w="3277"/>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Vintage, sector, geography and leverage matched; do not average IRRs; pool cash flows</w:t>
            </w:r>
          </w:p>
        </w:tc>
      </w:tr>
      <w:tr>
        <w:trPr>
          <w:cantSplit/>
        </w:trPr>
        <w:tc>
          <w:tcPr>
            <w:tcW w:type="dxa" w:w="675"/>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5"/>
                <w:szCs w:val="15"/>
              </w:rPr>
              <w:t xml:space="preserve">I03</w:t>
            </w:r>
          </w:p>
        </w:tc>
        <w:tc>
          <w:tcPr>
            <w:tcW w:type="dxa" w:w="2313"/>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Private investment PME (×)</w:t>
            </w:r>
          </w:p>
        </w:tc>
        <w:tc>
          <w:tcPr>
            <w:tcW w:type="dxa" w:w="3373"/>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Kaplan–Schoar PME using index-adjusted contributions, distributions and NAV</w:t>
            </w:r>
          </w:p>
        </w:tc>
        <w:tc>
          <w:tcPr>
            <w:tcW w:type="dxa" w:w="3277"/>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PME &gt; 1 against a preselected total-return index; PME is not an IRR</w:t>
            </w:r>
          </w:p>
        </w:tc>
      </w:tr>
      <w:tr>
        <w:trPr>
          <w:cantSplit/>
        </w:trPr>
        <w:tc>
          <w:tcPr>
            <w:tcW w:type="dxa" w:w="675"/>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5"/>
                <w:szCs w:val="15"/>
              </w:rPr>
              <w:t xml:space="preserve">I04</w:t>
            </w:r>
          </w:p>
        </w:tc>
        <w:tc>
          <w:tcPr>
            <w:tcW w:type="dxa" w:w="2313"/>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Distributions to paid-in capital (×)</w:t>
            </w:r>
          </w:p>
        </w:tc>
        <w:tc>
          <w:tcPr>
            <w:tcW w:type="dxa" w:w="3373"/>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Cumulative distributions / paid-in capital; show TVPI and RVPI</w:t>
            </w:r>
          </w:p>
        </w:tc>
        <w:tc>
          <w:tcPr>
            <w:tcW w:type="dxa" w:w="3277"/>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Vintage-specific; early greenfield DPI can be zero without failure</w:t>
            </w:r>
          </w:p>
        </w:tc>
      </w:tr>
      <w:tr>
        <w:trPr>
          <w:cantSplit/>
        </w:trPr>
        <w:tc>
          <w:tcPr>
            <w:tcW w:type="dxa" w:w="675"/>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5"/>
                <w:szCs w:val="15"/>
              </w:rPr>
              <w:t xml:space="preserve">I05</w:t>
            </w:r>
          </w:p>
        </w:tc>
        <w:tc>
          <w:tcPr>
            <w:tcW w:type="dxa" w:w="2313"/>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Financial NPV / invested capital (%)</w:t>
            </w:r>
          </w:p>
        </w:tc>
        <w:tc>
          <w:tcPr>
            <w:tcW w:type="dxa" w:w="3373"/>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Full-life NPV of project FCF at approved WACC / PV of investment outlays</w:t>
            </w:r>
          </w:p>
        </w:tc>
        <w:tc>
          <w:tcPr>
            <w:tcW w:type="dxa" w:w="3277"/>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Separate forecast appraisal from ex-post results; exclude sunk costs for incremental decisions</w:t>
            </w:r>
          </w:p>
        </w:tc>
      </w:tr>
      <w:tr>
        <w:trPr>
          <w:cantSplit/>
        </w:trPr>
        <w:tc>
          <w:tcPr>
            <w:tcW w:type="dxa" w:w="675"/>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5"/>
                <w:szCs w:val="15"/>
              </w:rPr>
              <w:t xml:space="preserve">I06</w:t>
            </w:r>
          </w:p>
        </w:tc>
        <w:tc>
          <w:tcPr>
            <w:tcW w:type="dxa" w:w="2313"/>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Credit and investment loss ratio (%)</w:t>
            </w:r>
          </w:p>
        </w:tc>
        <w:tc>
          <w:tcPr>
            <w:tcW w:type="dxa" w:w="3373"/>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Credit impairment net of reversals and recoveries / average gross exposure</w:t>
            </w:r>
          </w:p>
        </w:tc>
        <w:tc>
          <w:tcPr>
            <w:tcW w:type="dxa" w:w="3277"/>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Matched rating, tenor and product; equity write-downs separate</w:t>
            </w:r>
          </w:p>
        </w:tc>
      </w:tr>
      <w:tr>
        <w:trPr>
          <w:cantSplit/>
        </w:trPr>
        <w:tc>
          <w:tcPr>
            <w:tcW w:type="dxa" w:w="675"/>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5"/>
                <w:szCs w:val="15"/>
              </w:rPr>
              <w:t xml:space="preserve">I07</w:t>
            </w:r>
          </w:p>
        </w:tc>
        <w:tc>
          <w:tcPr>
            <w:tcW w:type="dxa" w:w="2313"/>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Exposure above concentration limits (%)</w:t>
            </w:r>
          </w:p>
        </w:tc>
        <w:tc>
          <w:tcPr>
            <w:tcW w:type="dxa" w:w="3373"/>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Exposure exceeding approved single-name/sector limits / portfolio NAV</w:t>
            </w:r>
          </w:p>
        </w:tc>
        <w:tc>
          <w:tcPr>
            <w:tcW w:type="dxa" w:w="3277"/>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Zero unauthorised excess; stress related-party and correlated exposure</w:t>
            </w:r>
          </w:p>
        </w:tc>
      </w:tr>
      <w:tr>
        <w:trPr>
          <w:cantSplit/>
        </w:trPr>
        <w:tc>
          <w:tcPr>
            <w:tcW w:type="dxa" w:w="675"/>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5"/>
                <w:szCs w:val="15"/>
              </w:rPr>
              <w:t xml:space="preserve">I08</w:t>
            </w:r>
          </w:p>
        </w:tc>
        <w:tc>
          <w:tcPr>
            <w:tcW w:type="dxa" w:w="2313"/>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Stressed liquidity coverage (×)</w:t>
            </w:r>
          </w:p>
        </w:tc>
        <w:tc>
          <w:tcPr>
            <w:tcW w:type="dxa" w:w="3373"/>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Unencumbered cash + stressed liquid assets + usable committed lines / stressed 12-month needs</w:t>
            </w:r>
          </w:p>
        </w:tc>
        <w:tc>
          <w:tcPr>
            <w:tcW w:type="dxa" w:w="3277"/>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Board-approved floor; exclude restricted cash and conditional facilities</w:t>
            </w:r>
          </w:p>
        </w:tc>
      </w:tr>
      <w:tr>
        <w:trPr>
          <w:cantSplit/>
        </w:trPr>
        <w:tc>
          <w:tcPr>
            <w:tcW w:type="dxa" w:w="675"/>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5"/>
                <w:szCs w:val="15"/>
              </w:rPr>
              <w:t xml:space="preserve">I09</w:t>
            </w:r>
          </w:p>
        </w:tc>
        <w:tc>
          <w:tcPr>
            <w:tcW w:type="dxa" w:w="2313"/>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Total investment cost ratio (bps)</w:t>
            </w:r>
          </w:p>
        </w:tc>
        <w:tc>
          <w:tcPr>
            <w:tcW w:type="dxa" w:w="3373"/>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Management, external manager, transaction and support costs / average NAV × 10,000</w:t>
            </w:r>
          </w:p>
        </w:tc>
        <w:tc>
          <w:tcPr>
            <w:tcW w:type="dxa" w:w="3277"/>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Same asset class and model; low cost alone does not prove better net performance</w:t>
            </w:r>
          </w:p>
        </w:tc>
      </w:tr>
      <w:tr>
        <w:trPr>
          <w:cantSplit/>
        </w:trPr>
        <w:tc>
          <w:tcPr>
            <w:tcW w:type="dxa" w:w="675"/>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5"/>
                <w:szCs w:val="15"/>
              </w:rPr>
              <w:t xml:space="preserve">I10</w:t>
            </w:r>
          </w:p>
        </w:tc>
        <w:tc>
          <w:tcPr>
            <w:tcW w:type="dxa" w:w="2313"/>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Attributable private mobilisation (×)</w:t>
            </w:r>
          </w:p>
        </w:tc>
        <w:tc>
          <w:tcPr>
            <w:tcW w:type="dxa" w:w="3373"/>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Eligible private direct mobilisation attributable to Danantara / own committed capital</w:t>
            </w:r>
          </w:p>
        </w:tc>
        <w:tc>
          <w:tcPr>
            <w:tcW w:type="dxa" w:w="3277"/>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MDB-aligned attribution; MoUs and total project value do not count</w:t>
            </w:r>
          </w:p>
        </w:tc>
      </w:tr>
      <w:tr>
        <w:trPr>
          <w:cantSplit/>
        </w:trPr>
        <w:tc>
          <w:tcPr>
            <w:tcW w:type="dxa" w:w="675"/>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5"/>
                <w:szCs w:val="15"/>
              </w:rPr>
              <w:t xml:space="preserve">I11</w:t>
            </w:r>
          </w:p>
        </w:tc>
        <w:tc>
          <w:tcPr>
            <w:tcW w:type="dxa" w:w="2313"/>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Strategic investment milestone delivery (%)</w:t>
            </w:r>
          </w:p>
        </w:tc>
        <w:tc>
          <w:tcPr>
            <w:tcW w:type="dxa" w:w="3373"/>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Capital-weighted milestones independently accepted / milestones due</w:t>
            </w:r>
          </w:p>
        </w:tc>
        <w:tc>
          <w:tcPr>
            <w:tcW w:type="dxa" w:w="3277"/>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Frozen baseline; signing or inauguration does not certify financial close or progress</w:t>
            </w:r>
          </w:p>
        </w:tc>
      </w:tr>
      <w:tr>
        <w:trPr>
          <w:cantSplit/>
        </w:trPr>
        <w:tc>
          <w:tcPr>
            <w:tcW w:type="dxa" w:w="675"/>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pPr>
            <w:r>
              <w:rPr>
                <w:rFonts w:ascii="Arial" w:cs="Arial" w:eastAsia="Arial" w:hAnsi="Arial"/>
                <w:b/>
                <w:bCs/>
                <w:color w:val="000000"/>
                <w:sz w:val="15"/>
                <w:szCs w:val="15"/>
              </w:rPr>
              <w:t xml:space="preserve">I12</w:t>
            </w:r>
          </w:p>
        </w:tc>
        <w:tc>
          <w:tcPr>
            <w:tcW w:type="dxa" w:w="2313"/>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5"/>
                <w:szCs w:val="15"/>
              </w:rPr>
              <w:t xml:space="preserve">Funding spread over matched sovereign curve (bps)</w:t>
            </w:r>
          </w:p>
        </w:tc>
        <w:tc>
          <w:tcPr>
            <w:tcW w:type="dxa" w:w="3373"/>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5"/>
                <w:szCs w:val="15"/>
              </w:rPr>
              <w:t xml:space="preserve">Issue-yield spread against same-currency, duration-matched sovereign curve</w:t>
            </w:r>
          </w:p>
        </w:tc>
        <w:tc>
          <w:tcPr>
            <w:tcW w:type="dxa" w:w="3277"/>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5"/>
                <w:szCs w:val="15"/>
              </w:rPr>
              <w:t xml:space="preserve">A funding-access metric; cannot substitute for asset returns or WACC</w:t>
            </w:r>
          </w:p>
        </w:tc>
      </w:tr>
    </w:tbl>
    <w:p>
      <w:pPr>
        <w:keepNext w:val="false"/>
        <w:spacing w:after="140"/>
      </w:pPr>
    </w:p>
    <w:p>
      <w:pPr>
        <w:pStyle w:val="Heading2"/>
        <w:keepNext/>
        <w:keepLines/>
        <w:spacing w:after="120" w:before="280"/>
      </w:pPr>
      <w:r>
        <w:rPr>
          <w:rFonts w:ascii="Arial" w:cs="Arial" w:eastAsia="Arial" w:hAnsi="Arial"/>
          <w:b/>
          <w:bCs/>
          <w:color w:val="00338D"/>
          <w:sz w:val="28"/>
          <w:szCs w:val="28"/>
        </w:rPr>
        <w:t xml:space="preserve">A.2 SOE metrics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75"/>
        <w:gridCol w:w="2313"/>
        <w:gridCol w:w="3373"/>
        <w:gridCol w:w="3277"/>
      </w:tblGrid>
      <w:tr>
        <w:trPr>
          <w:cantSplit/>
          <w:tblHeader/>
        </w:trPr>
        <w:tc>
          <w:tcPr>
            <w:tcW w:type="dxa" w:w="675"/>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5"/>
                <w:szCs w:val="15"/>
              </w:rPr>
              <w:t xml:space="preserve">Code</w:t>
            </w:r>
          </w:p>
        </w:tc>
        <w:tc>
          <w:tcPr>
            <w:tcW w:type="dxa" w:w="2313"/>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5"/>
                <w:szCs w:val="15"/>
              </w:rPr>
              <w:t xml:space="preserve">Metric (unit)</w:t>
            </w:r>
          </w:p>
        </w:tc>
        <w:tc>
          <w:tcPr>
            <w:tcW w:type="dxa" w:w="3373"/>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5"/>
                <w:szCs w:val="15"/>
              </w:rPr>
              <w:t xml:space="preserve">Measurement</w:t>
            </w:r>
          </w:p>
        </w:tc>
        <w:tc>
          <w:tcPr>
            <w:tcW w:type="dxa" w:w="3277"/>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5"/>
                <w:szCs w:val="15"/>
              </w:rPr>
              <w:t xml:space="preserve">Benchmark and caution</w:t>
            </w:r>
          </w:p>
        </w:tc>
      </w:tr>
      <w:tr>
        <w:trPr>
          <w:cantSplit/>
        </w:trPr>
        <w:tc>
          <w:tcPr>
            <w:tcW w:type="dxa" w:w="675"/>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5"/>
                <w:szCs w:val="15"/>
              </w:rPr>
              <w:t xml:space="preserve">O01</w:t>
            </w:r>
          </w:p>
        </w:tc>
        <w:tc>
          <w:tcPr>
            <w:tcW w:type="dxa" w:w="2313"/>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Non-financial SOE ROIC less WACC (pp)</w:t>
            </w:r>
          </w:p>
        </w:tc>
        <w:tc>
          <w:tcPr>
            <w:tcW w:type="dxa" w:w="3373"/>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Normalised after-tax operating profit / average invested capital − WACC</w:t>
            </w:r>
          </w:p>
        </w:tc>
        <w:tc>
          <w:tcPr>
            <w:tcW w:type="dxa" w:w="3277"/>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Sector- and currency-specific; exclude banks</w:t>
            </w:r>
          </w:p>
        </w:tc>
      </w:tr>
      <w:tr>
        <w:trPr>
          <w:cantSplit/>
        </w:trPr>
        <w:tc>
          <w:tcPr>
            <w:tcW w:type="dxa" w:w="675"/>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5"/>
                <w:szCs w:val="15"/>
              </w:rPr>
              <w:t xml:space="preserve">O02</w:t>
            </w:r>
          </w:p>
        </w:tc>
        <w:tc>
          <w:tcPr>
            <w:tcW w:type="dxa" w:w="2313"/>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Incremental economic profit (Rp bn)</w:t>
            </w:r>
          </w:p>
        </w:tc>
        <w:tc>
          <w:tcPr>
            <w:tcW w:type="dxa" w:w="3373"/>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NOPAT − WACC × average invested capital, minus counterfactual economic profit</w:t>
            </w:r>
          </w:p>
        </w:tc>
        <w:tc>
          <w:tcPr>
            <w:tcW w:type="dxa" w:w="3277"/>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Ownership transfers and capital injections are not value creation</w:t>
            </w:r>
          </w:p>
        </w:tc>
      </w:tr>
      <w:tr>
        <w:trPr>
          <w:cantSplit/>
        </w:trPr>
        <w:tc>
          <w:tcPr>
            <w:tcW w:type="dxa" w:w="675"/>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5"/>
                <w:szCs w:val="15"/>
              </w:rPr>
              <w:t xml:space="preserve">O03</w:t>
            </w:r>
          </w:p>
        </w:tc>
        <w:tc>
          <w:tcPr>
            <w:tcW w:type="dxa" w:w="2313"/>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Comparable EBITDA margin (%)</w:t>
            </w:r>
          </w:p>
        </w:tc>
        <w:tc>
          <w:tcPr>
            <w:tcW w:type="dxa" w:w="3373"/>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Comparable EBITDA / revenue, bridged to statutory operating profit</w:t>
            </w:r>
          </w:p>
        </w:tc>
        <w:tc>
          <w:tcPr>
            <w:tcW w:type="dxa" w:w="3277"/>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Show reported and normalised; exclude banks</w:t>
            </w:r>
          </w:p>
        </w:tc>
      </w:tr>
      <w:tr>
        <w:trPr>
          <w:cantSplit/>
        </w:trPr>
        <w:tc>
          <w:tcPr>
            <w:tcW w:type="dxa" w:w="675"/>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5"/>
                <w:szCs w:val="15"/>
              </w:rPr>
              <w:t xml:space="preserve">O04</w:t>
            </w:r>
          </w:p>
        </w:tc>
        <w:tc>
          <w:tcPr>
            <w:tcW w:type="dxa" w:w="2313"/>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Operating cash conversion (×)</w:t>
            </w:r>
          </w:p>
        </w:tc>
        <w:tc>
          <w:tcPr>
            <w:tcW w:type="dxa" w:w="3373"/>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Operating cash flow / EBITDA, with tax, working-capital and maintenance-capex bridge</w:t>
            </w:r>
          </w:p>
        </w:tc>
        <w:tc>
          <w:tcPr>
            <w:tcW w:type="dxa" w:w="3277"/>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Do not reward overdue suppliers or uncollected compensation</w:t>
            </w:r>
          </w:p>
        </w:tc>
      </w:tr>
      <w:tr>
        <w:trPr>
          <w:cantSplit/>
        </w:trPr>
        <w:tc>
          <w:tcPr>
            <w:tcW w:type="dxa" w:w="675"/>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5"/>
                <w:szCs w:val="15"/>
              </w:rPr>
              <w:t xml:space="preserve">O05</w:t>
            </w:r>
          </w:p>
        </w:tc>
        <w:tc>
          <w:tcPr>
            <w:tcW w:type="dxa" w:w="2313"/>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Real unit operating cost (index)</w:t>
            </w:r>
          </w:p>
        </w:tc>
        <w:tc>
          <w:tcPr>
            <w:tcW w:type="dxa" w:w="3373"/>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Controllable costs at constant prices / quality-adjusted output; baseline 100</w:t>
            </w:r>
          </w:p>
        </w:tc>
        <w:tc>
          <w:tcPr>
            <w:tcW w:type="dxa" w:w="3277"/>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Savings must not come from deferred maintenance, safety or quality erosion</w:t>
            </w:r>
          </w:p>
        </w:tc>
      </w:tr>
      <w:tr>
        <w:trPr>
          <w:cantSplit/>
        </w:trPr>
        <w:tc>
          <w:tcPr>
            <w:tcW w:type="dxa" w:w="675"/>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5"/>
                <w:szCs w:val="15"/>
              </w:rPr>
              <w:t xml:space="preserve">O06</w:t>
            </w:r>
          </w:p>
        </w:tc>
        <w:tc>
          <w:tcPr>
            <w:tcW w:type="dxa" w:w="2313"/>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Real value added per employee (Rp m/FTE)</w:t>
            </w:r>
          </w:p>
        </w:tc>
        <w:tc>
          <w:tcPr>
            <w:tcW w:type="dxa" w:w="3373"/>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Real gross value added / average FTE</w:t>
            </w:r>
          </w:p>
        </w:tc>
        <w:tc>
          <w:tcPr>
            <w:tcW w:type="dxa" w:w="3277"/>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Revenue per employee can be inflated by prices or outsourcing</w:t>
            </w:r>
          </w:p>
        </w:tc>
      </w:tr>
      <w:tr>
        <w:trPr>
          <w:cantSplit/>
        </w:trPr>
        <w:tc>
          <w:tcPr>
            <w:tcW w:type="dxa" w:w="675"/>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5"/>
                <w:szCs w:val="15"/>
              </w:rPr>
              <w:t xml:space="preserve">O07</w:t>
            </w:r>
          </w:p>
        </w:tc>
        <w:tc>
          <w:tcPr>
            <w:tcW w:type="dxa" w:w="2313"/>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Organic real revenue growth (%)</w:t>
            </w:r>
          </w:p>
        </w:tc>
        <w:tc>
          <w:tcPr>
            <w:tcW w:type="dxa" w:w="3373"/>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Like-for-like constant-price growth excluding M&amp;A and accounting changes</w:t>
            </w:r>
          </w:p>
        </w:tc>
        <w:tc>
          <w:tcPr>
            <w:tcW w:type="dxa" w:w="3277"/>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Separate price, volume, FX, consolidation and subsidy effects</w:t>
            </w:r>
          </w:p>
        </w:tc>
      </w:tr>
      <w:tr>
        <w:trPr>
          <w:cantSplit/>
        </w:trPr>
        <w:tc>
          <w:tcPr>
            <w:tcW w:type="dxa" w:w="675"/>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5"/>
                <w:szCs w:val="15"/>
              </w:rPr>
              <w:t xml:space="preserve">O08</w:t>
            </w:r>
          </w:p>
        </w:tc>
        <w:tc>
          <w:tcPr>
            <w:tcW w:type="dxa" w:w="2313"/>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Non-financial net debt / EBITDA (×)</w:t>
            </w:r>
          </w:p>
        </w:tc>
        <w:tc>
          <w:tcPr>
            <w:tcW w:type="dxa" w:w="3373"/>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Interest-bearing debt less unrestricted cash / trailing comparable EBITDA</w:t>
            </w:r>
          </w:p>
        </w:tc>
        <w:tc>
          <w:tcPr>
            <w:tcW w:type="dxa" w:w="3277"/>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Not meaningful for banks or negative EBITDA</w:t>
            </w:r>
          </w:p>
        </w:tc>
      </w:tr>
      <w:tr>
        <w:trPr>
          <w:cantSplit/>
        </w:trPr>
        <w:tc>
          <w:tcPr>
            <w:tcW w:type="dxa" w:w="675"/>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5"/>
                <w:szCs w:val="15"/>
              </w:rPr>
              <w:t xml:space="preserve">O09</w:t>
            </w:r>
          </w:p>
        </w:tc>
        <w:tc>
          <w:tcPr>
            <w:tcW w:type="dxa" w:w="2313"/>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Verified net transformation benefits (Rp bn)</w:t>
            </w:r>
          </w:p>
        </w:tc>
        <w:tc>
          <w:tcPr>
            <w:tcW w:type="dxa" w:w="3373"/>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Realised cash benefits less implementation, severance, integration and recurring costs</w:t>
            </w:r>
          </w:p>
        </w:tc>
        <w:tc>
          <w:tcPr>
            <w:tcW w:type="dxa" w:w="3277"/>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Entity-count reduction is not a benefit</w:t>
            </w:r>
          </w:p>
        </w:tc>
      </w:tr>
      <w:tr>
        <w:trPr>
          <w:cantSplit/>
        </w:trPr>
        <w:tc>
          <w:tcPr>
            <w:tcW w:type="dxa" w:w="675"/>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5"/>
                <w:szCs w:val="15"/>
              </w:rPr>
              <w:t xml:space="preserve">O10</w:t>
            </w:r>
          </w:p>
        </w:tc>
        <w:tc>
          <w:tcPr>
            <w:tcW w:type="dxa" w:w="2313"/>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Service reliability / quality attainment (%)</w:t>
            </w:r>
          </w:p>
        </w:tc>
        <w:tc>
          <w:tcPr>
            <w:tcW w:type="dxa" w:w="3373"/>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Accepted sector service outcomes / contracted targets</w:t>
            </w:r>
          </w:p>
        </w:tc>
        <w:tc>
          <w:tcPr>
            <w:tcW w:type="dxa" w:w="3277"/>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A simple average must not conceal critical failures</w:t>
            </w:r>
          </w:p>
        </w:tc>
      </w:tr>
      <w:tr>
        <w:trPr>
          <w:cantSplit/>
        </w:trPr>
        <w:tc>
          <w:tcPr>
            <w:tcW w:type="dxa" w:w="675"/>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5"/>
                <w:szCs w:val="15"/>
              </w:rPr>
              <w:t xml:space="preserve">O11</w:t>
            </w:r>
          </w:p>
        </w:tc>
        <w:tc>
          <w:tcPr>
            <w:tcW w:type="dxa" w:w="2313"/>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Bank ROE less cost of equity (pp)</w:t>
            </w:r>
          </w:p>
        </w:tc>
        <w:tc>
          <w:tcPr>
            <w:tcW w:type="dxa" w:w="3373"/>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Profit to common equity / average common equity − cost of equity</w:t>
            </w:r>
          </w:p>
        </w:tc>
        <w:tc>
          <w:tcPr>
            <w:tcW w:type="dxa" w:w="3277"/>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Do not raise leverage merely to raise ROE</w:t>
            </w:r>
          </w:p>
        </w:tc>
      </w:tr>
      <w:tr>
        <w:trPr>
          <w:cantSplit/>
        </w:trPr>
        <w:tc>
          <w:tcPr>
            <w:tcW w:type="dxa" w:w="675"/>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5"/>
                <w:szCs w:val="15"/>
              </w:rPr>
              <w:t xml:space="preserve">O12</w:t>
            </w:r>
          </w:p>
        </w:tc>
        <w:tc>
          <w:tcPr>
            <w:tcW w:type="dxa" w:w="2313"/>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Bank cost-to-income ratio (%)</w:t>
            </w:r>
          </w:p>
        </w:tc>
        <w:tc>
          <w:tcPr>
            <w:tcW w:type="dxa" w:w="3373"/>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Operating expense / operating income on a consistent definition</w:t>
            </w:r>
          </w:p>
        </w:tc>
        <w:tc>
          <w:tcPr>
            <w:tcW w:type="dxa" w:w="3277"/>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Distinguish CIR from BOPO</w:t>
            </w:r>
          </w:p>
        </w:tc>
      </w:tr>
      <w:tr>
        <w:trPr>
          <w:cantSplit/>
        </w:trPr>
        <w:tc>
          <w:tcPr>
            <w:tcW w:type="dxa" w:w="675"/>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5"/>
                <w:szCs w:val="15"/>
              </w:rPr>
              <w:t xml:space="preserve">O13</w:t>
            </w:r>
          </w:p>
        </w:tc>
        <w:tc>
          <w:tcPr>
            <w:tcW w:type="dxa" w:w="2313"/>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Bank gross NPL ratio (%)</w:t>
            </w:r>
          </w:p>
        </w:tc>
        <w:tc>
          <w:tcPr>
            <w:tcW w:type="dxa" w:w="3373"/>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Gross NPL / gross loans; show cost of risk and coverage</w:t>
            </w:r>
          </w:p>
        </w:tc>
        <w:tc>
          <w:tcPr>
            <w:tcW w:type="dxa" w:w="3277"/>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Loan sales, write-offs and rapid growth can mask deterioration</w:t>
            </w:r>
          </w:p>
        </w:tc>
      </w:tr>
      <w:tr>
        <w:trPr>
          <w:cantSplit/>
        </w:trPr>
        <w:tc>
          <w:tcPr>
            <w:tcW w:type="dxa" w:w="675"/>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5"/>
                <w:szCs w:val="15"/>
              </w:rPr>
              <w:t xml:space="preserve">O14</w:t>
            </w:r>
          </w:p>
        </w:tc>
        <w:tc>
          <w:tcPr>
            <w:tcW w:type="dxa" w:w="2313"/>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Bank capital headroom (pp)</w:t>
            </w:r>
          </w:p>
        </w:tc>
        <w:tc>
          <w:tcPr>
            <w:tcW w:type="dxa" w:w="3373"/>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CET1 ratio minus applicable required CET1 including buffers</w:t>
            </w:r>
          </w:p>
        </w:tc>
        <w:tc>
          <w:tcPr>
            <w:tcW w:type="dxa" w:w="3277"/>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Total CAR and Tier 1 are not interchangeable with CET1</w:t>
            </w:r>
          </w:p>
        </w:tc>
      </w:tr>
      <w:tr>
        <w:trPr>
          <w:cantSplit/>
        </w:trPr>
        <w:tc>
          <w:tcPr>
            <w:tcW w:type="dxa" w:w="675"/>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pPr>
            <w:r>
              <w:rPr>
                <w:rFonts w:ascii="Arial" w:cs="Arial" w:eastAsia="Arial" w:hAnsi="Arial"/>
                <w:b/>
                <w:bCs/>
                <w:color w:val="000000"/>
                <w:sz w:val="15"/>
                <w:szCs w:val="15"/>
              </w:rPr>
              <w:t xml:space="preserve">O15</w:t>
            </w:r>
          </w:p>
        </w:tc>
        <w:tc>
          <w:tcPr>
            <w:tcW w:type="dxa" w:w="2313"/>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5"/>
                <w:szCs w:val="15"/>
              </w:rPr>
              <w:t xml:space="preserve">Unfunded public-service mandate cost (Rp bn)</w:t>
            </w:r>
          </w:p>
        </w:tc>
        <w:tc>
          <w:tcPr>
            <w:tcW w:type="dxa" w:w="3373"/>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5"/>
                <w:szCs w:val="15"/>
              </w:rPr>
              <w:t xml:space="preserve">Efficient verified PSO cost less funded compensation; arrears aged</w:t>
            </w:r>
          </w:p>
        </w:tc>
        <w:tc>
          <w:tcPr>
            <w:tcW w:type="dxa" w:w="3277"/>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5"/>
                <w:szCs w:val="15"/>
              </w:rPr>
              <w:t xml:space="preserve">Subsidies are not efficiency gains</w:t>
            </w:r>
          </w:p>
        </w:tc>
      </w:tr>
    </w:tbl>
    <w:p>
      <w:pPr>
        <w:keepNext w:val="false"/>
        <w:spacing w:after="140"/>
      </w:pPr>
    </w:p>
    <w:p>
      <w:pPr>
        <w:pStyle w:val="Heading2"/>
        <w:keepNext/>
        <w:keepLines/>
        <w:spacing w:after="120" w:before="280"/>
      </w:pPr>
      <w:r>
        <w:rPr>
          <w:rFonts w:ascii="Arial" w:cs="Arial" w:eastAsia="Arial" w:hAnsi="Arial"/>
          <w:b/>
          <w:bCs/>
          <w:color w:val="00338D"/>
          <w:sz w:val="28"/>
          <w:szCs w:val="28"/>
        </w:rPr>
        <w:t xml:space="preserve">A.3 Economic and industrial metrics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75"/>
        <w:gridCol w:w="2313"/>
        <w:gridCol w:w="3373"/>
        <w:gridCol w:w="3277"/>
      </w:tblGrid>
      <w:tr>
        <w:trPr>
          <w:cantSplit/>
          <w:tblHeader/>
        </w:trPr>
        <w:tc>
          <w:tcPr>
            <w:tcW w:type="dxa" w:w="675"/>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5"/>
                <w:szCs w:val="15"/>
              </w:rPr>
              <w:t xml:space="preserve">Code</w:t>
            </w:r>
          </w:p>
        </w:tc>
        <w:tc>
          <w:tcPr>
            <w:tcW w:type="dxa" w:w="2313"/>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5"/>
                <w:szCs w:val="15"/>
              </w:rPr>
              <w:t xml:space="preserve">Metric (unit)</w:t>
            </w:r>
          </w:p>
        </w:tc>
        <w:tc>
          <w:tcPr>
            <w:tcW w:type="dxa" w:w="3373"/>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5"/>
                <w:szCs w:val="15"/>
              </w:rPr>
              <w:t xml:space="preserve">Measurement</w:t>
            </w:r>
          </w:p>
        </w:tc>
        <w:tc>
          <w:tcPr>
            <w:tcW w:type="dxa" w:w="3277"/>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5"/>
                <w:szCs w:val="15"/>
              </w:rPr>
              <w:t xml:space="preserve">Benchmark and caution</w:t>
            </w:r>
          </w:p>
        </w:tc>
      </w:tr>
      <w:tr>
        <w:trPr>
          <w:cantSplit/>
        </w:trPr>
        <w:tc>
          <w:tcPr>
            <w:tcW w:type="dxa" w:w="675"/>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5"/>
                <w:szCs w:val="15"/>
              </w:rPr>
              <w:t xml:space="preserve">D01</w:t>
            </w:r>
          </w:p>
        </w:tc>
        <w:tc>
          <w:tcPr>
            <w:tcW w:type="dxa" w:w="2313"/>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Economic return above social hurdle (pp)</w:t>
            </w:r>
          </w:p>
        </w:tc>
        <w:tc>
          <w:tcPr>
            <w:tcW w:type="dxa" w:w="3373"/>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EIRR of incremental economic flows minus approved social discount rate; disclose ENPV</w:t>
            </w:r>
          </w:p>
        </w:tc>
        <w:tc>
          <w:tcPr>
            <w:tcW w:type="dxa" w:w="3277"/>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ADB 2017: 9% reference, 6% exception; requires local policy approval</w:t>
            </w:r>
          </w:p>
        </w:tc>
      </w:tr>
      <w:tr>
        <w:trPr>
          <w:cantSplit/>
        </w:trPr>
        <w:tc>
          <w:tcPr>
            <w:tcW w:type="dxa" w:w="675"/>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5"/>
                <w:szCs w:val="15"/>
              </w:rPr>
              <w:t xml:space="preserve">D02</w:t>
            </w:r>
          </w:p>
        </w:tc>
        <w:tc>
          <w:tcPr>
            <w:tcW w:type="dxa" w:w="2313"/>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Additional domestic value added (Rp bn real)</w:t>
            </w:r>
          </w:p>
        </w:tc>
        <w:tc>
          <w:tcPr>
            <w:tcW w:type="dxa" w:w="3373"/>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Value added with project minus credible without-project path, net of displacement</w:t>
            </w:r>
          </w:p>
        </w:tc>
        <w:tc>
          <w:tcPr>
            <w:tcW w:type="dxa" w:w="3277"/>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Gross sales and investment spending are not GDP increments</w:t>
            </w:r>
          </w:p>
        </w:tc>
      </w:tr>
      <w:tr>
        <w:trPr>
          <w:cantSplit/>
        </w:trPr>
        <w:tc>
          <w:tcPr>
            <w:tcW w:type="dxa" w:w="675"/>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5"/>
                <w:szCs w:val="15"/>
              </w:rPr>
              <w:t xml:space="preserve">D03</w:t>
            </w:r>
          </w:p>
        </w:tc>
        <w:tc>
          <w:tcPr>
            <w:tcW w:type="dxa" w:w="2313"/>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Sustained additional employment (FTE)</w:t>
            </w:r>
          </w:p>
        </w:tc>
        <w:tc>
          <w:tcPr>
            <w:tcW w:type="dxa" w:w="3373"/>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Ongoing direct FTE above counterfactual, net of displacement; construction person-years separate</w:t>
            </w:r>
          </w:p>
        </w:tc>
        <w:tc>
          <w:tcPr>
            <w:tcW w:type="dxa" w:w="3277"/>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Avoid counting a worker in contractor, project and supplier totals</w:t>
            </w:r>
          </w:p>
        </w:tc>
      </w:tr>
      <w:tr>
        <w:trPr>
          <w:cantSplit/>
        </w:trPr>
        <w:tc>
          <w:tcPr>
            <w:tcW w:type="dxa" w:w="675"/>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5"/>
                <w:szCs w:val="15"/>
              </w:rPr>
              <w:t xml:space="preserve">D04</w:t>
            </w:r>
          </w:p>
        </w:tc>
        <w:tc>
          <w:tcPr>
            <w:tcW w:type="dxa" w:w="2313"/>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Net foreign-exchange contribution (US$ m)</w:t>
            </w:r>
          </w:p>
        </w:tc>
        <w:tc>
          <w:tcPr>
            <w:tcW w:type="dxa" w:w="3373"/>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Exports + avoided imports − imported inputs/capex − external fees and remittances</w:t>
            </w:r>
          </w:p>
        </w:tc>
        <w:tc>
          <w:tcPr>
            <w:tcW w:type="dxa" w:w="3277"/>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Present current-account contribution and financing flows separately</w:t>
            </w:r>
          </w:p>
        </w:tc>
      </w:tr>
      <w:tr>
        <w:trPr>
          <w:cantSplit/>
        </w:trPr>
        <w:tc>
          <w:tcPr>
            <w:tcW w:type="dxa" w:w="675"/>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5"/>
                <w:szCs w:val="15"/>
              </w:rPr>
              <w:t xml:space="preserve">D05</w:t>
            </w:r>
          </w:p>
        </w:tc>
        <w:tc>
          <w:tcPr>
            <w:tcW w:type="dxa" w:w="2313"/>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Domestic value-added share (%)</w:t>
            </w:r>
          </w:p>
        </w:tc>
        <w:tc>
          <w:tcPr>
            <w:tcW w:type="dxa" w:w="3373"/>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Verified domestic value added / production value</w:t>
            </w:r>
          </w:p>
        </w:tc>
        <w:tc>
          <w:tcPr>
            <w:tcW w:type="dxa" w:w="3277"/>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Not identical to TKDN certification or local invoice value</w:t>
            </w:r>
          </w:p>
        </w:tc>
      </w:tr>
      <w:tr>
        <w:trPr>
          <w:cantSplit/>
        </w:trPr>
        <w:tc>
          <w:tcPr>
            <w:tcW w:type="dxa" w:w="675"/>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5"/>
                <w:szCs w:val="15"/>
              </w:rPr>
              <w:t xml:space="preserve">D06</w:t>
            </w:r>
          </w:p>
        </w:tc>
        <w:tc>
          <w:tcPr>
            <w:tcW w:type="dxa" w:w="2313"/>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Verified technology capability milestones (%)</w:t>
            </w:r>
          </w:p>
        </w:tc>
        <w:tc>
          <w:tcPr>
            <w:tcW w:type="dxa" w:w="3373"/>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Weighted milestones accepted / due: design rights, process control, certified local supply, repeat sales</w:t>
            </w:r>
          </w:p>
        </w:tc>
        <w:tc>
          <w:tcPr>
            <w:tcW w:type="dxa" w:w="3277"/>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Training, patents and MoUs alone do not show mastery</w:t>
            </w:r>
          </w:p>
        </w:tc>
      </w:tr>
      <w:tr>
        <w:trPr>
          <w:cantSplit/>
        </w:trPr>
        <w:tc>
          <w:tcPr>
            <w:tcW w:type="dxa" w:w="675"/>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5"/>
                <w:szCs w:val="15"/>
              </w:rPr>
              <w:t xml:space="preserve">D07</w:t>
            </w:r>
          </w:p>
        </w:tc>
        <w:tc>
          <w:tcPr>
            <w:tcW w:type="dxa" w:w="2313"/>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Commercial capacity utilisation (%)</w:t>
            </w:r>
          </w:p>
        </w:tc>
        <w:tc>
          <w:tcPr>
            <w:tcW w:type="dxa" w:w="3373"/>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Saleable accepted output / practical capacity after commissioning</w:t>
            </w:r>
          </w:p>
        </w:tc>
        <w:tc>
          <w:tcPr>
            <w:tcW w:type="dxa" w:w="3277"/>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No output credit before commercial operation</w:t>
            </w:r>
          </w:p>
        </w:tc>
      </w:tr>
      <w:tr>
        <w:trPr>
          <w:cantSplit/>
        </w:trPr>
        <w:tc>
          <w:tcPr>
            <w:tcW w:type="dxa" w:w="675"/>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5"/>
                <w:szCs w:val="15"/>
              </w:rPr>
              <w:t xml:space="preserve">D08</w:t>
            </w:r>
          </w:p>
        </w:tc>
        <w:tc>
          <w:tcPr>
            <w:tcW w:type="dxa" w:w="2313"/>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On-time / on-budget commissioning (%)</w:t>
            </w:r>
          </w:p>
        </w:tc>
        <w:tc>
          <w:tcPr>
            <w:tcW w:type="dxa" w:w="3373"/>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Baseline-capital-weighted capacity meeting original cost and date / capacity due</w:t>
            </w:r>
          </w:p>
        </w:tc>
        <w:tc>
          <w:tcPr>
            <w:tcW w:type="dxa" w:w="3277"/>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Rebaselining cannot erase overruns</w:t>
            </w:r>
          </w:p>
        </w:tc>
      </w:tr>
      <w:tr>
        <w:trPr>
          <w:cantSplit/>
        </w:trPr>
        <w:tc>
          <w:tcPr>
            <w:tcW w:type="dxa" w:w="675"/>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5"/>
                <w:szCs w:val="15"/>
              </w:rPr>
              <w:t xml:space="preserve">D09</w:t>
            </w:r>
          </w:p>
        </w:tc>
        <w:tc>
          <w:tcPr>
            <w:tcW w:type="dxa" w:w="2313"/>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Supplier productivity improvement (%)</w:t>
            </w:r>
          </w:p>
        </w:tc>
        <w:tc>
          <w:tcPr>
            <w:tcW w:type="dxa" w:w="3373"/>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Matched suppliers' real value added per FTE change less comparison-group change</w:t>
            </w:r>
          </w:p>
        </w:tc>
        <w:tc>
          <w:tcPr>
            <w:tcW w:type="dxa" w:w="3277"/>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Selection effects can mimic improvement</w:t>
            </w:r>
          </w:p>
        </w:tc>
      </w:tr>
      <w:tr>
        <w:trPr>
          <w:cantSplit/>
        </w:trPr>
        <w:tc>
          <w:tcPr>
            <w:tcW w:type="dxa" w:w="675"/>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5"/>
                <w:szCs w:val="15"/>
              </w:rPr>
              <w:t xml:space="preserve">D10</w:t>
            </w:r>
          </w:p>
        </w:tc>
        <w:tc>
          <w:tcPr>
            <w:tcW w:type="dxa" w:w="2313"/>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Net lifecycle GHG reduction (tCO2e/yr)</w:t>
            </w:r>
          </w:p>
        </w:tc>
        <w:tc>
          <w:tcPr>
            <w:tcW w:type="dxa" w:w="3373"/>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Baseline lifecycle emissions minus project lifecycle emissions</w:t>
            </w:r>
          </w:p>
        </w:tc>
        <w:tc>
          <w:tcPr>
            <w:tcW w:type="dxa" w:w="3277"/>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Designed avoidance is not realised abatement</w:t>
            </w:r>
          </w:p>
        </w:tc>
      </w:tr>
      <w:tr>
        <w:trPr>
          <w:cantSplit/>
        </w:trPr>
        <w:tc>
          <w:tcPr>
            <w:tcW w:type="dxa" w:w="675"/>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5"/>
                <w:szCs w:val="15"/>
              </w:rPr>
              <w:t xml:space="preserve">D11</w:t>
            </w:r>
          </w:p>
        </w:tc>
        <w:tc>
          <w:tcPr>
            <w:tcW w:type="dxa" w:w="2313"/>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Reliable affordable service delivered (units)</w:t>
            </w:r>
          </w:p>
        </w:tc>
        <w:tc>
          <w:tcPr>
            <w:tcW w:type="dxa" w:w="3373"/>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Incremental users or units meeting quality, affordability and access thresholds</w:t>
            </w:r>
          </w:p>
        </w:tc>
        <w:tc>
          <w:tcPr>
            <w:tcW w:type="dxa" w:w="3277"/>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Connections or installed assets alone are insufficient</w:t>
            </w:r>
          </w:p>
        </w:tc>
      </w:tr>
      <w:tr>
        <w:trPr>
          <w:cantSplit/>
        </w:trPr>
        <w:tc>
          <w:tcPr>
            <w:tcW w:type="dxa" w:w="675"/>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pPr>
            <w:r>
              <w:rPr>
                <w:rFonts w:ascii="Arial" w:cs="Arial" w:eastAsia="Arial" w:hAnsi="Arial"/>
                <w:b/>
                <w:bCs/>
                <w:color w:val="000000"/>
                <w:sz w:val="15"/>
                <w:szCs w:val="15"/>
              </w:rPr>
              <w:t xml:space="preserve">D12</w:t>
            </w:r>
          </w:p>
        </w:tc>
        <w:tc>
          <w:tcPr>
            <w:tcW w:type="dxa" w:w="2313"/>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5"/>
                <w:szCs w:val="15"/>
              </w:rPr>
              <w:t xml:space="preserve">Public support per additional outcome (Rp/outcome)</w:t>
            </w:r>
          </w:p>
        </w:tc>
        <w:tc>
          <w:tcPr>
            <w:tcW w:type="dxa" w:w="3373"/>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5"/>
                <w:szCs w:val="15"/>
              </w:rPr>
              <w:t xml:space="preserve">PV of grants, concessionality and expected guarantee cost / incremental outcome</w:t>
            </w:r>
          </w:p>
        </w:tc>
        <w:tc>
          <w:tcPr>
            <w:tcW w:type="dxa" w:w="3277"/>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5"/>
                <w:szCs w:val="15"/>
              </w:rPr>
              <w:t xml:space="preserve">Least-cost alternative; one outcome denominator</w:t>
            </w:r>
          </w:p>
        </w:tc>
      </w:tr>
    </w:tbl>
    <w:p>
      <w:pPr>
        <w:keepNext w:val="false"/>
        <w:spacing w:after="140"/>
      </w:pPr>
    </w:p>
    <w:p>
      <w:pPr>
        <w:pStyle w:val="Heading2"/>
        <w:keepNext/>
        <w:keepLines/>
        <w:spacing w:after="120" w:before="280"/>
      </w:pPr>
      <w:r>
        <w:rPr>
          <w:rFonts w:ascii="Arial" w:cs="Arial" w:eastAsia="Arial" w:hAnsi="Arial"/>
          <w:b/>
          <w:bCs/>
          <w:color w:val="00338D"/>
          <w:sz w:val="28"/>
          <w:szCs w:val="28"/>
        </w:rPr>
        <w:t xml:space="preserve">A.4 Governance gates (proposed)</w:t>
      </w:r>
    </w:p>
    <w:p>
      <w:pPr>
        <w:spacing w:after="110" w:before="0" w:line="264"/>
        <w:jc w:val="left"/>
      </w:pPr>
      <w:r>
        <w:rPr>
          <w:rFonts w:ascii="Arial" w:cs="Arial" w:eastAsia="Arial" w:hAnsi="Arial"/>
          <w:color w:val="000000"/>
          <w:sz w:val="20"/>
          <w:szCs w:val="20"/>
        </w:rPr>
        <w:t xml:space="preserve">D1 specifies six governance controls that act as gates but does not name them in the material reviewed. We propose the following six, to be confirmed:</w:t>
      </w:r>
    </w:p>
    <w:p>
      <w:pPr>
        <w:pStyle w:val="ListParagraph"/>
        <w:numPr>
          <w:ilvl w:val="0"/>
          <w:numId w:val="7"/>
        </w:numPr>
        <w:spacing w:after="60" w:line="264"/>
      </w:pPr>
      <w:r>
        <w:rPr>
          <w:rFonts w:ascii="Arial" w:cs="Arial" w:eastAsia="Arial" w:hAnsi="Arial"/>
          <w:sz w:val="20"/>
          <w:szCs w:val="20"/>
        </w:rPr>
        <w:t xml:space="preserve">Approved and reconciled project and ownership register.</w:t>
      </w:r>
    </w:p>
    <w:p>
      <w:pPr>
        <w:pStyle w:val="ListParagraph"/>
        <w:numPr>
          <w:ilvl w:val="0"/>
          <w:numId w:val="7"/>
        </w:numPr>
        <w:spacing w:after="60" w:line="264"/>
      </w:pPr>
      <w:r>
        <w:rPr>
          <w:rFonts w:ascii="Arial" w:cs="Arial" w:eastAsia="Arial" w:hAnsi="Arial"/>
          <w:sz w:val="20"/>
          <w:szCs w:val="20"/>
        </w:rPr>
        <w:t xml:space="preserve">Audited financial statements and opening-balance bridge for the reporting perimeter.</w:t>
      </w:r>
    </w:p>
    <w:p>
      <w:pPr>
        <w:pStyle w:val="ListParagraph"/>
        <w:numPr>
          <w:ilvl w:val="0"/>
          <w:numId w:val="7"/>
        </w:numPr>
        <w:spacing w:after="60" w:line="264"/>
      </w:pPr>
      <w:r>
        <w:rPr>
          <w:rFonts w:ascii="Arial" w:cs="Arial" w:eastAsia="Arial" w:hAnsi="Arial"/>
          <w:sz w:val="20"/>
          <w:szCs w:val="20"/>
        </w:rPr>
        <w:t xml:space="preserve">Independent valuation of material private and strategic holdings.</w:t>
      </w:r>
    </w:p>
    <w:p>
      <w:pPr>
        <w:pStyle w:val="ListParagraph"/>
        <w:numPr>
          <w:ilvl w:val="0"/>
          <w:numId w:val="7"/>
        </w:numPr>
        <w:spacing w:after="60" w:line="264"/>
      </w:pPr>
      <w:r>
        <w:rPr>
          <w:rFonts w:ascii="Arial" w:cs="Arial" w:eastAsia="Arial" w:hAnsi="Arial"/>
          <w:sz w:val="20"/>
          <w:szCs w:val="20"/>
        </w:rPr>
        <w:t xml:space="preserve">Conflict-of-interest register with recusal records for all material decisions.</w:t>
      </w:r>
    </w:p>
    <w:p>
      <w:pPr>
        <w:pStyle w:val="ListParagraph"/>
        <w:numPr>
          <w:ilvl w:val="0"/>
          <w:numId w:val="7"/>
        </w:numPr>
        <w:spacing w:after="60" w:line="264"/>
      </w:pPr>
      <w:r>
        <w:rPr>
          <w:rFonts w:ascii="Arial" w:cs="Arial" w:eastAsia="Arial" w:hAnsi="Arial"/>
          <w:sz w:val="20"/>
          <w:szCs w:val="20"/>
        </w:rPr>
        <w:t xml:space="preserve">Independent risk and legal opinions recorded for all decisions above threshold.</w:t>
      </w:r>
    </w:p>
    <w:p>
      <w:pPr>
        <w:pStyle w:val="ListParagraph"/>
        <w:numPr>
          <w:ilvl w:val="0"/>
          <w:numId w:val="7"/>
        </w:numPr>
        <w:spacing w:after="60" w:line="264"/>
      </w:pPr>
      <w:r>
        <w:rPr>
          <w:rFonts w:ascii="Arial" w:cs="Arial" w:eastAsia="Arial" w:hAnsi="Arial"/>
          <w:sz w:val="20"/>
          <w:szCs w:val="20"/>
        </w:rPr>
        <w:t xml:space="preserve">Data-assurance statement on evidence coverage and qualifications.</w:t>
      </w:r>
    </w:p>
    <w:p>
      <w:pPr>
        <w:pageBreakBefore/>
        <w:spacing w:after="0" w:line="240"/>
      </w:pPr>
      <w:r>
        <w:rPr>
          <w:sz w:val="2"/>
          <w:szCs w:val="2"/>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one" w:color="FFFFFF" w:sz="0"/>
              <w:left w:val="none" w:color="FFFFFF" w:sz="0"/>
              <w:bottom w:val="none" w:color="FFFFFF" w:sz="0"/>
              <w:right w:val="none" w:color="FFFFFF" w:sz="0"/>
            </w:tcBorders>
            <w:shd w:fill="00338D" w:color="auto" w:val="clear"/>
            <w:tcMar>
              <w:top w:type="dxa" w:w="260"/>
              <w:left w:type="dxa" w:w="300"/>
              <w:bottom w:type="dxa" w:w="300"/>
              <w:right w:type="dxa" w:w="300"/>
            </w:tcMar>
          </w:tcPr>
          <w:p>
            <w:pPr>
              <w:spacing w:after="0"/>
            </w:pPr>
            <w:r>
              <w:rPr>
                <w:rFonts w:ascii="Arial" w:cs="Arial" w:eastAsia="Arial" w:hAnsi="Arial"/>
                <w:b/>
                <w:bCs/>
                <w:color w:val="9CC7EF"/>
                <w:sz w:val="64"/>
                <w:szCs w:val="64"/>
              </w:rPr>
              <w:t xml:space="preserve">B</w:t>
            </w:r>
          </w:p>
          <w:p>
            <w:pPr>
              <w:pStyle w:val="Heading1"/>
              <w:spacing w:after="100"/>
            </w:pPr>
            <w:r>
              <w:rPr>
                <w:rFonts w:ascii="Arial" w:cs="Arial" w:eastAsia="Arial" w:hAnsi="Arial"/>
                <w:b/>
                <w:bCs/>
                <w:color w:val="FFFFFF"/>
                <w:sz w:val="40"/>
                <w:szCs w:val="40"/>
              </w:rPr>
              <w:t xml:space="preserve">Appendix B: Discrepancies in the source documents</w:t>
            </w:r>
          </w:p>
          <w:p>
            <w:pPr>
              <w:spacing w:after="0" w:line="276"/>
            </w:pPr>
            <w:r>
              <w:rPr>
                <w:rFonts w:ascii="Arial" w:cs="Arial" w:eastAsia="Arial" w:hAnsi="Arial"/>
                <w:color w:val="FFFFFF"/>
                <w:sz w:val="20"/>
                <w:szCs w:val="20"/>
              </w:rPr>
              <w:t xml:space="preserve">Inconsistencies found during this review. None has been resolved by assumption; each must be corrected by its owner before the figure is used for decisions.</w:t>
            </w:r>
          </w:p>
        </w:tc>
      </w:tr>
    </w:tbl>
    <w:p>
      <w:pPr>
        <w:spacing w:after="20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2"/>
        <w:gridCol w:w="1157"/>
        <w:gridCol w:w="5108"/>
        <w:gridCol w:w="2891"/>
      </w:tblGrid>
      <w:tr>
        <w:trPr>
          <w:cantSplit/>
          <w:tblHeader/>
        </w:trPr>
        <w:tc>
          <w:tcPr>
            <w:tcW w:type="dxa" w:w="482"/>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w:t>
            </w:r>
          </w:p>
        </w:tc>
        <w:tc>
          <w:tcPr>
            <w:tcW w:type="dxa" w:w="1157"/>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Source</w:t>
            </w:r>
          </w:p>
        </w:tc>
        <w:tc>
          <w:tcPr>
            <w:tcW w:type="dxa" w:w="5108"/>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Discrepancy</w:t>
            </w:r>
          </w:p>
        </w:tc>
        <w:tc>
          <w:tcPr>
            <w:tcW w:type="dxa" w:w="2891"/>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Action</w:t>
            </w:r>
          </w:p>
        </w:tc>
      </w:tr>
      <w:tr>
        <w:trPr>
          <w:cantSplit/>
        </w:trPr>
        <w:tc>
          <w:tcPr>
            <w:tcW w:type="dxa" w:w="48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1</w:t>
            </w:r>
          </w:p>
        </w:tc>
        <w:tc>
          <w:tcPr>
            <w:tcW w:type="dxa" w:w="1157"/>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D2 / U1</w:t>
            </w:r>
          </w:p>
        </w:tc>
        <w:tc>
          <w:tcPr>
            <w:tcW w:type="dxa" w:w="510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40-project totals: summary Rp2,091.46 tn versus detail Rp2,072.53 tn (−Rp18.93 tn); cluster allocations differ (Others +Rp291.44 tn; Minerals −Rp196.98 tn)</w:t>
            </w:r>
          </w:p>
        </w:tc>
        <w:tc>
          <w:tcPr>
            <w:tcW w:type="dxa" w:w="2891"/>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Data owner to confirm units, scope and allocation</w:t>
            </w:r>
          </w:p>
        </w:tc>
      </w:tr>
      <w:tr>
        <w:trPr>
          <w:cantSplit/>
        </w:trPr>
        <w:tc>
          <w:tcPr>
            <w:tcW w:type="dxa" w:w="48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2</w:t>
            </w:r>
          </w:p>
        </w:tc>
        <w:tc>
          <w:tcPr>
            <w:tcW w:type="dxa" w:w="1157"/>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D5</w:t>
            </w:r>
          </w:p>
        </w:tc>
        <w:tc>
          <w:tcPr>
            <w:tcW w:type="dxa" w:w="5108"/>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2026 natural-resource share: chart label 10.86% versus text 10.68%</w:t>
            </w:r>
          </w:p>
        </w:tc>
        <w:tc>
          <w:tcPr>
            <w:tcW w:type="dxa" w:w="2891"/>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Correct one value</w:t>
            </w:r>
          </w:p>
        </w:tc>
      </w:tr>
      <w:tr>
        <w:trPr>
          <w:cantSplit/>
        </w:trPr>
        <w:tc>
          <w:tcPr>
            <w:tcW w:type="dxa" w:w="48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3</w:t>
            </w:r>
          </w:p>
        </w:tc>
        <w:tc>
          <w:tcPr>
            <w:tcW w:type="dxa" w:w="1157"/>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D5</w:t>
            </w:r>
          </w:p>
        </w:tc>
        <w:tc>
          <w:tcPr>
            <w:tcW w:type="dxa" w:w="510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Rp100 tn / Rp1,000 tn described as “direct fiscal benefit” in the text, but shown in the chart under “coal capitalisation value with NRF” beside “Coal Reserve Capitalization” Rp10,000 tn</w:t>
            </w:r>
          </w:p>
        </w:tc>
        <w:tc>
          <w:tcPr>
            <w:tcW w:type="dxa" w:w="2891"/>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Separate stock (capitalisation) from flow (fiscal benefit)</w:t>
            </w:r>
          </w:p>
        </w:tc>
      </w:tr>
      <w:tr>
        <w:trPr>
          <w:cantSplit/>
        </w:trPr>
        <w:tc>
          <w:tcPr>
            <w:tcW w:type="dxa" w:w="48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4</w:t>
            </w:r>
          </w:p>
        </w:tc>
        <w:tc>
          <w:tcPr>
            <w:tcW w:type="dxa" w:w="1157"/>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D5</w:t>
            </w:r>
          </w:p>
        </w:tc>
        <w:tc>
          <w:tcPr>
            <w:tcW w:type="dxa" w:w="5108"/>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“Minimum valuation Rp10,000 tn” has no stated method or reserve category</w:t>
            </w:r>
          </w:p>
        </w:tc>
        <w:tc>
          <w:tcPr>
            <w:tcW w:type="dxa" w:w="2891"/>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Publish method under KCMI/CRIRSCO</w:t>
            </w:r>
          </w:p>
        </w:tc>
      </w:tr>
      <w:tr>
        <w:trPr>
          <w:cantSplit/>
        </w:trPr>
        <w:tc>
          <w:tcPr>
            <w:tcW w:type="dxa" w:w="48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5</w:t>
            </w:r>
          </w:p>
        </w:tc>
        <w:tc>
          <w:tcPr>
            <w:tcW w:type="dxa" w:w="1157"/>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D6</w:t>
            </w:r>
          </w:p>
        </w:tc>
        <w:tc>
          <w:tcPr>
            <w:tcW w:type="dxa" w:w="510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“Not a grant, not debt” versus “yield-bearing debt note” and “secured creditor”</w:t>
            </w:r>
          </w:p>
        </w:tc>
        <w:tc>
          <w:tcPr>
            <w:tcW w:type="dxa" w:w="2891"/>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Classify by substance as debt</w:t>
            </w:r>
          </w:p>
        </w:tc>
      </w:tr>
      <w:tr>
        <w:trPr>
          <w:cantSplit/>
        </w:trPr>
        <w:tc>
          <w:tcPr>
            <w:tcW w:type="dxa" w:w="48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6</w:t>
            </w:r>
          </w:p>
        </w:tc>
        <w:tc>
          <w:tcPr>
            <w:tcW w:type="dxa" w:w="1157"/>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D6</w:t>
            </w:r>
          </w:p>
        </w:tc>
        <w:tc>
          <w:tcPr>
            <w:tcW w:type="dxa" w:w="5108"/>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“No collateral” versus “MoD PO collateral”</w:t>
            </w:r>
          </w:p>
        </w:tc>
        <w:tc>
          <w:tcPr>
            <w:tcW w:type="dxa" w:w="2891"/>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Clarify the security package</w:t>
            </w:r>
          </w:p>
        </w:tc>
      </w:tr>
      <w:tr>
        <w:trPr>
          <w:cantSplit/>
        </w:trPr>
        <w:tc>
          <w:tcPr>
            <w:tcW w:type="dxa" w:w="48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7</w:t>
            </w:r>
          </w:p>
        </w:tc>
        <w:tc>
          <w:tcPr>
            <w:tcW w:type="dxa" w:w="1157"/>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D6</w:t>
            </w:r>
          </w:p>
        </w:tc>
        <w:tc>
          <w:tcPr>
            <w:tcW w:type="dxa" w:w="510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“6–7% fixed yield” versus “700 bps”; unexplained “+200 bps”</w:t>
            </w:r>
          </w:p>
        </w:tc>
        <w:tc>
          <w:tcPr>
            <w:tcW w:type="dxa" w:w="2891"/>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Corrected term sheet</w:t>
            </w:r>
          </w:p>
        </w:tc>
      </w:tr>
      <w:tr>
        <w:trPr>
          <w:cantSplit/>
        </w:trPr>
        <w:tc>
          <w:tcPr>
            <w:tcW w:type="dxa" w:w="48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8</w:t>
            </w:r>
          </w:p>
        </w:tc>
        <w:tc>
          <w:tcPr>
            <w:tcW w:type="dxa" w:w="1157"/>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D6</w:t>
            </w:r>
          </w:p>
        </w:tc>
        <w:tc>
          <w:tcPr>
            <w:tcW w:type="dxa" w:w="5108"/>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Go-live “45 days” versus “90 days”</w:t>
            </w:r>
          </w:p>
        </w:tc>
        <w:tc>
          <w:tcPr>
            <w:tcW w:type="dxa" w:w="2891"/>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Single plan</w:t>
            </w:r>
          </w:p>
        </w:tc>
      </w:tr>
      <w:tr>
        <w:trPr>
          <w:cantSplit/>
        </w:trPr>
        <w:tc>
          <w:tcPr>
            <w:tcW w:type="dxa" w:w="48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9</w:t>
            </w:r>
          </w:p>
        </w:tc>
        <w:tc>
          <w:tcPr>
            <w:tcW w:type="dxa" w:w="1157"/>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D6</w:t>
            </w:r>
          </w:p>
        </w:tc>
        <w:tc>
          <w:tcPr>
            <w:tcW w:type="dxa" w:w="510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ZK proof of “US$500 m value” versus a US$150 m issue</w:t>
            </w:r>
          </w:p>
        </w:tc>
        <w:tc>
          <w:tcPr>
            <w:tcW w:type="dxa" w:w="2891"/>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Explain the relationship (contract value versus issue size)</w:t>
            </w:r>
          </w:p>
        </w:tc>
      </w:tr>
      <w:tr>
        <w:trPr>
          <w:cantSplit/>
        </w:trPr>
        <w:tc>
          <w:tcPr>
            <w:tcW w:type="dxa" w:w="48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10</w:t>
            </w:r>
          </w:p>
        </w:tc>
        <w:tc>
          <w:tcPr>
            <w:tcW w:type="dxa" w:w="1157"/>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D6</w:t>
            </w:r>
          </w:p>
        </w:tc>
        <w:tc>
          <w:tcPr>
            <w:tcW w:type="dxa" w:w="5108"/>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Danantara “US$900 bn+ AUM”, “US$20 bn initial”, “1,000+ SOEs”; “pre-cleared by BSSN and OJK”</w:t>
            </w:r>
          </w:p>
        </w:tc>
        <w:tc>
          <w:tcPr>
            <w:tcW w:type="dxa" w:w="2891"/>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Provide sources and written confirmations</w:t>
            </w:r>
          </w:p>
        </w:tc>
      </w:tr>
      <w:tr>
        <w:trPr>
          <w:cantSplit/>
        </w:trPr>
        <w:tc>
          <w:tcPr>
            <w:tcW w:type="dxa" w:w="48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11</w:t>
            </w:r>
          </w:p>
        </w:tc>
        <w:tc>
          <w:tcPr>
            <w:tcW w:type="dxa" w:w="1157"/>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D3 p.7 / p.8</w:t>
            </w:r>
          </w:p>
        </w:tc>
        <w:tc>
          <w:tcPr>
            <w:tcW w:type="dxa" w:w="510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Technical team of 14: p.7 includes a project lead and combines DevOps and security; p.8 has no project lead and separates security/IAM</w:t>
            </w:r>
          </w:p>
        </w:tc>
        <w:tc>
          <w:tcPr>
            <w:tcW w:type="dxa" w:w="2891"/>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Confirm roles</w:t>
            </w:r>
          </w:p>
        </w:tc>
      </w:tr>
      <w:tr>
        <w:trPr>
          <w:cantSplit/>
        </w:trPr>
        <w:tc>
          <w:tcPr>
            <w:tcW w:type="dxa" w:w="48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12</w:t>
            </w:r>
          </w:p>
        </w:tc>
        <w:tc>
          <w:tcPr>
            <w:tcW w:type="dxa" w:w="1157"/>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D3 p.7</w:t>
            </w:r>
          </w:p>
        </w:tc>
        <w:tc>
          <w:tcPr>
            <w:tcW w:type="dxa" w:w="5108"/>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Gantt chart shows M1–M12 inside a three-month plan</w:t>
            </w:r>
          </w:p>
        </w:tc>
        <w:tc>
          <w:tcPr>
            <w:tcW w:type="dxa" w:w="2891"/>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Label as weeks</w:t>
            </w:r>
          </w:p>
        </w:tc>
      </w:tr>
      <w:tr>
        <w:trPr>
          <w:cantSplit/>
        </w:trPr>
        <w:tc>
          <w:tcPr>
            <w:tcW w:type="dxa" w:w="48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13</w:t>
            </w:r>
          </w:p>
        </w:tc>
        <w:tc>
          <w:tcPr>
            <w:tcW w:type="dxa" w:w="1157"/>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D3 p.5 / p.7</w:t>
            </w:r>
          </w:p>
        </w:tc>
        <w:tc>
          <w:tcPr>
            <w:tcW w:type="dxa" w:w="510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Six target agents (portfolio risk, bid/no-bid, cost estimating, receivables, schedule, procurement) differ from the six MVP agents (project document, cost, cash and receivables, procurement, schedule, PM orchestrator)</w:t>
            </w:r>
          </w:p>
        </w:tc>
        <w:tc>
          <w:tcPr>
            <w:tcW w:type="dxa" w:w="2891"/>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Confirm phasing</w:t>
            </w:r>
          </w:p>
        </w:tc>
      </w:tr>
      <w:tr>
        <w:trPr>
          <w:cantSplit/>
        </w:trPr>
        <w:tc>
          <w:tcPr>
            <w:tcW w:type="dxa" w:w="48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14</w:t>
            </w:r>
          </w:p>
        </w:tc>
        <w:tc>
          <w:tcPr>
            <w:tcW w:type="dxa" w:w="1157"/>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D3 p.8</w:t>
            </w:r>
          </w:p>
        </w:tc>
        <w:tc>
          <w:tcPr>
            <w:tcW w:type="dxa" w:w="5108"/>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Llama 3.1 70B (4-bit) listed under 30–40B models</w:t>
            </w:r>
          </w:p>
        </w:tc>
        <w:tc>
          <w:tcPr>
            <w:tcW w:type="dxa" w:w="2891"/>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Load-test or reclassify</w:t>
            </w:r>
          </w:p>
        </w:tc>
      </w:tr>
      <w:tr>
        <w:trPr>
          <w:cantSplit/>
        </w:trPr>
        <w:tc>
          <w:tcPr>
            <w:tcW w:type="dxa" w:w="48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15</w:t>
            </w:r>
          </w:p>
        </w:tc>
        <w:tc>
          <w:tcPr>
            <w:tcW w:type="dxa" w:w="1157"/>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D3 p.3</w:t>
            </w:r>
          </w:p>
        </w:tc>
        <w:tc>
          <w:tcPr>
            <w:tcW w:type="dxa" w:w="510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“Industrial estates” listed twice among burdensome assets</w:t>
            </w:r>
          </w:p>
        </w:tc>
        <w:tc>
          <w:tcPr>
            <w:tcW w:type="dxa" w:w="2891"/>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Editorial</w:t>
            </w:r>
          </w:p>
        </w:tc>
      </w:tr>
      <w:tr>
        <w:trPr>
          <w:cantSplit/>
        </w:trPr>
        <w:tc>
          <w:tcPr>
            <w:tcW w:type="dxa" w:w="48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16</w:t>
            </w:r>
          </w:p>
        </w:tc>
        <w:tc>
          <w:tcPr>
            <w:tcW w:type="dxa" w:w="1157"/>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D3 p.3</w:t>
            </w:r>
          </w:p>
        </w:tc>
        <w:tc>
          <w:tcPr>
            <w:tcW w:type="dxa" w:w="5108"/>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Infrastructure budget fall shown as −45%; computed −44.7%</w:t>
            </w:r>
          </w:p>
        </w:tc>
        <w:tc>
          <w:tcPr>
            <w:tcW w:type="dxa" w:w="2891"/>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Rounding; acceptable</w:t>
            </w:r>
          </w:p>
        </w:tc>
      </w:tr>
      <w:tr>
        <w:trPr>
          <w:cantSplit/>
        </w:trPr>
        <w:tc>
          <w:tcPr>
            <w:tcW w:type="dxa" w:w="48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17</w:t>
            </w:r>
          </w:p>
        </w:tc>
        <w:tc>
          <w:tcPr>
            <w:tcW w:type="dxa" w:w="1157"/>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D4 p.7</w:t>
            </w:r>
          </w:p>
        </w:tc>
        <w:tc>
          <w:tcPr>
            <w:tcW w:type="dxa" w:w="510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“Circle = month” label while the TRL route uses step numbers</w:t>
            </w:r>
          </w:p>
        </w:tc>
        <w:tc>
          <w:tcPr>
            <w:tcW w:type="dxa" w:w="2891"/>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Clarify the timeline of the TRL route</w:t>
            </w:r>
          </w:p>
        </w:tc>
      </w:tr>
      <w:tr>
        <w:trPr>
          <w:cantSplit/>
        </w:trPr>
        <w:tc>
          <w:tcPr>
            <w:tcW w:type="dxa" w:w="48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18</w:t>
            </w:r>
          </w:p>
        </w:tc>
        <w:tc>
          <w:tcPr>
            <w:tcW w:type="dxa" w:w="1157"/>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D3 p.8</w:t>
            </w:r>
          </w:p>
        </w:tc>
        <w:tc>
          <w:tcPr>
            <w:tcW w:type="dxa" w:w="5108"/>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Phase 1 sized at “4 GPU (1 site)”, but the specification table calls for 1–2 servers of 4 × L40S each (4–8 GPUs)</w:t>
            </w:r>
          </w:p>
        </w:tc>
        <w:tc>
          <w:tcPr>
            <w:tcW w:type="dxa" w:w="2891"/>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Confirm Phase-1 GPU count</w:t>
            </w:r>
          </w:p>
        </w:tc>
      </w:tr>
      <w:tr>
        <w:trPr>
          <w:cantSplit/>
        </w:trPr>
        <w:tc>
          <w:tcPr>
            <w:tcW w:type="dxa" w:w="48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19</w:t>
            </w:r>
          </w:p>
        </w:tc>
        <w:tc>
          <w:tcPr>
            <w:tcW w:type="dxa" w:w="1157"/>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D5</w:t>
            </w:r>
          </w:p>
        </w:tc>
        <w:tc>
          <w:tcPr>
            <w:tcW w:type="dxa" w:w="510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Revenue-share series presented without a stated source</w:t>
            </w:r>
          </w:p>
        </w:tc>
        <w:tc>
          <w:tcPr>
            <w:tcW w:type="dxa" w:w="2891"/>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Reconcile to budget data before use</w:t>
            </w:r>
          </w:p>
        </w:tc>
      </w:tr>
      <w:tr>
        <w:trPr>
          <w:cantSplit/>
        </w:trPr>
        <w:tc>
          <w:tcPr>
            <w:tcW w:type="dxa" w:w="48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pPr>
            <w:r>
              <w:rPr>
                <w:rFonts w:ascii="Arial" w:cs="Arial" w:eastAsia="Arial" w:hAnsi="Arial"/>
                <w:color w:val="000000"/>
                <w:sz w:val="16"/>
                <w:szCs w:val="16"/>
              </w:rPr>
              <w:t xml:space="preserve">20</w:t>
            </w:r>
          </w:p>
        </w:tc>
        <w:tc>
          <w:tcPr>
            <w:tcW w:type="dxa" w:w="1157"/>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pPr>
            <w:r>
              <w:rPr>
                <w:rFonts w:ascii="Arial" w:cs="Arial" w:eastAsia="Arial" w:hAnsi="Arial"/>
                <w:color w:val="000000"/>
                <w:sz w:val="16"/>
                <w:szCs w:val="16"/>
              </w:rPr>
              <w:t xml:space="preserve">D3 p.7–8</w:t>
            </w:r>
          </w:p>
        </w:tc>
        <w:tc>
          <w:tcPr>
            <w:tcW w:type="dxa" w:w="5108"/>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pPr>
            <w:r>
              <w:rPr>
                <w:rFonts w:ascii="Arial" w:cs="Arial" w:eastAsia="Arial" w:hAnsi="Arial"/>
                <w:color w:val="000000"/>
                <w:sz w:val="16"/>
                <w:szCs w:val="16"/>
              </w:rPr>
              <w:t xml:space="preserve">Business team stated as 6–8 people, but the roles listed add up to 7–8</w:t>
            </w:r>
          </w:p>
        </w:tc>
        <w:tc>
          <w:tcPr>
            <w:tcW w:type="dxa" w:w="2891"/>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pPr>
            <w:r>
              <w:rPr>
                <w:rFonts w:ascii="Arial" w:cs="Arial" w:eastAsia="Arial" w:hAnsi="Arial"/>
                <w:color w:val="000000"/>
                <w:sz w:val="16"/>
                <w:szCs w:val="16"/>
              </w:rPr>
              <w:t xml:space="preserve">Confirm team size</w:t>
            </w:r>
          </w:p>
        </w:tc>
      </w:tr>
    </w:tbl>
    <w:p>
      <w:pPr>
        <w:keepNext w:val="false"/>
        <w:spacing w:after="140"/>
      </w:pPr>
    </w:p>
    <w:p>
      <w:pPr>
        <w:keepNext/>
        <w:spacing w:after="0" w:before="36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one" w:color="FFFFFF" w:sz="0"/>
              <w:left w:val="none" w:color="FFFFFF" w:sz="0"/>
              <w:bottom w:val="none" w:color="FFFFFF" w:sz="0"/>
              <w:right w:val="none" w:color="FFFFFF" w:sz="0"/>
            </w:tcBorders>
            <w:shd w:fill="00338D" w:color="auto" w:val="clear"/>
            <w:tcMar>
              <w:top w:type="dxa" w:w="260"/>
              <w:left w:type="dxa" w:w="300"/>
              <w:bottom w:type="dxa" w:w="300"/>
              <w:right w:type="dxa" w:w="300"/>
            </w:tcMar>
          </w:tcPr>
          <w:p>
            <w:pPr>
              <w:spacing w:after="0"/>
            </w:pPr>
            <w:r>
              <w:rPr>
                <w:rFonts w:ascii="Arial" w:cs="Arial" w:eastAsia="Arial" w:hAnsi="Arial"/>
                <w:b/>
                <w:bCs/>
                <w:color w:val="9CC7EF"/>
                <w:sz w:val="64"/>
                <w:szCs w:val="64"/>
              </w:rPr>
              <w:t xml:space="preserve">C</w:t>
            </w:r>
          </w:p>
          <w:p>
            <w:pPr>
              <w:pStyle w:val="Heading1"/>
              <w:spacing w:after="100"/>
            </w:pPr>
            <w:r>
              <w:rPr>
                <w:rFonts w:ascii="Arial" w:cs="Arial" w:eastAsia="Arial" w:hAnsi="Arial"/>
                <w:b/>
                <w:bCs/>
                <w:color w:val="FFFFFF"/>
                <w:sz w:val="40"/>
                <w:szCs w:val="40"/>
              </w:rPr>
              <w:t xml:space="preserve">Appendix C: Calculations</w:t>
            </w:r>
          </w:p>
          <w:p>
            <w:pPr>
              <w:spacing w:after="0" w:line="276"/>
            </w:pPr>
            <w:r>
              <w:rPr>
                <w:rFonts w:ascii="Arial" w:cs="Arial" w:eastAsia="Arial" w:hAnsi="Arial"/>
                <w:color w:val="FFFFFF"/>
                <w:sz w:val="20"/>
                <w:szCs w:val="20"/>
              </w:rPr>
              <w:t xml:space="preserve">Calculations performed for this study. Inputs are from the sources unless marked as illustrative (class D).</w:t>
            </w:r>
          </w:p>
        </w:tc>
      </w:tr>
    </w:tbl>
    <w:p>
      <w:pPr>
        <w:spacing w:after="20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6"/>
        <w:gridCol w:w="4626"/>
        <w:gridCol w:w="2506"/>
      </w:tblGrid>
      <w:tr>
        <w:trPr>
          <w:cantSplit/>
          <w:tblHeader/>
        </w:trPr>
        <w:tc>
          <w:tcPr>
            <w:tcW w:type="dxa" w:w="2506"/>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Item</w:t>
            </w:r>
          </w:p>
        </w:tc>
        <w:tc>
          <w:tcPr>
            <w:tcW w:type="dxa" w:w="4626"/>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Calculation</w:t>
            </w:r>
          </w:p>
        </w:tc>
        <w:tc>
          <w:tcPr>
            <w:tcW w:type="dxa" w:w="2506"/>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Result</w:t>
            </w:r>
          </w:p>
        </w:tc>
      </w:tr>
      <w:tr>
        <w:trPr>
          <w:cantSplit/>
        </w:trPr>
        <w:tc>
          <w:tcPr>
            <w:tcW w:type="dxa" w:w="250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DIM notes weighted yield</w:t>
            </w:r>
          </w:p>
        </w:tc>
        <w:tc>
          <w:tcPr>
            <w:tcW w:type="dxa" w:w="462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(750 × 5.35% + 750 × 5.95%) / 1,500</w:t>
            </w:r>
          </w:p>
        </w:tc>
        <w:tc>
          <w:tcPr>
            <w:tcW w:type="dxa" w:w="250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5.65%</w:t>
            </w:r>
          </w:p>
        </w:tc>
      </w:tr>
      <w:tr>
        <w:trPr>
          <w:cantSplit/>
        </w:trPr>
        <w:tc>
          <w:tcPr>
            <w:tcW w:type="dxa" w:w="2506"/>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DIM notes average spread</w:t>
            </w:r>
          </w:p>
        </w:tc>
        <w:tc>
          <w:tcPr>
            <w:tcW w:type="dxa" w:w="4626"/>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(32 + 34) / 2</w:t>
            </w:r>
          </w:p>
        </w:tc>
        <w:tc>
          <w:tcPr>
            <w:tcW w:type="dxa" w:w="2506"/>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33 bps</w:t>
            </w:r>
          </w:p>
        </w:tc>
      </w:tr>
      <w:tr>
        <w:trPr>
          <w:cantSplit/>
        </w:trPr>
        <w:tc>
          <w:tcPr>
            <w:tcW w:type="dxa" w:w="250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DIM notes cover</w:t>
            </w:r>
          </w:p>
        </w:tc>
        <w:tc>
          <w:tcPr>
            <w:tcW w:type="dxa" w:w="462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4.6 / 1.5</w:t>
            </w:r>
          </w:p>
        </w:tc>
        <w:tc>
          <w:tcPr>
            <w:tcW w:type="dxa" w:w="250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 3.07×</w:t>
            </w:r>
          </w:p>
        </w:tc>
      </w:tr>
      <w:tr>
        <w:trPr>
          <w:cantSplit/>
        </w:trPr>
        <w:tc>
          <w:tcPr>
            <w:tcW w:type="dxa" w:w="2506"/>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CA–EDC joint share</w:t>
            </w:r>
          </w:p>
        </w:tc>
        <w:tc>
          <w:tcPr>
            <w:tcW w:type="dxa" w:w="4626"/>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200 / 800</w:t>
            </w:r>
          </w:p>
        </w:tc>
        <w:tc>
          <w:tcPr>
            <w:tcW w:type="dxa" w:w="2506"/>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25%</w:t>
            </w:r>
          </w:p>
        </w:tc>
      </w:tr>
      <w:tr>
        <w:trPr>
          <w:cantSplit/>
        </w:trPr>
        <w:tc>
          <w:tcPr>
            <w:tcW w:type="dxa" w:w="250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40-project difference</w:t>
            </w:r>
          </w:p>
        </w:tc>
        <w:tc>
          <w:tcPr>
            <w:tcW w:type="dxa" w:w="462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2,091.46 − 2,072.53</w:t>
            </w:r>
          </w:p>
        </w:tc>
        <w:tc>
          <w:tcPr>
            <w:tcW w:type="dxa" w:w="250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Rp18.93 tn</w:t>
            </w:r>
          </w:p>
        </w:tc>
      </w:tr>
      <w:tr>
        <w:trPr>
          <w:cantSplit/>
        </w:trPr>
        <w:tc>
          <w:tcPr>
            <w:tcW w:type="dxa" w:w="2506"/>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Construction SOE losses</w:t>
            </w:r>
          </w:p>
        </w:tc>
        <w:tc>
          <w:tcPr>
            <w:tcW w:type="dxa" w:w="4626"/>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10.14 + 8.0 + 5.4 + 4.48</w:t>
            </w:r>
          </w:p>
        </w:tc>
        <w:tc>
          <w:tcPr>
            <w:tcW w:type="dxa" w:w="2506"/>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Rp28.02 tn</w:t>
            </w:r>
          </w:p>
        </w:tc>
      </w:tr>
      <w:tr>
        <w:trPr>
          <w:cantSplit/>
        </w:trPr>
        <w:tc>
          <w:tcPr>
            <w:tcW w:type="dxa" w:w="250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Infrastructure budget change</w:t>
            </w:r>
          </w:p>
        </w:tc>
        <w:tc>
          <w:tcPr>
            <w:tcW w:type="dxa" w:w="462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(61.38 − 110.95) / 110.95</w:t>
            </w:r>
          </w:p>
        </w:tc>
        <w:tc>
          <w:tcPr>
            <w:tcW w:type="dxa" w:w="250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−44.7%</w:t>
            </w:r>
          </w:p>
        </w:tc>
      </w:tr>
      <w:tr>
        <w:trPr>
          <w:cantSplit/>
        </w:trPr>
        <w:tc>
          <w:tcPr>
            <w:tcW w:type="dxa" w:w="2506"/>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NRF period averages</w:t>
            </w:r>
          </w:p>
        </w:tc>
        <w:tc>
          <w:tcPr>
            <w:tcW w:type="dxa" w:w="4626"/>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Mean of 2004–2014 annual shares; mean of 2015–2024</w:t>
            </w:r>
          </w:p>
        </w:tc>
        <w:tc>
          <w:tcPr>
            <w:tcW w:type="dxa" w:w="2506"/>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19.3%; 7.7% (reconcile with D5)</w:t>
            </w:r>
          </w:p>
        </w:tc>
      </w:tr>
      <w:tr>
        <w:trPr>
          <w:cantSplit/>
        </w:trPr>
        <w:tc>
          <w:tcPr>
            <w:tcW w:type="dxa" w:w="250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Implied 2026 state revenue</w:t>
            </w:r>
          </w:p>
        </w:tc>
        <w:tc>
          <w:tcPr>
            <w:tcW w:type="dxa" w:w="462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336 / 10.68%</w:t>
            </w:r>
          </w:p>
        </w:tc>
        <w:tc>
          <w:tcPr>
            <w:tcW w:type="dxa" w:w="250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 Rp3,146 tn</w:t>
            </w:r>
          </w:p>
        </w:tc>
      </w:tr>
      <w:tr>
        <w:trPr>
          <w:cantSplit/>
        </w:trPr>
        <w:tc>
          <w:tcPr>
            <w:tcW w:type="dxa" w:w="2506"/>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Royalty versus potential (D5's comparison; a flow against a stock)</w:t>
            </w:r>
          </w:p>
        </w:tc>
        <w:tc>
          <w:tcPr>
            <w:tcW w:type="dxa" w:w="4626"/>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126.4 / 10,000</w:t>
            </w:r>
          </w:p>
        </w:tc>
        <w:tc>
          <w:tcPr>
            <w:tcW w:type="dxa" w:w="2506"/>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1.26% (D5: “&lt; 2%”); not a measure of capture</w:t>
            </w:r>
          </w:p>
        </w:tc>
      </w:tr>
      <w:tr>
        <w:trPr>
          <w:cantSplit/>
        </w:trPr>
        <w:tc>
          <w:tcPr>
            <w:tcW w:type="dxa" w:w="250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NRF illustration (class D)</w:t>
            </w:r>
          </w:p>
        </w:tc>
        <w:tc>
          <w:tcPr>
            <w:tcW w:type="dxa" w:w="462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50 Mt × US$80 × 15% = US$0.6 bn/yr; × 20-yr annuity factor at 8% (9.818) = US$5.89 bn; ÷ 1.5</w:t>
            </w:r>
          </w:p>
        </w:tc>
        <w:tc>
          <w:tcPr>
            <w:tcW w:type="dxa" w:w="250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US$3.93 bn; 4.9% of US$80 bn</w:t>
            </w:r>
          </w:p>
        </w:tc>
      </w:tr>
      <w:tr>
        <w:trPr>
          <w:cantSplit/>
        </w:trPr>
        <w:tc>
          <w:tcPr>
            <w:tcW w:type="dxa" w:w="2506"/>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PAL-SUB-1 yield</w:t>
            </w:r>
          </w:p>
        </w:tc>
        <w:tc>
          <w:tcPr>
            <w:tcW w:type="dxa" w:w="4626"/>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150 × 7% × 720 / 365</w:t>
            </w:r>
          </w:p>
        </w:tc>
        <w:tc>
          <w:tcPr>
            <w:tcW w:type="dxa" w:w="2506"/>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US$20.7 m</w:t>
            </w:r>
          </w:p>
        </w:tc>
      </w:tr>
      <w:tr>
        <w:trPr>
          <w:cantSplit/>
        </w:trPr>
        <w:tc>
          <w:tcPr>
            <w:tcW w:type="dxa" w:w="250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PAL waterfall example</w:t>
            </w:r>
          </w:p>
        </w:tc>
        <w:tc>
          <w:tcPr>
            <w:tcW w:type="dxa" w:w="462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5.17 / (150 × 7%) × 365</w:t>
            </w:r>
          </w:p>
        </w:tc>
        <w:tc>
          <w:tcPr>
            <w:tcW w:type="dxa" w:w="250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 180 days of accrual</w:t>
            </w:r>
          </w:p>
        </w:tc>
      </w:tr>
      <w:tr>
        <w:trPr>
          <w:cantSplit/>
        </w:trPr>
        <w:tc>
          <w:tcPr>
            <w:tcW w:type="dxa" w:w="2506"/>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PAL savings check</w:t>
            </w:r>
          </w:p>
        </w:tc>
        <w:tc>
          <w:tcPr>
            <w:tcW w:type="dxa" w:w="4626"/>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150 × (10.5% − 7%) × 720 / 365</w:t>
            </w:r>
          </w:p>
        </w:tc>
        <w:tc>
          <w:tcPr>
            <w:tcW w:type="dxa" w:w="2506"/>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 US$10.4 m (within the claimed US$8–12 m)</w:t>
            </w:r>
          </w:p>
        </w:tc>
      </w:tr>
      <w:tr>
        <w:trPr>
          <w:cantSplit/>
        </w:trPr>
        <w:tc>
          <w:tcPr>
            <w:tcW w:type="dxa" w:w="250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PAL tranche total</w:t>
            </w:r>
          </w:p>
        </w:tc>
        <w:tc>
          <w:tcPr>
            <w:tcW w:type="dxa" w:w="462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40 + 45 + 40 + 25</w:t>
            </w:r>
          </w:p>
        </w:tc>
        <w:tc>
          <w:tcPr>
            <w:tcW w:type="dxa" w:w="250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US$150 m</w:t>
            </w:r>
          </w:p>
        </w:tc>
      </w:tr>
      <w:tr>
        <w:trPr>
          <w:cantSplit/>
        </w:trPr>
        <w:tc>
          <w:tcPr>
            <w:tcW w:type="dxa" w:w="2506"/>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Learning curve (class D)</w:t>
            </w:r>
          </w:p>
        </w:tc>
        <w:tc>
          <w:tcPr>
            <w:tcW w:type="dxa" w:w="4626"/>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Unit cost = 0.85 to the power n; parity when 1.4 × 0.85 to the power n = 1</w:t>
            </w:r>
          </w:p>
        </w:tc>
        <w:tc>
          <w:tcPr>
            <w:tcW w:type="dxa" w:w="2506"/>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n ≈ 2.07 doublings ≈ 4.2× first-lot volume</w:t>
            </w:r>
          </w:p>
        </w:tc>
      </w:tr>
      <w:tr>
        <w:trPr>
          <w:cantSplit/>
        </w:trPr>
        <w:tc>
          <w:tcPr>
            <w:tcW w:type="dxa" w:w="250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Sources and uses (class D)</w:t>
            </w:r>
          </w:p>
        </w:tc>
        <w:tc>
          <w:tcPr>
            <w:tcW w:type="dxa" w:w="462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7 × 5 × 16,500 = Rp578 tn; 20% × 126.4 = 25.3 × annuity(10y, 7%) 7.024 = 178 ÷ 1.5 = 118; 1.45 bn × 16,500 = 24</w:t>
            </w:r>
          </w:p>
        </w:tc>
        <w:tc>
          <w:tcPr>
            <w:tcW w:type="dxa" w:w="250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New channels Rp142 tn (6.8%); remaining Rp1,371 tn</w:t>
            </w:r>
          </w:p>
        </w:tc>
      </w:tr>
      <w:tr>
        <w:trPr>
          <w:cantSplit/>
        </w:trPr>
        <w:tc>
          <w:tcPr>
            <w:tcW w:type="dxa" w:w="2506"/>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Equity and debt split (class D)</w:t>
            </w:r>
          </w:p>
        </w:tc>
        <w:tc>
          <w:tcPr>
            <w:tcW w:type="dxa" w:w="4626"/>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30% × 2,091.46; 70% × 2,091.46</w:t>
            </w:r>
          </w:p>
        </w:tc>
        <w:tc>
          <w:tcPr>
            <w:tcW w:type="dxa" w:w="2506"/>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Rp627 tn equity; Rp1,464 tn debt</w:t>
            </w:r>
          </w:p>
        </w:tc>
      </w:tr>
      <w:tr>
        <w:trPr>
          <w:cantSplit/>
        </w:trPr>
        <w:tc>
          <w:tcPr>
            <w:tcW w:type="dxa" w:w="250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Localisation scenario (class D)</w:t>
            </w:r>
          </w:p>
        </w:tc>
        <w:tc>
          <w:tcPr>
            <w:tcW w:type="dxa" w:w="462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100 × 45% × 60% = 27 imported; × 10/20/30% shifted; × 40% value added; × 0.7 net FX; ÷ Rp0.25 bn per job-year</w:t>
            </w:r>
          </w:p>
        </w:tc>
        <w:tc>
          <w:tcPr>
            <w:tcW w:type="dxa" w:w="250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Per Rp100 tn: VA 1.1 / 2.2 / 3.2 tn</w:t>
            </w:r>
          </w:p>
        </w:tc>
      </w:tr>
      <w:tr>
        <w:trPr>
          <w:cantSplit/>
        </w:trPr>
        <w:tc>
          <w:tcPr>
            <w:tcW w:type="dxa" w:w="2506"/>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AI receivables illustration (class D)</w:t>
            </w:r>
          </w:p>
        </w:tc>
        <w:tc>
          <w:tcPr>
            <w:tcW w:type="dxa" w:w="4626"/>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20,000 × 10 / 365; × 10%</w:t>
            </w:r>
          </w:p>
        </w:tc>
        <w:tc>
          <w:tcPr>
            <w:tcW w:type="dxa" w:w="2506"/>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Rp0.55 tn released; Rp55 bn a year</w:t>
            </w:r>
          </w:p>
        </w:tc>
      </w:tr>
      <w:tr>
        <w:trPr>
          <w:cantSplit/>
        </w:trPr>
        <w:tc>
          <w:tcPr>
            <w:tcW w:type="dxa" w:w="250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pPr>
            <w:r>
              <w:rPr>
                <w:rFonts w:ascii="Arial" w:cs="Arial" w:eastAsia="Arial" w:hAnsi="Arial"/>
                <w:b/>
                <w:bCs/>
                <w:color w:val="000000"/>
                <w:sz w:val="16"/>
                <w:szCs w:val="16"/>
              </w:rPr>
              <w:t xml:space="preserve">Financial vs economic example (D1)</w:t>
            </w:r>
          </w:p>
        </w:tc>
        <w:tc>
          <w:tcPr>
            <w:tcW w:type="dxa" w:w="462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6"/>
                <w:szCs w:val="16"/>
              </w:rPr>
              <w:t xml:space="preserve">−100 + 15 × annuity(10y, 12%) ; −100 + 21 × annuity(10y, 9%)</w:t>
            </w:r>
          </w:p>
        </w:tc>
        <w:tc>
          <w:tcPr>
            <w:tcW w:type="dxa" w:w="250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6"/>
                <w:szCs w:val="16"/>
              </w:rPr>
              <w:t xml:space="preserve">FNPV −Rp15.25 bn; ENPV Rp34.77 bn</w:t>
            </w:r>
          </w:p>
        </w:tc>
      </w:tr>
    </w:tbl>
    <w:p>
      <w:pPr>
        <w:keepNext w:val="false"/>
        <w:spacing w:after="140"/>
      </w:pPr>
    </w:p>
    <w:p>
      <w:pPr>
        <w:keepNext/>
        <w:spacing w:after="0" w:before="36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one" w:color="FFFFFF" w:sz="0"/>
              <w:left w:val="none" w:color="FFFFFF" w:sz="0"/>
              <w:bottom w:val="none" w:color="FFFFFF" w:sz="0"/>
              <w:right w:val="none" w:color="FFFFFF" w:sz="0"/>
            </w:tcBorders>
            <w:shd w:fill="00338D" w:color="auto" w:val="clear"/>
            <w:tcMar>
              <w:top w:type="dxa" w:w="260"/>
              <w:left w:type="dxa" w:w="300"/>
              <w:bottom w:type="dxa" w:w="300"/>
              <w:right w:type="dxa" w:w="300"/>
            </w:tcMar>
          </w:tcPr>
          <w:p>
            <w:pPr>
              <w:spacing w:after="0"/>
            </w:pPr>
            <w:r>
              <w:rPr>
                <w:rFonts w:ascii="Arial" w:cs="Arial" w:eastAsia="Arial" w:hAnsi="Arial"/>
                <w:b/>
                <w:bCs/>
                <w:color w:val="9CC7EF"/>
                <w:sz w:val="64"/>
                <w:szCs w:val="64"/>
              </w:rPr>
              <w:t xml:space="preserve">D</w:t>
            </w:r>
          </w:p>
          <w:p>
            <w:pPr>
              <w:pStyle w:val="Heading1"/>
              <w:spacing w:after="0"/>
            </w:pPr>
            <w:r>
              <w:rPr>
                <w:rFonts w:ascii="Arial" w:cs="Arial" w:eastAsia="Arial" w:hAnsi="Arial"/>
                <w:b/>
                <w:bCs/>
                <w:color w:val="FFFFFF"/>
                <w:sz w:val="40"/>
                <w:szCs w:val="40"/>
              </w:rPr>
              <w:t xml:space="preserve">Appendix D: Glossary</w:t>
            </w:r>
          </w:p>
        </w:tc>
      </w:tr>
    </w:tbl>
    <w:p>
      <w:pPr>
        <w:spacing w:after="200"/>
      </w:pPr>
    </w:p>
    <w:p>
      <w:pPr>
        <w:spacing w:after="110" w:before="0" w:line="264"/>
        <w:jc w:val="left"/>
      </w:pPr>
      <w:r>
        <w:rPr>
          <w:rFonts w:ascii="Arial" w:cs="Arial" w:eastAsia="Arial" w:hAnsi="Arial"/>
          <w:color w:val="000000"/>
          <w:sz w:val="20"/>
          <w:szCs w:val="20"/>
        </w:rPr>
        <w:t xml:space="preserve">Additionality: whether an outcome would have happened without Danantara. Counterfactual: the credible without-project path used to measure additionality. Denominator: the agreed population (for example, the reconciled project register) against which rates are calculated. Perimeter bridge: a reconciliation explaining changes in what is included in the portfolio. Waterfall: the order in which incoming payments are applied. Coverage ratio: pledged cash flow divided by debt service. Advance rate: the share of pledged value that can be borrowed.</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6"/>
        <w:gridCol w:w="7132"/>
      </w:tblGrid>
      <w:tr>
        <w:trPr>
          <w:cantSplit/>
          <w:tblHeader/>
        </w:trPr>
        <w:tc>
          <w:tcPr>
            <w:tcW w:type="dxa" w:w="2506"/>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Term</w:t>
            </w:r>
          </w:p>
        </w:tc>
        <w:tc>
          <w:tcPr>
            <w:tcW w:type="dxa" w:w="7132"/>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Meaning</w:t>
            </w:r>
          </w:p>
        </w:tc>
      </w:tr>
      <w:tr>
        <w:trPr>
          <w:cantSplit/>
        </w:trPr>
        <w:tc>
          <w:tcPr>
            <w:tcW w:type="dxa" w:w="250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5"/>
                <w:szCs w:val="15"/>
              </w:rPr>
              <w:t xml:space="preserve">ADB / IFC / MDB</w:t>
            </w:r>
          </w:p>
        </w:tc>
        <w:tc>
          <w:tcPr>
            <w:tcW w:type="dxa" w:w="713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Asian Development Bank / International Finance Corporation / multilateral development bank</w:t>
            </w:r>
          </w:p>
        </w:tc>
      </w:tr>
      <w:tr>
        <w:trPr>
          <w:cantSplit/>
        </w:trPr>
        <w:tc>
          <w:tcPr>
            <w:tcW w:type="dxa" w:w="2506"/>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5"/>
                <w:szCs w:val="15"/>
              </w:rPr>
              <w:t xml:space="preserve">APBN</w:t>
            </w:r>
          </w:p>
        </w:tc>
        <w:tc>
          <w:tcPr>
            <w:tcW w:type="dxa" w:w="713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State budget</w:t>
            </w:r>
          </w:p>
        </w:tc>
      </w:tr>
      <w:tr>
        <w:trPr>
          <w:cantSplit/>
        </w:trPr>
        <w:tc>
          <w:tcPr>
            <w:tcW w:type="dxa" w:w="250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5"/>
                <w:szCs w:val="15"/>
              </w:rPr>
              <w:t xml:space="preserve">AUM / NAV</w:t>
            </w:r>
          </w:p>
        </w:tc>
        <w:tc>
          <w:tcPr>
            <w:tcW w:type="dxa" w:w="713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Assets under management / net asset value</w:t>
            </w:r>
          </w:p>
        </w:tc>
      </w:tr>
      <w:tr>
        <w:trPr>
          <w:cantSplit/>
        </w:trPr>
        <w:tc>
          <w:tcPr>
            <w:tcW w:type="dxa" w:w="2506"/>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5"/>
                <w:szCs w:val="15"/>
              </w:rPr>
              <w:t xml:space="preserve">BIM / CDE</w:t>
            </w:r>
          </w:p>
        </w:tc>
        <w:tc>
          <w:tcPr>
            <w:tcW w:type="dxa" w:w="713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Building information modelling / common data environment</w:t>
            </w:r>
          </w:p>
        </w:tc>
      </w:tr>
      <w:tr>
        <w:trPr>
          <w:cantSplit/>
        </w:trPr>
        <w:tc>
          <w:tcPr>
            <w:tcW w:type="dxa" w:w="250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5"/>
                <w:szCs w:val="15"/>
              </w:rPr>
              <w:t xml:space="preserve">BKI</w:t>
            </w:r>
          </w:p>
        </w:tc>
        <w:tc>
          <w:tcPr>
            <w:tcW w:type="dxa" w:w="713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Biro Klasifikasi Indonesia, the Indonesian classification society</w:t>
            </w:r>
          </w:p>
        </w:tc>
      </w:tr>
      <w:tr>
        <w:trPr>
          <w:cantSplit/>
        </w:trPr>
        <w:tc>
          <w:tcPr>
            <w:tcW w:type="dxa" w:w="2506"/>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5"/>
                <w:szCs w:val="15"/>
              </w:rPr>
              <w:t xml:space="preserve">BP BUMN</w:t>
            </w:r>
          </w:p>
        </w:tc>
        <w:tc>
          <w:tcPr>
            <w:tcW w:type="dxa" w:w="713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The SOE regulatory agency</w:t>
            </w:r>
          </w:p>
        </w:tc>
      </w:tr>
      <w:tr>
        <w:trPr>
          <w:cantSplit/>
        </w:trPr>
        <w:tc>
          <w:tcPr>
            <w:tcW w:type="dxa" w:w="250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5"/>
                <w:szCs w:val="15"/>
              </w:rPr>
              <w:t xml:space="preserve">BPI</w:t>
            </w:r>
          </w:p>
        </w:tc>
        <w:tc>
          <w:tcPr>
            <w:tcW w:type="dxa" w:w="713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Badan Pengelola Investasi Daya Anagata Nusantara (Danantara); its Executive Body is the Badan Pelaksana</w:t>
            </w:r>
          </w:p>
        </w:tc>
      </w:tr>
      <w:tr>
        <w:trPr>
          <w:cantSplit/>
        </w:trPr>
        <w:tc>
          <w:tcPr>
            <w:tcW w:type="dxa" w:w="2506"/>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5"/>
                <w:szCs w:val="15"/>
              </w:rPr>
              <w:t xml:space="preserve">BPS</w:t>
            </w:r>
          </w:p>
        </w:tc>
        <w:tc>
          <w:tcPr>
            <w:tcW w:type="dxa" w:w="713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Statistics Indonesia</w:t>
            </w:r>
          </w:p>
        </w:tc>
      </w:tr>
      <w:tr>
        <w:trPr>
          <w:cantSplit/>
        </w:trPr>
        <w:tc>
          <w:tcPr>
            <w:tcW w:type="dxa" w:w="250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5"/>
                <w:szCs w:val="15"/>
              </w:rPr>
              <w:t xml:space="preserve">BRIN</w:t>
            </w:r>
          </w:p>
        </w:tc>
        <w:tc>
          <w:tcPr>
            <w:tcW w:type="dxa" w:w="713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National Research and Innovation Agency</w:t>
            </w:r>
          </w:p>
        </w:tc>
      </w:tr>
      <w:tr>
        <w:trPr>
          <w:cantSplit/>
        </w:trPr>
        <w:tc>
          <w:tcPr>
            <w:tcW w:type="dxa" w:w="2506"/>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5"/>
                <w:szCs w:val="15"/>
              </w:rPr>
              <w:t xml:space="preserve">BSSN</w:t>
            </w:r>
          </w:p>
        </w:tc>
        <w:tc>
          <w:tcPr>
            <w:tcW w:type="dxa" w:w="713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National Cyber and Crypto Agency</w:t>
            </w:r>
          </w:p>
        </w:tc>
      </w:tr>
      <w:tr>
        <w:trPr>
          <w:cantSplit/>
        </w:trPr>
        <w:tc>
          <w:tcPr>
            <w:tcW w:type="dxa" w:w="250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5"/>
                <w:szCs w:val="15"/>
              </w:rPr>
              <w:t xml:space="preserve">BUMN Karya</w:t>
            </w:r>
          </w:p>
        </w:tc>
        <w:tc>
          <w:tcPr>
            <w:tcW w:type="dxa" w:w="713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State-owned construction companies</w:t>
            </w:r>
          </w:p>
        </w:tc>
      </w:tr>
      <w:tr>
        <w:trPr>
          <w:cantSplit/>
        </w:trPr>
        <w:tc>
          <w:tcPr>
            <w:tcW w:type="dxa" w:w="2506"/>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5"/>
                <w:szCs w:val="15"/>
              </w:rPr>
              <w:t xml:space="preserve">CA–EDC</w:t>
            </w:r>
          </w:p>
        </w:tc>
        <w:tc>
          <w:tcPr>
            <w:tcW w:type="dxa" w:w="713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Chlor-alkali and ethylene dichloride chemicals project</w:t>
            </w:r>
          </w:p>
        </w:tc>
      </w:tr>
      <w:tr>
        <w:trPr>
          <w:cantSplit/>
        </w:trPr>
        <w:tc>
          <w:tcPr>
            <w:tcW w:type="dxa" w:w="250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5"/>
                <w:szCs w:val="15"/>
              </w:rPr>
              <w:t xml:space="preserve">CEO / CFO / COO / CIO / CTO</w:t>
            </w:r>
          </w:p>
        </w:tc>
        <w:tc>
          <w:tcPr>
            <w:tcW w:type="dxa" w:w="713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Chief executive / financial / operating / investment / technology officer</w:t>
            </w:r>
          </w:p>
        </w:tc>
      </w:tr>
      <w:tr>
        <w:trPr>
          <w:cantSplit/>
        </w:trPr>
        <w:tc>
          <w:tcPr>
            <w:tcW w:type="dxa" w:w="2506"/>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5"/>
                <w:szCs w:val="15"/>
              </w:rPr>
              <w:t xml:space="preserve">CET1 / CAR</w:t>
            </w:r>
          </w:p>
        </w:tc>
        <w:tc>
          <w:tcPr>
            <w:tcW w:type="dxa" w:w="713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Common equity tier 1 / capital adequacy ratio (banks)</w:t>
            </w:r>
          </w:p>
        </w:tc>
      </w:tr>
      <w:tr>
        <w:trPr>
          <w:cantSplit/>
        </w:trPr>
        <w:tc>
          <w:tcPr>
            <w:tcW w:type="dxa" w:w="250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5"/>
                <w:szCs w:val="15"/>
              </w:rPr>
              <w:t xml:space="preserve">CIR / BOPO</w:t>
            </w:r>
          </w:p>
        </w:tc>
        <w:tc>
          <w:tcPr>
            <w:tcW w:type="dxa" w:w="713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Cost-to-income ratio / operating expense to operating income (Indonesian bank ratio)</w:t>
            </w:r>
          </w:p>
        </w:tc>
      </w:tr>
      <w:tr>
        <w:trPr>
          <w:cantSplit/>
        </w:trPr>
        <w:tc>
          <w:tcPr>
            <w:tcW w:type="dxa" w:w="2506"/>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5"/>
                <w:szCs w:val="15"/>
              </w:rPr>
              <w:t xml:space="preserve">CMSC / SCIC</w:t>
            </w:r>
          </w:p>
        </w:tc>
        <w:tc>
          <w:tcPr>
            <w:tcW w:type="dxa" w:w="713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Vietnam's former Commission for Management of State Capital / State Capital Investment Corporation</w:t>
            </w:r>
          </w:p>
        </w:tc>
      </w:tr>
      <w:tr>
        <w:trPr>
          <w:cantSplit/>
        </w:trPr>
        <w:tc>
          <w:tcPr>
            <w:tcW w:type="dxa" w:w="250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5"/>
                <w:szCs w:val="15"/>
              </w:rPr>
              <w:t xml:space="preserve">CPI / SPI / EAC / BAC / EV / AC</w:t>
            </w:r>
          </w:p>
        </w:tc>
        <w:tc>
          <w:tcPr>
            <w:tcW w:type="dxa" w:w="713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Cost and schedule performance indices; estimate and budget at completion; earned value; actual cost</w:t>
            </w:r>
          </w:p>
        </w:tc>
      </w:tr>
      <w:tr>
        <w:trPr>
          <w:cantSplit/>
        </w:trPr>
        <w:tc>
          <w:tcPr>
            <w:tcW w:type="dxa" w:w="2506"/>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5"/>
                <w:szCs w:val="15"/>
              </w:rPr>
              <w:t xml:space="preserve">CRIRSCO / KCMI</w:t>
            </w:r>
          </w:p>
        </w:tc>
        <w:tc>
          <w:tcPr>
            <w:tcW w:type="dxa" w:w="713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International reserves reporting template and the Indonesian code for reporting mineral resources and reserves</w:t>
            </w:r>
          </w:p>
        </w:tc>
      </w:tr>
      <w:tr>
        <w:trPr>
          <w:cantSplit/>
        </w:trPr>
        <w:tc>
          <w:tcPr>
            <w:tcW w:type="dxa" w:w="250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5"/>
                <w:szCs w:val="15"/>
              </w:rPr>
              <w:t xml:space="preserve">DAM / DIM / DDMF</w:t>
            </w:r>
          </w:p>
        </w:tc>
        <w:tc>
          <w:tcPr>
            <w:tcW w:type="dxa" w:w="713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Danantara Asset Management / Investment Management / Development Management Fund</w:t>
            </w:r>
          </w:p>
        </w:tc>
      </w:tr>
      <w:tr>
        <w:trPr>
          <w:cantSplit/>
        </w:trPr>
        <w:tc>
          <w:tcPr>
            <w:tcW w:type="dxa" w:w="2506"/>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5"/>
                <w:szCs w:val="15"/>
              </w:rPr>
              <w:t xml:space="preserve">DEFEND ID</w:t>
            </w:r>
          </w:p>
        </w:tc>
        <w:tc>
          <w:tcPr>
            <w:tcW w:type="dxa" w:w="713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Indonesia's defence-industry SOE holding</w:t>
            </w:r>
          </w:p>
        </w:tc>
      </w:tr>
      <w:tr>
        <w:trPr>
          <w:cantSplit/>
        </w:trPr>
        <w:tc>
          <w:tcPr>
            <w:tcW w:type="dxa" w:w="250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5"/>
                <w:szCs w:val="15"/>
              </w:rPr>
              <w:t xml:space="preserve">DOCK-UP</w:t>
            </w:r>
          </w:p>
        </w:tc>
        <w:tc>
          <w:tcPr>
            <w:tcW w:type="dxa" w:w="713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Develop, Off-taker, Certification, Upgrading supplier-development framework</w:t>
            </w:r>
          </w:p>
        </w:tc>
      </w:tr>
      <w:tr>
        <w:trPr>
          <w:cantSplit/>
        </w:trPr>
        <w:tc>
          <w:tcPr>
            <w:tcW w:type="dxa" w:w="2506"/>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5"/>
                <w:szCs w:val="15"/>
              </w:rPr>
              <w:t xml:space="preserve">DPI / TVPI / RVPI</w:t>
            </w:r>
          </w:p>
        </w:tc>
        <w:tc>
          <w:tcPr>
            <w:tcW w:type="dxa" w:w="713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Distributions, total value and residual value to paid-in capital</w:t>
            </w:r>
          </w:p>
        </w:tc>
      </w:tr>
      <w:tr>
        <w:trPr>
          <w:cantSplit/>
        </w:trPr>
        <w:tc>
          <w:tcPr>
            <w:tcW w:type="dxa" w:w="250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5"/>
                <w:szCs w:val="15"/>
              </w:rPr>
              <w:t xml:space="preserve">EBITDA</w:t>
            </w:r>
          </w:p>
        </w:tc>
        <w:tc>
          <w:tcPr>
            <w:tcW w:type="dxa" w:w="713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Earnings before interest, tax, depreciation and amortisation</w:t>
            </w:r>
          </w:p>
        </w:tc>
      </w:tr>
      <w:tr>
        <w:trPr>
          <w:cantSplit/>
        </w:trPr>
        <w:tc>
          <w:tcPr>
            <w:tcW w:type="dxa" w:w="2506"/>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5"/>
                <w:szCs w:val="15"/>
              </w:rPr>
              <w:t xml:space="preserve">EIRR / ENPV</w:t>
            </w:r>
          </w:p>
        </w:tc>
        <w:tc>
          <w:tcPr>
            <w:tcW w:type="dxa" w:w="713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Economic internal rate of return / economic net present value</w:t>
            </w:r>
          </w:p>
        </w:tc>
      </w:tr>
      <w:tr>
        <w:trPr>
          <w:cantSplit/>
        </w:trPr>
        <w:tc>
          <w:tcPr>
            <w:tcW w:type="dxa" w:w="250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5"/>
                <w:szCs w:val="15"/>
              </w:rPr>
              <w:t xml:space="preserve">EMC / IRST</w:t>
            </w:r>
          </w:p>
        </w:tc>
        <w:tc>
          <w:tcPr>
            <w:tcW w:type="dxa" w:w="713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Electromagnetic compatibility / infrared search and track</w:t>
            </w:r>
          </w:p>
        </w:tc>
      </w:tr>
      <w:tr>
        <w:trPr>
          <w:cantSplit/>
        </w:trPr>
        <w:tc>
          <w:tcPr>
            <w:tcW w:type="dxa" w:w="2506"/>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5"/>
                <w:szCs w:val="15"/>
              </w:rPr>
              <w:t xml:space="preserve">EPC</w:t>
            </w:r>
          </w:p>
        </w:tc>
        <w:tc>
          <w:tcPr>
            <w:tcW w:type="dxa" w:w="713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Engineering, procurement and construction</w:t>
            </w:r>
          </w:p>
        </w:tc>
      </w:tr>
      <w:tr>
        <w:trPr>
          <w:cantSplit/>
        </w:trPr>
        <w:tc>
          <w:tcPr>
            <w:tcW w:type="dxa" w:w="250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5"/>
                <w:szCs w:val="15"/>
              </w:rPr>
              <w:t xml:space="preserve">ERC-3643 / IBFT / FIPS</w:t>
            </w:r>
          </w:p>
        </w:tc>
        <w:tc>
          <w:tcPr>
            <w:tcW w:type="dxa" w:w="713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Permissioned security-token standard / Istanbul Byzantine fault-tolerant consensus / US federal cryptographic module standard</w:t>
            </w:r>
          </w:p>
        </w:tc>
      </w:tr>
      <w:tr>
        <w:trPr>
          <w:cantSplit/>
        </w:trPr>
        <w:tc>
          <w:tcPr>
            <w:tcW w:type="dxa" w:w="2506"/>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5"/>
                <w:szCs w:val="15"/>
              </w:rPr>
              <w:t xml:space="preserve">ERP</w:t>
            </w:r>
          </w:p>
        </w:tc>
        <w:tc>
          <w:tcPr>
            <w:tcW w:type="dxa" w:w="713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Enterprise resource planning system</w:t>
            </w:r>
          </w:p>
        </w:tc>
      </w:tr>
      <w:tr>
        <w:trPr>
          <w:cantSplit/>
        </w:trPr>
        <w:tc>
          <w:tcPr>
            <w:tcW w:type="dxa" w:w="250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5"/>
                <w:szCs w:val="15"/>
              </w:rPr>
              <w:t xml:space="preserve">FEED / FID</w:t>
            </w:r>
          </w:p>
        </w:tc>
        <w:tc>
          <w:tcPr>
            <w:tcW w:type="dxa" w:w="713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Front-end engineering design / final investment decision</w:t>
            </w:r>
          </w:p>
        </w:tc>
      </w:tr>
      <w:tr>
        <w:trPr>
          <w:cantSplit/>
        </w:trPr>
        <w:tc>
          <w:tcPr>
            <w:tcW w:type="dxa" w:w="2506"/>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5"/>
                <w:szCs w:val="15"/>
              </w:rPr>
              <w:t xml:space="preserve">FTE</w:t>
            </w:r>
          </w:p>
        </w:tc>
        <w:tc>
          <w:tcPr>
            <w:tcW w:type="dxa" w:w="713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Full-time equivalent</w:t>
            </w:r>
          </w:p>
        </w:tc>
      </w:tr>
      <w:tr>
        <w:trPr>
          <w:cantSplit/>
        </w:trPr>
        <w:tc>
          <w:tcPr>
            <w:tcW w:type="dxa" w:w="250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5"/>
                <w:szCs w:val="15"/>
              </w:rPr>
              <w:t xml:space="preserve">FX</w:t>
            </w:r>
          </w:p>
        </w:tc>
        <w:tc>
          <w:tcPr>
            <w:tcW w:type="dxa" w:w="713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Foreign exchange</w:t>
            </w:r>
          </w:p>
        </w:tc>
      </w:tr>
      <w:tr>
        <w:trPr>
          <w:cantSplit/>
        </w:trPr>
        <w:tc>
          <w:tcPr>
            <w:tcW w:type="dxa" w:w="2506"/>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5"/>
                <w:szCs w:val="15"/>
              </w:rPr>
              <w:t xml:space="preserve">GHG / tCO2e</w:t>
            </w:r>
          </w:p>
        </w:tc>
        <w:tc>
          <w:tcPr>
            <w:tcW w:type="dxa" w:w="713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Greenhouse gas / tonnes of carbon-dioxide equivalent</w:t>
            </w:r>
          </w:p>
        </w:tc>
      </w:tr>
      <w:tr>
        <w:trPr>
          <w:cantSplit/>
        </w:trPr>
        <w:tc>
          <w:tcPr>
            <w:tcW w:type="dxa" w:w="250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5"/>
                <w:szCs w:val="15"/>
              </w:rPr>
              <w:t xml:space="preserve">GMS</w:t>
            </w:r>
          </w:p>
        </w:tc>
        <w:tc>
          <w:tcPr>
            <w:tcW w:type="dxa" w:w="713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General meeting of shareholders (RUPS)</w:t>
            </w:r>
          </w:p>
        </w:tc>
      </w:tr>
      <w:tr>
        <w:trPr>
          <w:cantSplit/>
        </w:trPr>
        <w:tc>
          <w:tcPr>
            <w:tcW w:type="dxa" w:w="2506"/>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5"/>
                <w:szCs w:val="15"/>
              </w:rPr>
              <w:t xml:space="preserve">GPU / LLM / RAG / OCR</w:t>
            </w:r>
          </w:p>
        </w:tc>
        <w:tc>
          <w:tcPr>
            <w:tcW w:type="dxa" w:w="713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Graphics processor / large language model / retrieval-augmented generation / optical character recognition</w:t>
            </w:r>
          </w:p>
        </w:tc>
      </w:tr>
      <w:tr>
        <w:trPr>
          <w:cantSplit/>
        </w:trPr>
        <w:tc>
          <w:tcPr>
            <w:tcW w:type="dxa" w:w="250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5"/>
                <w:szCs w:val="15"/>
              </w:rPr>
              <w:t xml:space="preserve">HSE</w:t>
            </w:r>
          </w:p>
        </w:tc>
        <w:tc>
          <w:tcPr>
            <w:tcW w:type="dxa" w:w="713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Health, safety and environment</w:t>
            </w:r>
          </w:p>
        </w:tc>
      </w:tr>
      <w:tr>
        <w:trPr>
          <w:cantSplit/>
        </w:trPr>
        <w:tc>
          <w:tcPr>
            <w:tcW w:type="dxa" w:w="2506"/>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5"/>
                <w:szCs w:val="15"/>
              </w:rPr>
              <w:t xml:space="preserve">HSM / IAM</w:t>
            </w:r>
          </w:p>
        </w:tc>
        <w:tc>
          <w:tcPr>
            <w:tcW w:type="dxa" w:w="713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Hardware security module / identity and access management</w:t>
            </w:r>
          </w:p>
        </w:tc>
      </w:tr>
      <w:tr>
        <w:trPr>
          <w:cantSplit/>
        </w:trPr>
        <w:tc>
          <w:tcPr>
            <w:tcW w:type="dxa" w:w="250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5"/>
                <w:szCs w:val="15"/>
              </w:rPr>
              <w:t xml:space="preserve">IKD</w:t>
            </w:r>
          </w:p>
        </w:tc>
        <w:tc>
          <w:tcPr>
            <w:tcW w:type="dxa" w:w="713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OJK's digital financial innovation framework and sandbox</w:t>
            </w:r>
          </w:p>
        </w:tc>
      </w:tr>
      <w:tr>
        <w:trPr>
          <w:cantSplit/>
        </w:trPr>
        <w:tc>
          <w:tcPr>
            <w:tcW w:type="dxa" w:w="2506"/>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5"/>
                <w:szCs w:val="15"/>
              </w:rPr>
              <w:t xml:space="preserve">IMF / IFSWF / GIPS</w:t>
            </w:r>
          </w:p>
        </w:tc>
        <w:tc>
          <w:tcPr>
            <w:tcW w:type="dxa" w:w="713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International Monetary Fund / International Forum of Sovereign Wealth Funds / Global Investment Performance Standards</w:t>
            </w:r>
          </w:p>
        </w:tc>
      </w:tr>
      <w:tr>
        <w:trPr>
          <w:cantSplit/>
        </w:trPr>
        <w:tc>
          <w:tcPr>
            <w:tcW w:type="dxa" w:w="250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5"/>
                <w:szCs w:val="15"/>
              </w:rPr>
              <w:t xml:space="preserve">INA</w:t>
            </w:r>
          </w:p>
        </w:tc>
        <w:tc>
          <w:tcPr>
            <w:tcW w:type="dxa" w:w="713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Indonesia Investment Authority</w:t>
            </w:r>
          </w:p>
        </w:tc>
      </w:tr>
      <w:tr>
        <w:trPr>
          <w:cantSplit/>
        </w:trPr>
        <w:tc>
          <w:tcPr>
            <w:tcW w:type="dxa" w:w="2506"/>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5"/>
                <w:szCs w:val="15"/>
              </w:rPr>
              <w:t xml:space="preserve">IoT / SCADA</w:t>
            </w:r>
          </w:p>
        </w:tc>
        <w:tc>
          <w:tcPr>
            <w:tcW w:type="dxa" w:w="713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Internet of things / supervisory control and data acquisition</w:t>
            </w:r>
          </w:p>
        </w:tc>
      </w:tr>
      <w:tr>
        <w:trPr>
          <w:cantSplit/>
        </w:trPr>
        <w:tc>
          <w:tcPr>
            <w:tcW w:type="dxa" w:w="250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5"/>
                <w:szCs w:val="15"/>
              </w:rPr>
              <w:t xml:space="preserve">IP</w:t>
            </w:r>
          </w:p>
        </w:tc>
        <w:tc>
          <w:tcPr>
            <w:tcW w:type="dxa" w:w="713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Intellectual property</w:t>
            </w:r>
          </w:p>
        </w:tc>
      </w:tr>
      <w:tr>
        <w:trPr>
          <w:cantSplit/>
        </w:trPr>
        <w:tc>
          <w:tcPr>
            <w:tcW w:type="dxa" w:w="2506"/>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5"/>
                <w:szCs w:val="15"/>
              </w:rPr>
              <w:t xml:space="preserve">IRR / XIRR / TWR</w:t>
            </w:r>
          </w:p>
        </w:tc>
        <w:tc>
          <w:tcPr>
            <w:tcW w:type="dxa" w:w="713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Internal rate of return / IRR on dated cash flows / time-weighted return</w:t>
            </w:r>
          </w:p>
        </w:tc>
      </w:tr>
      <w:tr>
        <w:trPr>
          <w:cantSplit/>
        </w:trPr>
        <w:tc>
          <w:tcPr>
            <w:tcW w:type="dxa" w:w="250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5"/>
                <w:szCs w:val="15"/>
              </w:rPr>
              <w:t xml:space="preserve">IUP / HGU</w:t>
            </w:r>
          </w:p>
        </w:tc>
        <w:tc>
          <w:tcPr>
            <w:tcW w:type="dxa" w:w="713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Mining business licence / land-use right</w:t>
            </w:r>
          </w:p>
        </w:tc>
      </w:tr>
      <w:tr>
        <w:trPr>
          <w:cantSplit/>
        </w:trPr>
        <w:tc>
          <w:tcPr>
            <w:tcW w:type="dxa" w:w="2506"/>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5"/>
                <w:szCs w:val="15"/>
              </w:rPr>
              <w:t xml:space="preserve">KKIP</w:t>
            </w:r>
          </w:p>
        </w:tc>
        <w:tc>
          <w:tcPr>
            <w:tcW w:type="dxa" w:w="713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Defence Industry Policy Committee</w:t>
            </w:r>
          </w:p>
        </w:tc>
      </w:tr>
      <w:tr>
        <w:trPr>
          <w:cantSplit/>
        </w:trPr>
        <w:tc>
          <w:tcPr>
            <w:tcW w:type="dxa" w:w="250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5"/>
                <w:szCs w:val="15"/>
              </w:rPr>
              <w:t xml:space="preserve">KUR</w:t>
            </w:r>
          </w:p>
        </w:tc>
        <w:tc>
          <w:tcPr>
            <w:tcW w:type="dxa" w:w="713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Kredit Usaha Rakyat, subsidised people's business credit</w:t>
            </w:r>
          </w:p>
        </w:tc>
      </w:tr>
      <w:tr>
        <w:trPr>
          <w:cantSplit/>
        </w:trPr>
        <w:tc>
          <w:tcPr>
            <w:tcW w:type="dxa" w:w="2506"/>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5"/>
                <w:szCs w:val="15"/>
              </w:rPr>
              <w:t xml:space="preserve">KYB / AML</w:t>
            </w:r>
          </w:p>
        </w:tc>
        <w:tc>
          <w:tcPr>
            <w:tcW w:type="dxa" w:w="713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Know your business / anti-money laundering</w:t>
            </w:r>
          </w:p>
        </w:tc>
      </w:tr>
      <w:tr>
        <w:trPr>
          <w:cantSplit/>
        </w:trPr>
        <w:tc>
          <w:tcPr>
            <w:tcW w:type="dxa" w:w="250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5"/>
                <w:szCs w:val="15"/>
              </w:rPr>
              <w:t xml:space="preserve">LPD</w:t>
            </w:r>
          </w:p>
        </w:tc>
        <w:tc>
          <w:tcPr>
            <w:tcW w:type="dxa" w:w="713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Landing platform dock (ship)</w:t>
            </w:r>
          </w:p>
        </w:tc>
      </w:tr>
      <w:tr>
        <w:trPr>
          <w:cantSplit/>
        </w:trPr>
        <w:tc>
          <w:tcPr>
            <w:tcW w:type="dxa" w:w="2506"/>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5"/>
                <w:szCs w:val="15"/>
              </w:rPr>
              <w:t xml:space="preserve">LPEI</w:t>
            </w:r>
          </w:p>
        </w:tc>
        <w:tc>
          <w:tcPr>
            <w:tcW w:type="dxa" w:w="713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Indonesia Eximbank</w:t>
            </w:r>
          </w:p>
        </w:tc>
      </w:tr>
      <w:tr>
        <w:trPr>
          <w:cantSplit/>
        </w:trPr>
        <w:tc>
          <w:tcPr>
            <w:tcW w:type="dxa" w:w="250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5"/>
                <w:szCs w:val="15"/>
              </w:rPr>
              <w:t xml:space="preserve">MD</w:t>
            </w:r>
          </w:p>
        </w:tc>
        <w:tc>
          <w:tcPr>
            <w:tcW w:type="dxa" w:w="713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Managing Director</w:t>
            </w:r>
          </w:p>
        </w:tc>
      </w:tr>
      <w:tr>
        <w:trPr>
          <w:cantSplit/>
        </w:trPr>
        <w:tc>
          <w:tcPr>
            <w:tcW w:type="dxa" w:w="2506"/>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5"/>
                <w:szCs w:val="15"/>
              </w:rPr>
              <w:t xml:space="preserve">MIND ID</w:t>
            </w:r>
          </w:p>
        </w:tc>
        <w:tc>
          <w:tcPr>
            <w:tcW w:type="dxa" w:w="713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Indonesia's mining SOE holding</w:t>
            </w:r>
          </w:p>
        </w:tc>
      </w:tr>
      <w:tr>
        <w:trPr>
          <w:cantSplit/>
        </w:trPr>
        <w:tc>
          <w:tcPr>
            <w:tcW w:type="dxa" w:w="250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5"/>
                <w:szCs w:val="15"/>
              </w:rPr>
              <w:t xml:space="preserve">MoD / MoF</w:t>
            </w:r>
          </w:p>
        </w:tc>
        <w:tc>
          <w:tcPr>
            <w:tcW w:type="dxa" w:w="713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Ministry of Defence / Ministry of Finance</w:t>
            </w:r>
          </w:p>
        </w:tc>
      </w:tr>
      <w:tr>
        <w:trPr>
          <w:cantSplit/>
        </w:trPr>
        <w:tc>
          <w:tcPr>
            <w:tcW w:type="dxa" w:w="2506"/>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5"/>
                <w:szCs w:val="15"/>
              </w:rPr>
              <w:t xml:space="preserve">MoU</w:t>
            </w:r>
          </w:p>
        </w:tc>
        <w:tc>
          <w:tcPr>
            <w:tcW w:type="dxa" w:w="713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Memorandum of understanding</w:t>
            </w:r>
          </w:p>
        </w:tc>
      </w:tr>
      <w:tr>
        <w:trPr>
          <w:cantSplit/>
        </w:trPr>
        <w:tc>
          <w:tcPr>
            <w:tcW w:type="dxa" w:w="250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5"/>
                <w:szCs w:val="15"/>
              </w:rPr>
              <w:t xml:space="preserve">MRL / TRL (TKT)</w:t>
            </w:r>
          </w:p>
        </w:tc>
        <w:tc>
          <w:tcPr>
            <w:tcW w:type="dxa" w:w="713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Manufacturing / Technology Readiness Level (TKT is the Indonesian TRL)</w:t>
            </w:r>
          </w:p>
        </w:tc>
      </w:tr>
      <w:tr>
        <w:trPr>
          <w:cantSplit/>
        </w:trPr>
        <w:tc>
          <w:tcPr>
            <w:tcW w:type="dxa" w:w="2506"/>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5"/>
                <w:szCs w:val="15"/>
              </w:rPr>
              <w:t xml:space="preserve">MRO</w:t>
            </w:r>
          </w:p>
        </w:tc>
        <w:tc>
          <w:tcPr>
            <w:tcW w:type="dxa" w:w="713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Maintenance, repair and overhaul</w:t>
            </w:r>
          </w:p>
        </w:tc>
      </w:tr>
      <w:tr>
        <w:trPr>
          <w:cantSplit/>
        </w:trPr>
        <w:tc>
          <w:tcPr>
            <w:tcW w:type="dxa" w:w="250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5"/>
                <w:szCs w:val="15"/>
              </w:rPr>
              <w:t xml:space="preserve">MSME / SME (UMKM / UKM)</w:t>
            </w:r>
          </w:p>
        </w:tc>
        <w:tc>
          <w:tcPr>
            <w:tcW w:type="dxa" w:w="713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Micro, small and medium enterprises / small and medium enterprises</w:t>
            </w:r>
          </w:p>
        </w:tc>
      </w:tr>
      <w:tr>
        <w:trPr>
          <w:cantSplit/>
        </w:trPr>
        <w:tc>
          <w:tcPr>
            <w:tcW w:type="dxa" w:w="2506"/>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5"/>
                <w:szCs w:val="15"/>
              </w:rPr>
              <w:t xml:space="preserve">MVP / UAT / SOP</w:t>
            </w:r>
          </w:p>
        </w:tc>
        <w:tc>
          <w:tcPr>
            <w:tcW w:type="dxa" w:w="713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Minimum viable product / user acceptance testing / standard operating procedure</w:t>
            </w:r>
          </w:p>
        </w:tc>
      </w:tr>
      <w:tr>
        <w:trPr>
          <w:cantSplit/>
        </w:trPr>
        <w:tc>
          <w:tcPr>
            <w:tcW w:type="dxa" w:w="250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5"/>
                <w:szCs w:val="15"/>
              </w:rPr>
              <w:t xml:space="preserve">NIIF / PRAGATI</w:t>
            </w:r>
          </w:p>
        </w:tc>
        <w:tc>
          <w:tcPr>
            <w:tcW w:type="dxa" w:w="713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India's National Investment and Infrastructure Fund / project-monitoring platform</w:t>
            </w:r>
          </w:p>
        </w:tc>
      </w:tr>
      <w:tr>
        <w:trPr>
          <w:cantSplit/>
        </w:trPr>
        <w:tc>
          <w:tcPr>
            <w:tcW w:type="dxa" w:w="2506"/>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5"/>
                <w:szCs w:val="15"/>
              </w:rPr>
              <w:t xml:space="preserve">NIMP / MITI</w:t>
            </w:r>
          </w:p>
        </w:tc>
        <w:tc>
          <w:tcPr>
            <w:tcW w:type="dxa" w:w="713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Malaysia's New Industrial Master Plan 2030 / Ministry of Investment, Trade and Industry</w:t>
            </w:r>
          </w:p>
        </w:tc>
      </w:tr>
      <w:tr>
        <w:trPr>
          <w:cantSplit/>
        </w:trPr>
        <w:tc>
          <w:tcPr>
            <w:tcW w:type="dxa" w:w="250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5"/>
                <w:szCs w:val="15"/>
              </w:rPr>
              <w:t xml:space="preserve">NITO</w:t>
            </w:r>
          </w:p>
        </w:tc>
        <w:tc>
          <w:tcPr>
            <w:tcW w:type="dxa" w:w="713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Danantara National Industrial Transformation Office (proposed)</w:t>
            </w:r>
          </w:p>
        </w:tc>
      </w:tr>
      <w:tr>
        <w:trPr>
          <w:cantSplit/>
        </w:trPr>
        <w:tc>
          <w:tcPr>
            <w:tcW w:type="dxa" w:w="2506"/>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5"/>
                <w:szCs w:val="15"/>
              </w:rPr>
              <w:t xml:space="preserve">NOPAT / ROIC / WACC</w:t>
            </w:r>
          </w:p>
        </w:tc>
        <w:tc>
          <w:tcPr>
            <w:tcW w:type="dxa" w:w="713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Net operating profit after tax / return on invested capital / weighted average cost of capital</w:t>
            </w:r>
          </w:p>
        </w:tc>
      </w:tr>
      <w:tr>
        <w:trPr>
          <w:cantSplit/>
        </w:trPr>
        <w:tc>
          <w:tcPr>
            <w:tcW w:type="dxa" w:w="250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5"/>
                <w:szCs w:val="15"/>
              </w:rPr>
              <w:t xml:space="preserve">NPL</w:t>
            </w:r>
          </w:p>
        </w:tc>
        <w:tc>
          <w:tcPr>
            <w:tcW w:type="dxa" w:w="713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Non-performing loan</w:t>
            </w:r>
          </w:p>
        </w:tc>
      </w:tr>
      <w:tr>
        <w:trPr>
          <w:cantSplit/>
        </w:trPr>
        <w:tc>
          <w:tcPr>
            <w:tcW w:type="dxa" w:w="2506"/>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5"/>
                <w:szCs w:val="15"/>
              </w:rPr>
              <w:t xml:space="preserve">NPV</w:t>
            </w:r>
          </w:p>
        </w:tc>
        <w:tc>
          <w:tcPr>
            <w:tcW w:type="dxa" w:w="713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Net present value</w:t>
            </w:r>
          </w:p>
        </w:tc>
      </w:tr>
      <w:tr>
        <w:trPr>
          <w:cantSplit/>
        </w:trPr>
        <w:tc>
          <w:tcPr>
            <w:tcW w:type="dxa" w:w="250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5"/>
                <w:szCs w:val="15"/>
              </w:rPr>
              <w:t xml:space="preserve">NR</w:t>
            </w:r>
          </w:p>
        </w:tc>
        <w:tc>
          <w:tcPr>
            <w:tcW w:type="dxa" w:w="713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Not rateable</w:t>
            </w:r>
          </w:p>
        </w:tc>
      </w:tr>
      <w:tr>
        <w:trPr>
          <w:cantSplit/>
        </w:trPr>
        <w:tc>
          <w:tcPr>
            <w:tcW w:type="dxa" w:w="2506"/>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5"/>
                <w:szCs w:val="15"/>
              </w:rPr>
              <w:t xml:space="preserve">NRF</w:t>
            </w:r>
          </w:p>
        </w:tc>
        <w:tc>
          <w:tcPr>
            <w:tcW w:type="dxa" w:w="713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Natural Resource Fund</w:t>
            </w:r>
          </w:p>
        </w:tc>
      </w:tr>
      <w:tr>
        <w:trPr>
          <w:cantSplit/>
        </w:trPr>
        <w:tc>
          <w:tcPr>
            <w:tcW w:type="dxa" w:w="250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5"/>
                <w:szCs w:val="15"/>
              </w:rPr>
              <w:t xml:space="preserve">OJK</w:t>
            </w:r>
          </w:p>
        </w:tc>
        <w:tc>
          <w:tcPr>
            <w:tcW w:type="dxa" w:w="713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Financial Services Authority</w:t>
            </w:r>
          </w:p>
        </w:tc>
      </w:tr>
      <w:tr>
        <w:trPr>
          <w:cantSplit/>
        </w:trPr>
        <w:tc>
          <w:tcPr>
            <w:tcW w:type="dxa" w:w="2506"/>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5"/>
                <w:szCs w:val="15"/>
              </w:rPr>
              <w:t xml:space="preserve">PBS / WBS</w:t>
            </w:r>
          </w:p>
        </w:tc>
        <w:tc>
          <w:tcPr>
            <w:tcW w:type="dxa" w:w="713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Product breakdown structure / work breakdown structure</w:t>
            </w:r>
          </w:p>
        </w:tc>
      </w:tr>
      <w:tr>
        <w:trPr>
          <w:cantSplit/>
        </w:trPr>
        <w:tc>
          <w:tcPr>
            <w:tcW w:type="dxa" w:w="250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5"/>
                <w:szCs w:val="15"/>
              </w:rPr>
              <w:t xml:space="preserve">Pinjaman luar negeri</w:t>
            </w:r>
          </w:p>
        </w:tc>
        <w:tc>
          <w:tcPr>
            <w:tcW w:type="dxa" w:w="713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Foreign loan</w:t>
            </w:r>
          </w:p>
        </w:tc>
      </w:tr>
      <w:tr>
        <w:trPr>
          <w:cantSplit/>
        </w:trPr>
        <w:tc>
          <w:tcPr>
            <w:tcW w:type="dxa" w:w="2506"/>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5"/>
                <w:szCs w:val="15"/>
              </w:rPr>
              <w:t xml:space="preserve">PKPU</w:t>
            </w:r>
          </w:p>
        </w:tc>
        <w:tc>
          <w:tcPr>
            <w:tcW w:type="dxa" w:w="713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Court-supervised debt restructuring (suspension of debt payment obligations)</w:t>
            </w:r>
          </w:p>
        </w:tc>
      </w:tr>
      <w:tr>
        <w:trPr>
          <w:cantSplit/>
        </w:trPr>
        <w:tc>
          <w:tcPr>
            <w:tcW w:type="dxa" w:w="250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5"/>
                <w:szCs w:val="15"/>
              </w:rPr>
              <w:t xml:space="preserve">PLM</w:t>
            </w:r>
          </w:p>
        </w:tc>
        <w:tc>
          <w:tcPr>
            <w:tcW w:type="dxa" w:w="713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Product lifecycle management</w:t>
            </w:r>
          </w:p>
        </w:tc>
      </w:tr>
      <w:tr>
        <w:trPr>
          <w:cantSplit/>
        </w:trPr>
        <w:tc>
          <w:tcPr>
            <w:tcW w:type="dxa" w:w="2506"/>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5"/>
                <w:szCs w:val="15"/>
              </w:rPr>
              <w:t xml:space="preserve">PLN</w:t>
            </w:r>
          </w:p>
        </w:tc>
        <w:tc>
          <w:tcPr>
            <w:tcW w:type="dxa" w:w="713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State electricity company</w:t>
            </w:r>
          </w:p>
        </w:tc>
      </w:tr>
      <w:tr>
        <w:trPr>
          <w:cantSplit/>
        </w:trPr>
        <w:tc>
          <w:tcPr>
            <w:tcW w:type="dxa" w:w="250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5"/>
                <w:szCs w:val="15"/>
              </w:rPr>
              <w:t xml:space="preserve">PME</w:t>
            </w:r>
          </w:p>
        </w:tc>
        <w:tc>
          <w:tcPr>
            <w:tcW w:type="dxa" w:w="713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Public-market equivalent</w:t>
            </w:r>
          </w:p>
        </w:tc>
      </w:tr>
      <w:tr>
        <w:trPr>
          <w:cantSplit/>
        </w:trPr>
        <w:tc>
          <w:tcPr>
            <w:tcW w:type="dxa" w:w="2506"/>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5"/>
                <w:szCs w:val="15"/>
              </w:rPr>
              <w:t xml:space="preserve">PMN</w:t>
            </w:r>
          </w:p>
        </w:tc>
        <w:tc>
          <w:tcPr>
            <w:tcW w:type="dxa" w:w="713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State capital injection</w:t>
            </w:r>
          </w:p>
        </w:tc>
      </w:tr>
      <w:tr>
        <w:trPr>
          <w:cantSplit/>
        </w:trPr>
        <w:tc>
          <w:tcPr>
            <w:tcW w:type="dxa" w:w="250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5"/>
                <w:szCs w:val="15"/>
              </w:rPr>
              <w:t xml:space="preserve">PNBP</w:t>
            </w:r>
          </w:p>
        </w:tc>
        <w:tc>
          <w:tcPr>
            <w:tcW w:type="dxa" w:w="713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Non-tax state revenue</w:t>
            </w:r>
          </w:p>
        </w:tc>
      </w:tr>
      <w:tr>
        <w:trPr>
          <w:cantSplit/>
        </w:trPr>
        <w:tc>
          <w:tcPr>
            <w:tcW w:type="dxa" w:w="2506"/>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5"/>
                <w:szCs w:val="15"/>
              </w:rPr>
              <w:t xml:space="preserve">PP</w:t>
            </w:r>
          </w:p>
        </w:tc>
        <w:tc>
          <w:tcPr>
            <w:tcW w:type="dxa" w:w="713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Peraturan Pemerintah, government regulation</w:t>
            </w:r>
          </w:p>
        </w:tc>
      </w:tr>
      <w:tr>
        <w:trPr>
          <w:cantSplit/>
        </w:trPr>
        <w:tc>
          <w:tcPr>
            <w:tcW w:type="dxa" w:w="250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5"/>
                <w:szCs w:val="15"/>
              </w:rPr>
              <w:t xml:space="preserve">PPA / PPP</w:t>
            </w:r>
          </w:p>
        </w:tc>
        <w:tc>
          <w:tcPr>
            <w:tcW w:type="dxa" w:w="713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Power-purchase agreement / public–private partnership</w:t>
            </w:r>
          </w:p>
        </w:tc>
      </w:tr>
      <w:tr>
        <w:trPr>
          <w:cantSplit/>
        </w:trPr>
        <w:tc>
          <w:tcPr>
            <w:tcW w:type="dxa" w:w="2506"/>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5"/>
                <w:szCs w:val="15"/>
              </w:rPr>
              <w:t xml:space="preserve">PSEL / WtE</w:t>
            </w:r>
          </w:p>
        </w:tc>
        <w:tc>
          <w:tcPr>
            <w:tcW w:type="dxa" w:w="713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Waste-to-electricity plant / waste-to-energy</w:t>
            </w:r>
          </w:p>
        </w:tc>
      </w:tr>
      <w:tr>
        <w:trPr>
          <w:cantSplit/>
        </w:trPr>
        <w:tc>
          <w:tcPr>
            <w:tcW w:type="dxa" w:w="250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5"/>
                <w:szCs w:val="15"/>
              </w:rPr>
              <w:t xml:space="preserve">PSO</w:t>
            </w:r>
          </w:p>
        </w:tc>
        <w:tc>
          <w:tcPr>
            <w:tcW w:type="dxa" w:w="713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Public-service obligation</w:t>
            </w:r>
          </w:p>
        </w:tc>
      </w:tr>
      <w:tr>
        <w:trPr>
          <w:cantSplit/>
        </w:trPr>
        <w:tc>
          <w:tcPr>
            <w:tcW w:type="dxa" w:w="2506"/>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5"/>
                <w:szCs w:val="15"/>
              </w:rPr>
              <w:t xml:space="preserve">RASCI</w:t>
            </w:r>
          </w:p>
        </w:tc>
        <w:tc>
          <w:tcPr>
            <w:tcW w:type="dxa" w:w="713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Responsible, Accountable, Supporting, Consulted, Informed</w:t>
            </w:r>
          </w:p>
        </w:tc>
      </w:tr>
      <w:tr>
        <w:trPr>
          <w:cantSplit/>
        </w:trPr>
        <w:tc>
          <w:tcPr>
            <w:tcW w:type="dxa" w:w="250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5"/>
                <w:szCs w:val="15"/>
              </w:rPr>
              <w:t xml:space="preserve">ROE</w:t>
            </w:r>
          </w:p>
        </w:tc>
        <w:tc>
          <w:tcPr>
            <w:tcW w:type="dxa" w:w="713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Return on equity</w:t>
            </w:r>
          </w:p>
        </w:tc>
      </w:tr>
      <w:tr>
        <w:trPr>
          <w:cantSplit/>
        </w:trPr>
        <w:tc>
          <w:tcPr>
            <w:tcW w:type="dxa" w:w="2506"/>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5"/>
                <w:szCs w:val="15"/>
              </w:rPr>
              <w:t xml:space="preserve">SASAC / SDIC</w:t>
            </w:r>
          </w:p>
        </w:tc>
        <w:tc>
          <w:tcPr>
            <w:tcW w:type="dxa" w:w="713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China's state asset regulator / State Development and Investment Corporation</w:t>
            </w:r>
          </w:p>
        </w:tc>
      </w:tr>
      <w:tr>
        <w:trPr>
          <w:cantSplit/>
        </w:trPr>
        <w:tc>
          <w:tcPr>
            <w:tcW w:type="dxa" w:w="250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5"/>
                <w:szCs w:val="15"/>
              </w:rPr>
              <w:t xml:space="preserve">SBN</w:t>
            </w:r>
          </w:p>
        </w:tc>
        <w:tc>
          <w:tcPr>
            <w:tcW w:type="dxa" w:w="713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Surat Berharga Negara, government securities</w:t>
            </w:r>
          </w:p>
        </w:tc>
      </w:tr>
      <w:tr>
        <w:trPr>
          <w:cantSplit/>
        </w:trPr>
        <w:tc>
          <w:tcPr>
            <w:tcW w:type="dxa" w:w="2506"/>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5"/>
                <w:szCs w:val="15"/>
              </w:rPr>
              <w:t xml:space="preserve">SPV</w:t>
            </w:r>
          </w:p>
        </w:tc>
        <w:tc>
          <w:tcPr>
            <w:tcW w:type="dxa" w:w="713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Special-purpose vehicle</w:t>
            </w:r>
          </w:p>
        </w:tc>
      </w:tr>
      <w:tr>
        <w:trPr>
          <w:cantSplit/>
        </w:trPr>
        <w:tc>
          <w:tcPr>
            <w:tcW w:type="dxa" w:w="250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5"/>
                <w:szCs w:val="15"/>
              </w:rPr>
              <w:t xml:space="preserve">TKDN</w:t>
            </w:r>
          </w:p>
        </w:tc>
        <w:tc>
          <w:tcPr>
            <w:tcW w:type="dxa" w:w="713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Domestic component level (local-content certification)</w:t>
            </w:r>
          </w:p>
        </w:tc>
      </w:tr>
      <w:tr>
        <w:trPr>
          <w:cantSplit/>
        </w:trPr>
        <w:tc>
          <w:tcPr>
            <w:tcW w:type="dxa" w:w="2506"/>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5"/>
                <w:szCs w:val="15"/>
              </w:rPr>
              <w:t xml:space="preserve">TNI AL</w:t>
            </w:r>
          </w:p>
        </w:tc>
        <w:tc>
          <w:tcPr>
            <w:tcW w:type="dxa" w:w="713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Indonesian Navy</w:t>
            </w:r>
          </w:p>
        </w:tc>
      </w:tr>
      <w:tr>
        <w:trPr>
          <w:cantSplit/>
        </w:trPr>
        <w:tc>
          <w:tcPr>
            <w:tcW w:type="dxa" w:w="250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pPr>
            <w:r>
              <w:rPr>
                <w:rFonts w:ascii="Arial" w:cs="Arial" w:eastAsia="Arial" w:hAnsi="Arial"/>
                <w:b/>
                <w:bCs/>
                <w:color w:val="000000"/>
                <w:sz w:val="15"/>
                <w:szCs w:val="15"/>
              </w:rPr>
              <w:t xml:space="preserve">ZK proof</w:t>
            </w:r>
          </w:p>
        </w:tc>
        <w:tc>
          <w:tcPr>
            <w:tcW w:type="dxa" w:w="713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5"/>
                <w:szCs w:val="15"/>
              </w:rPr>
              <w:t xml:space="preserve">Zero-knowledge proof: proves a fact without revealing the underlying data</w:t>
            </w:r>
          </w:p>
        </w:tc>
      </w:tr>
    </w:tbl>
    <w:p>
      <w:pPr>
        <w:keepNext w:val="false"/>
        <w:spacing w:after="140"/>
      </w:pPr>
    </w:p>
    <w:p>
      <w:pPr>
        <w:keepNext/>
        <w:spacing w:after="0" w:before="36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one" w:color="FFFFFF" w:sz="0"/>
              <w:left w:val="none" w:color="FFFFFF" w:sz="0"/>
              <w:bottom w:val="none" w:color="FFFFFF" w:sz="0"/>
              <w:right w:val="none" w:color="FFFFFF" w:sz="0"/>
            </w:tcBorders>
            <w:shd w:fill="00338D" w:color="auto" w:val="clear"/>
            <w:tcMar>
              <w:top w:type="dxa" w:w="260"/>
              <w:left w:type="dxa" w:w="300"/>
              <w:bottom w:type="dxa" w:w="300"/>
              <w:right w:type="dxa" w:w="300"/>
            </w:tcMar>
          </w:tcPr>
          <w:p>
            <w:pPr>
              <w:spacing w:after="0"/>
            </w:pPr>
            <w:r>
              <w:rPr>
                <w:rFonts w:ascii="Arial" w:cs="Arial" w:eastAsia="Arial" w:hAnsi="Arial"/>
                <w:b/>
                <w:bCs/>
                <w:color w:val="9CC7EF"/>
                <w:sz w:val="64"/>
                <w:szCs w:val="64"/>
              </w:rPr>
              <w:t xml:space="preserve">E</w:t>
            </w:r>
          </w:p>
          <w:p>
            <w:pPr>
              <w:pStyle w:val="Heading1"/>
              <w:spacing w:after="100"/>
            </w:pPr>
            <w:r>
              <w:rPr>
                <w:rFonts w:ascii="Arial" w:cs="Arial" w:eastAsia="Arial" w:hAnsi="Arial"/>
                <w:b/>
                <w:bCs/>
                <w:color w:val="FFFFFF"/>
                <w:sz w:val="40"/>
                <w:szCs w:val="40"/>
              </w:rPr>
              <w:t xml:space="preserve">Appendix E: References</w:t>
            </w:r>
          </w:p>
          <w:p>
            <w:pPr>
              <w:spacing w:after="0" w:line="276"/>
            </w:pPr>
            <w:r>
              <w:rPr>
                <w:rFonts w:ascii="Arial" w:cs="Arial" w:eastAsia="Arial" w:hAnsi="Arial"/>
                <w:color w:val="FFFFFF"/>
                <w:sz w:val="20"/>
                <w:szCs w:val="20"/>
              </w:rPr>
              <w:t xml:space="preserve">Underlying references cited by the source documents and relied on in this study.</w:t>
            </w:r>
          </w:p>
        </w:tc>
      </w:tr>
    </w:tbl>
    <w:p>
      <w:pPr>
        <w:spacing w:after="200"/>
      </w:pPr>
    </w:p>
    <w:p>
      <w:pPr>
        <w:spacing w:after="110" w:before="0" w:line="264"/>
        <w:jc w:val="left"/>
      </w:pPr>
      <w:r>
        <w:rPr>
          <w:rFonts w:ascii="Arial" w:cs="Arial" w:eastAsia="Arial" w:hAnsi="Arial"/>
          <w:color w:val="000000"/>
          <w:sz w:val="20"/>
          <w:szCs w:val="20"/>
        </w:rPr>
        <w:t xml:space="preserve">D3 to D6 cite no external references of their own, so only D1 and D2 references are listed. Law 1/2025 (Section 3.1) is cited from public law and should be verified by Danantara Legal.</w:t>
      </w:r>
    </w:p>
    <w:p>
      <w:pPr>
        <w:pStyle w:val="Heading2"/>
        <w:keepNext/>
        <w:keepLines/>
        <w:spacing w:after="120" w:before="280"/>
      </w:pPr>
      <w:r>
        <w:rPr>
          <w:rFonts w:ascii="Arial" w:cs="Arial" w:eastAsia="Arial" w:hAnsi="Arial"/>
          <w:b/>
          <w:bCs/>
          <w:color w:val="00338D"/>
          <w:sz w:val="28"/>
          <w:szCs w:val="28"/>
        </w:rPr>
        <w:t xml:space="preserve">E.1 Cited through D1 (performance study)</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57"/>
        <w:gridCol w:w="8481"/>
      </w:tblGrid>
      <w:tr>
        <w:trPr>
          <w:cantSplit/>
          <w:tblHeader/>
        </w:trPr>
        <w:tc>
          <w:tcPr>
            <w:tcW w:type="dxa" w:w="1157"/>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Code</w:t>
            </w:r>
          </w:p>
        </w:tc>
        <w:tc>
          <w:tcPr>
            <w:tcW w:type="dxa" w:w="8481"/>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Reference</w:t>
            </w:r>
          </w:p>
        </w:tc>
      </w:tr>
      <w:tr>
        <w:trPr>
          <w:cantSplit/>
        </w:trPr>
        <w:tc>
          <w:tcPr>
            <w:tcW w:type="dxa" w:w="1157"/>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S01</w:t>
            </w:r>
          </w:p>
        </w:tc>
        <w:tc>
          <w:tcPr>
            <w:tcW w:type="dxa" w:w="8481"/>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Danantara Indonesia: official website and reports landing page (accessed 6 Oct 2026)</w:t>
            </w:r>
          </w:p>
        </w:tc>
      </w:tr>
      <w:tr>
        <w:trPr>
          <w:cantSplit/>
        </w:trPr>
        <w:tc>
          <w:tcPr>
            <w:tcW w:type="dxa" w:w="1157"/>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S02</w:t>
            </w:r>
          </w:p>
        </w:tc>
        <w:tc>
          <w:tcPr>
            <w:tcW w:type="dxa" w:w="8481"/>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Danantara Indonesia: SOEs complete FY2025 statements; consolidation continues (2 Jul 2026)</w:t>
            </w:r>
          </w:p>
        </w:tc>
      </w:tr>
      <w:tr>
        <w:trPr>
          <w:cantSplit/>
        </w:trPr>
        <w:tc>
          <w:tcPr>
            <w:tcW w:type="dxa" w:w="1157"/>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S03</w:t>
            </w:r>
          </w:p>
        </w:tc>
        <w:tc>
          <w:tcPr>
            <w:tcW w:type="dxa" w:w="8481"/>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Danantara Indonesia: 2026 work plan and budget (1 Dec 2025)</w:t>
            </w:r>
          </w:p>
        </w:tc>
      </w:tr>
      <w:tr>
        <w:trPr>
          <w:cantSplit/>
        </w:trPr>
        <w:tc>
          <w:tcPr>
            <w:tcW w:type="dxa" w:w="1157"/>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S04</w:t>
            </w:r>
          </w:p>
        </w:tc>
        <w:tc>
          <w:tcPr>
            <w:tcW w:type="dxa" w:w="8481"/>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Danantara Indonesia: governance reset and strengthening SOE fundamentals (5 Mar 2026)</w:t>
            </w:r>
          </w:p>
        </w:tc>
      </w:tr>
      <w:tr>
        <w:trPr>
          <w:cantSplit/>
        </w:trPr>
        <w:tc>
          <w:tcPr>
            <w:tcW w:type="dxa" w:w="1157"/>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S05</w:t>
            </w:r>
          </w:p>
        </w:tc>
        <w:tc>
          <w:tcPr>
            <w:tcW w:type="dxa" w:w="8481"/>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Danantara Indonesia: US$1.5 billion international bond issuance (12 Jun 2026)</w:t>
            </w:r>
          </w:p>
        </w:tc>
      </w:tr>
      <w:tr>
        <w:trPr>
          <w:cantSplit/>
        </w:trPr>
        <w:tc>
          <w:tcPr>
            <w:tcW w:type="dxa" w:w="1157"/>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S06</w:t>
            </w:r>
          </w:p>
        </w:tc>
        <w:tc>
          <w:tcPr>
            <w:tcW w:type="dxa" w:w="8481"/>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Danantara Indonesia: Danantara and INA sign CA–EDC investment agreement (3 Mar 2026)</w:t>
            </w:r>
          </w:p>
        </w:tc>
      </w:tr>
      <w:tr>
        <w:trPr>
          <w:cantSplit/>
        </w:trPr>
        <w:tc>
          <w:tcPr>
            <w:tcW w:type="dxa" w:w="1157"/>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S07</w:t>
            </w:r>
          </w:p>
        </w:tc>
        <w:tc>
          <w:tcPr>
            <w:tcW w:type="dxa" w:w="8481"/>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Danantara Indonesia: construction of PSEL Bogor Raya 1 begins (17 Sep 2026)</w:t>
            </w:r>
          </w:p>
        </w:tc>
      </w:tr>
      <w:tr>
        <w:trPr>
          <w:cantSplit/>
        </w:trPr>
        <w:tc>
          <w:tcPr>
            <w:tcW w:type="dxa" w:w="1157"/>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S08</w:t>
            </w:r>
          </w:p>
        </w:tc>
        <w:tc>
          <w:tcPr>
            <w:tcW w:type="dxa" w:w="8481"/>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MIND ID: six Phase-I downstream projects, up to US$7 billion (event 6 Feb 2026)</w:t>
            </w:r>
          </w:p>
        </w:tc>
      </w:tr>
      <w:tr>
        <w:trPr>
          <w:cantSplit/>
        </w:trPr>
        <w:tc>
          <w:tcPr>
            <w:tcW w:type="dxa" w:w="1157"/>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S09</w:t>
            </w:r>
          </w:p>
        </w:tc>
        <w:tc>
          <w:tcPr>
            <w:tcW w:type="dxa" w:w="8481"/>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Danantara Indonesia: DDMF mandate and approach</w:t>
            </w:r>
          </w:p>
        </w:tc>
      </w:tr>
      <w:tr>
        <w:trPr>
          <w:cantSplit/>
        </w:trPr>
        <w:tc>
          <w:tcPr>
            <w:tcW w:type="dxa" w:w="1157"/>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S10–S13</w:t>
            </w:r>
          </w:p>
        </w:tc>
        <w:tc>
          <w:tcPr>
            <w:tcW w:type="dxa" w:w="8481"/>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BRI, Bank Mandiri, Telkom and PLN financial disclosures (2025–2026)</w:t>
            </w:r>
          </w:p>
        </w:tc>
      </w:tr>
      <w:tr>
        <w:trPr>
          <w:cantSplit/>
        </w:trPr>
        <w:tc>
          <w:tcPr>
            <w:tcW w:type="dxa" w:w="1157"/>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S14</w:t>
            </w:r>
          </w:p>
        </w:tc>
        <w:tc>
          <w:tcPr>
            <w:tcW w:type="dxa" w:w="8481"/>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BPS: Indonesia economic growth in 2025 (5 Feb 2026)</w:t>
            </w:r>
          </w:p>
        </w:tc>
      </w:tr>
      <w:tr>
        <w:trPr>
          <w:cantSplit/>
        </w:trPr>
        <w:tc>
          <w:tcPr>
            <w:tcW w:type="dxa" w:w="1157"/>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S15–S16</w:t>
            </w:r>
          </w:p>
        </w:tc>
        <w:tc>
          <w:tcPr>
            <w:tcW w:type="dxa" w:w="8481"/>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CFA Institute GIPS Standards for Asset Owners; IFSWF Santiago Principles</w:t>
            </w:r>
          </w:p>
        </w:tc>
      </w:tr>
      <w:tr>
        <w:trPr>
          <w:cantSplit/>
        </w:trPr>
        <w:tc>
          <w:tcPr>
            <w:tcW w:type="dxa" w:w="1157"/>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S17–S19</w:t>
            </w:r>
          </w:p>
        </w:tc>
        <w:tc>
          <w:tcPr>
            <w:tcW w:type="dxa" w:w="8481"/>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Temasek investment approach and Temasek Review 2026; Khazanah Annual Review 2026</w:t>
            </w:r>
          </w:p>
        </w:tc>
      </w:tr>
      <w:tr>
        <w:trPr>
          <w:cantSplit/>
        </w:trPr>
        <w:tc>
          <w:tcPr>
            <w:tcW w:type="dxa" w:w="1157"/>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S20–S23</w:t>
            </w:r>
          </w:p>
        </w:tc>
        <w:tc>
          <w:tcPr>
            <w:tcW w:type="dxa" w:w="8481"/>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OECD SOE Guidelines 2024; IMF SOE Health Check Tool and fiscal-risk guidance</w:t>
            </w:r>
          </w:p>
        </w:tc>
      </w:tr>
      <w:tr>
        <w:trPr>
          <w:cantSplit/>
        </w:trPr>
        <w:tc>
          <w:tcPr>
            <w:tcW w:type="dxa" w:w="1157"/>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S24–S29</w:t>
            </w:r>
          </w:p>
        </w:tc>
        <w:tc>
          <w:tcPr>
            <w:tcW w:type="dxa" w:w="8481"/>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IFC AIMM; ADB Guidelines for the Economic Analysis of Projects (2017); IDB Invest DELTA; MDB mobilisation reference guide; UNIDO industrial indicators</w:t>
            </w:r>
          </w:p>
        </w:tc>
      </w:tr>
      <w:tr>
        <w:trPr>
          <w:cantSplit/>
        </w:trPr>
        <w:tc>
          <w:tcPr>
            <w:tcW w:type="dxa" w:w="1157"/>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pPr>
            <w:r>
              <w:rPr>
                <w:rFonts w:ascii="Arial" w:cs="Arial" w:eastAsia="Arial" w:hAnsi="Arial"/>
                <w:b/>
                <w:bCs/>
                <w:color w:val="000000"/>
                <w:sz w:val="16"/>
                <w:szCs w:val="16"/>
              </w:rPr>
              <w:t xml:space="preserve">S30–S31</w:t>
            </w:r>
          </w:p>
        </w:tc>
        <w:tc>
          <w:tcPr>
            <w:tcW w:type="dxa" w:w="8481"/>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6"/>
                <w:szCs w:val="16"/>
              </w:rPr>
              <w:t xml:space="preserve">Danantara Indonesia: Batch II WtE conditional awards (21 Jul 2026); investor-relations directory</w:t>
            </w:r>
          </w:p>
        </w:tc>
      </w:tr>
    </w:tbl>
    <w:p>
      <w:pPr>
        <w:keepNext w:val="false"/>
        <w:spacing w:after="140"/>
      </w:pPr>
    </w:p>
    <w:p>
      <w:pPr>
        <w:pStyle w:val="Heading2"/>
        <w:keepNext/>
        <w:keepLines/>
        <w:spacing w:after="120" w:before="280"/>
      </w:pPr>
      <w:r>
        <w:rPr>
          <w:rFonts w:ascii="Arial" w:cs="Arial" w:eastAsia="Arial" w:hAnsi="Arial"/>
          <w:b/>
          <w:bCs/>
          <w:color w:val="00338D"/>
          <w:sz w:val="28"/>
          <w:szCs w:val="28"/>
        </w:rPr>
        <w:t xml:space="preserve">E.2 Cited through D2 (governance evaluation)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57"/>
        <w:gridCol w:w="8481"/>
      </w:tblGrid>
      <w:tr>
        <w:trPr>
          <w:cantSplit/>
          <w:tblHeader/>
        </w:trPr>
        <w:tc>
          <w:tcPr>
            <w:tcW w:type="dxa" w:w="1157"/>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Code</w:t>
            </w:r>
          </w:p>
        </w:tc>
        <w:tc>
          <w:tcPr>
            <w:tcW w:type="dxa" w:w="8481"/>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Reference</w:t>
            </w:r>
          </w:p>
        </w:tc>
      </w:tr>
      <w:tr>
        <w:trPr>
          <w:cantSplit/>
        </w:trPr>
        <w:tc>
          <w:tcPr>
            <w:tcW w:type="dxa" w:w="1157"/>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R1–R3</w:t>
            </w:r>
          </w:p>
        </w:tc>
        <w:tc>
          <w:tcPr>
            <w:tcW w:type="dxa" w:w="8481"/>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PP 10/2025; PP 19/2026; Law 16/2025 amending the SOE Law</w:t>
            </w:r>
          </w:p>
        </w:tc>
      </w:tr>
      <w:tr>
        <w:trPr>
          <w:cantSplit/>
        </w:trPr>
        <w:tc>
          <w:tcPr>
            <w:tcW w:type="dxa" w:w="1157"/>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R4–R8</w:t>
            </w:r>
          </w:p>
        </w:tc>
        <w:tc>
          <w:tcPr>
            <w:tcW w:type="dxa" w:w="8481"/>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Danantara structures of BPI, DAM, DIM and DDMF; official statement of 12 May 2026</w:t>
            </w:r>
          </w:p>
        </w:tc>
      </w:tr>
      <w:tr>
        <w:trPr>
          <w:cantSplit/>
        </w:trPr>
        <w:tc>
          <w:tcPr>
            <w:tcW w:type="dxa" w:w="1157"/>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R9</w:t>
            </w:r>
          </w:p>
        </w:tc>
        <w:tc>
          <w:tcPr>
            <w:tcW w:type="dxa" w:w="8481"/>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OECD Guidelines on Corporate Governance of State-Owned Enterprises 2024</w:t>
            </w:r>
          </w:p>
        </w:tc>
      </w:tr>
      <w:tr>
        <w:trPr>
          <w:cantSplit/>
        </w:trPr>
        <w:tc>
          <w:tcPr>
            <w:tcW w:type="dxa" w:w="1157"/>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R10–R11</w:t>
            </w:r>
          </w:p>
        </w:tc>
        <w:tc>
          <w:tcPr>
            <w:tcW w:type="dxa" w:w="8481"/>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SASAC measures for central enterprise investment; SDIC technology transformation fund</w:t>
            </w:r>
          </w:p>
        </w:tc>
      </w:tr>
      <w:tr>
        <w:trPr>
          <w:cantSplit/>
        </w:trPr>
        <w:tc>
          <w:tcPr>
            <w:tcW w:type="dxa" w:w="1157"/>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R12–R13</w:t>
            </w:r>
          </w:p>
        </w:tc>
        <w:tc>
          <w:tcPr>
            <w:tcW w:type="dxa" w:w="8481"/>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Vietnam: dissolution of CMSC; Ministry of Finance on SCIC restructuring (18 Jun 2026)</w:t>
            </w:r>
          </w:p>
        </w:tc>
      </w:tr>
      <w:tr>
        <w:trPr>
          <w:cantSplit/>
        </w:trPr>
        <w:tc>
          <w:tcPr>
            <w:tcW w:type="dxa" w:w="1157"/>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R14–R16</w:t>
            </w:r>
          </w:p>
        </w:tc>
        <w:tc>
          <w:tcPr>
            <w:tcW w:type="dxa" w:w="8481"/>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India: PRAGATI 50th meeting (31 Dec 2025); NIIF; AIIB NIIF PMF II appraisal</w:t>
            </w:r>
          </w:p>
        </w:tc>
      </w:tr>
      <w:tr>
        <w:trPr>
          <w:cantSplit/>
        </w:trPr>
        <w:tc>
          <w:tcPr>
            <w:tcW w:type="dxa" w:w="1157"/>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pPr>
            <w:r>
              <w:rPr>
                <w:rFonts w:ascii="Arial" w:cs="Arial" w:eastAsia="Arial" w:hAnsi="Arial"/>
                <w:b/>
                <w:bCs/>
                <w:color w:val="000000"/>
                <w:sz w:val="16"/>
                <w:szCs w:val="16"/>
              </w:rPr>
              <w:t xml:space="preserve">R17–R19</w:t>
            </w:r>
          </w:p>
        </w:tc>
        <w:tc>
          <w:tcPr>
            <w:tcW w:type="dxa" w:w="8481"/>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6"/>
                <w:szCs w:val="16"/>
              </w:rPr>
              <w:t xml:space="preserve">Khazanah governance framework and investment policy; Malaysia NIMP 2030 Delivery Management Unit</w:t>
            </w:r>
          </w:p>
        </w:tc>
      </w:tr>
    </w:tbl>
    <w:p>
      <w:pPr>
        <w:keepNext w:val="false"/>
        <w:spacing w:after="140"/>
      </w:pPr>
    </w:p>
    <w:sectPr>
      <w:headerReference w:type="default" r:id="rId6"/>
      <w:footerReference w:type="default" r:id="rId7"/>
      <w:pgSz w:w="11906" w:h="16838" w:orient="portrait"/>
      <w:pgMar w:top="1250" w:right="1134" w:bottom="1150" w:left="1134" w:header="560" w:footer="560"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rFonts w:ascii="Arial" w:cs="Arial" w:eastAsia="Arial" w:hAnsi="Arial"/>
        <w:color w:val="000000"/>
        <w:sz w:val="15"/>
        <w:szCs w:val="15"/>
      </w:rPr>
      <w:t xml:space="preserve">Steering Committee study · Draft for discussion · October 2026</w:t>
    </w:r>
    <w:r>
      <w:rPr>
        <w:rFonts w:ascii="Arial" w:cs="Arial" w:eastAsia="Arial" w:hAnsi="Arial"/>
        <w:b/>
        <w:bCs/>
        <w:color w:val="00338D"/>
        <w:sz w:val="16"/>
        <w:szCs w:val="16"/>
      </w:rPr>
      <w:t xml:space="preserv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9CC7EF" w:sz="4" w:space="4"/>
      </w:pBdr>
      <w:jc w:val="right"/>
    </w:pPr>
    <w:r>
      <w:rPr>
        <w:rFonts w:ascii="Arial" w:cs="Arial" w:eastAsia="Arial" w:hAnsi="Arial"/>
        <w:color w:val="005EB8"/>
        <w:sz w:val="15"/>
        <w:szCs w:val="15"/>
      </w:rPr>
      <w:t xml:space="preserve">Danantara: national industrial capability platform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60"/>
      </w:pPr>
      <w:rPr>
        <w:color w:val="005EB8"/>
        <w:sz w:val="14"/>
        <w:szCs w:val="14"/>
      </w:rPr>
    </w:lvl>
    <w:lvl w:ilvl="1" w:tentative="1">
      <w:start w:val="1"/>
      <w:numFmt w:val="bullet"/>
      <w:lvlText w:val="–"/>
      <w:lvlJc w:val="left"/>
      <w:pPr>
        <w:ind w:left="720" w:hanging="260"/>
      </w:pPr>
      <w:rPr>
        <w:color w:val="005EB8"/>
        <w:sz w:val="18"/>
        <w:szCs w:val="18"/>
      </w:rPr>
    </w:lvl>
    <w:lvl w:ilvl="2" w:tentative="1">
      <w:start w:val="1"/>
      <w:numFmt w:val="bullet"/>
      <w:lvlText w:val="·"/>
      <w:lvlJc w:val="left"/>
      <w:pPr>
        <w:ind w:left="1080" w:hanging="260"/>
      </w:pPr>
      <w:rPr>
        <w:color w:val="005EB8"/>
        <w:sz w:val="18"/>
        <w:szCs w:val="18"/>
      </w:rPr>
    </w:lvl>
  </w:abstractNum>
  <w:abstractNum w:abstractNumId="3" w15:restartNumberingAfterBreak="0">
    <w:multiLevelType w:val="hybridMultilevel"/>
    <w:lvl w:ilvl="0" w:tentative="1">
      <w:start w:val="1"/>
      <w:numFmt w:val="bullet"/>
      <w:lvlText w:val="■"/>
      <w:lvlJc w:val="left"/>
      <w:pPr>
        <w:ind w:left="360" w:hanging="260"/>
      </w:pPr>
      <w:rPr>
        <w:color w:val="9CC7EF"/>
        <w:sz w:val="14"/>
        <w:szCs w:val="14"/>
      </w:rPr>
    </w:lvl>
  </w:abstractNum>
  <w:abstractNum w:abstractNumId="4" w15:restartNumberingAfterBreak="0">
    <w:multiLevelType w:val="hybridMultilevel"/>
    <w:lvl w:ilvl="0" w:tentative="1">
      <w:start w:val="1"/>
      <w:numFmt w:val="decimal"/>
      <w:lvlText w:val="%1."/>
      <w:lvlJc w:val="left"/>
      <w:pPr>
        <w:ind w:left="400" w:hanging="340"/>
      </w:pPr>
      <w:rPr>
        <w:b/>
        <w:bCs/>
        <w:color w:val="00338D"/>
      </w:rPr>
    </w:lvl>
    <w:lvl w:ilvl="1" w:tentative="1">
      <w:start w:val="1"/>
      <w:numFmt w:val="bullet"/>
      <w:lvlText w:val="–"/>
      <w:lvlJc w:val="left"/>
      <w:pPr>
        <w:ind w:left="760" w:hanging="2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4"/>
    <w:lvlOverride w:ilvl="0">
      <w:startOverride w:val="1"/>
    </w:lvlOverride>
  </w:num>
  <w:num w:numId="5">
    <w:abstractNumId w:val="4"/>
    <w:lvlOverride w:ilvl="0">
      <w:startOverride w:val="1"/>
    </w:lvlOverride>
  </w:num>
  <w:num w:numId="6">
    <w:abstractNumId w:val="4"/>
    <w:lvlOverride w:ilvl="0">
      <w:startOverride w:val="1"/>
    </w:lvlOverride>
  </w:num>
  <w:num w:numId="7">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0"/>
        <w:szCs w:val="20"/>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Arial" w:cs="Arial" w:eastAsia="Arial" w:hAnsi="Arial"/>
      <w:b/>
      <w:bCs/>
      <w:color w:val="FFFFFF"/>
      <w:sz w:val="40"/>
      <w:szCs w:val="40"/>
    </w:rPr>
  </w:style>
  <w:style w:type="paragraph" w:styleId="Heading2">
    <w:name w:val="Heading 2"/>
    <w:basedOn w:val="Normal"/>
    <w:next w:val="Normal"/>
    <w:qFormat/>
    <w:pPr>
      <w:outlineLvl w:val="1"/>
    </w:pPr>
    <w:rPr>
      <w:rFonts w:ascii="Arial" w:cs="Arial" w:eastAsia="Arial" w:hAnsi="Arial"/>
      <w:b/>
      <w:bCs/>
      <w:color w:val="00338D"/>
      <w:sz w:val="28"/>
      <w:szCs w:val="28"/>
    </w:rPr>
  </w:style>
  <w:style w:type="paragraph" w:styleId="Heading3">
    <w:name w:val="Heading 3"/>
    <w:basedOn w:val="Normal"/>
    <w:next w:val="Normal"/>
    <w:qFormat/>
    <w:pPr>
      <w:outlineLvl w:val="2"/>
    </w:pPr>
    <w:rPr>
      <w:rFonts w:ascii="Arial" w:cs="Arial" w:eastAsia="Arial" w:hAnsi="Arial"/>
      <w:b/>
      <w:bCs/>
      <w:color w:val="005EB8"/>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b0296d33c9507e761bc28dccda60c23b41937ee1.png"/><Relationship Id="rId10" Type="http://schemas.openxmlformats.org/officeDocument/2006/relationships/image" Target="media/020ad6e39037fe421075dba406a6a08cb443a139.png"/><Relationship Id="rId11" Type="http://schemas.openxmlformats.org/officeDocument/2006/relationships/image" Target="media/e6d0114f6ee3d7558bd1c12c84e915ac869a3684.png"/><Relationship Id="rId12" Type="http://schemas.openxmlformats.org/officeDocument/2006/relationships/image" Target="media/874f8663162360e842e3bc98a645a82bc81d345e.png"/><Relationship Id="rId13" Type="http://schemas.openxmlformats.org/officeDocument/2006/relationships/image" Target="media/662831b7b5ea3d5c7ffbace6862d2f930e7eb0b4.png"/><Relationship Id="rId14" Type="http://schemas.openxmlformats.org/officeDocument/2006/relationships/image" Target="media/79eaa6fbbe6093b7dd81031629070c1e3ceb99d9.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Danantara: From Asset Consolidator to National Industrial Capability Platform</dc:title>
  <dc:creator>Danantara Steering Committee member</dc:creator>
  <dc:description>Steering Committee study, October 2026</dc:description>
  <cp:lastModifiedBy>Un-named</cp:lastModifiedBy>
  <cp:revision>1</cp:revision>
  <dcterms:created xsi:type="dcterms:W3CDTF">2026-10-07T13:17:15.550Z</dcterms:created>
  <dcterms:modified xsi:type="dcterms:W3CDTF">2026-10-07T13:17:15.550Z</dcterms:modified>
</cp:coreProperties>
</file>

<file path=docProps/custom.xml><?xml version="1.0" encoding="utf-8"?>
<Properties xmlns="http://schemas.openxmlformats.org/officeDocument/2006/custom-properties" xmlns:vt="http://schemas.openxmlformats.org/officeDocument/2006/docPropsVTypes"/>
</file>