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pPr>
      <w:r>
        <w:rPr>
          <w:rFonts w:ascii="Arial" w:cs="Arial" w:eastAsia="Arial" w:hAnsi="Arial"/>
          <w:b/>
          <w:bCs/>
          <w:color w:val="005EB8"/>
          <w:spacing w:val="40"/>
          <w:sz w:val="18"/>
          <w:szCs w:val="18"/>
        </w:rPr>
        <w:t xml:space="preserve">KAJIAN KOMITE PENGARAH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900" w:hRule="exact"/>
        </w:trPr>
        <w:tc>
          <w:tcPr>
            <w:tcW w:type="dxa" w:w="9638"/>
            <w:tcBorders>
              <w:top w:val="none" w:color="FFFFFF" w:sz="0"/>
              <w:left w:val="none" w:color="FFFFFF" w:sz="0"/>
              <w:bottom w:val="none" w:color="FFFFFF" w:sz="0"/>
              <w:right w:val="none" w:color="FFFFFF" w:sz="0"/>
            </w:tcBorders>
            <w:shd w:fill="00338D" w:color="auto" w:val="clear"/>
            <w:tcMar>
              <w:top w:type="dxa" w:w="0"/>
              <w:left w:type="dxa" w:w="420"/>
              <w:bottom w:type="dxa" w:w="0"/>
              <w:right w:type="dxa" w:w="420"/>
            </w:tcMar>
            <w:vAlign w:val="bottom"/>
          </w:tcPr>
          <w:p>
            <w:pPr>
              <w:spacing w:after="160"/>
            </w:pPr>
            <w:r>
              <w:rPr>
                <w:rFonts w:ascii="Arial" w:cs="Arial" w:eastAsia="Arial" w:hAnsi="Arial"/>
                <w:b/>
                <w:bCs/>
                <w:color w:val="9CC7EF"/>
                <w:sz w:val="30"/>
                <w:szCs w:val="30"/>
              </w:rPr>
              <w:t xml:space="preserve">Danantara</w:t>
            </w:r>
          </w:p>
          <w:p>
            <w:pPr>
              <w:spacing w:after="300"/>
            </w:pPr>
            <w:r>
              <w:rPr>
                <w:rFonts w:ascii="Arial" w:cs="Arial" w:eastAsia="Arial" w:hAnsi="Arial"/>
                <w:b/>
                <w:bCs/>
                <w:color w:val="FFFFFF"/>
                <w:sz w:val="64"/>
                <w:szCs w:val="64"/>
              </w:rPr>
              <w:t xml:space="preserve">Dari pengonsolidasi aset menjadi platform kapabilitas industri nasional</w:t>
            </w:r>
          </w:p>
          <w:p>
            <w:pPr>
              <w:spacing w:after="420" w:line="300"/>
            </w:pPr>
            <w:r>
              <w:rPr>
                <w:rFonts w:ascii="Arial" w:cs="Arial" w:eastAsia="Arial" w:hAnsi="Arial"/>
                <w:color w:val="FFFFFF"/>
                <w:sz w:val="24"/>
                <w:szCs w:val="24"/>
              </w:rPr>
              <w:t xml:space="preserve">Tinjauan kinerja, kerangka kapabilitas industri DOCK-UP, pembiayaan melalui Natural Resource Fund dan tokenisasi proyek berdaulat, reformasi BUMN Karya, dan AI multi-agen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rHeight w:val="900" w:hRule="exact"/>
        </w:trPr>
        <w:tc>
          <w:tcPr>
            <w:tcW w:type="dxa" w:w="2409"/>
            <w:tcBorders>
              <w:top w:val="none" w:color="FFFFFF" w:sz="0"/>
              <w:left w:val="none" w:color="FFFFFF" w:sz="0"/>
              <w:bottom w:val="none" w:color="FFFFFF" w:sz="0"/>
              <w:right w:val="none" w:color="FFFFFF" w:sz="0"/>
            </w:tcBorders>
            <w:shd w:fill="00338D" w:color="auto" w:val="clear"/>
            <w:tcMar>
              <w:left w:type="dxa" w:w="160"/>
              <w:bottom w:type="dxa" w:w="120"/>
              <w:right w:type="dxa" w:w="120"/>
            </w:tcMar>
            <w:vAlign w:val="bottom"/>
          </w:tcPr>
          <w:p>
            <w:r>
              <w:rPr>
                <w:rFonts w:ascii="Arial" w:cs="Arial" w:eastAsia="Arial" w:hAnsi="Arial"/>
                <w:b/>
                <w:bCs/>
                <w:color w:val="FFFFFF"/>
                <w:sz w:val="18"/>
                <w:szCs w:val="18"/>
              </w:rPr>
              <w:t xml:space="preserve">Kinerja</w:t>
            </w:r>
          </w:p>
        </w:tc>
        <w:tc>
          <w:tcPr>
            <w:tcW w:type="dxa" w:w="2409"/>
            <w:tcBorders>
              <w:top w:val="none" w:color="FFFFFF" w:sz="0"/>
              <w:left w:val="none" w:color="FFFFFF" w:sz="0"/>
              <w:bottom w:val="none" w:color="FFFFFF" w:sz="0"/>
              <w:right w:val="none" w:color="FFFFFF" w:sz="0"/>
            </w:tcBorders>
            <w:shd w:fill="005EB8" w:color="auto" w:val="clear"/>
            <w:tcMar>
              <w:left w:type="dxa" w:w="160"/>
              <w:bottom w:type="dxa" w:w="120"/>
              <w:right w:type="dxa" w:w="120"/>
            </w:tcMar>
            <w:vAlign w:val="bottom"/>
          </w:tcPr>
          <w:p>
            <w:r>
              <w:rPr>
                <w:rFonts w:ascii="Arial" w:cs="Arial" w:eastAsia="Arial" w:hAnsi="Arial"/>
                <w:b/>
                <w:bCs/>
                <w:color w:val="FFFFFF"/>
                <w:sz w:val="18"/>
                <w:szCs w:val="18"/>
              </w:rPr>
              <w:t xml:space="preserve">DOCK-UP</w:t>
            </w:r>
          </w:p>
        </w:tc>
        <w:tc>
          <w:tcPr>
            <w:tcW w:type="dxa" w:w="2409"/>
            <w:tcBorders>
              <w:top w:val="none" w:color="FFFFFF" w:sz="0"/>
              <w:left w:val="none" w:color="FFFFFF" w:sz="0"/>
              <w:bottom w:val="none" w:color="FFFFFF" w:sz="0"/>
              <w:right w:val="none" w:color="FFFFFF" w:sz="0"/>
            </w:tcBorders>
            <w:shd w:fill="0091DA" w:color="auto" w:val="clear"/>
            <w:tcMar>
              <w:left w:type="dxa" w:w="160"/>
              <w:bottom w:type="dxa" w:w="120"/>
              <w:right w:type="dxa" w:w="120"/>
            </w:tcMar>
            <w:vAlign w:val="bottom"/>
          </w:tcPr>
          <w:p>
            <w:r>
              <w:rPr>
                <w:rFonts w:ascii="Arial" w:cs="Arial" w:eastAsia="Arial" w:hAnsi="Arial"/>
                <w:b/>
                <w:bCs/>
                <w:color w:val="FFFFFF"/>
                <w:sz w:val="18"/>
                <w:szCs w:val="18"/>
              </w:rPr>
              <w:t xml:space="preserve">Pembiayaan</w:t>
            </w:r>
          </w:p>
        </w:tc>
        <w:tc>
          <w:tcPr>
            <w:tcW w:type="dxa" w:w="2411"/>
            <w:tcBorders>
              <w:top w:val="none" w:color="FFFFFF" w:sz="0"/>
              <w:left w:val="none" w:color="FFFFFF" w:sz="0"/>
              <w:bottom w:val="none" w:color="FFFFFF" w:sz="0"/>
              <w:right w:val="none" w:color="FFFFFF" w:sz="0"/>
            </w:tcBorders>
            <w:shd w:fill="9CC7EF" w:color="auto" w:val="clear"/>
            <w:tcMar>
              <w:left w:type="dxa" w:w="160"/>
              <w:bottom w:type="dxa" w:w="120"/>
              <w:right w:type="dxa" w:w="120"/>
            </w:tcMar>
            <w:vAlign w:val="bottom"/>
          </w:tcPr>
          <w:p>
            <w:r>
              <w:rPr>
                <w:rFonts w:ascii="Arial" w:cs="Arial" w:eastAsia="Arial" w:hAnsi="Arial"/>
                <w:b/>
                <w:bCs/>
                <w:color w:val="00338D"/>
                <w:sz w:val="18"/>
                <w:szCs w:val="18"/>
              </w:rPr>
              <w:t xml:space="preserve">BUMN Karya dan AI</w:t>
            </w:r>
          </w:p>
        </w:tc>
      </w:tr>
    </w:tbl>
    <w:p>
      <w:pPr>
        <w:spacing w:after="500"/>
      </w:pPr>
    </w:p>
    <w:p>
      <w:pPr>
        <w:spacing w:after="80"/>
      </w:pPr>
      <w:r>
        <w:rPr>
          <w:rFonts w:ascii="Arial" w:cs="Arial" w:eastAsia="Arial" w:hAnsi="Arial"/>
          <w:b/>
          <w:bCs/>
          <w:color w:val="00338D"/>
          <w:sz w:val="26"/>
          <w:szCs w:val="26"/>
        </w:rPr>
        <w:t xml:space="preserve">Oktober 2026</w:t>
      </w:r>
    </w:p>
    <w:p>
      <w:pPr>
        <w:spacing w:after="60"/>
      </w:pPr>
      <w:r>
        <w:rPr>
          <w:rFonts w:ascii="Arial" w:cs="Arial" w:eastAsia="Arial" w:hAnsi="Arial"/>
          <w:color w:val="000000"/>
          <w:sz w:val="20"/>
          <w:szCs w:val="20"/>
        </w:rPr>
        <w:t xml:space="preserve">Disusun oleh anggota Komite Pengarah Danantara untuk organ tata kelola dan manajemen Danantara</w:t>
      </w:r>
    </w:p>
    <w:p>
      <w:pPr>
        <w:spacing w:after="0"/>
      </w:pPr>
      <w:r>
        <w:rPr>
          <w:rFonts w:ascii="Arial" w:cs="Arial" w:eastAsia="Arial" w:hAnsi="Arial"/>
          <w:color w:val="000000"/>
          <w:sz w:val="20"/>
          <w:szCs w:val="20"/>
        </w:rPr>
        <w:t xml:space="preserve">Draf untuk diskusi · Rahasia</w:t>
      </w:r>
    </w:p>
    <w:p>
      <w:r>
        <w:br w:type="page"/>
      </w:r>
    </w:p>
    <w:p>
      <w:pPr>
        <w:spacing w:after="240"/>
      </w:pPr>
      <w:r>
        <w:rPr>
          <w:rFonts w:ascii="Arial" w:cs="Arial" w:eastAsia="Arial" w:hAnsi="Arial"/>
          <w:b/>
          <w:bCs/>
          <w:color w:val="00338D"/>
          <w:sz w:val="36"/>
          <w:szCs w:val="36"/>
        </w:rPr>
        <w:t xml:space="preserve">Pemberitahuan penting</w:t>
      </w:r>
    </w:p>
    <w:p>
      <w:pPr>
        <w:spacing w:after="100" w:before="0" w:line="258"/>
        <w:jc w:val="left"/>
      </w:pPr>
      <w:r>
        <w:rPr>
          <w:rFonts w:ascii="Arial" w:cs="Arial" w:eastAsia="Arial" w:hAnsi="Arial"/>
          <w:color w:val="000000"/>
          <w:sz w:val="19"/>
          <w:szCs w:val="19"/>
        </w:rPr>
        <w:t xml:space="preserve">Dokumen ini adalah kajian yang disusun oleh anggota Komite Pengarah (Steering Committee) Danantara untuk mendukung diskusi di antara para pemangku kepentingan Danantara. Dokumen ini merupakan draf untuk diskusi dan tidak mencerminkan keputusan, kebijakan, atau posisi Danantara, organ-organnya, maupun Pemerintah Republik Indonesia.</w:t>
      </w:r>
    </w:p>
    <w:p>
      <w:pPr>
        <w:spacing w:after="100" w:before="0" w:line="258"/>
        <w:jc w:val="left"/>
      </w:pPr>
      <w:r>
        <w:rPr>
          <w:rFonts w:ascii="Arial" w:cs="Arial" w:eastAsia="Arial" w:hAnsi="Arial"/>
          <w:b/>
          <w:bCs/>
          <w:color w:val="000000"/>
          <w:sz w:val="19"/>
          <w:szCs w:val="19"/>
        </w:rPr>
        <w:t xml:space="preserve">Dasar penyusunan.</w:t>
      </w:r>
      <w:r>
        <w:rPr>
          <w:rFonts w:ascii="Arial" w:cs="Arial" w:eastAsia="Arial" w:hAnsi="Arial"/>
          <w:color w:val="000000"/>
          <w:sz w:val="19"/>
          <w:szCs w:val="19"/>
        </w:rPr>
        <w:t xml:space="preserve"> Kajian ini didasarkan pada enam dokumen sumber (D1–D6,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pPr>
        <w:spacing w:after="100" w:before="0" w:line="258"/>
        <w:jc w:val="left"/>
      </w:pPr>
      <w:r>
        <w:rPr>
          <w:rFonts w:ascii="Arial" w:cs="Arial" w:eastAsia="Arial" w:hAnsi="Arial"/>
          <w:b/>
          <w:bCs/>
          <w:color w:val="000000"/>
          <w:sz w:val="19"/>
          <w:szCs w:val="19"/>
        </w:rPr>
        <w:t xml:space="preserve">Sifat pekerjaan.</w:t>
      </w:r>
      <w:r>
        <w:rPr>
          <w:rFonts w:ascii="Arial" w:cs="Arial" w:eastAsia="Arial" w:hAnsi="Arial"/>
          <w:color w:val="000000"/>
          <w:sz w:val="19"/>
          <w:szCs w:val="19"/>
        </w:rPr>
        <w:t xml:space="preserve"> Kajian ini bukan audit, reviu, atau perikatan asurans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pPr>
        <w:spacing w:after="100" w:before="0" w:line="258"/>
        <w:jc w:val="left"/>
      </w:pPr>
      <w:r>
        <w:rPr>
          <w:rFonts w:ascii="Arial" w:cs="Arial" w:eastAsia="Arial" w:hAnsi="Arial"/>
          <w:b/>
          <w:bCs/>
          <w:color w:val="000000"/>
          <w:sz w:val="19"/>
          <w:szCs w:val="19"/>
        </w:rPr>
        <w:t xml:space="preserve">Kelas bukti.</w:t>
      </w:r>
      <w:r>
        <w:rPr>
          <w:rFonts w:ascii="Arial" w:cs="Arial" w:eastAsia="Arial" w:hAnsi="Arial"/>
          <w:color w:val="000000"/>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pPr>
        <w:spacing w:after="100" w:before="0" w:line="258"/>
        <w:jc w:val="left"/>
      </w:pPr>
      <w:r>
        <w:rPr>
          <w:rFonts w:ascii="Arial" w:cs="Arial" w:eastAsia="Arial" w:hAnsi="Arial"/>
          <w:b/>
          <w:bCs/>
          <w:color w:val="000000"/>
          <w:sz w:val="19"/>
          <w:szCs w:val="19"/>
        </w:rPr>
        <w:t xml:space="preserve">Pernyataan ke depan.</w:t>
      </w:r>
      <w:r>
        <w:rPr>
          <w:rFonts w:ascii="Arial" w:cs="Arial" w:eastAsia="Arial" w:hAnsi="Arial"/>
          <w:color w:val="000000"/>
          <w:sz w:val="19"/>
          <w:szCs w:val="19"/>
        </w:rPr>
        <w:t xml:space="preserve"> Pernyataan mengenai manfaat, biaya, dan jadwal yang diharapkan pada dasarnya mengandung ketidakpastian dan bergantung pada keputusan, pasar, serta pelaksanaan di luar kendali penulis.</w:t>
      </w:r>
    </w:p>
    <w:p>
      <w:pPr>
        <w:spacing w:after="100" w:before="0" w:line="258"/>
        <w:jc w:val="left"/>
      </w:pPr>
      <w:r>
        <w:rPr>
          <w:rFonts w:ascii="Arial" w:cs="Arial" w:eastAsia="Arial" w:hAnsi="Arial"/>
          <w:b/>
          <w:bCs/>
          <w:color w:val="000000"/>
          <w:sz w:val="19"/>
          <w:szCs w:val="19"/>
        </w:rPr>
        <w:t xml:space="preserve">Kerahasiaan dan distribusi.</w:t>
      </w:r>
      <w:r>
        <w:rPr>
          <w:rFonts w:ascii="Arial" w:cs="Arial" w:eastAsia="Arial" w:hAnsi="Arial"/>
          <w:color w:val="000000"/>
          <w:sz w:val="19"/>
          <w:szCs w:val="19"/>
        </w:rPr>
        <w:t xml:space="preserve"> Dokumen sumber D4 dan D6 bertanda internal atau rahasia.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pPr>
        <w:spacing w:after="100" w:before="0" w:line="258"/>
        <w:jc w:val="left"/>
      </w:pPr>
      <w:r>
        <w:rPr>
          <w:rFonts w:ascii="Arial" w:cs="Arial" w:eastAsia="Arial" w:hAnsi="Arial"/>
          <w:b/>
          <w:bCs/>
          <w:color w:val="000000"/>
          <w:sz w:val="19"/>
          <w:szCs w:val="19"/>
        </w:rPr>
        <w:t xml:space="preserve">Benturan kepentingan.</w:t>
      </w:r>
      <w:r>
        <w:rPr>
          <w:rFonts w:ascii="Arial" w:cs="Arial" w:eastAsia="Arial" w:hAnsi="Arial"/>
          <w:color w:val="000000"/>
          <w:sz w:val="19"/>
          <w:szCs w:val="19"/>
        </w:rPr>
        <w:t xml:space="preserve"> Tiga sumber (D4, D6, dan sebagian D3) berfokus pada industri maritim dan pertahanan serta PT PAL. Peran penulis saat ini dan sebelumnya yang relevan dengan PT PAL dan dengan penyusun D4 dan D6 diungkapkan dalam surat pengantar kepada Komite Pengarah, dan pembaca perlu menimbang contoh maritim dan pertahanan dengan memperhatikan hal tersebut.</w:t>
      </w:r>
    </w:p>
    <w:p>
      <w:pPr>
        <w:spacing w:after="100" w:before="0" w:line="258"/>
        <w:jc w:val="left"/>
        <w:sectPr>
          <w:pgSz w:w="11906" w:h="16838" w:orient="portrait"/>
          <w:pgMar w:top="1250" w:right="1134" w:bottom="1150" w:left="1134" w:header="560" w:footer="560" w:gutter="0"/>
          <w:pgNumType/>
          <w:docGrid w:linePitch="360"/>
        </w:sectPr>
      </w:pPr>
      <w:r>
        <w:rPr>
          <w:rFonts w:ascii="Arial" w:cs="Arial" w:eastAsia="Arial" w:hAnsi="Arial"/>
          <w:b/>
          <w:bCs/>
          <w:color w:val="000000"/>
          <w:sz w:val="19"/>
          <w:szCs w:val="19"/>
        </w:rPr>
        <w:t xml:space="preserve">Independensi dari firma penasihat.</w:t>
      </w:r>
      <w:r>
        <w:rPr>
          <w:rFonts w:ascii="Arial" w:cs="Arial" w:eastAsia="Arial" w:hAnsi="Arial"/>
          <w:color w:val="000000"/>
          <w:sz w:val="19"/>
          <w:szCs w:val="19"/>
        </w:rPr>
        <w:t xml:space="preserve"> Dokumen ini tidak disusun oleh, tidak berafiliasi dengan, dan tidak didukung oleh firma jasa profesional mana pun.</w:t>
      </w:r>
    </w:p>
    <w:p>
      <w:pPr>
        <w:spacing w:after="280"/>
      </w:pPr>
      <w:r>
        <w:rPr>
          <w:rFonts w:ascii="Arial" w:cs="Arial" w:eastAsia="Arial" w:hAnsi="Arial"/>
          <w:b/>
          <w:bCs/>
          <w:color w:val="00338D"/>
          <w:sz w:val="36"/>
          <w:szCs w:val="36"/>
        </w:rPr>
        <w:t xml:space="preserve">Daftar isi</w:t>
      </w:r>
    </w:p>
    <w:p>
      <w:pPr>
        <w:tabs>
          <w:tab w:val="left" w:pos="680"/>
          <w:tab w:val="right" w:pos="9638" w:leader="dot"/>
        </w:tabs>
        <w:spacing w:after="110"/>
      </w:pPr>
      <w:r>
        <w:rPr>
          <w:rFonts w:ascii="Arial" w:cs="Arial" w:eastAsia="Arial" w:hAnsi="Arial"/>
          <w:b/>
          <w:bCs/>
          <w:color w:val="005EB8"/>
          <w:sz w:val="22"/>
          <w:szCs w:val="22"/>
        </w:rPr>
        <w:t xml:space="preserve">01</w:t>
      </w:r>
      <w:r>
        <w:rPr>
          <w:rFonts w:ascii="Arial" w:cs="Arial" w:eastAsia="Arial" w:hAnsi="Arial"/>
        </w:rPr>
        <w:t xml:space="preserve">	</w:t>
      </w:r>
      <w:r>
        <w:rPr>
          <w:rFonts w:ascii="Arial" w:cs="Arial" w:eastAsia="Arial" w:hAnsi="Arial"/>
          <w:b/>
          <w:bCs/>
          <w:color w:val="000000"/>
          <w:sz w:val="22"/>
          <w:szCs w:val="22"/>
        </w:rPr>
        <w:t xml:space="preserve">Ringkasan eksekutif</w:t>
      </w:r>
      <w:r>
        <w:rPr>
          <w:rFonts w:ascii="Arial" w:cs="Arial" w:eastAsia="Arial" w:hAnsi="Arial"/>
          <w:b/>
          <w:bCs/>
          <w:color w:val="00338D"/>
          <w:sz w:val="22"/>
          <w:szCs w:val="22"/>
        </w:rPr>
        <w:t xml:space="preserve">	4</w:t>
      </w:r>
    </w:p>
    <w:p>
      <w:pPr>
        <w:tabs>
          <w:tab w:val="left" w:pos="680"/>
          <w:tab w:val="right" w:pos="9638" w:leader="dot"/>
        </w:tabs>
        <w:spacing w:after="110"/>
      </w:pPr>
      <w:r>
        <w:rPr>
          <w:rFonts w:ascii="Arial" w:cs="Arial" w:eastAsia="Arial" w:hAnsi="Arial"/>
          <w:b/>
          <w:bCs/>
          <w:color w:val="005EB8"/>
          <w:sz w:val="22"/>
          <w:szCs w:val="22"/>
        </w:rPr>
        <w:t xml:space="preserve">02</w:t>
      </w:r>
      <w:r>
        <w:rPr>
          <w:rFonts w:ascii="Arial" w:cs="Arial" w:eastAsia="Arial" w:hAnsi="Arial"/>
        </w:rPr>
        <w:t xml:space="preserve">	</w:t>
      </w:r>
      <w:r>
        <w:rPr>
          <w:rFonts w:ascii="Arial" w:cs="Arial" w:eastAsia="Arial" w:hAnsi="Arial"/>
          <w:b/>
          <w:bCs/>
          <w:color w:val="000000"/>
          <w:sz w:val="22"/>
          <w:szCs w:val="22"/>
        </w:rPr>
        <w:t xml:space="preserve">Pendahuluan, ruang lingkup, dan pendekatan</w:t>
      </w:r>
      <w:r>
        <w:rPr>
          <w:rFonts w:ascii="Arial" w:cs="Arial" w:eastAsia="Arial" w:hAnsi="Arial"/>
          <w:b/>
          <w:bCs/>
          <w:color w:val="00338D"/>
          <w:sz w:val="22"/>
          <w:szCs w:val="22"/>
        </w:rPr>
        <w:t xml:space="preserve">	8</w:t>
      </w:r>
    </w:p>
    <w:p>
      <w:pPr>
        <w:tabs>
          <w:tab w:val="left" w:pos="680"/>
          <w:tab w:val="right" w:pos="9638" w:leader="dot"/>
        </w:tabs>
        <w:spacing w:after="110"/>
      </w:pPr>
      <w:r>
        <w:rPr>
          <w:rFonts w:ascii="Arial" w:cs="Arial" w:eastAsia="Arial" w:hAnsi="Arial"/>
          <w:b/>
          <w:bCs/>
          <w:color w:val="005EB8"/>
          <w:sz w:val="22"/>
          <w:szCs w:val="22"/>
        </w:rPr>
        <w:t xml:space="preserve">03</w:t>
      </w:r>
      <w:r>
        <w:rPr>
          <w:rFonts w:ascii="Arial" w:cs="Arial" w:eastAsia="Arial" w:hAnsi="Arial"/>
        </w:rPr>
        <w:t xml:space="preserve">	</w:t>
      </w:r>
      <w:r>
        <w:rPr>
          <w:rFonts w:ascii="Arial" w:cs="Arial" w:eastAsia="Arial" w:hAnsi="Arial"/>
          <w:b/>
          <w:bCs/>
          <w:color w:val="000000"/>
          <w:sz w:val="22"/>
          <w:szCs w:val="22"/>
        </w:rPr>
        <w:t xml:space="preserve">Danantara saat ini: mandat, struktur, dan kegiatan</w:t>
      </w:r>
      <w:r>
        <w:rPr>
          <w:rFonts w:ascii="Arial" w:cs="Arial" w:eastAsia="Arial" w:hAnsi="Arial"/>
          <w:b/>
          <w:bCs/>
          <w:color w:val="00338D"/>
          <w:sz w:val="22"/>
          <w:szCs w:val="22"/>
        </w:rPr>
        <w:t xml:space="preserve">	10</w:t>
      </w:r>
    </w:p>
    <w:p>
      <w:pPr>
        <w:tabs>
          <w:tab w:val="left" w:pos="680"/>
          <w:tab w:val="right" w:pos="9638" w:leader="dot"/>
        </w:tabs>
        <w:spacing w:after="110"/>
      </w:pPr>
      <w:r>
        <w:rPr>
          <w:rFonts w:ascii="Arial" w:cs="Arial" w:eastAsia="Arial" w:hAnsi="Arial"/>
          <w:b/>
          <w:bCs/>
          <w:color w:val="005EB8"/>
          <w:sz w:val="22"/>
          <w:szCs w:val="22"/>
        </w:rPr>
        <w:t xml:space="preserve">04</w:t>
      </w:r>
      <w:r>
        <w:rPr>
          <w:rFonts w:ascii="Arial" w:cs="Arial" w:eastAsia="Arial" w:hAnsi="Arial"/>
        </w:rPr>
        <w:t xml:space="preserve">	</w:t>
      </w:r>
      <w:r>
        <w:rPr>
          <w:rFonts w:ascii="Arial" w:cs="Arial" w:eastAsia="Arial" w:hAnsi="Arial"/>
          <w:b/>
          <w:bCs/>
          <w:color w:val="000000"/>
          <w:sz w:val="22"/>
          <w:szCs w:val="22"/>
        </w:rPr>
        <w:t xml:space="preserve">Evaluasi kinerja</w:t>
      </w:r>
      <w:r>
        <w:rPr>
          <w:rFonts w:ascii="Arial" w:cs="Arial" w:eastAsia="Arial" w:hAnsi="Arial"/>
          <w:b/>
          <w:bCs/>
          <w:color w:val="00338D"/>
          <w:sz w:val="22"/>
          <w:szCs w:val="22"/>
        </w:rPr>
        <w:t xml:space="preserve">	13</w:t>
      </w:r>
    </w:p>
    <w:p>
      <w:pPr>
        <w:tabs>
          <w:tab w:val="left" w:pos="680"/>
          <w:tab w:val="right" w:pos="9638" w:leader="dot"/>
        </w:tabs>
        <w:spacing w:after="110"/>
      </w:pPr>
      <w:r>
        <w:rPr>
          <w:rFonts w:ascii="Arial" w:cs="Arial" w:eastAsia="Arial" w:hAnsi="Arial"/>
          <w:b/>
          <w:bCs/>
          <w:color w:val="005EB8"/>
          <w:sz w:val="22"/>
          <w:szCs w:val="22"/>
        </w:rPr>
        <w:t xml:space="preserve">05</w:t>
      </w:r>
      <w:r>
        <w:rPr>
          <w:rFonts w:ascii="Arial" w:cs="Arial" w:eastAsia="Arial" w:hAnsi="Arial"/>
        </w:rPr>
        <w:t xml:space="preserve">	</w:t>
      </w:r>
      <w:r>
        <w:rPr>
          <w:rFonts w:ascii="Arial" w:cs="Arial" w:eastAsia="Arial" w:hAnsi="Arial"/>
          <w:b/>
          <w:bCs/>
          <w:color w:val="000000"/>
          <w:sz w:val="22"/>
          <w:szCs w:val="22"/>
        </w:rPr>
        <w:t xml:space="preserve">Apa yang diharapkan dari Danantara</w:t>
      </w:r>
      <w:r>
        <w:rPr>
          <w:rFonts w:ascii="Arial" w:cs="Arial" w:eastAsia="Arial" w:hAnsi="Arial"/>
          <w:b/>
          <w:bCs/>
          <w:color w:val="00338D"/>
          <w:sz w:val="22"/>
          <w:szCs w:val="22"/>
        </w:rPr>
        <w:t xml:space="preserve">	19</w:t>
      </w:r>
    </w:p>
    <w:p>
      <w:pPr>
        <w:tabs>
          <w:tab w:val="left" w:pos="680"/>
          <w:tab w:val="right" w:pos="9638" w:leader="dot"/>
        </w:tabs>
        <w:spacing w:after="110"/>
      </w:pPr>
      <w:r>
        <w:rPr>
          <w:rFonts w:ascii="Arial" w:cs="Arial" w:eastAsia="Arial" w:hAnsi="Arial"/>
          <w:b/>
          <w:bCs/>
          <w:color w:val="005EB8"/>
          <w:sz w:val="22"/>
          <w:szCs w:val="22"/>
        </w:rPr>
        <w:t xml:space="preserve">06</w:t>
      </w:r>
      <w:r>
        <w:rPr>
          <w:rFonts w:ascii="Arial" w:cs="Arial" w:eastAsia="Arial" w:hAnsi="Arial"/>
        </w:rPr>
        <w:t xml:space="preserve">	</w:t>
      </w:r>
      <w:r>
        <w:rPr>
          <w:rFonts w:ascii="Arial" w:cs="Arial" w:eastAsia="Arial" w:hAnsi="Arial"/>
          <w:b/>
          <w:bCs/>
          <w:color w:val="000000"/>
          <w:sz w:val="22"/>
          <w:szCs w:val="22"/>
        </w:rPr>
        <w:t xml:space="preserve">DOCK-UP: membangun kapabilitas industri nasional</w:t>
      </w:r>
      <w:r>
        <w:rPr>
          <w:rFonts w:ascii="Arial" w:cs="Arial" w:eastAsia="Arial" w:hAnsi="Arial"/>
          <w:b/>
          <w:bCs/>
          <w:color w:val="00338D"/>
          <w:sz w:val="22"/>
          <w:szCs w:val="22"/>
        </w:rPr>
        <w:t xml:space="preserve">	23</w:t>
      </w:r>
    </w:p>
    <w:p>
      <w:pPr>
        <w:tabs>
          <w:tab w:val="left" w:pos="680"/>
          <w:tab w:val="right" w:pos="9638" w:leader="dot"/>
        </w:tabs>
        <w:spacing w:after="110"/>
      </w:pPr>
      <w:r>
        <w:rPr>
          <w:rFonts w:ascii="Arial" w:cs="Arial" w:eastAsia="Arial" w:hAnsi="Arial"/>
          <w:b/>
          <w:bCs/>
          <w:color w:val="005EB8"/>
          <w:sz w:val="22"/>
          <w:szCs w:val="22"/>
        </w:rPr>
        <w:t xml:space="preserve">07</w:t>
      </w:r>
      <w:r>
        <w:rPr>
          <w:rFonts w:ascii="Arial" w:cs="Arial" w:eastAsia="Arial" w:hAnsi="Arial"/>
        </w:rPr>
        <w:t xml:space="preserve">	</w:t>
      </w:r>
      <w:r>
        <w:rPr>
          <w:rFonts w:ascii="Arial" w:cs="Arial" w:eastAsia="Arial" w:hAnsi="Arial"/>
          <w:b/>
          <w:bCs/>
          <w:color w:val="000000"/>
          <w:sz w:val="22"/>
          <w:szCs w:val="22"/>
        </w:rPr>
        <w:t xml:space="preserve">Proyek jangkar sebagai mesin permintaan</w:t>
      </w:r>
      <w:r>
        <w:rPr>
          <w:rFonts w:ascii="Arial" w:cs="Arial" w:eastAsia="Arial" w:hAnsi="Arial"/>
          <w:b/>
          <w:bCs/>
          <w:color w:val="00338D"/>
          <w:sz w:val="22"/>
          <w:szCs w:val="22"/>
        </w:rPr>
        <w:t xml:space="preserve">	29</w:t>
      </w:r>
    </w:p>
    <w:p>
      <w:pPr>
        <w:tabs>
          <w:tab w:val="left" w:pos="680"/>
          <w:tab w:val="right" w:pos="9638" w:leader="dot"/>
        </w:tabs>
        <w:spacing w:after="110"/>
      </w:pPr>
      <w:r>
        <w:rPr>
          <w:rFonts w:ascii="Arial" w:cs="Arial" w:eastAsia="Arial" w:hAnsi="Arial"/>
          <w:b/>
          <w:bCs/>
          <w:color w:val="005EB8"/>
          <w:sz w:val="22"/>
          <w:szCs w:val="22"/>
        </w:rPr>
        <w:t xml:space="preserve">08</w:t>
      </w:r>
      <w:r>
        <w:rPr>
          <w:rFonts w:ascii="Arial" w:cs="Arial" w:eastAsia="Arial" w:hAnsi="Arial"/>
        </w:rPr>
        <w:t xml:space="preserve">	</w:t>
      </w:r>
      <w:r>
        <w:rPr>
          <w:rFonts w:ascii="Arial" w:cs="Arial" w:eastAsia="Arial" w:hAnsi="Arial"/>
          <w:b/>
          <w:bCs/>
          <w:color w:val="000000"/>
          <w:sz w:val="22"/>
          <w:szCs w:val="22"/>
        </w:rPr>
        <w:t xml:space="preserve">Kanal pembiayaan 1: Natural Resource Fund</w:t>
      </w:r>
      <w:r>
        <w:rPr>
          <w:rFonts w:ascii="Arial" w:cs="Arial" w:eastAsia="Arial" w:hAnsi="Arial"/>
          <w:b/>
          <w:bCs/>
          <w:color w:val="00338D"/>
          <w:sz w:val="22"/>
          <w:szCs w:val="22"/>
        </w:rPr>
        <w:t xml:space="preserve">	33</w:t>
      </w:r>
    </w:p>
    <w:p>
      <w:pPr>
        <w:tabs>
          <w:tab w:val="left" w:pos="680"/>
          <w:tab w:val="right" w:pos="9638" w:leader="dot"/>
        </w:tabs>
        <w:spacing w:after="110"/>
      </w:pPr>
      <w:r>
        <w:rPr>
          <w:rFonts w:ascii="Arial" w:cs="Arial" w:eastAsia="Arial" w:hAnsi="Arial"/>
          <w:b/>
          <w:bCs/>
          <w:color w:val="005EB8"/>
          <w:sz w:val="22"/>
          <w:szCs w:val="22"/>
        </w:rPr>
        <w:t xml:space="preserve">09</w:t>
      </w:r>
      <w:r>
        <w:rPr>
          <w:rFonts w:ascii="Arial" w:cs="Arial" w:eastAsia="Arial" w:hAnsi="Arial"/>
        </w:rPr>
        <w:t xml:space="preserve">	</w:t>
      </w:r>
      <w:r>
        <w:rPr>
          <w:rFonts w:ascii="Arial" w:cs="Arial" w:eastAsia="Arial" w:hAnsi="Arial"/>
          <w:b/>
          <w:bCs/>
          <w:color w:val="000000"/>
          <w:sz w:val="22"/>
          <w:szCs w:val="22"/>
        </w:rPr>
        <w:t xml:space="preserve">Kanal pembiayaan 2: tokenisasi proyek berdaulat</w:t>
      </w:r>
      <w:r>
        <w:rPr>
          <w:rFonts w:ascii="Arial" w:cs="Arial" w:eastAsia="Arial" w:hAnsi="Arial"/>
          <w:b/>
          <w:bCs/>
          <w:color w:val="00338D"/>
          <w:sz w:val="22"/>
          <w:szCs w:val="22"/>
        </w:rPr>
        <w:t xml:space="preserve">	39</w:t>
      </w:r>
    </w:p>
    <w:p>
      <w:pPr>
        <w:tabs>
          <w:tab w:val="left" w:pos="680"/>
          <w:tab w:val="right" w:pos="9638" w:leader="dot"/>
        </w:tabs>
        <w:spacing w:after="110"/>
      </w:pPr>
      <w:r>
        <w:rPr>
          <w:rFonts w:ascii="Arial" w:cs="Arial" w:eastAsia="Arial" w:hAnsi="Arial"/>
          <w:b/>
          <w:bCs/>
          <w:color w:val="005EB8"/>
          <w:sz w:val="22"/>
          <w:szCs w:val="22"/>
        </w:rPr>
        <w:t xml:space="preserve">10</w:t>
      </w:r>
      <w:r>
        <w:rPr>
          <w:rFonts w:ascii="Arial" w:cs="Arial" w:eastAsia="Arial" w:hAnsi="Arial"/>
        </w:rPr>
        <w:t xml:space="preserve">	</w:t>
      </w:r>
      <w:r>
        <w:rPr>
          <w:rFonts w:ascii="Arial" w:cs="Arial" w:eastAsia="Arial" w:hAnsi="Arial"/>
          <w:b/>
          <w:bCs/>
          <w:color w:val="000000"/>
          <w:sz w:val="22"/>
          <w:szCs w:val="22"/>
        </w:rPr>
        <w:t xml:space="preserve">Arsitektur pembiayaan terintegrasi</w:t>
      </w:r>
      <w:r>
        <w:rPr>
          <w:rFonts w:ascii="Arial" w:cs="Arial" w:eastAsia="Arial" w:hAnsi="Arial"/>
          <w:b/>
          <w:bCs/>
          <w:color w:val="00338D"/>
          <w:sz w:val="22"/>
          <w:szCs w:val="22"/>
        </w:rPr>
        <w:t xml:space="preserve">	43</w:t>
      </w:r>
    </w:p>
    <w:p>
      <w:pPr>
        <w:tabs>
          <w:tab w:val="left" w:pos="680"/>
          <w:tab w:val="right" w:pos="9638" w:leader="dot"/>
        </w:tabs>
        <w:spacing w:after="110"/>
      </w:pPr>
      <w:r>
        <w:rPr>
          <w:rFonts w:ascii="Arial" w:cs="Arial" w:eastAsia="Arial" w:hAnsi="Arial"/>
          <w:b/>
          <w:bCs/>
          <w:color w:val="005EB8"/>
          <w:sz w:val="22"/>
          <w:szCs w:val="22"/>
        </w:rPr>
        <w:t xml:space="preserve">11</w:t>
      </w:r>
      <w:r>
        <w:rPr>
          <w:rFonts w:ascii="Arial" w:cs="Arial" w:eastAsia="Arial" w:hAnsi="Arial"/>
        </w:rPr>
        <w:t xml:space="preserve">	</w:t>
      </w:r>
      <w:r>
        <w:rPr>
          <w:rFonts w:ascii="Arial" w:cs="Arial" w:eastAsia="Arial" w:hAnsi="Arial"/>
          <w:b/>
          <w:bCs/>
          <w:color w:val="000000"/>
          <w:sz w:val="22"/>
          <w:szCs w:val="22"/>
        </w:rPr>
        <w:t xml:space="preserve">Kajian BUMN Karya</w:t>
      </w:r>
      <w:r>
        <w:rPr>
          <w:rFonts w:ascii="Arial" w:cs="Arial" w:eastAsia="Arial" w:hAnsi="Arial"/>
          <w:b/>
          <w:bCs/>
          <w:color w:val="00338D"/>
          <w:sz w:val="22"/>
          <w:szCs w:val="22"/>
        </w:rPr>
        <w:t xml:space="preserve">	47</w:t>
      </w:r>
    </w:p>
    <w:p>
      <w:pPr>
        <w:tabs>
          <w:tab w:val="left" w:pos="680"/>
          <w:tab w:val="right" w:pos="9638" w:leader="dot"/>
        </w:tabs>
        <w:spacing w:after="110"/>
      </w:pPr>
      <w:r>
        <w:rPr>
          <w:rFonts w:ascii="Arial" w:cs="Arial" w:eastAsia="Arial" w:hAnsi="Arial"/>
          <w:b/>
          <w:bCs/>
          <w:color w:val="005EB8"/>
          <w:sz w:val="22"/>
          <w:szCs w:val="22"/>
        </w:rPr>
        <w:t xml:space="preserve">12</w:t>
      </w:r>
      <w:r>
        <w:rPr>
          <w:rFonts w:ascii="Arial" w:cs="Arial" w:eastAsia="Arial" w:hAnsi="Arial"/>
        </w:rPr>
        <w:t xml:space="preserve">	</w:t>
      </w:r>
      <w:r>
        <w:rPr>
          <w:rFonts w:ascii="Arial" w:cs="Arial" w:eastAsia="Arial" w:hAnsi="Arial"/>
          <w:b/>
          <w:bCs/>
          <w:color w:val="000000"/>
          <w:sz w:val="22"/>
          <w:szCs w:val="22"/>
        </w:rPr>
        <w:t xml:space="preserve">Meningkatkan manajemen bisnis dengan AI multi-agen</w:t>
      </w:r>
      <w:r>
        <w:rPr>
          <w:rFonts w:ascii="Arial" w:cs="Arial" w:eastAsia="Arial" w:hAnsi="Arial"/>
          <w:b/>
          <w:bCs/>
          <w:color w:val="00338D"/>
          <w:sz w:val="22"/>
          <w:szCs w:val="22"/>
        </w:rPr>
        <w:t xml:space="preserve">	51</w:t>
      </w:r>
    </w:p>
    <w:p>
      <w:pPr>
        <w:tabs>
          <w:tab w:val="left" w:pos="680"/>
          <w:tab w:val="right" w:pos="9638" w:leader="dot"/>
        </w:tabs>
        <w:spacing w:after="110"/>
      </w:pPr>
      <w:r>
        <w:rPr>
          <w:rFonts w:ascii="Arial" w:cs="Arial" w:eastAsia="Arial" w:hAnsi="Arial"/>
          <w:b/>
          <w:bCs/>
          <w:color w:val="005EB8"/>
          <w:sz w:val="22"/>
          <w:szCs w:val="22"/>
        </w:rPr>
        <w:t xml:space="preserve">13</w:t>
      </w:r>
      <w:r>
        <w:rPr>
          <w:rFonts w:ascii="Arial" w:cs="Arial" w:eastAsia="Arial" w:hAnsi="Arial"/>
        </w:rPr>
        <w:t xml:space="preserve">	</w:t>
      </w:r>
      <w:r>
        <w:rPr>
          <w:rFonts w:ascii="Arial" w:cs="Arial" w:eastAsia="Arial" w:hAnsi="Arial"/>
          <w:b/>
          <w:bCs/>
          <w:color w:val="000000"/>
          <w:sz w:val="22"/>
          <w:szCs w:val="22"/>
        </w:rPr>
        <w:t xml:space="preserve">Tata kelola, organisasi, dan hak keputusan</w:t>
      </w:r>
      <w:r>
        <w:rPr>
          <w:rFonts w:ascii="Arial" w:cs="Arial" w:eastAsia="Arial" w:hAnsi="Arial"/>
          <w:b/>
          <w:bCs/>
          <w:color w:val="00338D"/>
          <w:sz w:val="22"/>
          <w:szCs w:val="22"/>
        </w:rPr>
        <w:t xml:space="preserve">	58</w:t>
      </w:r>
    </w:p>
    <w:p>
      <w:pPr>
        <w:tabs>
          <w:tab w:val="left" w:pos="680"/>
          <w:tab w:val="right" w:pos="9638" w:leader="dot"/>
        </w:tabs>
        <w:spacing w:after="110"/>
      </w:pPr>
      <w:r>
        <w:rPr>
          <w:rFonts w:ascii="Arial" w:cs="Arial" w:eastAsia="Arial" w:hAnsi="Arial"/>
          <w:b/>
          <w:bCs/>
          <w:color w:val="005EB8"/>
          <w:sz w:val="22"/>
          <w:szCs w:val="22"/>
        </w:rPr>
        <w:t xml:space="preserve">14</w:t>
      </w:r>
      <w:r>
        <w:rPr>
          <w:rFonts w:ascii="Arial" w:cs="Arial" w:eastAsia="Arial" w:hAnsi="Arial"/>
        </w:rPr>
        <w:t xml:space="preserve">	</w:t>
      </w:r>
      <w:r>
        <w:rPr>
          <w:rFonts w:ascii="Arial" w:cs="Arial" w:eastAsia="Arial" w:hAnsi="Arial"/>
          <w:b/>
          <w:bCs/>
          <w:color w:val="000000"/>
          <w:sz w:val="22"/>
          <w:szCs w:val="22"/>
        </w:rPr>
        <w:t xml:space="preserve">Manajemen dan pengukuran kinerja</w:t>
      </w:r>
      <w:r>
        <w:rPr>
          <w:rFonts w:ascii="Arial" w:cs="Arial" w:eastAsia="Arial" w:hAnsi="Arial"/>
          <w:b/>
          <w:bCs/>
          <w:color w:val="00338D"/>
          <w:sz w:val="22"/>
          <w:szCs w:val="22"/>
        </w:rPr>
        <w:t xml:space="preserve">	64</w:t>
      </w:r>
    </w:p>
    <w:p>
      <w:pPr>
        <w:tabs>
          <w:tab w:val="left" w:pos="680"/>
          <w:tab w:val="right" w:pos="9638" w:leader="dot"/>
        </w:tabs>
        <w:spacing w:after="110"/>
      </w:pPr>
      <w:r>
        <w:rPr>
          <w:rFonts w:ascii="Arial" w:cs="Arial" w:eastAsia="Arial" w:hAnsi="Arial"/>
          <w:b/>
          <w:bCs/>
          <w:color w:val="005EB8"/>
          <w:sz w:val="22"/>
          <w:szCs w:val="22"/>
        </w:rPr>
        <w:t xml:space="preserve">15</w:t>
      </w:r>
      <w:r>
        <w:rPr>
          <w:rFonts w:ascii="Arial" w:cs="Arial" w:eastAsia="Arial" w:hAnsi="Arial"/>
        </w:rPr>
        <w:t xml:space="preserve">	</w:t>
      </w:r>
      <w:r>
        <w:rPr>
          <w:rFonts w:ascii="Arial" w:cs="Arial" w:eastAsia="Arial" w:hAnsi="Arial"/>
          <w:b/>
          <w:bCs/>
          <w:color w:val="000000"/>
          <w:sz w:val="22"/>
          <w:szCs w:val="22"/>
        </w:rPr>
        <w:t xml:space="preserve">Risiko utama dan mitigasinya</w:t>
      </w:r>
      <w:r>
        <w:rPr>
          <w:rFonts w:ascii="Arial" w:cs="Arial" w:eastAsia="Arial" w:hAnsi="Arial"/>
          <w:b/>
          <w:bCs/>
          <w:color w:val="00338D"/>
          <w:sz w:val="22"/>
          <w:szCs w:val="22"/>
        </w:rPr>
        <w:t xml:space="preserve">	67</w:t>
      </w:r>
    </w:p>
    <w:p>
      <w:pPr>
        <w:tabs>
          <w:tab w:val="left" w:pos="680"/>
          <w:tab w:val="right" w:pos="9638" w:leader="dot"/>
        </w:tabs>
        <w:spacing w:after="110"/>
      </w:pPr>
      <w:r>
        <w:rPr>
          <w:rFonts w:ascii="Arial" w:cs="Arial" w:eastAsia="Arial" w:hAnsi="Arial"/>
          <w:b/>
          <w:bCs/>
          <w:color w:val="005EB8"/>
          <w:sz w:val="22"/>
          <w:szCs w:val="22"/>
        </w:rPr>
        <w:t xml:space="preserve">16</w:t>
      </w:r>
      <w:r>
        <w:rPr>
          <w:rFonts w:ascii="Arial" w:cs="Arial" w:eastAsia="Arial" w:hAnsi="Arial"/>
        </w:rPr>
        <w:t xml:space="preserve">	</w:t>
      </w:r>
      <w:r>
        <w:rPr>
          <w:rFonts w:ascii="Arial" w:cs="Arial" w:eastAsia="Arial" w:hAnsi="Arial"/>
          <w:b/>
          <w:bCs/>
          <w:color w:val="000000"/>
          <w:sz w:val="22"/>
          <w:szCs w:val="22"/>
        </w:rPr>
        <w:t xml:space="preserve">Peta jalan terintegrasi</w:t>
      </w:r>
      <w:r>
        <w:rPr>
          <w:rFonts w:ascii="Arial" w:cs="Arial" w:eastAsia="Arial" w:hAnsi="Arial"/>
          <w:b/>
          <w:bCs/>
          <w:color w:val="00338D"/>
          <w:sz w:val="22"/>
          <w:szCs w:val="22"/>
        </w:rPr>
        <w:t xml:space="preserve">	69</w:t>
      </w:r>
    </w:p>
    <w:p>
      <w:pPr>
        <w:tabs>
          <w:tab w:val="left" w:pos="680"/>
          <w:tab w:val="right" w:pos="9638" w:leader="dot"/>
        </w:tabs>
        <w:spacing w:after="110"/>
      </w:pPr>
      <w:r>
        <w:rPr>
          <w:rFonts w:ascii="Arial" w:cs="Arial" w:eastAsia="Arial" w:hAnsi="Arial"/>
          <w:b/>
          <w:bCs/>
          <w:color w:val="005EB8"/>
          <w:sz w:val="22"/>
          <w:szCs w:val="22"/>
        </w:rPr>
        <w:t xml:space="preserve">17</w:t>
      </w:r>
      <w:r>
        <w:rPr>
          <w:rFonts w:ascii="Arial" w:cs="Arial" w:eastAsia="Arial" w:hAnsi="Arial"/>
        </w:rPr>
        <w:t xml:space="preserve">	</w:t>
      </w:r>
      <w:r>
        <w:rPr>
          <w:rFonts w:ascii="Arial" w:cs="Arial" w:eastAsia="Arial" w:hAnsi="Arial"/>
          <w:b/>
          <w:bCs/>
          <w:color w:val="000000"/>
          <w:sz w:val="22"/>
          <w:szCs w:val="22"/>
        </w:rPr>
        <w:t xml:space="preserve">Rekomendasi per pemangku kepentingan</w:t>
      </w:r>
      <w:r>
        <w:rPr>
          <w:rFonts w:ascii="Arial" w:cs="Arial" w:eastAsia="Arial" w:hAnsi="Arial"/>
          <w:b/>
          <w:bCs/>
          <w:color w:val="00338D"/>
          <w:sz w:val="22"/>
          <w:szCs w:val="22"/>
        </w:rPr>
        <w:t xml:space="preserve">	71</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A: Kamus metrik</w:t>
      </w:r>
      <w:r>
        <w:rPr>
          <w:rFonts w:ascii="Arial" w:cs="Arial" w:eastAsia="Arial" w:hAnsi="Arial"/>
          <w:b/>
          <w:bCs/>
          <w:color w:val="00338D"/>
          <w:sz w:val="22"/>
          <w:szCs w:val="22"/>
        </w:rPr>
        <w:t xml:space="preserve">	73</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B: Ketidaksesuaian dalam dokumen sumber</w:t>
      </w:r>
      <w:r>
        <w:rPr>
          <w:rFonts w:ascii="Arial" w:cs="Arial" w:eastAsia="Arial" w:hAnsi="Arial"/>
          <w:b/>
          <w:bCs/>
          <w:color w:val="00338D"/>
          <w:sz w:val="22"/>
          <w:szCs w:val="22"/>
        </w:rPr>
        <w:t xml:space="preserve">	76</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C: Perhitungan</w:t>
      </w:r>
      <w:r>
        <w:rPr>
          <w:rFonts w:ascii="Arial" w:cs="Arial" w:eastAsia="Arial" w:hAnsi="Arial"/>
          <w:b/>
          <w:bCs/>
          <w:color w:val="00338D"/>
          <w:sz w:val="22"/>
          <w:szCs w:val="22"/>
        </w:rPr>
        <w:t xml:space="preserve">	77</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D: Glosarium</w:t>
      </w:r>
      <w:r>
        <w:rPr>
          <w:rFonts w:ascii="Arial" w:cs="Arial" w:eastAsia="Arial" w:hAnsi="Arial"/>
          <w:b/>
          <w:bCs/>
          <w:color w:val="00338D"/>
          <w:sz w:val="22"/>
          <w:szCs w:val="22"/>
        </w:rPr>
        <w:t xml:space="preserve">	79</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E: Referensi</w:t>
      </w:r>
      <w:r>
        <w:rPr>
          <w:rFonts w:ascii="Arial" w:cs="Arial" w:eastAsia="Arial" w:hAnsi="Arial"/>
          <w:b/>
          <w:bCs/>
          <w:color w:val="00338D"/>
          <w:sz w:val="22"/>
          <w:szCs w:val="22"/>
        </w:rPr>
        <w:t xml:space="preserve">	82</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01</w:t>
            </w:r>
          </w:p>
          <w:p>
            <w:pPr>
              <w:pStyle w:val="Heading1"/>
              <w:spacing w:after="100"/>
            </w:pPr>
            <w:r>
              <w:rPr>
                <w:rFonts w:ascii="Arial" w:cs="Arial" w:eastAsia="Arial" w:hAnsi="Arial"/>
                <w:b/>
                <w:bCs/>
                <w:color w:val="FFFFFF"/>
                <w:sz w:val="40"/>
                <w:szCs w:val="40"/>
              </w:rPr>
              <w:t xml:space="preserve">Ringkasan eksekutif</w:t>
            </w:r>
          </w:p>
          <w:p>
            <w:pPr>
              <w:spacing w:after="0" w:line="276"/>
            </w:pPr>
            <w:r>
              <w:rPr>
                <w:rFonts w:ascii="Arial" w:cs="Arial" w:eastAsia="Arial" w:hAnsi="Arial"/>
                <w:color w:val="FFFFFF"/>
                <w:sz w:val="20"/>
                <w:szCs w:val="20"/>
              </w:rPr>
              <w:t xml:space="preserve">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 Jawaban dalam satu halaman</w:t>
      </w:r>
    </w:p>
    <w:p>
      <w:pPr>
        <w:spacing w:after="100" w:before="0" w:line="258"/>
        <w:jc w:val="left"/>
      </w:pPr>
      <w:r>
        <w:rPr>
          <w:rFonts w:ascii="Arial" w:cs="Arial" w:eastAsia="Arial" w:hAnsi="Arial"/>
          <w:color w:val="000000"/>
          <w:sz w:val="19"/>
          <w:szCs w:val="19"/>
        </w:rPr>
        <w:t xml:space="preserve">Kegiatan Danantara yang terlihat hingga saat ini lebih berat pada </w:t>
      </w:r>
      <w:r>
        <w:rPr>
          <w:rFonts w:ascii="Arial" w:cs="Arial" w:eastAsia="Arial" w:hAnsi="Arial"/>
          <w:b/>
          <w:bCs/>
          <w:color w:val="000000"/>
          <w:sz w:val="19"/>
          <w:szCs w:val="19"/>
        </w:rPr>
        <w:t xml:space="preserve">investasi keuangan dan konsolidasi aset</w:t>
      </w:r>
      <w:r>
        <w:rPr>
          <w:rFonts w:ascii="Arial" w:cs="Arial" w:eastAsia="Arial" w:hAnsi="Arial"/>
          <w:color w:val="000000"/>
          <w:sz w:val="19"/>
          <w:szCs w:val="19"/>
        </w:rPr>
        <w:t xml:space="preserve">. Mandatnya untuk mendorong </w:t>
      </w:r>
      <w:r>
        <w:rPr>
          <w:rFonts w:ascii="Arial" w:cs="Arial" w:eastAsia="Arial" w:hAnsi="Arial"/>
          <w:b/>
          <w:bCs/>
          <w:color w:val="000000"/>
          <w:sz w:val="19"/>
          <w:szCs w:val="19"/>
        </w:rPr>
        <w:t xml:space="preserve">industrialisasi nasional</w:t>
      </w:r>
      <w:r>
        <w:rPr>
          <w:rFonts w:ascii="Arial" w:cs="Arial" w:eastAsia="Arial" w:hAnsi="Arial"/>
          <w:color w:val="000000"/>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w:t>
      </w:r>
    </w:p>
    <w:p>
      <w:pPr>
        <w:spacing w:after="100" w:before="0" w:line="258"/>
        <w:jc w:val="left"/>
      </w:pPr>
      <w:r>
        <w:rPr>
          <w:rFonts w:ascii="Arial" w:cs="Arial" w:eastAsia="Arial" w:hAnsi="Arial"/>
          <w:color w:val="000000"/>
          <w:sz w:val="19"/>
          <w:szCs w:val="19"/>
        </w:rPr>
        <w:t xml:space="preserve">Kami merekomendasikan agar Danantara memosisikan ulang dirinya sebagai </w:t>
      </w:r>
      <w:r>
        <w:rPr>
          <w:rFonts w:ascii="Arial" w:cs="Arial" w:eastAsia="Arial" w:hAnsi="Arial"/>
          <w:b/>
          <w:bCs/>
          <w:color w:val="000000"/>
          <w:sz w:val="19"/>
          <w:szCs w:val="19"/>
        </w:rPr>
        <w:t xml:space="preserve">Platform Kapabilitas Industri Nasional</w:t>
      </w:r>
      <w:r>
        <w:rPr>
          <w:rFonts w:ascii="Arial" w:cs="Arial" w:eastAsia="Arial" w:hAnsi="Arial"/>
          <w:color w:val="000000"/>
          <w:sz w:val="19"/>
          <w:szCs w:val="19"/>
        </w:rPr>
        <w:t xml:space="preserve">. Dalam model tersebut:</w:t>
      </w:r>
    </w:p>
    <w:p>
      <w:pPr>
        <w:pStyle w:val="ListParagraph"/>
        <w:numPr>
          <w:ilvl w:val="0"/>
          <w:numId w:val="2"/>
        </w:numPr>
        <w:spacing w:after="60" w:line="264"/>
      </w:pPr>
      <w:r>
        <w:rPr>
          <w:rFonts w:ascii="Arial" w:cs="Arial" w:eastAsia="Arial" w:hAnsi="Arial"/>
          <w:sz w:val="19"/>
          <w:szCs w:val="19"/>
        </w:rPr>
        <w:t xml:space="preserve">proyek strategis nasional menjadi </w:t>
      </w:r>
      <w:r>
        <w:rPr>
          <w:rFonts w:ascii="Arial" w:cs="Arial" w:eastAsia="Arial" w:hAnsi="Arial"/>
          <w:b/>
          <w:bCs/>
          <w:sz w:val="19"/>
          <w:szCs w:val="19"/>
        </w:rPr>
        <w:t xml:space="preserve">mesin permintaan (demand engine)</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sz w:val="19"/>
          <w:szCs w:val="19"/>
        </w:rPr>
        <w:t xml:space="preserve">skema </w:t>
      </w:r>
      <w:r>
        <w:rPr>
          <w:rFonts w:ascii="Arial" w:cs="Arial" w:eastAsia="Arial" w:hAnsi="Arial"/>
          <w:b/>
          <w:bCs/>
          <w:sz w:val="19"/>
          <w:szCs w:val="19"/>
        </w:rPr>
        <w:t xml:space="preserve">DOCK-UP</w:t>
      </w:r>
      <w:r>
        <w:rPr>
          <w:rFonts w:ascii="Arial" w:cs="Arial" w:eastAsia="Arial" w:hAnsi="Arial"/>
          <w:sz w:val="19"/>
          <w:szCs w:val="19"/>
        </w:rPr>
        <w:t xml:space="preserve"> (Develop, Off-taker, Certification, Upgrading) mengubah permintaan tersebut menjadi pemasok dalam negeri yang memenuhi kualifikasi;</w:t>
      </w:r>
    </w:p>
    <w:p>
      <w:pPr>
        <w:pStyle w:val="ListParagraph"/>
        <w:numPr>
          <w:ilvl w:val="0"/>
          <w:numId w:val="2"/>
        </w:numPr>
        <w:spacing w:after="60" w:line="264"/>
      </w:pPr>
      <w:r>
        <w:rPr>
          <w:rFonts w:ascii="Arial" w:cs="Arial" w:eastAsia="Arial" w:hAnsi="Arial"/>
          <w:sz w:val="19"/>
          <w:szCs w:val="19"/>
        </w:rPr>
        <w:t xml:space="preserve">sebuah </w:t>
      </w:r>
      <w:r>
        <w:rPr>
          <w:rFonts w:ascii="Arial" w:cs="Arial" w:eastAsia="Arial" w:hAnsi="Arial"/>
          <w:b/>
          <w:bCs/>
          <w:sz w:val="19"/>
          <w:szCs w:val="19"/>
        </w:rPr>
        <w:t xml:space="preserve">unit Industri Strategis dan Pelaksanaan Proyek</w:t>
      </w:r>
      <w:r>
        <w:rPr>
          <w:rFonts w:ascii="Arial" w:cs="Arial" w:eastAsia="Arial" w:hAnsi="Arial"/>
          <w:sz w:val="19"/>
          <w:szCs w:val="19"/>
        </w:rPr>
        <w:t xml:space="preserve"> yang ramping di tingkat Badan Pelaksana Danantara mengintegrasikan portofolio. Unit ini menjalankan konsep National Industrial Transformation Office (NITO);</w:t>
      </w:r>
    </w:p>
    <w:p>
      <w:pPr>
        <w:pStyle w:val="ListParagraph"/>
        <w:numPr>
          <w:ilvl w:val="0"/>
          <w:numId w:val="2"/>
        </w:numPr>
        <w:spacing w:after="60" w:line="264"/>
      </w:pPr>
      <w:r>
        <w:rPr>
          <w:rFonts w:ascii="Arial" w:cs="Arial" w:eastAsia="Arial" w:hAnsi="Arial"/>
          <w:b/>
          <w:bCs/>
          <w:sz w:val="19"/>
          <w:szCs w:val="19"/>
        </w:rPr>
        <w:t xml:space="preserve">tiga scorecard yang saling terkait</w:t>
      </w:r>
      <w:r>
        <w:rPr>
          <w:rFonts w:ascii="Arial" w:cs="Arial" w:eastAsia="Arial" w:hAnsi="Arial"/>
          <w:sz w:val="19"/>
          <w:szCs w:val="19"/>
        </w:rPr>
        <w:t xml:space="preserve"> mengukur apakah modal menghasilkan imbal hasil keuangan, perusahaan yang lebih kuat, dan kapabilitas industri tambahan [D1, D2, D3, D4].</w:t>
      </w:r>
    </w:p>
    <w:p>
      <w:pPr>
        <w:spacing w:after="100" w:before="0" w:line="258"/>
        <w:jc w:val="left"/>
      </w:pPr>
      <w:r>
        <w:rPr>
          <w:rFonts w:ascii="Arial" w:cs="Arial" w:eastAsia="Arial" w:hAnsi="Arial"/>
          <w:color w:val="000000"/>
          <w:sz w:val="19"/>
          <w:szCs w:val="19"/>
        </w:rPr>
        <w:t xml:space="preserve">Platform ini sebaiknya dibiayai melalui dua saluran yang saling melengkapi:</w:t>
      </w:r>
    </w:p>
    <w:p>
      <w:pPr>
        <w:pStyle w:val="ListParagraph"/>
        <w:numPr>
          <w:ilvl w:val="0"/>
          <w:numId w:val="2"/>
        </w:numPr>
        <w:spacing w:after="60" w:line="264"/>
      </w:pPr>
      <w:r>
        <w:rPr>
          <w:rFonts w:ascii="Arial" w:cs="Arial" w:eastAsia="Arial" w:hAnsi="Arial"/>
          <w:b/>
          <w:bCs/>
          <w:sz w:val="19"/>
          <w:szCs w:val="19"/>
        </w:rPr>
        <w:t xml:space="preserve">Natural Resource Fund (NRF) / Dana Sumber Daya Alam</w:t>
      </w:r>
      <w:r>
        <w:rPr>
          <w:rFonts w:ascii="Arial" w:cs="Arial" w:eastAsia="Arial" w:hAnsi="Arial"/>
          <w:sz w:val="19"/>
          <w:szCs w:val="19"/>
        </w:rPr>
        <w:t xml:space="preserve"> memobilisasi modal jangka panjang dari bagian negara atas kekayaan sumber daya alam, di tingkat dana.</w:t>
      </w:r>
    </w:p>
    <w:p>
      <w:pPr>
        <w:pStyle w:val="ListParagraph"/>
        <w:numPr>
          <w:ilvl w:val="0"/>
          <w:numId w:val="2"/>
        </w:numPr>
        <w:spacing w:after="60" w:line="264"/>
      </w:pPr>
      <w:r>
        <w:rPr>
          <w:rFonts w:ascii="Arial" w:cs="Arial" w:eastAsia="Arial" w:hAnsi="Arial"/>
          <w:b/>
          <w:bCs/>
          <w:sz w:val="19"/>
          <w:szCs w:val="19"/>
        </w:rPr>
        <w:t xml:space="preserve">Tokenisasi proyek berdaulat</w:t>
      </w:r>
      <w:r>
        <w:rPr>
          <w:rFonts w:ascii="Arial" w:cs="Arial" w:eastAsia="Arial" w:hAnsi="Arial"/>
          <w:sz w:val="19"/>
          <w:szCs w:val="19"/>
        </w:rPr>
        <w:t xml:space="preserve">, yang akan diuji terlebih dahulu melalui usulan PALCapital dari PT PAL, menyalurkan modal ke proyek dan pemasok secara individual berdasarkan tonggak capaian yang terverifikasi.</w:t>
      </w:r>
    </w:p>
    <w:p>
      <w:pPr>
        <w:spacing w:after="100" w:before="0" w:line="258"/>
        <w:jc w:val="left"/>
      </w:pPr>
      <w:r>
        <w:rPr>
          <w:rFonts w:ascii="Arial" w:cs="Arial" w:eastAsia="Arial" w:hAnsi="Arial"/>
          <w:color w:val="000000"/>
          <w:sz w:val="19"/>
          <w:szCs w:val="19"/>
        </w:rPr>
        <w:t xml:space="preserve">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jauh di bawah sepersepuluh dari nilai portofolio yang dinyatakan sebesar Rp2.091 triliun. Sebagian besar pendanaan harus berasal dari utang tingkat proyek dan mitra ko-investasi yang dimobilisasi dengan dasar ekuitas Danantara (Bagian 10.3).</w:t>
      </w:r>
    </w:p>
    <w:p>
      <w:pPr>
        <w:spacing w:after="100" w:before="0" w:line="258"/>
        <w:jc w:val="left"/>
      </w:pPr>
      <w:r>
        <w:rPr>
          <w:rFonts w:ascii="Arial" w:cs="Arial" w:eastAsia="Arial" w:hAnsi="Arial"/>
          <w:color w:val="000000"/>
          <w:sz w:val="19"/>
          <w:szCs w:val="19"/>
        </w:rPr>
        <w:t xml:space="preserve">Dua reformasi operasional harus berjalan paralel:</w:t>
      </w:r>
    </w:p>
    <w:p>
      <w:pPr>
        <w:pStyle w:val="ListParagraph"/>
        <w:numPr>
          <w:ilvl w:val="0"/>
          <w:numId w:val="2"/>
        </w:numPr>
        <w:spacing w:after="60" w:line="264"/>
      </w:pPr>
      <w:r>
        <w:rPr>
          <w:rFonts w:ascii="Arial" w:cs="Arial" w:eastAsia="Arial" w:hAnsi="Arial"/>
          <w:b/>
          <w:bCs/>
          <w:sz w:val="19"/>
          <w:szCs w:val="19"/>
        </w:rPr>
        <w:t xml:space="preserve">BUMN Karya</w:t>
      </w:r>
      <w:r>
        <w:rPr>
          <w:rFonts w:ascii="Arial" w:cs="Arial" w:eastAsia="Arial" w:hAnsi="Arial"/>
          <w:sz w:val="19"/>
          <w:szCs w:val="19"/>
        </w:rPr>
        <w:t xml:space="preserve"> harus kembali ke model kontraktor yang disiplin, setelah estimasi kerugian 2025 sekitar </w:t>
      </w:r>
      <w:r>
        <w:rPr>
          <w:rFonts w:ascii="Arial" w:cs="Arial" w:eastAsia="Arial" w:hAnsi="Arial"/>
          <w:b/>
          <w:bCs/>
          <w:sz w:val="19"/>
          <w:szCs w:val="19"/>
        </w:rPr>
        <w:t xml:space="preserve">Rp28 triliun</w:t>
      </w:r>
      <w:r>
        <w:rPr>
          <w:rFonts w:ascii="Arial" w:cs="Arial" w:eastAsia="Arial" w:hAnsi="Arial"/>
          <w:sz w:val="19"/>
          <w:szCs w:val="19"/>
        </w:rPr>
        <w:t xml:space="preserve"> (estimasi yang harus digantikan dengan angka teraudit) dan penurunan anggaran infrastruktur sekitar 45% [D3].</w:t>
      </w:r>
    </w:p>
    <w:p>
      <w:pPr>
        <w:pStyle w:val="ListParagraph"/>
        <w:numPr>
          <w:ilvl w:val="0"/>
          <w:numId w:val="2"/>
        </w:numPr>
        <w:spacing w:after="60" w:line="264"/>
      </w:pPr>
      <w:r>
        <w:rPr>
          <w:rFonts w:ascii="Arial" w:cs="Arial" w:eastAsia="Arial" w:hAnsi="Arial"/>
          <w:sz w:val="19"/>
          <w:szCs w:val="19"/>
        </w:rPr>
        <w:t xml:space="preserve">Danantara sebaiknya menerapkan </w:t>
      </w:r>
      <w:r>
        <w:rPr>
          <w:rFonts w:ascii="Arial" w:cs="Arial" w:eastAsia="Arial" w:hAnsi="Arial"/>
          <w:b/>
          <w:bCs/>
          <w:sz w:val="19"/>
          <w:szCs w:val="19"/>
        </w:rPr>
        <w:t xml:space="preserve">sistem operasi proyek berbasis AI multi-agen (multi-agentic AI)</w:t>
      </w:r>
      <w:r>
        <w:rPr>
          <w:rFonts w:ascii="Arial" w:cs="Arial" w:eastAsia="Arial" w:hAnsi="Arial"/>
          <w:sz w:val="19"/>
          <w:szCs w:val="19"/>
        </w:rPr>
        <w:t xml:space="preserve">, dimulai dari BUMN Karya. Dengan demikian, setiap hasil yang diklaim dapat ditelusuri ke modal, baseline, penanggung jawab, dan buktinya [D3; D1].</w:t>
      </w:r>
    </w:p>
    <w:p>
      <w:pPr>
        <w:spacing w:after="100" w:before="0" w:line="258"/>
        <w:jc w:val="left"/>
      </w:pPr>
      <w:r>
        <w:rPr>
          <w:rFonts w:ascii="Arial" w:cs="Arial" w:eastAsia="Arial" w:hAnsi="Arial"/>
          <w:b/>
          <w:bCs/>
          <w:color w:val="000000"/>
          <w:sz w:val="19"/>
          <w:szCs w:val="19"/>
        </w:rPr>
        <w:t xml:space="preserve">Biaya jika tidak bertindak.</w:t>
      </w:r>
      <w:r>
        <w:rPr>
          <w:rFonts w:ascii="Arial" w:cs="Arial" w:eastAsia="Arial" w:hAnsi="Arial"/>
          <w:color w:val="000000"/>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Rp2.091 T</w:t>
            </w:r>
          </w:p>
          <w:p>
            <w:pPr>
              <w:spacing w:after="0" w:line="240"/>
            </w:pPr>
            <w:r>
              <w:rPr>
                <w:rFonts w:ascii="Arial" w:cs="Arial" w:eastAsia="Arial" w:hAnsi="Arial"/>
                <w:color w:val="FFFFFF"/>
                <w:sz w:val="16"/>
                <w:szCs w:val="16"/>
              </w:rPr>
              <w:t xml:space="preserve">Nilai yang dinyatakan untuk portofolio 40 proyek (kelas C, belum direkonsiliasi; tabel rinci berjumlah Rp2.073 T)</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w:t>
            </w:r>
          </w:p>
          <w:p>
            <w:pPr>
              <w:spacing w:after="0" w:line="240"/>
            </w:pPr>
            <w:r>
              <w:rPr>
                <w:rFonts w:ascii="Arial" w:cs="Arial" w:eastAsia="Arial" w:hAnsi="Arial"/>
                <w:color w:val="FFFFFF"/>
                <w:sz w:val="16"/>
                <w:szCs w:val="16"/>
              </w:rPr>
              <w:t xml:space="preserve">Estimasi kerugian 2025 empat BUMN Karya (estimasi kelas C)</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7,7%</w:t>
            </w:r>
          </w:p>
          <w:p>
            <w:pPr>
              <w:spacing w:after="0" w:line="240"/>
            </w:pPr>
            <w:r>
              <w:rPr>
                <w:rFonts w:ascii="Arial" w:cs="Arial" w:eastAsia="Arial" w:hAnsi="Arial"/>
                <w:color w:val="FFFFFF"/>
                <w:sz w:val="16"/>
                <w:szCs w:val="16"/>
              </w:rPr>
              <w:t xml:space="preserve">Rata-rata porsi sumber daya alam dalam penerimaan negara, 2015–2024 (19,3% pada 2004–2014)</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US$150 juta</w:t>
            </w:r>
          </w:p>
          <w:p>
            <w:pPr>
              <w:spacing w:after="0" w:line="240"/>
            </w:pPr>
            <w:r>
              <w:rPr>
                <w:rFonts w:ascii="Arial" w:cs="Arial" w:eastAsia="Arial" w:hAnsi="Arial"/>
                <w:color w:val="FFFFFF"/>
                <w:sz w:val="16"/>
                <w:szCs w:val="16"/>
              </w:rPr>
              <w:t xml:space="preserve">Usulan uji coba PALCapital, dicairkan dalam empat tahap berdasarkan tonggak capaian (usulan)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 Lima 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02"/>
        <w:gridCol w:w="3759"/>
        <w:gridCol w:w="2891"/>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Temuan</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Implikasi</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Akses pasar telah terbukti; hasil belum dapat diukur.</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Publikasikan neraca awal dan jembatan kinerja sebelum mengajukan klaim kinerja agregat apa pun.</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Pelaksanaan lebih berat pada konsolidasi aset dan investasi keuangan.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Manufaktur maju dan pengembangan pemasok menunjukkan kesenjangan besar; kepemilikan teknologi belum terbukti [D3 hlm. 1].</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Diperlukan mekanisme kapabilitas yang disengaja (DOCK-UP); cakupan sektor saja tidak menciptakan kapabilitas.</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Tidak ada lapisan portofolio lintas lini untuk 40 proyek strategis.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tersedia register terintegrasi yang menghubungkan 40 proyek dengan pemimpin, tahap keputusan, dan hasilnya untuk kajian ini. Tabel ringkasan dan tabel rinci berbeda Rp18,93 triliun dan alokasinya antarklaster pun berbeda [D2].</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Rekonsiliasi satu register dan tetapkan satu penanggung jawab akuntabel per proyek paling lambat Hari ke-45.</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UU 16/2012 menciptakan permintaan dalam negeri yang diwajibkan di bidang pertahanan; basis pemasok belum siap.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Alat pertahanan impor wajib disertai imbal dagang, kandungan lokal dan/atau ofset paling sedikit 85%, termasuk kandungan lokal dan/atau ofset paling sedikit 35% [D4]. D4 menemukan bahwa banyak calon UKM berada pada TRL 6–8 / MRL 3–5.</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proyek jangkar (anchor project) untuk melepas volume hanya kepada pemasok dengan kesiapan terverifikasi (Bagian 6.9).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BUMN Karya berada dalam tekanan keuangan yang berat.</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Estimasi kerugian 2025: WIKA Rp10,14 triliun, PP Rp8,0 triliun, Adhi Karya Rp5,4 triliun, Waskita Rp4,48 triliun. Anggaran infrastruktur Rp110,95 triliun → Rp61,38 triliun [D3 hlm. 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Konfirmasi dengan angka teraudit; pisahkan aset warisan; pulihkan disiplin kas; pasang sistem pengendalian proyek berbasis AI.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 Rekomendasi kami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Reposisi</w:t>
            </w:r>
          </w:p>
          <w:p>
            <w:pPr>
              <w:spacing w:after="70" w:line="250"/>
            </w:pPr>
            <w:r>
              <w:rPr>
                <w:rFonts w:ascii="Arial" w:cs="Arial" w:eastAsia="Arial" w:hAnsi="Arial"/>
                <w:b/>
                <w:bCs/>
                <w:color w:val="00338D"/>
                <w:sz w:val="19"/>
                <w:szCs w:val="19"/>
              </w:rPr>
              <w:t xml:space="preserve">Menjadi Platform Kapabilitas Industri Nasional</w:t>
            </w:r>
          </w:p>
          <w:p>
            <w:pPr>
              <w:spacing w:after="50" w:line="252"/>
            </w:pPr>
            <w:r>
              <w:rPr>
                <w:rFonts w:ascii="Arial" w:cs="Arial" w:eastAsia="Arial" w:hAnsi="Arial"/>
                <w:sz w:val="17"/>
                <w:szCs w:val="17"/>
              </w:rPr>
              <w:t xml:space="preserve">Terapkan logika bahwa modal menciptakan permintaan, permintaan mengembangkan pemasok, dan peningkatan yang terverifikasi menciptakan kapabilitas. Susun kegiatan ke dalam lima portofolio dengan ukuran keberhasilan yang berbeda (Bab 5).</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Bangun</w:t>
            </w:r>
          </w:p>
          <w:p>
            <w:pPr>
              <w:spacing w:after="70" w:line="250"/>
            </w:pPr>
            <w:r>
              <w:rPr>
                <w:rFonts w:ascii="Arial" w:cs="Arial" w:eastAsia="Arial" w:hAnsi="Arial"/>
                <w:b/>
                <w:bCs/>
                <w:color w:val="00338D"/>
                <w:sz w:val="19"/>
                <w:szCs w:val="19"/>
              </w:rPr>
              <w:t xml:space="preserve">Jadikan DOCK-UP satu-satunya skema untuk semua proyek jangkar</w:t>
            </w:r>
          </w:p>
          <w:p>
            <w:pPr>
              <w:spacing w:after="50" w:line="252"/>
            </w:pPr>
            <w:r>
              <w:rPr>
                <w:rFonts w:ascii="Arial" w:cs="Arial" w:eastAsia="Arial" w:hAnsi="Arial"/>
                <w:sz w:val="17"/>
                <w:szCs w:val="17"/>
              </w:rPr>
              <w:t xml:space="preserve">Gunakan TRL dan MRL sebagai uji masuk serta gerbang (gate) G1–G4 sebagai aturan bersama lintas integrator. Lepaskan volume pesanan hanya berdasarkan kesiapan yang terverifikasi. Lakukan uji coba dengan satu integrator, 20–30 UKM, dan 3–5 kelompok komponen (Bab 6–7).</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Biayai</w:t>
            </w:r>
          </w:p>
          <w:p>
            <w:pPr>
              <w:spacing w:after="70" w:line="250"/>
            </w:pPr>
            <w:r>
              <w:rPr>
                <w:rFonts w:ascii="Arial" w:cs="Arial" w:eastAsia="Arial" w:hAnsi="Arial"/>
                <w:b/>
                <w:bCs/>
                <w:color w:val="00338D"/>
                <w:sz w:val="19"/>
                <w:szCs w:val="19"/>
              </w:rPr>
              <w:t xml:space="preserve">Jalankan dua saluran di bawah satu disiplin pembiayaan</w:t>
            </w:r>
          </w:p>
          <w:p>
            <w:pPr>
              <w:spacing w:after="50" w:line="252"/>
            </w:pPr>
            <w:r>
              <w:rPr>
                <w:rFonts w:ascii="Arial" w:cs="Arial" w:eastAsia="Arial" w:hAnsi="Arial"/>
                <w:sz w:val="17"/>
                <w:szCs w:val="17"/>
              </w:rPr>
              <w:t xml:space="preserve">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Reformasi</w:t>
            </w:r>
          </w:p>
          <w:p>
            <w:pPr>
              <w:spacing w:after="70" w:line="250"/>
            </w:pPr>
            <w:r>
              <w:rPr>
                <w:rFonts w:ascii="Arial" w:cs="Arial" w:eastAsia="Arial" w:hAnsi="Arial"/>
                <w:b/>
                <w:bCs/>
                <w:color w:val="00338D"/>
                <w:sz w:val="19"/>
                <w:szCs w:val="19"/>
              </w:rPr>
              <w:t xml:space="preserve">Kembalikan BUMN Karya ke model kontraktor yang disiplin</w:t>
            </w:r>
          </w:p>
          <w:p>
            <w:pPr>
              <w:spacing w:after="50" w:line="252"/>
            </w:pPr>
            <w:r>
              <w:rPr>
                <w:rFonts w:ascii="Arial" w:cs="Arial" w:eastAsia="Arial" w:hAnsi="Arial"/>
                <w:sz w:val="17"/>
                <w:szCs w:val="17"/>
              </w:rPr>
              <w:t xml:space="preserve">Lakukan diagnosis dengan data teraudit, lalu pisahkan konsesi warisan ke dalam wahana aset. Ikuti tender secara selektif. Lindungi kas sepanjang siklus dari uang muka hingga penagihan (Bab 11).</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Digitalisasi</w:t>
            </w:r>
          </w:p>
          <w:p>
            <w:pPr>
              <w:spacing w:after="70" w:line="250"/>
            </w:pPr>
            <w:r>
              <w:rPr>
                <w:rFonts w:ascii="Arial" w:cs="Arial" w:eastAsia="Arial" w:hAnsi="Arial"/>
                <w:b/>
                <w:bCs/>
                <w:color w:val="00338D"/>
                <w:sz w:val="19"/>
                <w:szCs w:val="19"/>
              </w:rPr>
              <w:t xml:space="preserve">Terapkan sistem operasi proyek berbasis AI multi-agen</w:t>
            </w:r>
          </w:p>
          <w:p>
            <w:pPr>
              <w:spacing w:after="50" w:line="252"/>
            </w:pPr>
            <w:r>
              <w:rPr>
                <w:rFonts w:ascii="Arial" w:cs="Arial" w:eastAsia="Arial" w:hAnsi="Arial"/>
                <w:sz w:val="17"/>
                <w:szCs w:val="17"/>
              </w:rPr>
              <w:t xml:space="preserve">MVP tiga bulan dengan enam agen prioritas yang terintegrasi secara baca-saja (read-only) dengan ERP yang ada, termasuk agen bid/no-bid. Uji coba pada 2–3 proyek, lalu perluas dengan pola hub-and-spoke ke seluruh BUMN (Bab 12).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Tata kelola</w:t>
            </w:r>
          </w:p>
          <w:p>
            <w:pPr>
              <w:spacing w:after="70" w:line="250"/>
            </w:pPr>
            <w:r>
              <w:rPr>
                <w:rFonts w:ascii="Arial" w:cs="Arial" w:eastAsia="Arial" w:hAnsi="Arial"/>
                <w:b/>
                <w:bCs/>
                <w:color w:val="00338D"/>
                <w:sz w:val="19"/>
                <w:szCs w:val="19"/>
              </w:rPr>
              <w:t xml:space="preserve">Urutan: mulai dengan sebuah unit, putuskan posisi formal berdasarkan bukti</w:t>
            </w:r>
          </w:p>
          <w:p>
            <w:pPr>
              <w:spacing w:after="50" w:line="252"/>
            </w:pPr>
            <w:r>
              <w:rPr>
                <w:rFonts w:ascii="Arial" w:cs="Arial" w:eastAsia="Arial" w:hAnsi="Arial"/>
                <w:sz w:val="17"/>
                <w:szCs w:val="17"/>
              </w:rPr>
              <w:t xml:space="preserve">Bentuk unit Industri Strategis dan Pelaksanaan Proyek dan uji selama 90 hari. Tinjau posisi formal di Badan Pelaksana paling cepat pada bulan ke-12, berdasarkan kriteria yang disepakati (Bab 13).</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1.4 Keputusan yang dimohonkan</w:t>
      </w:r>
    </w:p>
    <w:p>
      <w:pPr>
        <w:spacing w:after="100" w:before="0" w:line="258"/>
        <w:jc w:val="left"/>
      </w:pPr>
      <w:r>
        <w:rPr>
          <w:rFonts w:ascii="Arial" w:cs="Arial" w:eastAsia="Arial" w:hAnsi="Arial"/>
          <w:color w:val="000000"/>
          <w:sz w:val="19"/>
          <w:szCs w:val="19"/>
        </w:rPr>
        <w:t xml:space="preserve">Hari ke-0 adalah tanggal Kepala Badan Pelaksana menyetujui model platform secara prinsip. Seluruh jadwal dalam laporan ini dihitung sejak Hari ke-0, kecuali disebutkan tanggal kalender.</w:t>
      </w:r>
    </w:p>
    <w:p>
      <w:pPr>
        <w:pStyle w:val="Heading3"/>
        <w:keepNext/>
        <w:keepLines/>
        <w:spacing w:after="80" w:before="200"/>
      </w:pPr>
      <w:r>
        <w:rPr>
          <w:rFonts w:ascii="Arial" w:cs="Arial" w:eastAsia="Arial" w:hAnsi="Arial"/>
          <w:b/>
          <w:bCs/>
          <w:color w:val="005EB8"/>
          <w:sz w:val="22"/>
          <w:szCs w:val="22"/>
        </w:rPr>
        <w:t xml:space="preserve">(a) Keputusan dalam kewenangan Danantara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Keputusan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Pengambil keputusan</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Menyetujui secara prinsip model Platform Kapabilitas Industri Nasional dan unit Industri Strategis dan Pelaksanaan Proyek, dengan piagam yang tidak memberikan kewenangan persetujuan umum</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 Dewan Pengawas diberi informasi</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Menyetujui register 40 proyek yang telah direkonsiliasi sebagai satu-satunya penyebut untuk seluruh pelaporan (CFO sebagai penanggung jawab sementara hingga unit terisi personel)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ke-45</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Menetapkan gerbang DOCK-UP G1–G4 dan desain uji coba, berkoordinasi dengan KKIP, Kementerian Pertahanan, dan satu integrator; uji coba dimulai pada bulan ke-4</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 direksi integrator untuk kontraknya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ke-60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Menugaskan diagnostik atas empat BUMN Karya menggunakan data TB2025 teraudit</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 DAM bersama direksi BUMN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Mulai Hari ke-30; laporan 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Meluncurkan MVP AI tiga bulan (uji coba berjalan sekitar Hari ke-120)</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 DAM; direksi BUMN sponsor</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Mulai Hari ke-30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Menetapkan kerangka tiga scorecard dengan perlakuan NR, aturan cakupan 80%, dan gerbang</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Dewan Pengawas, atas usulan Kepala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Mengonfirmasi atau menyesuaikan desain unit berdasarkan waktu keputusan dan hambatan yang terukur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Menyetujui uji coba PALCapital Tahap 1 hanya setelah keenam prasyarat tersertifikasi (Bagian 9.5)</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Komite investasi DIM; organ PT PAL; dalam proses sandbox OJK</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Bergantung pada syarat; paling cepat Triwulan I 2027</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 Usulan untuk pertimbangan Pemerintah dan regulator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Diajukan oleh Danantara kepada</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 pengajuan oleh Danantara</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kajian hukum, valuasi, dan fiskal atas konsep NRF mendahului desain instrumen apa pun (Bab 8)</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Pemerintah, melalui saluran yang sesuai</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instrumen berbasis sumber daya alam dan berbasis tagihan diklasifikasikan menurut substansinya dalam pelaporan risiko fiskal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Kementerian Keuangan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prosedur persetujuan ditetapkan untuk pengalihan tagihan kontrak negara ke rekening escrow (rekening penampungan) berbasis tonggak capaian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Kementerian Keuangan dan Kementerian Pertahanan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Sebelum persetujuan PALCapital</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Agar gerbang DOCK-UP dimuat dalam kontrak kerangka dan kontrak ofset untuk program pertahanan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Kementerian Pertahanan dan KKIP</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Hari ke-60</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1.5 Sumber daya yang dimohonkan dan wujud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397"/>
        <w:gridCol w:w="2506"/>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 daya</w:t>
            </w:r>
          </w:p>
        </w:tc>
        <w:tc>
          <w:tcPr>
            <w:tcW w:type="dxa" w:w="539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Skala (usulan)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Dasar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Staf unit</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unit, tiga MD, dan empat pemimpin klaster, pada awalnya melalui penugasan (secondment)</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13.3</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Uji coba DOCK-UP</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Kumpulan asesor, 5–8 insinyur pendamping, hibah pendamping (matching grant), ko-pendanaan C1–C3, dan kapasitas penjaminan kerugian pertama (first-loss) untuk 20–30 UKM</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6.9</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MVP AI</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14 staf teknis dan 6–8 pakar bisnis selama tiga bulan; server GPU dan data atau kapasitas cloud berdaulat yang setara</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12.6</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Kajian NRF</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Penasihat independen di bidang hukum, valuasi cadangan, dan fiskal</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Bagian 8.8</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Penanda</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 bulan ke-12</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 bulan ke-24</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Register dan scorecard</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telah direkonsiliasi; scorecard triwulanan pertama dengan cakupan ≥ 80% pada sekurang-kurangnya satu aliran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Laporan portofolio tahunan dipublikasikan; ketiga aliran dapat dinilai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DOCK-UP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Pesanan G1 pertama telah ditempatkan (uji coba dimulai bulan ke-4)</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60% UKM uji coba pada G1 dan ≥ 25% pada G2; integrator kedua telah diputuskan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Karya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Diagnostik teraudit selesai; rencana aset warisan disetujui; disiplin tender berlaku</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Konversi kas operasional positif pada sekurang-kurangnya dua perusahaan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Platform AI</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MVP telah dievaluasi; Tahap 2 berjalan di 2–3 BUMN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BUMN Karya terhubung; manfaat bersih diverifikasi secara independen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Pembiayaan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NRF Tahap 0 selesai jika Pemerintah melanjutkan; keputusan uji coba PALCapital diambil berdasarkan enam prasyarat</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Investor institusional dalam negeri pertama pada surat utang proyek</w:t>
            </w:r>
          </w:p>
        </w:tc>
      </w:tr>
    </w:tbl>
    <w:p>
      <w:pPr>
        <w:keepNext w:val="false"/>
        <w:spacing w:after="140"/>
      </w:pPr>
    </w:p>
    <w:p>
      <w:pPr>
        <w:spacing w:after="80" w:before="0" w:line="258"/>
        <w:jc w:val="left"/>
      </w:pPr>
      <w:r>
        <w:rPr>
          <w:rFonts w:ascii="Arial" w:cs="Arial" w:eastAsia="Arial" w:hAnsi="Arial"/>
          <w:color w:val="000000"/>
          <w:sz w:val="16"/>
          <w:szCs w:val="16"/>
        </w:rPr>
        <w:t xml:space="preserve">Penanda merupakan usulan yang akan dikonfirmasi setelah baseline ditetapkan.</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02</w:t>
            </w:r>
          </w:p>
          <w:p>
            <w:pPr>
              <w:pStyle w:val="Heading1"/>
              <w:spacing w:after="100"/>
            </w:pPr>
            <w:r>
              <w:rPr>
                <w:rFonts w:ascii="Arial" w:cs="Arial" w:eastAsia="Arial" w:hAnsi="Arial"/>
                <w:b/>
                <w:bCs/>
                <w:color w:val="FFFFFF"/>
                <w:sz w:val="40"/>
                <w:szCs w:val="40"/>
              </w:rPr>
              <w:t xml:space="preserve">Pendahuluan, ruang lingkup, dan pendekatan</w:t>
            </w:r>
          </w:p>
          <w:p>
            <w:pPr>
              <w:spacing w:after="0" w:line="276"/>
            </w:pPr>
            <w:r>
              <w:rPr>
                <w:rFonts w:ascii="Arial" w:cs="Arial" w:eastAsia="Arial" w:hAnsi="Arial"/>
                <w:color w:val="FFFFFF"/>
                <w:sz w:val="20"/>
                <w:szCs w:val="20"/>
              </w:rPr>
              <w:t xml:space="preserve">Alasan kajian ini disusun, cakupannya, dan cara bukti diperlakukan.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2.1 Tujuan</w:t>
      </w:r>
    </w:p>
    <w:p>
      <w:pPr>
        <w:spacing w:after="100" w:before="0" w:line="258"/>
        <w:jc w:val="left"/>
      </w:pPr>
      <w:r>
        <w:rPr>
          <w:rFonts w:ascii="Arial" w:cs="Arial" w:eastAsia="Arial" w:hAnsi="Arial"/>
          <w:color w:val="000000"/>
          <w:sz w:val="19"/>
          <w:szCs w:val="19"/>
        </w:rPr>
        <w:t xml:space="preserve">Kajian ini disusun oleh salah satu anggota Komite Pengarah (Steering Committee) Danantara untuk memberikan pandangan independen kepada para pemangku kepentingan mengenai kondisi dan kinerja Danantara saat ini, serta untuk merekomendasikan cara Danantara memenuhi harapan bahwa Danantara akan </w:t>
      </w:r>
      <w:r>
        <w:rPr>
          <w:rFonts w:ascii="Arial" w:cs="Arial" w:eastAsia="Arial" w:hAnsi="Arial"/>
          <w:b/>
          <w:bCs/>
          <w:color w:val="000000"/>
          <w:sz w:val="19"/>
          <w:szCs w:val="19"/>
        </w:rPr>
        <w:t xml:space="preserve">meningkatkan kapabilitas industri strategis nasional</w:t>
      </w:r>
      <w:r>
        <w:rPr>
          <w:rFonts w:ascii="Arial" w:cs="Arial" w:eastAsia="Arial" w:hAnsi="Arial"/>
          <w:color w:val="000000"/>
          <w:sz w:val="19"/>
          <w:szCs w:val="19"/>
        </w:rPr>
        <w:t xml:space="preserve"> dan </w:t>
      </w:r>
      <w:r>
        <w:rPr>
          <w:rFonts w:ascii="Arial" w:cs="Arial" w:eastAsia="Arial" w:hAnsi="Arial"/>
          <w:b/>
          <w:bCs/>
          <w:color w:val="000000"/>
          <w:sz w:val="19"/>
          <w:szCs w:val="19"/>
        </w:rPr>
        <w:t xml:space="preserve">berkontribusi secara terukur terhadap indikator ekonomi dan kesejahteraan sosial</w:t>
      </w:r>
      <w:r>
        <w:rPr>
          <w:rFonts w:ascii="Arial" w:cs="Arial" w:eastAsia="Arial" w:hAnsi="Arial"/>
          <w:color w:val="000000"/>
          <w:sz w:val="19"/>
          <w:szCs w:val="19"/>
        </w:rPr>
        <w:t xml:space="preserve">.</w:t>
      </w:r>
    </w:p>
    <w:p>
      <w:pPr>
        <w:spacing w:after="100" w:before="0" w:line="258"/>
        <w:jc w:val="left"/>
      </w:pPr>
      <w:r>
        <w:rPr>
          <w:rFonts w:ascii="Arial" w:cs="Arial" w:eastAsia="Arial" w:hAnsi="Arial"/>
          <w:color w:val="000000"/>
          <w:sz w:val="19"/>
          <w:szCs w:val="19"/>
        </w:rPr>
        <w:t xml:space="preserve">Kajian ini bersifat konsultatif. Kajian ini tidak memiliki kewenangan keputusan, dan rekomendasinya baru berlaku melalui keputusan organ Danantara yang berwenang dan, bila relevan, Pemerintah.</w:t>
      </w:r>
    </w:p>
    <w:p>
      <w:pPr>
        <w:pStyle w:val="Heading2"/>
        <w:keepNext/>
        <w:keepLines/>
        <w:spacing w:after="120" w:before="280"/>
      </w:pPr>
      <w:r>
        <w:rPr>
          <w:rFonts w:ascii="Arial" w:cs="Arial" w:eastAsia="Arial" w:hAnsi="Arial"/>
          <w:b/>
          <w:bCs/>
          <w:color w:val="00338D"/>
          <w:sz w:val="28"/>
          <w:szCs w:val="28"/>
        </w:rPr>
        <w:t xml:space="preserve">2.2 Pertanyaan yang dijawab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6747"/>
        <w:gridCol w:w="2409"/>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dari kerangka acuan</w:t>
            </w:r>
          </w:p>
        </w:tc>
        <w:tc>
          <w:tcPr>
            <w:tcW w:type="dxa" w:w="240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Tempat jawaban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kondisi dan kinerja Danantara saat ini?</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3 dan 4</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 yang diharapkan dihasilkan Danantara bagi industri strategis, perekonomian, dan masyarakat, dan bagaimana hal itu seharusnya diukur?</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5 dan 14</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kerangka DOCK-UP dapat meningkatkan industri nasional, dengan menggunakan proyek jangkar di bidang mineral, infrastruktur, maritim, pertahanan, dan industri lainnya?</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6 dan 7</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proyek seharusnya didanai melalui (a) Natural Resource Fund dan (b) tokenisasi proyek berdaulat?</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8, 9, dan 10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kondisi BUMN Karya, dan bagaimana manajemen bisnisnya dapat diperbaiki dengan AI multi-agen?</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11 dan 12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Organisasi, tata kelola, pengendalian risiko, dan peta jalan apa yang diperlukan untuk melaksanakan hal-hal di atas?</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Bab 13, 15, 16, dan 17</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2.3 Dokumen sumber</w:t>
      </w:r>
    </w:p>
    <w:p>
      <w:pPr>
        <w:spacing w:after="100" w:before="0" w:line="258"/>
        <w:jc w:val="left"/>
      </w:pPr>
      <w:r>
        <w:rPr>
          <w:rFonts w:ascii="Arial" w:cs="Arial" w:eastAsia="Arial" w:hAnsi="Arial"/>
          <w:color w:val="000000"/>
          <w:sz w:val="19"/>
          <w:szCs w:val="19"/>
        </w:rPr>
        <w:t xml:space="preserve">Kajian ini bertumpu pada enam dokumen sumber yang disediakan untuk kajian ini. Dokumen tersebut dikutip dalam tanda kurung siku di seluruh laporan. Setiap sumber mengutip rujukannya sendiri; apabila kami bertumpu pada salah satu rujukan tersebut, kami mengutipnya, misalnya, sebagai [D1/S05].</w:t>
      </w:r>
    </w:p>
    <w:p>
      <w:pPr>
        <w:keepNext/>
        <w:spacing w:after="80" w:before="120"/>
      </w:pPr>
      <w:r>
        <w:rPr>
          <w:rFonts w:ascii="Arial" w:cs="Arial" w:eastAsia="Arial" w:hAnsi="Arial"/>
          <w:b/>
          <w:bCs/>
          <w:color w:val="00338D"/>
          <w:sz w:val="18"/>
          <w:szCs w:val="18"/>
        </w:rPr>
        <w:t xml:space="preserve">Tabel 1: </w:t>
      </w:r>
      <w:r>
        <w:rPr>
          <w:rFonts w:ascii="Arial" w:cs="Arial" w:eastAsia="Arial" w:hAnsi="Arial"/>
          <w:b/>
          <w:bCs/>
          <w:color w:val="00338D"/>
          <w:sz w:val="18"/>
          <w:szCs w:val="18"/>
        </w:rPr>
        <w:t xml:space="preserve">Register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4144"/>
        <w:gridCol w:w="1253"/>
        <w:gridCol w:w="3566"/>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Dokumen</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Sifat dan penggunaan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kinerja Danantara: investasi strategis dan menguntungkan, efisiensi operasional dan pertumbuhan, serta pembangunan ekonomi tambahan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berbasis bukti publik dengan 45 definisi (39 metrik hasil dan 6 gerbang tata kelola); dasar Bab 4 dan 14</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Evaluasi Tata Kelola Danantara dan Organisasi Industri Strategis: percepatan 40 proyek strategis dan opsi Wakil Kepala Badan Pelaksana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tata kelola dan organisasi; pemeriksaan data 40 proyek; RASCI; dasar Bab 13</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Platform Kapabilitas Industri Nasional (8 halaman)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Diagnosis, model platform, NITO, kondisi BUMN Karya, dan desain AI multi-agen; dasar Bab 5, 7, 11, dan 12</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D4</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DOCK-UP: Membangun Pemasok UKM Siap Produksi untuk Industri Maritim dan Pertahanan Indonesia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Kerangka pengembangan pemasok menggunakan TRL dan MRL; dasar Bab 6</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D5</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Indonesia Natural Resource Fund: Executive Summary</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 Sep 2025</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Konsep NRF, target, dan delapan langkah strategis; dasar Bab 8</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D6</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PALCapital: Sovereign Maritime Tokenization Engine, Rev B</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Tanpa tanggal (Tahap 1 ditargetkan Triwulan IV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Tagihan kontrak Kementerian Pertahanan yang ditokenisasi untuk PT PAL; dasar Bab 9</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2.4 Disiplin bukti</w:t>
      </w:r>
    </w:p>
    <w:p>
      <w:pPr>
        <w:spacing w:after="100" w:before="0" w:line="258"/>
        <w:jc w:val="left"/>
      </w:pPr>
      <w:r>
        <w:rPr>
          <w:rFonts w:ascii="Arial" w:cs="Arial" w:eastAsia="Arial" w:hAnsi="Arial"/>
          <w:color w:val="000000"/>
          <w:sz w:val="19"/>
          <w:szCs w:val="19"/>
        </w:rPr>
        <w:t xml:space="preserve">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566"/>
        <w:gridCol w:w="5301"/>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Kelas</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Makna</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Penggunaan yang diizinkan</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Teraudit atau dijamin (assured) secara independen</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Tingkat keyakinan tertinggi, sepanjang ruang lingkup, periode, dan definisinya sesuai</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Observasi resmi yang dilaporkan</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Dapat digunakan dengan keterbatasan penjaminan yang dinyatakan secara eksplisit; mencakup rilis perusahaan dan perhitungan yang diturunkan darinya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Pengumuman, proyeksi, komitmen, atau estimasi</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niat atau tonggak capaian; bukan bukti laba, keluaran, atau dampak yang terealisasi</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Ilustrasi atau asumsi analis</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Hanya untuk desain metode dan analisis sensitivitas; dikecualikan dari penilaian kinerja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NR</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Tidak dapat dinilai</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Data tidak tersedia, tidak sebanding, atau tidak cukup terjamin, atau tidak ada tolok ukur yang disetujui; berbeda dari nol dan dari kegagalan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2.5 Keterbatasan</w:t>
      </w:r>
    </w:p>
    <w:p>
      <w:pPr>
        <w:pStyle w:val="ListParagraph"/>
        <w:numPr>
          <w:ilvl w:val="0"/>
          <w:numId w:val="2"/>
        </w:numPr>
        <w:spacing w:after="60" w:line="264"/>
      </w:pPr>
      <w:r>
        <w:rPr>
          <w:rFonts w:ascii="Arial" w:cs="Arial" w:eastAsia="Arial" w:hAnsi="Arial"/>
          <w:sz w:val="19"/>
          <w:szCs w:val="19"/>
        </w:rPr>
        <w:t xml:space="preserve">Ini adalah kajian analitis untuk bahan diskusi. Kajian ini </w:t>
      </w:r>
      <w:r>
        <w:rPr>
          <w:rFonts w:ascii="Arial" w:cs="Arial" w:eastAsia="Arial" w:hAnsi="Arial"/>
          <w:b/>
          <w:bCs/>
          <w:sz w:val="19"/>
          <w:szCs w:val="19"/>
        </w:rPr>
        <w:t xml:space="preserve">bukan audit, opini valuasi, opini hukum, atau pemeringkatan resmi</w:t>
      </w:r>
      <w:r>
        <w:rPr>
          <w:rFonts w:ascii="Arial" w:cs="Arial" w:eastAsia="Arial" w:hAnsi="Arial"/>
          <w:sz w:val="19"/>
          <w:szCs w:val="19"/>
        </w:rPr>
        <w:t xml:space="preserve">, dan tidak menyetujui organisasi, pengangkatan, atau struktur pembiayaan apa pun.</w:t>
      </w:r>
    </w:p>
    <w:p>
      <w:pPr>
        <w:pStyle w:val="ListParagraph"/>
        <w:numPr>
          <w:ilvl w:val="0"/>
          <w:numId w:val="2"/>
        </w:numPr>
        <w:spacing w:after="60" w:line="264"/>
      </w:pPr>
      <w:r>
        <w:rPr>
          <w:rFonts w:ascii="Arial" w:cs="Arial" w:eastAsia="Arial" w:hAnsi="Arial"/>
          <w:sz w:val="19"/>
          <w:szCs w:val="19"/>
        </w:rPr>
        <w:t xml:space="preserve">Bukti publik ditinjau per awal Oktober 2026. Halaman laporan Danantara menampilkan “Coming Soon”; hal ini tidak membuktikan bahwa laporan keuangan tidak ada [D1/S01].</w:t>
      </w:r>
    </w:p>
    <w:p>
      <w:pPr>
        <w:pStyle w:val="ListParagraph"/>
        <w:numPr>
          <w:ilvl w:val="0"/>
          <w:numId w:val="2"/>
        </w:numPr>
        <w:spacing w:after="60" w:line="264"/>
      </w:pPr>
      <w:r>
        <w:rPr>
          <w:rFonts w:ascii="Arial" w:cs="Arial" w:eastAsia="Arial" w:hAnsi="Arial"/>
          <w:sz w:val="19"/>
          <w:szCs w:val="19"/>
        </w:rPr>
        <w:t xml:space="preserve">Portofolio 40 proyek merupakan ruang lingkup kerja yang diambil dari bahan diskusi. Portofolio ini bukan register yang telah divalidasi dan tidak disamakan dengan daftar Proyek Strategis Nasional yang ditetapkan secara hukum [D2].</w:t>
      </w:r>
    </w:p>
    <w:p>
      <w:pPr>
        <w:pStyle w:val="ListParagraph"/>
        <w:numPr>
          <w:ilvl w:val="0"/>
          <w:numId w:val="2"/>
        </w:numPr>
        <w:spacing w:after="60" w:line="264"/>
      </w:pPr>
      <w:r>
        <w:rPr>
          <w:rFonts w:ascii="Arial" w:cs="Arial" w:eastAsia="Arial" w:hAnsi="Arial"/>
          <w:sz w:val="19"/>
          <w:szCs w:val="19"/>
        </w:rPr>
        <w:t xml:space="preserve">Apabila dokumen sumber saling bertentangan atau bertentangan dengan dirinya sendiri, kami menyatakannya dan tidak menyelesaikan pertentangan tersebut dengan asumsi. Lampiran B memuat setiap ketidaksesuaian yang ditemukan.</w:t>
      </w:r>
    </w:p>
    <w:p>
      <w:pPr>
        <w:pStyle w:val="ListParagraph"/>
        <w:numPr>
          <w:ilvl w:val="0"/>
          <w:numId w:val="2"/>
        </w:numPr>
        <w:spacing w:after="60" w:line="264"/>
      </w:pPr>
      <w:r>
        <w:rPr>
          <w:rFonts w:ascii="Arial" w:cs="Arial" w:eastAsia="Arial" w:hAnsi="Arial"/>
          <w:sz w:val="19"/>
          <w:szCs w:val="19"/>
        </w:rPr>
        <w:t xml:space="preserve">Ambang batas, bobot, jadwal, dan desain organisasi yang diusulkan merupakan </w:t>
      </w:r>
      <w:r>
        <w:rPr>
          <w:rFonts w:ascii="Arial" w:cs="Arial" w:eastAsia="Arial" w:hAnsi="Arial"/>
          <w:b/>
          <w:bCs/>
          <w:sz w:val="19"/>
          <w:szCs w:val="19"/>
        </w:rPr>
        <w:t xml:space="preserve">rekomendasi</w:t>
      </w:r>
      <w:r>
        <w:rPr>
          <w:rFonts w:ascii="Arial" w:cs="Arial" w:eastAsia="Arial" w:hAnsi="Arial"/>
          <w:sz w:val="19"/>
          <w:szCs w:val="19"/>
        </w:rPr>
        <w:t xml:space="preserve">, bukan kebijakan Danantara yang berlaku saat ini.</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03</w:t>
            </w:r>
          </w:p>
          <w:p>
            <w:pPr>
              <w:pStyle w:val="Heading1"/>
              <w:spacing w:after="100"/>
            </w:pPr>
            <w:r>
              <w:rPr>
                <w:rFonts w:ascii="Arial" w:cs="Arial" w:eastAsia="Arial" w:hAnsi="Arial"/>
                <w:b/>
                <w:bCs/>
                <w:color w:val="FFFFFF"/>
                <w:sz w:val="40"/>
                <w:szCs w:val="40"/>
              </w:rPr>
              <w:t xml:space="preserve">Danantara saat ini: mandat, struktur, dan kegiatan</w:t>
            </w:r>
          </w:p>
          <w:p>
            <w:pPr>
              <w:spacing w:after="0" w:line="276"/>
            </w:pPr>
            <w:r>
              <w:rPr>
                <w:rFonts w:ascii="Arial" w:cs="Arial" w:eastAsia="Arial" w:hAnsi="Arial"/>
                <w:color w:val="FFFFFF"/>
                <w:sz w:val="20"/>
                <w:szCs w:val="20"/>
              </w:rPr>
              <w:t xml:space="preserve">Apa yang menjadi tugas Danantara, bagaimana Danantara diorganisasi, dan apa yang telah dilakukannya secara nyata sejauh ini.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3.1 Landasan hukum</w:t>
      </w:r>
    </w:p>
    <w:p>
      <w:pPr>
        <w:spacing w:after="100" w:before="0" w:line="258"/>
        <w:jc w:val="left"/>
      </w:pPr>
      <w:r>
        <w:rPr>
          <w:rFonts w:ascii="Arial" w:cs="Arial" w:eastAsia="Arial" w:hAnsi="Arial"/>
          <w:color w:val="000000"/>
          <w:sz w:val="19"/>
          <w:szCs w:val="19"/>
        </w:rPr>
        <w:t xml:space="preserve">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pPr>
        <w:spacing w:after="100" w:before="0" w:line="258"/>
        <w:jc w:val="left"/>
      </w:pPr>
      <w:r>
        <w:rPr>
          <w:rFonts w:ascii="Arial" w:cs="Arial" w:eastAsia="Arial" w:hAnsi="Arial"/>
          <w:color w:val="000000"/>
          <w:sz w:val="19"/>
          <w:szCs w:val="19"/>
        </w:rPr>
        <w:t xml:space="preserve">Dalam laporan ini, “tingkat BPI” berarti tingkat badan di atas tiga lini operasional. Peraturan tersebut:</w:t>
      </w:r>
    </w:p>
    <w:p>
      <w:pPr>
        <w:pStyle w:val="ListParagraph"/>
        <w:numPr>
          <w:ilvl w:val="0"/>
          <w:numId w:val="2"/>
        </w:numPr>
        <w:spacing w:after="60" w:line="264"/>
      </w:pPr>
      <w:r>
        <w:rPr>
          <w:rFonts w:ascii="Arial" w:cs="Arial" w:eastAsia="Arial" w:hAnsi="Arial"/>
          <w:sz w:val="19"/>
          <w:szCs w:val="19"/>
        </w:rPr>
        <w:t xml:space="preserve">memisahkan Dewan Pengawas dari Badan Pelaksana;</w:t>
      </w:r>
    </w:p>
    <w:p>
      <w:pPr>
        <w:pStyle w:val="ListParagraph"/>
        <w:numPr>
          <w:ilvl w:val="0"/>
          <w:numId w:val="2"/>
        </w:numPr>
        <w:spacing w:after="60" w:line="264"/>
      </w:pPr>
      <w:r>
        <w:rPr>
          <w:rFonts w:ascii="Arial" w:cs="Arial" w:eastAsia="Arial" w:hAnsi="Arial"/>
          <w:sz w:val="19"/>
          <w:szCs w:val="19"/>
        </w:rPr>
        <w:t xml:space="preserve">menempatkan keputusan Badan Pelaksana pada Kepala;</w:t>
      </w:r>
    </w:p>
    <w:p>
      <w:pPr>
        <w:pStyle w:val="ListParagraph"/>
        <w:numPr>
          <w:ilvl w:val="0"/>
          <w:numId w:val="2"/>
        </w:numPr>
        <w:spacing w:after="60" w:line="264"/>
      </w:pPr>
      <w:r>
        <w:rPr>
          <w:rFonts w:ascii="Arial" w:cs="Arial" w:eastAsia="Arial" w:hAnsi="Arial"/>
          <w:sz w:val="19"/>
          <w:szCs w:val="19"/>
        </w:rPr>
        <w:t xml:space="preserve">mengatur bahwa anggota Badan Pelaksana diangkat oleh Presiden;</w:t>
      </w:r>
    </w:p>
    <w:p>
      <w:pPr>
        <w:pStyle w:val="ListParagraph"/>
        <w:numPr>
          <w:ilvl w:val="0"/>
          <w:numId w:val="2"/>
        </w:numPr>
        <w:spacing w:after="60" w:line="264"/>
      </w:pPr>
      <w:r>
        <w:rPr>
          <w:rFonts w:ascii="Arial" w:cs="Arial" w:eastAsia="Arial" w:hAnsi="Arial"/>
          <w:sz w:val="19"/>
          <w:szCs w:val="19"/>
        </w:rPr>
        <w:t xml:space="preserve">membedakan tujuan masing-masing holding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433"/>
        <w:gridCol w:w="308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Ketentuan</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Hal yang ditetapkan</w:t>
            </w:r>
          </w:p>
        </w:tc>
        <w:tc>
          <w:tcPr>
            <w:tcW w:type="dxa" w:w="308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Relevansi bagi kajian ini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PP 10/2025 Pasal 12–18</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Organ, keanggotaan, dan pengambilan keputusan Badan Pelaksana; Kepala mengambil keputusan Badan Pelaksana (Pasal 18); anggota diangkat oleh Presiden (Pasal 13); portofolio risiko ditugaskan kepada salah satu anggota (Pasal 14)</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Setiap jabatan senior baru harus sesuai dengan struktur ini; sebuah jabatan tidak dengan sendirinya mengalihkan hak keputusan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PP 19/2026 Pasal 21A, 21B, 29A–29C, 32A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Perencanaan, tujuan holding, dan ketentuan peralihan; Pasal 32A memulai penyampaian rencana tertentu sejak tahun buku 2028</w:t>
            </w:r>
          </w:p>
        </w:tc>
        <w:tc>
          <w:tcPr>
            <w:tcW w:type="dxa" w:w="308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Tidak menunda seluruh kewajiban tata kelola hingga 2028; tidak secara eksplisit membentuk jabatan Wakil Kepala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UU 16/2025</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Mengubah Pasal 3X, 3Y, 3AA; menghapus Pasal 9G</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Perlindungan business judgement (Pasal 3Y) bersifat bersyarat, bukan imunitas; argumen yang bertumpu pada Pasal 9G harus diperbarui</w:t>
            </w:r>
          </w:p>
        </w:tc>
      </w:tr>
    </w:tbl>
    <w:p>
      <w:pPr>
        <w:keepNext w:val="false"/>
        <w:spacing w:after="140"/>
      </w:pPr>
    </w:p>
    <w:p>
      <w:pPr>
        <w:spacing w:after="80" w:before="0" w:line="258"/>
        <w:jc w:val="left"/>
      </w:pPr>
      <w:r>
        <w:rPr>
          <w:rFonts w:ascii="Arial" w:cs="Arial" w:eastAsia="Arial" w:hAnsi="Arial"/>
          <w:color w:val="000000"/>
          <w:sz w:val="16"/>
          <w:szCs w:val="16"/>
        </w:rPr>
        <w:t xml:space="preserve">Ringkasan hukum diambil dari D2 dan bukan merupakan opini hukum. Rujukan pasal sebaiknya diverifikasi oleh fungsi Hukum Danantara sebelum dijadikan pegangan.</w:t>
      </w:r>
    </w:p>
    <w:p>
      <w:pPr>
        <w:pStyle w:val="Heading2"/>
        <w:keepNext/>
        <w:keepLines/>
        <w:spacing w:after="120" w:before="280"/>
      </w:pPr>
      <w:r>
        <w:rPr>
          <w:rFonts w:ascii="Arial" w:cs="Arial" w:eastAsia="Arial" w:hAnsi="Arial"/>
          <w:b/>
          <w:bCs/>
          <w:color w:val="00338D"/>
          <w:sz w:val="28"/>
          <w:szCs w:val="28"/>
        </w:rPr>
        <w:t xml:space="preserve">3.2 Organisasi</w:t>
      </w:r>
    </w:p>
    <w:p>
      <w:pPr>
        <w:spacing w:after="100" w:before="0" w:line="258"/>
        <w:jc w:val="left"/>
      </w:pPr>
      <w:r>
        <w:rPr>
          <w:rFonts w:ascii="Arial" w:cs="Arial" w:eastAsia="Arial" w:hAnsi="Arial"/>
          <w:color w:val="000000"/>
          <w:sz w:val="19"/>
          <w:szCs w:val="19"/>
        </w:rPr>
        <w:t xml:space="preserve">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855"/>
        <w:gridCol w:w="3181"/>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Unit</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Mandat</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kinerja utama</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BPI (dipimpin oleh Badan Pelaksana)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Strategi, portofolio, risiko, keuangan, teknologi; Kepala mengambil keputusan Badan Pelaksana</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ekosistem secara keseluruhan menciptakan nilai di atas biaya modalnya dan menjalankan mandat pembangunannya?</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Danantara Asset Management (dipimpin oleh COO)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Kepemilikan dan transformasi portofolio BUMN operasional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BUMN menjadi lebih produktif dan menghasilkan laba ekonomi?</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Danantara Investment Management (dipimpin oleh CIO)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Investasi komersial, alokasi modal, dan kemitraan investasi; menerbitkan surat utang US$1,5 miliar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investasi menghasilkan imbal hasil bersih di atas tolok ukur yang sesuai?</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DDMF: Danantara Development Management Fund (dipimpin oleh CTO)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Penyiapan proyek, penstrukturan, mobilisasi modal, dan pelaksanaan untuk pembangunan nasional dan layanan publik</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Apakah proyek pembangunan layak secara ekonomi dan terlaksana, dengan dukungan publik yang terkuantifikasi?</w:t>
            </w:r>
          </w:p>
        </w:tc>
      </w:tr>
    </w:tbl>
    <w:p>
      <w:pPr>
        <w:keepNext w:val="false"/>
        <w:spacing w:after="140"/>
      </w:pPr>
    </w:p>
    <w:p>
      <w:pPr>
        <w:spacing w:after="100" w:before="0" w:line="258"/>
        <w:jc w:val="left"/>
      </w:pPr>
      <w:r>
        <w:rPr>
          <w:rFonts w:ascii="Arial" w:cs="Arial" w:eastAsia="Arial" w:hAnsi="Arial"/>
          <w:color w:val="000000"/>
          <w:sz w:val="19"/>
          <w:szCs w:val="19"/>
        </w:rPr>
        <w:t xml:space="preserve">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pPr>
        <w:pStyle w:val="Heading2"/>
        <w:keepNext/>
        <w:keepLines/>
        <w:spacing w:after="120" w:before="280"/>
      </w:pPr>
      <w:r>
        <w:rPr>
          <w:rFonts w:ascii="Arial" w:cs="Arial" w:eastAsia="Arial" w:hAnsi="Arial"/>
          <w:b/>
          <w:bCs/>
          <w:color w:val="00338D"/>
          <w:sz w:val="28"/>
          <w:szCs w:val="28"/>
        </w:rPr>
        <w:t xml:space="preserve">3.3 Rencana investasi dan prioritas 2026</w:t>
      </w:r>
    </w:p>
    <w:p>
      <w:pPr>
        <w:spacing w:after="100" w:before="0" w:line="258"/>
        <w:jc w:val="left"/>
      </w:pPr>
      <w:r>
        <w:rPr>
          <w:rFonts w:ascii="Arial" w:cs="Arial" w:eastAsia="Arial" w:hAnsi="Arial"/>
          <w:color w:val="000000"/>
          <w:sz w:val="19"/>
          <w:szCs w:val="19"/>
        </w:rPr>
        <w:t xml:space="preserve">Rencana Danantara 2026 menargetkan investasi </w:t>
      </w:r>
      <w:r>
        <w:rPr>
          <w:rFonts w:ascii="Arial" w:cs="Arial" w:eastAsia="Arial" w:hAnsi="Arial"/>
          <w:b/>
          <w:bCs/>
          <w:color w:val="000000"/>
          <w:sz w:val="19"/>
          <w:szCs w:val="19"/>
        </w:rPr>
        <w:t xml:space="preserve">hingga US$14 miliar</w:t>
      </w:r>
      <w:r>
        <w:rPr>
          <w:rFonts w:ascii="Arial" w:cs="Arial" w:eastAsia="Arial" w:hAnsi="Arial"/>
          <w:color w:val="000000"/>
          <w:sz w:val="19"/>
          <w:szCs w:val="19"/>
        </w:rPr>
        <w:t xml:space="preserve">, dibagi kurang lebih </w:t>
      </w:r>
      <w:r>
        <w:rPr>
          <w:rFonts w:ascii="Arial" w:cs="Arial" w:eastAsia="Arial" w:hAnsi="Arial"/>
          <w:b/>
          <w:bCs/>
          <w:color w:val="000000"/>
          <w:sz w:val="19"/>
          <w:szCs w:val="19"/>
        </w:rPr>
        <w:t xml:space="preserve">50% pasar publik</w:t>
      </w:r>
      <w:r>
        <w:rPr>
          <w:rFonts w:ascii="Arial" w:cs="Arial" w:eastAsia="Arial" w:hAnsi="Arial"/>
          <w:color w:val="000000"/>
          <w:sz w:val="19"/>
          <w:szCs w:val="19"/>
        </w:rPr>
        <w:t xml:space="preserve"> dan </w:t>
      </w:r>
      <w:r>
        <w:rPr>
          <w:rFonts w:ascii="Arial" w:cs="Arial" w:eastAsia="Arial" w:hAnsi="Arial"/>
          <w:b/>
          <w:bCs/>
          <w:color w:val="000000"/>
          <w:sz w:val="19"/>
          <w:szCs w:val="19"/>
        </w:rPr>
        <w:t xml:space="preserve">50% proyek strategis di sektor riil</w:t>
      </w:r>
      <w:r>
        <w:rPr>
          <w:rFonts w:ascii="Arial" w:cs="Arial" w:eastAsia="Arial" w:hAnsi="Arial"/>
          <w:color w:val="000000"/>
          <w:sz w:val="19"/>
          <w:szCs w:val="19"/>
        </w:rPr>
        <w:t xml:space="preserve">.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pPr>
        <w:spacing w:after="100" w:before="0" w:line="258"/>
        <w:jc w:val="left"/>
      </w:pPr>
      <w:r>
        <w:rPr>
          <w:rFonts w:ascii="Arial" w:cs="Arial" w:eastAsia="Arial" w:hAnsi="Arial"/>
          <w:color w:val="000000"/>
          <w:sz w:val="19"/>
          <w:szCs w:val="19"/>
        </w:rPr>
        <w:t xml:space="preserve">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pPr>
        <w:pStyle w:val="Heading2"/>
        <w:keepNext/>
        <w:keepLines/>
        <w:spacing w:after="120" w:before="280"/>
      </w:pPr>
      <w:r>
        <w:rPr>
          <w:rFonts w:ascii="Arial" w:cs="Arial" w:eastAsia="Arial" w:hAnsi="Arial"/>
          <w:b/>
          <w:bCs/>
          <w:color w:val="00338D"/>
          <w:sz w:val="28"/>
          <w:szCs w:val="28"/>
        </w:rPr>
        <w:t xml:space="preserve">3.4 Kegiatan yang terlihat hingga saat ini</w:t>
      </w:r>
    </w:p>
    <w:p>
      <w:pPr>
        <w:keepNext/>
        <w:spacing w:after="80" w:before="120"/>
      </w:pPr>
      <w:r>
        <w:rPr>
          <w:rFonts w:ascii="Arial" w:cs="Arial" w:eastAsia="Arial" w:hAnsi="Arial"/>
          <w:b/>
          <w:bCs/>
          <w:color w:val="00338D"/>
          <w:sz w:val="18"/>
          <w:szCs w:val="18"/>
        </w:rPr>
        <w:t xml:space="preserve">Tabel 2: </w:t>
      </w:r>
      <w:r>
        <w:rPr>
          <w:rFonts w:ascii="Arial" w:cs="Arial" w:eastAsia="Arial" w:hAnsi="Arial"/>
          <w:b/>
          <w:bCs/>
          <w:color w:val="00338D"/>
          <w:sz w:val="18"/>
          <w:szCs w:val="18"/>
        </w:rPr>
        <w:t xml:space="preserve">Apa yang ditunjukkan bukti publik, dan apa yang belum ditunjukkannya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675"/>
        <w:gridCol w:w="2410"/>
        <w:gridCol w:w="2698"/>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Kelas</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ditunjukkan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yang masih tertunda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Surat utang internasional DIM US$1,5 miliar, Juni 2026: dua tahap US$750 juta dengan kupon 5,35% dan 5,95%; spread yang dilaporkan penerbit 32 dan 34 bps; pesanan puncak ~US$4,6 miliar [D1/S05]</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Akses pasar dengan imbal hasil tertimbang pokok 5,65%, rata-rata spread ~33 bps, dan kelebihan permintaan ~3,07×</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Biaya total setelah biaya-biaya dan lindung nilai; penggunaan dana; imbal hasil atas aset yang didanai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Pemesanan bersyarat Danantara dan INA sebesar US$200 juta pada proyek kimia CA–EDC senilai US$800 juta, Maret 2026 [D1/S06]</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komitmen modal setara 25% nilai proyek; operasi ditargetkan 2027</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Syarat terpenuhi; pembagian modal masing-masing; kas yang dibayarkan; substitusi impor yang benar-benar tercapai</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PSEL Bogor Raya 1 (pengolahan sampah menjadi energi): peresmian konstruksi dan PPA, September 2026; Rp2,8 triliun; 1.500 ton/hari [D1/S07]</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Tonggak pembangunan yang substantif; operasi ditargetkan pertengahan 2028</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Kemajuan fisik yang tersertifikasi, pembiayaan penuh, commissioning, keluaran yang berkelanjutan</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Enam peletakan batu pertama hilirisasi Tahap I, total nilai yang diumumkan hingga US$7 miliar (MIND ID, Feb 2026) [D1/S08]</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Aktivasi program</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porsi pembiayaan, dan manfaat per proyek; bukan US$7 miliar yang dicairkan oleh Danantara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Delapan penetapan bersyarat proyek pengolahan sampah menjadi energi Batch II, Juli 2026 [D1/S30]</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Kemajuan pipeline proyek</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Delapan penetapan bersyarat bukan delapan pembangkit yang beroperasi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Kajian tata kelola dan akuntansi diumumkan Maret 2026 [D1/S04]</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Tindakan reformasi yang konsisten dengan kajian kualitas aset</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Peningkatan operasional yang terverifikasi, remediasi yang tuntas, pengendalian yang berkelanjutan</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Pernyataan 2 Juli 2026 bahwa BUMN telah menyelesaikan laporan TB2025 dan konsolidasi berlanjut; pernyataan resmi 12 Mei 2026 tentang konsolidasi dan audit [D1/S02; D2/R8]</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Proses pelaporan sedang berjalan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Laporan konsolidasian teraudit dan seri imbal hasil portofolio</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Membaca pengumuman dengan benar</w:t>
            </w:r>
          </w:p>
          <w:p>
            <w:pPr>
              <w:spacing w:after="80" w:line="264"/>
            </w:pPr>
            <w:r>
              <w:rPr>
                <w:rFonts w:ascii="Arial" w:cs="Arial" w:eastAsia="Arial" w:hAnsi="Arial"/>
                <w:color w:val="000000"/>
                <w:sz w:val="19"/>
                <w:szCs w:val="19"/>
              </w:rPr>
              <w:t xml:space="preserve">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3.5 Tonggak capaian dalam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6361"/>
        <w:gridCol w:w="1735"/>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w:t>
            </w:r>
          </w:p>
        </w:tc>
        <w:tc>
          <w:tcPr>
            <w:tcW w:type="dxa" w:w="636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Tonggak capaian</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Des 2025</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kerja dan anggaran 2026 dipublikasikan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D1/S03</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 Feb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Enam peletakan batu pertama hilirisasi Tahap I (MIND ID), nilai yang diumumkan hingga US$7 miliar</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3–5 Mar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Perjanjian investasi CA–EDC dengan INA; kajian tata kelola dan akuntansi diumumkan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D1/S04, S06</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 Mei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Pernyataan resmi tentang konsolidasi dan audit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D2/R8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 Jun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internasional DIM US$1,5 miliar</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D1/S05</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Jul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BUMN menyelesaikan laporan TB2025; konsolidasi berlanjut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D1/S02</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21 Jul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Delapan penetapan bersyarat proyek pengolahan sampah menjadi energi Batch II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D1/S30</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17 Sep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Konstruksi PSEL Bogor Raya 1 dimulai; PPA ditandatangani</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D1/S07</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Awal Okt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Halaman laporan di situs web resmi masih menampilkan “Coming Soon”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D1/S01</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3.6 Cara lembaga sejenis mengungkapkan kinerja</w:t>
      </w:r>
    </w:p>
    <w:p>
      <w:pPr>
        <w:spacing w:after="100" w:before="0" w:line="258"/>
        <w:jc w:val="left"/>
      </w:pPr>
      <w:r>
        <w:rPr>
          <w:rFonts w:ascii="Arial" w:cs="Arial" w:eastAsia="Arial" w:hAnsi="Arial"/>
          <w:color w:val="000000"/>
          <w:sz w:val="19"/>
          <w:szCs w:val="19"/>
        </w:rPr>
        <w:t xml:space="preserve">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Lembaga</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dipublikasikan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 angka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Temasek (Singapura)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Tinjauan tahunan; total imbal hasil pemegang saham selama 5, 10, dan 20 tahun; perbandingan dengan biaya modal yang disesuaikan dengan risiko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Hingga 31 Mar 2026, dalam SGD: 5 tahun 4,6%, 10 tahun 7,1%, 20 tahun 6,8%</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Khazanah (Malaysia)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Tinjauan tahunan dengan imbal hasil tahunan dan multitahun, dilaporkan bersama kegiatan strategis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TB2025: 5,2% untuk tahun tersebut; 7 tahun disetahunkan 6,1%</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Danantara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Pengumuman pembiayaan, komitmen, dan tonggak capaian; halaman laporan “Coming Soon”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Belum ada seri imbal hasil portofolio yang dipublikasikan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04</w:t>
            </w:r>
          </w:p>
          <w:p>
            <w:pPr>
              <w:pStyle w:val="Heading1"/>
              <w:spacing w:after="100"/>
            </w:pPr>
            <w:r>
              <w:rPr>
                <w:rFonts w:ascii="Arial" w:cs="Arial" w:eastAsia="Arial" w:hAnsi="Arial"/>
                <w:b/>
                <w:bCs/>
                <w:color w:val="FFFFFF"/>
                <w:sz w:val="40"/>
                <w:szCs w:val="40"/>
              </w:rPr>
              <w:t xml:space="preserve">Evaluasi kinerja</w:t>
            </w:r>
          </w:p>
          <w:p>
            <w:pPr>
              <w:spacing w:after="0" w:line="276"/>
            </w:pPr>
            <w:r>
              <w:rPr>
                <w:rFonts w:ascii="Arial" w:cs="Arial" w:eastAsia="Arial" w:hAnsi="Arial"/>
                <w:color w:val="FFFFFF"/>
                <w:sz w:val="20"/>
                <w:szCs w:val="20"/>
              </w:rPr>
              <w:t xml:space="preserve">Kinerja Danantara dinilai berdasarkan tiga mandatnya (investasi, operasi BUMN, dan industrialisasi), bersama dengan tata kelola dan kesiapan pelaksanaan.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4.1 Kesimpulan menyeluruh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735"/>
        <w:gridCol w:w="3181"/>
        <w:gridCol w:w="308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Aliran</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Peringkat</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 saat ini</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Hal yang dapat menaikkan peringkat</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terbukti; imbal hasil NR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dan komitmen terbukti; kinerja imbal hasil portofolio </w:t>
            </w:r>
            <w:r>
              <w:rPr>
                <w:rFonts w:ascii="Arial" w:cs="Arial" w:eastAsia="Arial" w:hAnsi="Arial"/>
                <w:b/>
                <w:bCs/>
                <w:color w:val="000000"/>
                <w:sz w:val="16"/>
                <w:szCs w:val="16"/>
              </w:rPr>
              <w:t xml:space="preserve">tidak dapat dinilai (NR)</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Jembatan aset bersih teraudit; seri imbal hasil per kelompok modal terhadap tolok ukur yang disetujui</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 BUMN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Beragam; kontribusi belum terverifikasi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tertentu </w:t>
            </w:r>
            <w:r>
              <w:rPr>
                <w:rFonts w:ascii="Arial" w:cs="Arial" w:eastAsia="Arial" w:hAnsi="Arial"/>
                <w:b/>
                <w:bCs/>
                <w:color w:val="000000"/>
                <w:sz w:val="16"/>
                <w:szCs w:val="16"/>
              </w:rPr>
              <w:t xml:space="preserve">beragam</w:t>
            </w:r>
            <w:r>
              <w:rPr>
                <w:rFonts w:ascii="Arial" w:cs="Arial" w:eastAsia="Arial" w:hAnsi="Arial"/>
                <w:b w:val="false"/>
                <w:bCs w:val="false"/>
                <w:color w:val="000000"/>
                <w:sz w:val="16"/>
                <w:szCs w:val="16"/>
              </w:rPr>
              <w:t xml:space="preserve">; kontribusi inkremental Danantara belum terverifikasi</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laba ekonomi dan biaya unit riil terhadap baseline tanpa intervensi</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Industrialisasi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Belum terbukti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Pelaksanaan proyek telah maju; sebagian besar angka kapasitas dan dampak masih bersifat </w:t>
            </w:r>
            <w:r>
              <w:rPr>
                <w:rFonts w:ascii="Arial" w:cs="Arial" w:eastAsia="Arial" w:hAnsi="Arial"/>
                <w:b/>
                <w:bCs/>
                <w:color w:val="000000"/>
                <w:sz w:val="16"/>
                <w:szCs w:val="16"/>
              </w:rPr>
              <w:t xml:space="preserve">prospektif</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Kapasitas yang telah beroperasi (commissioned), nilai tambah dalam negeri yang terverifikasi, dan tonggak capaian kapabilitas</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Tata kelola</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Fondasi tersedia; efektivitas belum terverifikasi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Fondasi tersedia; efektivitas pelaksanaan belum terverifikasi</w:t>
            </w:r>
            <w:r>
              <w:rPr>
                <w:rFonts w:ascii="Arial" w:cs="Arial" w:eastAsia="Arial" w:hAnsi="Arial"/>
                <w:b w:val="false"/>
                <w:bCs w:val="false"/>
                <w:color w:val="000000"/>
                <w:sz w:val="16"/>
                <w:szCs w:val="16"/>
              </w:rPr>
              <w:t xml:space="preserve"> [D2]</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Hak keputusan yang terdokumentasi, lini risiko dan audit yang independen, register benturan kepentingan, waktu keputusan yang terukur</w:t>
            </w:r>
          </w:p>
        </w:tc>
      </w:tr>
    </w:tbl>
    <w:p>
      <w:pPr>
        <w:keepNext w:val="false"/>
        <w:spacing w:after="140"/>
      </w:pPr>
    </w:p>
    <w:p>
      <w:pPr>
        <w:spacing w:after="80" w:before="0" w:line="258"/>
        <w:jc w:val="left"/>
      </w:pPr>
      <w:r>
        <w:rPr>
          <w:rFonts w:ascii="Arial" w:cs="Arial" w:eastAsia="Arial" w:hAnsi="Arial"/>
          <w:color w:val="000000"/>
          <w:sz w:val="16"/>
          <w:szCs w:val="16"/>
        </w:rPr>
        <w:t xml:space="preserve">Skala peringkat yang digunakan dalam laporan ini: Terbukti → Sebagian terbukti → Belum terbukti → NR (tidak dapat dinilai). Peringkat merupakan penilaian kualitatif atas bukti publik.</w:t>
      </w:r>
    </w:p>
    <w:p>
      <w:pPr>
        <w:spacing w:after="100" w:before="0" w:line="258"/>
        <w:jc w:val="left"/>
      </w:pPr>
      <w:r>
        <w:rPr>
          <w:rFonts w:ascii="Arial" w:cs="Arial" w:eastAsia="Arial" w:hAnsi="Arial"/>
          <w:color w:val="000000"/>
          <w:sz w:val="19"/>
          <w:szCs w:val="19"/>
        </w:rPr>
        <w:t xml:space="preserve">Kesimpulan terkuat yang didukung bukti adalah kemajuan dalam </w:t>
      </w:r>
      <w:r>
        <w:rPr>
          <w:rFonts w:ascii="Arial" w:cs="Arial" w:eastAsia="Arial" w:hAnsi="Arial"/>
          <w:b/>
          <w:bCs/>
          <w:color w:val="000000"/>
          <w:sz w:val="19"/>
          <w:szCs w:val="19"/>
        </w:rPr>
        <w:t xml:space="preserve">memobilisasi dan mengorganisasi pelaksanaan</w:t>
      </w:r>
      <w:r>
        <w:rPr>
          <w:rFonts w:ascii="Arial" w:cs="Arial" w:eastAsia="Arial" w:hAnsi="Arial"/>
          <w:color w:val="000000"/>
          <w:sz w:val="19"/>
          <w:szCs w:val="19"/>
        </w:rPr>
        <w:t xml:space="preserve">. Pertanyaan terbesar yang belum terjawab adalah berapa besar </w:t>
      </w:r>
      <w:r>
        <w:rPr>
          <w:rFonts w:ascii="Arial" w:cs="Arial" w:eastAsia="Arial" w:hAnsi="Arial"/>
          <w:b/>
          <w:bCs/>
          <w:color w:val="000000"/>
          <w:sz w:val="19"/>
          <w:szCs w:val="19"/>
        </w:rPr>
        <w:t xml:space="preserve">nilai inkremental</w:t>
      </w:r>
      <w:r>
        <w:rPr>
          <w:rFonts w:ascii="Arial" w:cs="Arial" w:eastAsia="Arial" w:hAnsi="Arial"/>
          <w:color w:val="000000"/>
          <w:sz w:val="19"/>
          <w:szCs w:val="19"/>
        </w:rPr>
        <w:t xml:space="preserve"> yang telah dihasilkan tindakan tersebut setelah biaya pembiayaan, risiko, dan dukungan publik [D1].</w:t>
      </w:r>
    </w:p>
    <w:p>
      <w:pPr>
        <w:pStyle w:val="Heading2"/>
        <w:keepNext/>
        <w:keepLines/>
        <w:spacing w:after="120" w:before="280"/>
      </w:pPr>
      <w:r>
        <w:rPr>
          <w:rFonts w:ascii="Arial" w:cs="Arial" w:eastAsia="Arial" w:hAnsi="Arial"/>
          <w:b/>
          <w:bCs/>
          <w:color w:val="00338D"/>
          <w:sz w:val="28"/>
          <w:szCs w:val="28"/>
        </w:rPr>
        <w:t xml:space="preserve">4.2 Kinerja investasi</w:t>
      </w:r>
    </w:p>
    <w:p>
      <w:pPr>
        <w:spacing w:after="100" w:before="0" w:line="258"/>
        <w:jc w:val="left"/>
      </w:pPr>
      <w:r>
        <w:rPr>
          <w:rFonts w:ascii="Arial" w:cs="Arial" w:eastAsia="Arial" w:hAnsi="Arial"/>
          <w:color w:val="000000"/>
          <w:sz w:val="19"/>
          <w:szCs w:val="19"/>
        </w:rPr>
        <w:t xml:space="preserve">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pPr>
        <w:keepNext/>
        <w:spacing w:after="80" w:before="120"/>
      </w:pPr>
      <w:r>
        <w:rPr>
          <w:rFonts w:ascii="Arial" w:cs="Arial" w:eastAsia="Arial" w:hAnsi="Arial"/>
          <w:b/>
          <w:bCs/>
          <w:color w:val="00338D"/>
          <w:sz w:val="18"/>
          <w:szCs w:val="18"/>
        </w:rPr>
        <w:t xml:space="preserve">Tabel 3: </w:t>
      </w:r>
      <w:r>
        <w:rPr>
          <w:rFonts w:ascii="Arial" w:cs="Arial" w:eastAsia="Arial" w:hAnsi="Arial"/>
          <w:b/>
          <w:bCs/>
          <w:color w:val="00338D"/>
          <w:sz w:val="18"/>
          <w:szCs w:val="18"/>
        </w:rPr>
        <w:t xml:space="preserve">Empat kelompok modal yang harus diukur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662"/>
        <w:gridCol w:w="3374"/>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Kelompok</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utama</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batas</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operasional warisan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ROIC / laba ekonomi; untuk bank, ROE dengan kecukupan modal</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pada tanggal pengalihan dan tanggal pengendalian efektif; kewajiban warisan dipisahkan</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keuangan likuid</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bersih tertimbang waktu dibandingkan tolok ukur kebijakan; drawdown dan likuiditas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pasar, kurs, dan arus kas eksternal direkonsiliasi secara terpisah</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privat dan strategis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IRR bersih, DPI/TVPI, dan ekuivalen pasar publik; NPV keuangan proyek</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Dilacak per vintage; nilai residual dipisahkan dari kas yang telah terealisasi</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Investasi yang didukung untuk pembangunan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Keberlanjutan keuangan ditambah ENPV/EIRR dan hasil tambahan</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Subsidi, penjaminan, dan konsesionalitas diidentifikasi secara eksplisit</w:t>
            </w:r>
          </w:p>
        </w:tc>
      </w:tr>
    </w:tbl>
    <w:p>
      <w:pPr>
        <w:keepNext w:val="false"/>
        <w:spacing w:after="140"/>
      </w:pPr>
    </w:p>
    <w:p>
      <w:pPr>
        <w:spacing w:after="100" w:before="0" w:line="258"/>
        <w:jc w:val="left"/>
      </w:pPr>
      <w:r>
        <w:rPr>
          <w:rFonts w:ascii="Arial" w:cs="Arial" w:eastAsia="Arial" w:hAnsi="Arial"/>
          <w:b/>
          <w:bCs/>
          <w:color w:val="000000"/>
          <w:sz w:val="19"/>
          <w:szCs w:val="19"/>
        </w:rPr>
        <w:t xml:space="preserve">Penilaian.</w:t>
      </w:r>
      <w:r>
        <w:rPr>
          <w:rFonts w:ascii="Arial" w:cs="Arial" w:eastAsia="Arial" w:hAnsi="Arial"/>
          <w:color w:val="000000"/>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pPr>
        <w:pStyle w:val="Heading2"/>
        <w:keepNext/>
        <w:keepLines/>
        <w:spacing w:after="120" w:before="280"/>
      </w:pPr>
      <w:r>
        <w:rPr>
          <w:rFonts w:ascii="Arial" w:cs="Arial" w:eastAsia="Arial" w:hAnsi="Arial"/>
          <w:b/>
          <w:bCs/>
          <w:color w:val="00338D"/>
          <w:sz w:val="28"/>
          <w:szCs w:val="28"/>
        </w:rPr>
        <w:t xml:space="preserve">4.3 Kinerja operasional BUMN</w:t>
      </w:r>
    </w:p>
    <w:p>
      <w:pPr>
        <w:spacing w:after="100" w:before="0" w:line="258"/>
        <w:jc w:val="left"/>
      </w:pPr>
      <w:r>
        <w:rPr>
          <w:rFonts w:ascii="Arial" w:cs="Arial" w:eastAsia="Arial" w:hAnsi="Arial"/>
          <w:color w:val="000000"/>
          <w:sz w:val="19"/>
          <w:szCs w:val="19"/>
        </w:rPr>
        <w:t xml:space="preserve">Sampel purposif BUMN besar menunjukkan perbaikan sekaligus kemunduran. Periode, porsi kepemilikan, dan ruang lingkup akuntansinya berbeda, sehingga angka-angka ini tidak boleh dijumlahkan menjadi laba Danantara [D1].</w:t>
      </w:r>
    </w:p>
    <w:p>
      <w:pPr>
        <w:keepNext/>
        <w:spacing w:after="80" w:before="120"/>
      </w:pPr>
      <w:r>
        <w:rPr>
          <w:rFonts w:ascii="Arial" w:cs="Arial" w:eastAsia="Arial" w:hAnsi="Arial"/>
          <w:b/>
          <w:bCs/>
          <w:color w:val="00338D"/>
          <w:sz w:val="18"/>
          <w:szCs w:val="18"/>
        </w:rPr>
        <w:t xml:space="preserve">Tabel 4: </w:t>
      </w:r>
      <w:r>
        <w:rPr>
          <w:rFonts w:ascii="Arial" w:cs="Arial" w:eastAsia="Arial" w:hAnsi="Arial"/>
          <w:b/>
          <w:bCs/>
          <w:color w:val="00338D"/>
          <w:sz w:val="18"/>
          <w:szCs w:val="18"/>
        </w:rPr>
        <w:t xml:space="preserve">Observasi BUMN tertentu (kelas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048"/>
        <w:gridCol w:w="3180"/>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Entitas / metrik</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Observasi yang sebanding</w:t>
            </w:r>
          </w:p>
        </w:tc>
        <w:tc>
          <w:tcPr>
            <w:tcW w:type="dxa" w:w="318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Pembacaan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bersih grup BRI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TB2024 disajikan kembali Rp60,306 triliun → TB2025 Rp57,132 triliun (−5,26%)</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Laba menurun pada basis sebanding yang dipublikasikan [D1/S10]</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CIR / NPL bruto BRI (bank saja)</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CIR 37,87% → 38,92%; NPL 2,94% → 3,29%</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Efisiensi dan kualitas kredit melemah; pendorongnya perlu dianalisis</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yang dapat diatribusikan kepada induk Mandiri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TB2024 Rp55,78 triliun → TB2025 Rp56,30 triliun (≈ +0,93%)</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Pertumbuhan moderat; tidak dengan sendirinya membuktikan perbaikan laba ekonomi [D1/S11]</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Telkom TB2025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Pendapatan Rp146,7 triliun; EBITDA Rp72,2 triliun; laba bersih yang dilaporkan Rp17,8 triliun; laba bersih yang dinormalisasi Rp22,7 triliun; Telkom melaporkan penurunan laba 9,5% pada basis revisinya</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Laba memerlukan jembatan penyajian kembali dan normalisasi [D1/S12]</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Pendapatan Semester I PLN (Persero) (perusahaan listrik negara)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Semester I 2025 Rp281,89 triliun → Semester I 2026 Rp327,15 triliun (+16,05%)</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Pertumbuhan harus dipilah menjadi efek volume, tarif, kompensasi, dan efek lainnya [D1/S13]</w:t>
            </w:r>
          </w:p>
        </w:tc>
      </w:tr>
    </w:tbl>
    <w:p>
      <w:pPr>
        <w:keepNext w:val="false"/>
        <w:spacing w:after="140"/>
      </w:pPr>
    </w:p>
    <w:p>
      <w:pPr>
        <w:spacing w:after="100" w:before="0" w:line="258"/>
        <w:jc w:val="left"/>
      </w:pPr>
      <w:r>
        <w:rPr>
          <w:rFonts w:ascii="Arial" w:cs="Arial" w:eastAsia="Arial" w:hAnsi="Arial"/>
          <w:color w:val="000000"/>
          <w:sz w:val="19"/>
          <w:szCs w:val="19"/>
        </w:rPr>
        <w:t xml:space="preserve">Uji yang sahih atas transformasi BUMN adalah </w:t>
      </w:r>
      <w:r>
        <w:rPr>
          <w:rFonts w:ascii="Arial" w:cs="Arial" w:eastAsia="Arial" w:hAnsi="Arial"/>
          <w:b/>
          <w:bCs/>
          <w:color w:val="000000"/>
          <w:sz w:val="19"/>
          <w:szCs w:val="19"/>
        </w:rPr>
        <w:t xml:space="preserve">laba ekonomi inkremental</w:t>
      </w:r>
      <w:r>
        <w:rPr>
          <w:rFonts w:ascii="Arial" w:cs="Arial" w:eastAsia="Arial" w:hAnsi="Arial"/>
          <w:color w:val="000000"/>
          <w:sz w:val="19"/>
          <w:szCs w:val="19"/>
        </w:rPr>
        <w:t xml:space="preserve">: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pPr>
        <w:pStyle w:val="Heading2"/>
        <w:keepNext/>
        <w:keepLines/>
        <w:spacing w:after="120" w:before="280"/>
      </w:pPr>
      <w:r>
        <w:rPr>
          <w:rFonts w:ascii="Arial" w:cs="Arial" w:eastAsia="Arial" w:hAnsi="Arial"/>
          <w:b/>
          <w:bCs/>
          <w:color w:val="00338D"/>
          <w:sz w:val="28"/>
          <w:szCs w:val="28"/>
        </w:rPr>
        <w:t xml:space="preserve">4.4 Kinerja industrialisasi</w:t>
      </w:r>
    </w:p>
    <w:p>
      <w:pPr>
        <w:spacing w:after="100" w:before="0" w:line="258"/>
        <w:jc w:val="left"/>
      </w:pPr>
      <w:r>
        <w:rPr>
          <w:rFonts w:ascii="Arial" w:cs="Arial" w:eastAsia="Arial" w:hAnsi="Arial"/>
          <w:color w:val="000000"/>
          <w:sz w:val="19"/>
          <w:szCs w:val="19"/>
        </w:rPr>
        <w:t xml:space="preserve">Bukti proyek menjanjikan, tetapi hampir seluruhnya masih pada tahap praoperasi. Gambaran per sektor menunjukkan di mana Danantara aktif dan di mana mandat industrialisasi belum terlayani.</w:t>
      </w:r>
    </w:p>
    <w:p>
      <w:pPr>
        <w:keepNext/>
        <w:spacing w:after="80" w:before="120"/>
      </w:pPr>
      <w:r>
        <w:rPr>
          <w:rFonts w:ascii="Arial" w:cs="Arial" w:eastAsia="Arial" w:hAnsi="Arial"/>
          <w:b/>
          <w:bCs/>
          <w:color w:val="00338D"/>
          <w:sz w:val="18"/>
          <w:szCs w:val="18"/>
        </w:rPr>
        <w:t xml:space="preserve">Tabel 5: </w:t>
      </w:r>
      <w:r>
        <w:rPr>
          <w:rFonts w:ascii="Arial" w:cs="Arial" w:eastAsia="Arial" w:hAnsi="Arial"/>
          <w:b/>
          <w:bCs/>
          <w:color w:val="00338D"/>
          <w:sz w:val="18"/>
          <w:szCs w:val="18"/>
        </w:rPr>
        <w:t xml:space="preserve">Evaluasi per sektor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795"/>
        <w:gridCol w:w="2795"/>
        <w:gridCol w:w="2217"/>
      </w:tblGrid>
      <w:tr>
        <w:trPr>
          <w:cantSplit/>
          <w:tblHeader/>
        </w:trPr>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Arah strategis Danantara</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Kegiatan yang terlihat</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keuangan</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berkelanjutan, diversifikasi, pasar publik dan privat</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Investasi pasar publik dan penjajakan global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Aktif</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Optimalisasi BUMN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Memperbaiki kinerja aset negara</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portofolio, dividen, restrukturisasi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matang</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industri</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Rantai nilai nikel, aluminium, bauksit, tembaga, dan lainnya</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Smelter, alumina, soda kaustik, proyek hilir</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tetapi terbatas pada pengolahan sumber daya</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Transisi energi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terbarukan dan pengolahan sampah menjadi energi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Inisiatif PSEL dan energi bersih</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keekonomian proyek dan kepemilikan teknologi belum jelas</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digital</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Pusat data dan infrastruktur digital</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pusat data dengan operator global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Berorientasi infrastruktur, belum menjadi industri teknologi</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Ketahanan pangan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Pertanian, pupuk, perunggasan, agribisnis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pertanian dan peternakan terpadu</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tidak selalu padat teknologi</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Manufaktur maju</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Permesinan, elektronika, galangan kapal, kedirgantaraan (prioritas kebijakan)</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publik masih terbatas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Kesenjangan besar</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pemasok industri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Belum menjadi KPI inti yang jelas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publik tentang lokalisasi pemasok dan rekayasa dalam negeri terbatas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Kesenjangan besar</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Kepemilikan teknologi</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Inovasi dan daya saing</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Mitra asing masih dominan di beberapa proyek</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Belum terbukti</w:t>
            </w:r>
          </w:p>
        </w:tc>
      </w:tr>
    </w:tbl>
    <w:p>
      <w:pPr>
        <w:keepNext w:val="false"/>
        <w:spacing w:after="140"/>
      </w:pPr>
    </w:p>
    <w:p>
      <w:pPr>
        <w:spacing w:after="160"/>
      </w:pPr>
      <w:r>
        <w:rPr>
          <w:rFonts w:ascii="Arial" w:cs="Arial" w:eastAsia="Arial" w:hAnsi="Arial"/>
          <w:i/>
          <w:iCs/>
          <w:color w:val="000000"/>
          <w:sz w:val="15"/>
          <w:szCs w:val="15"/>
        </w:rPr>
        <w:t xml:space="preserve">Sumber: D3 hlm. 1. Penilaian bersifat kualitatif dan berdasarkan bukti publik.</w:t>
      </w:r>
    </w:p>
    <w:p>
      <w:pPr>
        <w:pStyle w:val="Heading3"/>
        <w:keepNext/>
        <w:keepLines/>
        <w:spacing w:after="80" w:before="200"/>
      </w:pPr>
      <w:r>
        <w:rPr>
          <w:rFonts w:ascii="Arial" w:cs="Arial" w:eastAsia="Arial" w:hAnsi="Arial"/>
          <w:b/>
          <w:bCs/>
          <w:color w:val="005EB8"/>
          <w:sz w:val="22"/>
          <w:szCs w:val="22"/>
        </w:rPr>
        <w:t xml:space="preserve">Empat uji pembangunan industri yang sesungguhnya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1</w:t>
            </w:r>
          </w:p>
          <w:p>
            <w:pPr>
              <w:spacing w:after="70" w:line="250"/>
            </w:pPr>
            <w:r>
              <w:rPr>
                <w:rFonts w:ascii="Arial" w:cs="Arial" w:eastAsia="Arial" w:hAnsi="Arial"/>
                <w:b/>
                <w:bCs/>
                <w:color w:val="00338D"/>
                <w:sz w:val="19"/>
                <w:szCs w:val="19"/>
              </w:rPr>
              <w:t xml:space="preserve">Adisionalitas</w:t>
            </w:r>
          </w:p>
          <w:p>
            <w:pPr>
              <w:spacing w:after="50" w:line="252"/>
            </w:pPr>
            <w:r>
              <w:rPr>
                <w:rFonts w:ascii="Arial" w:cs="Arial" w:eastAsia="Arial" w:hAnsi="Arial"/>
                <w:sz w:val="17"/>
                <w:szCs w:val="17"/>
              </w:rPr>
              <w:t xml:space="preserve">Apakah proyek akan terlaksana dengan skala, waktu, kualitas, dan syarat pembiayaan yang sama tanpa Danantara? Sebutkan kendala pembiayaan, koordinasi, atau teknologi spesifik yang telah dihilangkan.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2</w:t>
            </w:r>
          </w:p>
          <w:p>
            <w:pPr>
              <w:spacing w:after="70" w:line="250"/>
            </w:pPr>
            <w:r>
              <w:rPr>
                <w:rFonts w:ascii="Arial" w:cs="Arial" w:eastAsia="Arial" w:hAnsi="Arial"/>
                <w:b/>
                <w:bCs/>
                <w:color w:val="00338D"/>
                <w:sz w:val="19"/>
                <w:szCs w:val="19"/>
              </w:rPr>
              <w:t xml:space="preserve">Daya saing</w:t>
            </w:r>
          </w:p>
          <w:p>
            <w:pPr>
              <w:spacing w:after="50" w:line="252"/>
            </w:pPr>
            <w:r>
              <w:rPr>
                <w:rFonts w:ascii="Arial" w:cs="Arial" w:eastAsia="Arial" w:hAnsi="Arial"/>
                <w:sz w:val="17"/>
                <w:szCs w:val="17"/>
              </w:rPr>
              <w:t xml:space="preserve">Apakah pabrik dapat berproduksi dengan biaya, kualitas, dan keandalan yang dapat diterima setelah dukungan dikurangi? Ukur keekonomian unit di pasar yang kompetitif, bukan penjualan yang dilindungi.</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3</w:t>
            </w:r>
          </w:p>
          <w:p>
            <w:pPr>
              <w:spacing w:after="70" w:line="250"/>
            </w:pPr>
            <w:r>
              <w:rPr>
                <w:rFonts w:ascii="Arial" w:cs="Arial" w:eastAsia="Arial" w:hAnsi="Arial"/>
                <w:b/>
                <w:bCs/>
                <w:color w:val="00338D"/>
                <w:sz w:val="19"/>
                <w:szCs w:val="19"/>
              </w:rPr>
              <w:t xml:space="preserve">Kapabilitas</w:t>
            </w:r>
          </w:p>
          <w:p>
            <w:pPr>
              <w:spacing w:after="50" w:line="252"/>
            </w:pPr>
            <w:r>
              <w:rPr>
                <w:rFonts w:ascii="Arial" w:cs="Arial" w:eastAsia="Arial" w:hAnsi="Arial"/>
                <w:sz w:val="17"/>
                <w:szCs w:val="17"/>
              </w:rPr>
              <w:t xml:space="preserve">Apakah tim dalam negeri dapat mengoperasikan, menyempurnakan, dan mereplikasi proses kritis? Persyaratkan hak desain, pengendalian proses, kualifikasi pemasok, dan penjualan komersial berulang yang terverifikasi.</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4</w:t>
            </w:r>
          </w:p>
          <w:p>
            <w:pPr>
              <w:spacing w:after="70" w:line="250"/>
            </w:pPr>
            <w:r>
              <w:rPr>
                <w:rFonts w:ascii="Arial" w:cs="Arial" w:eastAsia="Arial" w:hAnsi="Arial"/>
                <w:b/>
                <w:bCs/>
                <w:color w:val="00338D"/>
                <w:sz w:val="19"/>
                <w:szCs w:val="19"/>
              </w:rPr>
              <w:t xml:space="preserve">Distribusi dan ketahanan</w:t>
            </w:r>
          </w:p>
          <w:p>
            <w:pPr>
              <w:spacing w:after="50" w:line="252"/>
            </w:pPr>
            <w:r>
              <w:rPr>
                <w:rFonts w:ascii="Arial" w:cs="Arial" w:eastAsia="Arial" w:hAnsi="Arial"/>
                <w:sz w:val="17"/>
                <w:szCs w:val="17"/>
              </w:rPr>
              <w:t xml:space="preserve">Apakah lapangan kerja berkelanjutan, pemasok lebih produktif, layanan terjangkau, dan manfaat lingkungan terverifikasi sepanjang umur aset?</w:t>
            </w:r>
          </w:p>
        </w:tc>
      </w:tr>
    </w:tbl>
    <w:p>
      <w:pPr>
        <w:spacing w:after="160"/>
      </w:pPr>
    </w:p>
    <w:p>
      <w:pPr>
        <w:spacing w:after="100" w:before="0" w:line="258"/>
        <w:jc w:val="left"/>
      </w:pPr>
      <w:r>
        <w:rPr>
          <w:rFonts w:ascii="Arial" w:cs="Arial" w:eastAsia="Arial" w:hAnsi="Arial"/>
          <w:color w:val="000000"/>
          <w:sz w:val="19"/>
          <w:szCs w:val="19"/>
        </w:rPr>
        <w:t xml:space="preserve">Pertumbuhan PDB nasional (5,11% pada 2025 dibandingkan 5,03% pada 2024) tidak dapat diatribusikan kepada Danantara tanpa kontrafaktual dan bukti keluaran inkremental. Pengumuman investasi publik bukan estimasi tambahan PDB [D1/S14].</w:t>
      </w:r>
    </w:p>
    <w:p>
      <w:pPr>
        <w:pStyle w:val="Heading2"/>
        <w:keepNext/>
        <w:keepLines/>
        <w:spacing w:after="120" w:before="280"/>
      </w:pPr>
      <w:r>
        <w:rPr>
          <w:rFonts w:ascii="Arial" w:cs="Arial" w:eastAsia="Arial" w:hAnsi="Arial"/>
          <w:b/>
          <w:bCs/>
          <w:color w:val="00338D"/>
          <w:sz w:val="28"/>
          <w:szCs w:val="28"/>
        </w:rPr>
        <w:t xml:space="preserve">4.5 Fondasi tata kelola</w:t>
      </w:r>
    </w:p>
    <w:p>
      <w:pPr>
        <w:spacing w:after="100" w:before="0" w:line="258"/>
        <w:jc w:val="left"/>
      </w:pPr>
      <w:r>
        <w:rPr>
          <w:rFonts w:ascii="Arial" w:cs="Arial" w:eastAsia="Arial" w:hAnsi="Arial"/>
          <w:color w:val="000000"/>
          <w:sz w:val="19"/>
          <w:szCs w:val="19"/>
        </w:rPr>
        <w:t xml:space="preserve">Dinilai terhadap OECD SOE Guidelines 2024, desain Danantara menyediakan dasar yang memadai bagi tata kelola yang baik. Efektivitasnya bergantung pada instrumen internal dan penerapannya, yang tidak dapat diverifikasi melalui bukti publik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144"/>
        <w:gridCol w:w="3374"/>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dan penilaian</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 yang diperlukan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Kejelasan organ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memisahkan Dewan Pengawas dan Badan Pelaksana. Fondasi pengawasan tersedia.</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Periksa pedoman kerja (board manual), hal-hal yang dicadangkan (reserved matters), piagam komite, dan instrumen pengangkatan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Mandat pemilik dan regulator</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 BUMN dan BPI memiliki peran hukum yang berbeda; hak atas setiap perusahaan mengikuti kepemilikan dan anggaran dasar.</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Dokumentasikan kapan BPI bertindak sebagai pemilik, koordinator, investor, atau pelaksana penugasan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Komersial dibandingkan pembangunan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19 membedakan tujuan holding; DDMF memublikasikan mandat pembangunan.</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Terapkan target keuangan, target dampak, dan sumber dukungan yang sesuai dengan masing-masing mandat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Kompetensi pelaksanaan industri</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Terdapat CTO serta MD untuk Industrialization, Technology Advancement, dan Strategic Technology Initiatives.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kapasitas rekayasa, pengontrakan, commissioning, dan integrasi rantai pasok sebelum menambah jabatan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di tingkat organ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Pasal 14 mensyaratkan adanya portofolio risiko di antara anggota Badan Pelaksana; jabatan MD Risiko tidak membuktikan kepatuhan.</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Verifikasi Keputusan Presiden, penugasan portofolio, serta akses dan kedudukan fungsi risiko dalam komite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Benturan kepentingan</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PP mensyaratkan pengungkapan dan pengecualian pihak yang memiliki benturan kepentingan.</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Pelihara register benturan kepentingan, risalah pengunduran diri dari pengambilan keputusan (recusal), dan jalur keputusan alternatif apabila pimpinan memiliki benturan kepentingan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4.6 Kesiapan melaksanakan 40 proyek strategis</w:t>
      </w:r>
    </w:p>
    <w:p>
      <w:pPr>
        <w:spacing w:after="100" w:before="0" w:line="258"/>
        <w:jc w:val="left"/>
      </w:pPr>
      <w:r>
        <w:rPr>
          <w:rFonts w:ascii="Arial" w:cs="Arial" w:eastAsia="Arial" w:hAnsi="Arial"/>
          <w:color w:val="000000"/>
          <w:sz w:val="19"/>
          <w:szCs w:val="19"/>
        </w:rPr>
        <w:t xml:space="preserve">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 berdasarkan bukti yang tersedia</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Akuntabilitas proyek</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tersedia register terintegrasi yang menghubungkan 40 proyek dengan pemimpin, tahap keputusan, dan hasilnya untuk kajian ini</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Satu penanggung jawab hasil yang akuntabel per proyek; satu register keputusan dan hambatan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Kewenangan modal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memutuskan untuk Badan Pelaksana; keputusan holding dan perusahaan merupakan lapisan terpisah</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Peta kewenangan per entitas, objek, dan tahap; kewenangan penandatanganan dipisahkan dari persetujuan bisnis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Penjaminan dan dukungan fiskal</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Mandat pembangunan tidak secara otomatis memberikan penjaminan negara atau penyertaan modal negara (PMN)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Tunjukkan penjamin, kemampuan bayarnya, dasar hukum dukungan, dan biaya kontinjensinya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Pengadaan dan mitra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Kebijakan pengadaan dan pemilihan mitra harus diperiksa pada entitas pelaksana</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pemilik manfaat, transaksi pihak berelasi, persaingan, alasan penunjukan langsung, dan pengendalian perubahan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Transparansi dan audit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Konsolidasi dan audit sedang berjalan (pernyataan 12 Mei 2026); opini audit terkini belum dinilai</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Tinjau laporan audit dan tindak lanjutnya; laporkan portofolio dan dampak secara konsisten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Pengukuran keberhasilan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Daftar investasi dan target lapangan kerja tidak membuktikan manfaat</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Ukur operasi, utilisasi, biaya, dampak bersih, teknologi yang dikuasai, dan hasil pascainvestasi</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Data 40 proyek tidak terekonsiliasi</w:t>
      </w:r>
    </w:p>
    <w:p>
      <w:pPr>
        <w:keepNext/>
        <w:spacing w:after="60" w:before="120"/>
      </w:pPr>
      <w:r>
        <w:rPr>
          <w:rFonts w:ascii="Arial" w:cs="Arial" w:eastAsia="Arial" w:hAnsi="Arial"/>
          <w:b/>
          <w:bCs/>
          <w:color w:val="00338D"/>
          <w:sz w:val="18"/>
          <w:szCs w:val="18"/>
        </w:rPr>
        <w:t xml:space="preserve">Gambar 1: </w:t>
      </w:r>
      <w:r>
        <w:rPr>
          <w:rFonts w:ascii="Arial" w:cs="Arial" w:eastAsia="Arial" w:hAnsi="Arial"/>
          <w:b/>
          <w:bCs/>
          <w:color w:val="00338D"/>
          <w:sz w:val="18"/>
          <w:szCs w:val="18"/>
        </w:rPr>
        <w:t xml:space="preserve">Portofolio 40 proyek: tabel ringkasan dibandingkan tabel rinci</w:t>
      </w:r>
    </w:p>
    <w:p>
      <w:pPr>
        <w:keepNext/>
        <w:spacing w:after="40"/>
      </w:pPr>
      <w:r>
        <w:drawing>
          <wp:inline distT="0" distB="0" distL="0" distR="0">
            <wp:extent cx="5669280" cy="2673428"/>
            <wp:effectExtent t="0" r="0" b="0" l="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673428"/>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D2 §1, berdasarkan infografik 40 proyek (U1). Tabel rinci dikonversi dari juta rupiah. Kelas bukti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446"/>
        <w:gridCol w:w="1060"/>
        <w:gridCol w:w="1446"/>
        <w:gridCol w:w="1060"/>
        <w:gridCol w:w="231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Ringkasan (Rp T)</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Rinci (Rp T)</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Selisih (Rp T)</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Mineral</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283,85</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13,6%</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86,87</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−196,98</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1.274,57</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60,9%</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1.217,92</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58,8%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−56,65</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Industri pertahanan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81,10</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24,36</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−56,74</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451,94</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743,38</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35,9%</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+291,44</w:t>
            </w:r>
          </w:p>
        </w:tc>
      </w:tr>
      <w:tr>
        <w:trPr>
          <w:cantSplit/>
        </w:trPr>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Total</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2.091,46</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100%</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2.072,53</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100%</w:t>
            </w:r>
          </w:p>
        </w:tc>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−18,93</w:t>
            </w:r>
          </w:p>
        </w:tc>
      </w:tr>
    </w:tbl>
    <w:p>
      <w:pPr>
        <w:keepNext w:val="false"/>
        <w:spacing w:after="140"/>
      </w:pPr>
    </w:p>
    <w:p>
      <w:pPr>
        <w:spacing w:after="100" w:before="0" w:line="258"/>
        <w:jc w:val="left"/>
      </w:pPr>
      <w:r>
        <w:rPr>
          <w:rFonts w:ascii="Arial" w:cs="Arial" w:eastAsia="Arial" w:hAnsi="Arial"/>
          <w:color w:val="000000"/>
          <w:sz w:val="19"/>
          <w:szCs w:val="19"/>
        </w:rPr>
        <w:t xml:space="preserve">Totalnya berbeda </w:t>
      </w:r>
      <w:r>
        <w:rPr>
          <w:rFonts w:ascii="Arial" w:cs="Arial" w:eastAsia="Arial" w:hAnsi="Arial"/>
          <w:b/>
          <w:bCs/>
          <w:color w:val="000000"/>
          <w:sz w:val="19"/>
          <w:szCs w:val="19"/>
        </w:rPr>
        <w:t xml:space="preserve">Rp18,93 triliun</w:t>
      </w:r>
      <w:r>
        <w:rPr>
          <w:rFonts w:ascii="Arial" w:cs="Arial" w:eastAsia="Arial" w:hAnsi="Arial"/>
          <w:color w:val="000000"/>
          <w:sz w:val="19"/>
          <w:szCs w:val="19"/>
        </w:rPr>
        <w:t xml:space="preserve">,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pPr>
        <w:pStyle w:val="Heading2"/>
        <w:keepNext/>
        <w:keepLines/>
        <w:spacing w:after="120" w:before="280"/>
      </w:pPr>
      <w:r>
        <w:rPr>
          <w:rFonts w:ascii="Arial" w:cs="Arial" w:eastAsia="Arial" w:hAnsi="Arial"/>
          <w:b/>
          <w:bCs/>
          <w:color w:val="00338D"/>
          <w:sz w:val="28"/>
          <w:szCs w:val="28"/>
        </w:rPr>
        <w:t xml:space="preserve">4.7 Akar masalah</w:t>
      </w:r>
    </w:p>
    <w:p>
      <w:pPr>
        <w:spacing w:after="100" w:before="0" w:line="258"/>
        <w:jc w:val="left"/>
      </w:pPr>
      <w:r>
        <w:rPr>
          <w:rFonts w:ascii="Arial" w:cs="Arial" w:eastAsia="Arial" w:hAnsi="Arial"/>
          <w:color w:val="000000"/>
          <w:sz w:val="19"/>
          <w:szCs w:val="19"/>
        </w:rPr>
        <w:t xml:space="preserve">Keempat rangkaian karya sumber menunjuk pada empat akar masalah yang sama [D3 hlm. 2; D1; D2;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1</w:t>
            </w:r>
          </w:p>
          <w:p>
            <w:pPr>
              <w:spacing w:after="70" w:line="250"/>
            </w:pPr>
            <w:r>
              <w:rPr>
                <w:rFonts w:ascii="Arial" w:cs="Arial" w:eastAsia="Arial" w:hAnsi="Arial"/>
                <w:b/>
                <w:bCs/>
                <w:color w:val="00338D"/>
                <w:sz w:val="19"/>
                <w:szCs w:val="19"/>
              </w:rPr>
              <w:t xml:space="preserve">Modal tanpa mekanisme konversi</w:t>
            </w:r>
          </w:p>
          <w:p>
            <w:pPr>
              <w:spacing w:after="50" w:line="252"/>
            </w:pPr>
            <w:r>
              <w:rPr>
                <w:rFonts w:ascii="Arial" w:cs="Arial" w:eastAsia="Arial" w:hAnsi="Arial"/>
                <w:sz w:val="17"/>
                <w:szCs w:val="17"/>
              </w:rPr>
              <w:t xml:space="preserve">Modal tersedia, tetapi belum ada mekanisme yang jelas untuk mengubah investasi menjadi kapabilitas industri nasional.</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2</w:t>
            </w:r>
          </w:p>
          <w:p>
            <w:pPr>
              <w:spacing w:after="70" w:line="250"/>
            </w:pPr>
            <w:r>
              <w:rPr>
                <w:rFonts w:ascii="Arial" w:cs="Arial" w:eastAsia="Arial" w:hAnsi="Arial"/>
                <w:b/>
                <w:bCs/>
                <w:color w:val="00338D"/>
                <w:sz w:val="19"/>
                <w:szCs w:val="19"/>
              </w:rPr>
              <w:t xml:space="preserve">Proyek padat impor dengan alih teknologi yang minim</w:t>
            </w:r>
          </w:p>
          <w:p>
            <w:pPr>
              <w:spacing w:after="50" w:line="252"/>
            </w:pPr>
            <w:r>
              <w:rPr>
                <w:rFonts w:ascii="Arial" w:cs="Arial" w:eastAsia="Arial" w:hAnsi="Arial"/>
                <w:sz w:val="17"/>
                <w:szCs w:val="17"/>
              </w:rPr>
              <w:t xml:space="preserve">Banyak proyek digerakkan oleh impor dan konstruksi, dengan alih teknologi dan pengembangan pemasok yang terbatas. Contohnya antara lain 75% bahan impor yang dilaporkan PT PAL [D6] dan calon UKM pada MRL 3–5 [D4].</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3</w:t>
            </w:r>
          </w:p>
          <w:p>
            <w:pPr>
              <w:spacing w:after="70" w:line="250"/>
            </w:pPr>
            <w:r>
              <w:rPr>
                <w:rFonts w:ascii="Arial" w:cs="Arial" w:eastAsia="Arial" w:hAnsi="Arial"/>
                <w:b/>
                <w:bCs/>
                <w:color w:val="00338D"/>
                <w:sz w:val="19"/>
                <w:szCs w:val="19"/>
              </w:rPr>
              <w:t xml:space="preserve">BUMN bekerja secara terpisah (silo)</w:t>
            </w:r>
          </w:p>
          <w:p>
            <w:pPr>
              <w:spacing w:after="50" w:line="252"/>
            </w:pPr>
            <w:r>
              <w:rPr>
                <w:rFonts w:ascii="Arial" w:cs="Arial" w:eastAsia="Arial" w:hAnsi="Arial"/>
                <w:sz w:val="17"/>
                <w:szCs w:val="17"/>
              </w:rPr>
              <w:t xml:space="preserve">BUMN sering bertindak sendiri dan tidak terintegrasi dalam suatu platform industri [D3 hlm. 2]. Tidak tersedia lapisan portofolio lintas lini maupun register terintegrasi untuk kajian ini [D2].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4</w:t>
            </w:r>
          </w:p>
          <w:p>
            <w:pPr>
              <w:spacing w:after="70" w:line="250"/>
            </w:pPr>
            <w:r>
              <w:rPr>
                <w:rFonts w:ascii="Arial" w:cs="Arial" w:eastAsia="Arial" w:hAnsi="Arial"/>
                <w:b/>
                <w:bCs/>
                <w:color w:val="00338D"/>
                <w:sz w:val="19"/>
                <w:szCs w:val="19"/>
              </w:rPr>
              <w:t xml:space="preserve">Dampak tidak diukur</w:t>
            </w:r>
          </w:p>
          <w:p>
            <w:pPr>
              <w:spacing w:after="50" w:line="252"/>
            </w:pPr>
            <w:r>
              <w:rPr>
                <w:rFonts w:ascii="Arial" w:cs="Arial" w:eastAsia="Arial" w:hAnsi="Arial"/>
                <w:sz w:val="17"/>
                <w:szCs w:val="17"/>
              </w:rPr>
              <w:t xml:space="preserve">Dampak terhadap PDB, teknologi, dan ekspor tidak diukur dengan metode yang dapat dipertanggungjawabkan. Pengumuman menggantikan hasil [D1].</w:t>
            </w:r>
          </w:p>
        </w:tc>
      </w:tr>
    </w:tbl>
    <w:p>
      <w:pPr>
        <w:spacing w:after="16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05</w:t>
            </w:r>
          </w:p>
          <w:p>
            <w:pPr>
              <w:pStyle w:val="Heading1"/>
              <w:spacing w:after="100"/>
            </w:pPr>
            <w:r>
              <w:rPr>
                <w:rFonts w:ascii="Arial" w:cs="Arial" w:eastAsia="Arial" w:hAnsi="Arial"/>
                <w:b/>
                <w:bCs/>
                <w:color w:val="FFFFFF"/>
                <w:sz w:val="40"/>
                <w:szCs w:val="40"/>
              </w:rPr>
              <w:t xml:space="preserve">Apa yang diharapkan dari Danantara</w:t>
            </w:r>
          </w:p>
          <w:p>
            <w:pPr>
              <w:spacing w:after="0" w:line="276"/>
            </w:pPr>
            <w:r>
              <w:rPr>
                <w:rFonts w:ascii="Arial" w:cs="Arial" w:eastAsia="Arial" w:hAnsi="Arial"/>
                <w:color w:val="FFFFFF"/>
                <w:sz w:val="20"/>
                <w:szCs w:val="20"/>
              </w:rPr>
              <w:t xml:space="preserve">Danantara diharapkan memperkuat industri strategis nasional serta memberikan kontribusi yang terukur terhadap indikator ekonomi dan kesejahteraan sosial. Bab ini menerjemahkan harapan tersebut menjadi kondisi sasaran yang dapat dikelola dan diukur.</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5.1 Dari harapan menjadi hasil yang terukur</w:t>
      </w:r>
    </w:p>
    <w:p>
      <w:pPr>
        <w:spacing w:after="100" w:before="0" w:line="258"/>
        <w:jc w:val="left"/>
      </w:pPr>
      <w:r>
        <w:rPr>
          <w:rFonts w:ascii="Arial" w:cs="Arial" w:eastAsia="Arial" w:hAnsi="Arial"/>
          <w:color w:val="000000"/>
          <w:sz w:val="19"/>
          <w:szCs w:val="19"/>
        </w:rPr>
        <w:t xml:space="preserve">Harapan terhadap Danantara terdiri atas tiga bagian. Masing-masing harus didefinisikan sebagai hasil </w:t>
      </w:r>
      <w:r>
        <w:rPr>
          <w:rFonts w:ascii="Arial" w:cs="Arial" w:eastAsia="Arial" w:hAnsi="Arial"/>
          <w:b/>
          <w:bCs/>
          <w:color w:val="000000"/>
          <w:sz w:val="19"/>
          <w:szCs w:val="19"/>
        </w:rPr>
        <w:t xml:space="preserve">tambahan</w:t>
      </w:r>
      <w:r>
        <w:rPr>
          <w:rFonts w:ascii="Arial" w:cs="Arial" w:eastAsia="Arial" w:hAnsi="Arial"/>
          <w:color w:val="000000"/>
          <w:sz w:val="19"/>
          <w:szCs w:val="19"/>
        </w:rPr>
        <w:t xml:space="preserve"> yang tidak akan terjadi tanpa Danantara. Masing-masing memerlukan ukurannya sendiri, karena satu angka laba atau dividen tidak dapat mewakili ketiganya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8"/>
        <w:gridCol w:w="3470"/>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Harapan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Seperti apa keberhasilannya</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utama (Bab 14; definisi di Lampiran 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Meningkatkan kapabilitas industri strategis nasional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Perusahaan dalam negeri mampu merancang, membuat, menyertifikasi, memelihara, dan menyempurnakan produk dan proses kritis dengan biaya yang kompetitif, serta memperoleh penjualan berulang tanpa proteksi permanen</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Pemasok yang lolos gerbang (gate) DOCK-UP; tonggak capaian teknologi yang terverifikasi (D06); porsi nilai tambah dalam negeri (D05); utilisasi kapasitas komersial (D07)</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Berkontribusi pada indikator ekonomi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riil tambahan, kontribusi devisa neto, pertumbuhan produktivitas, dan modal swasta yang dimobilisasi, setelah dikurangi efek perpindahan (displacement) dan dukungan publik</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dalam negeri tambahan (D02); kontribusi devisa neto (D04); produktivitas pemasok (D09); mobilisasi swasta yang dapat diatribusikan (I10); imbal hasil ekonomi di atas ambang sosial (D01)</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Dampak sosial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Lapangan kerja berkualitas yang berkelanjutan, UKM yang terintegrasi ke dalam rantai pasok strategis, layanan yang andal dan terjangkau, serta manfaat lingkungan yang terverifikasi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Tambahan lapangan kerja yang berkelanjutan (D03); layanan andal dan terjangkau yang diberikan (D11); pengurangan GRK neto sepanjang siklus hidup (D10); dukungan publik per hasil tambahan (D12)</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Orde besaran: apa yang dapat disumbangkan oleh lokalisasi</w:t>
      </w:r>
    </w:p>
    <w:p>
      <w:pPr>
        <w:spacing w:after="100" w:before="0" w:line="258"/>
        <w:jc w:val="left"/>
      </w:pPr>
      <w:r>
        <w:rPr>
          <w:rFonts w:ascii="Arial" w:cs="Arial" w:eastAsia="Arial" w:hAnsi="Arial"/>
          <w:color w:val="000000"/>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ke pemasok dalam negeri yang terverifikasi. Ini adalah </w:t>
      </w:r>
      <w:r>
        <w:rPr>
          <w:rFonts w:ascii="Arial" w:cs="Arial" w:eastAsia="Arial" w:hAnsi="Arial"/>
          <w:b/>
          <w:bCs/>
          <w:color w:val="000000"/>
          <w:sz w:val="19"/>
          <w:szCs w:val="19"/>
        </w:rPr>
        <w:t xml:space="preserve">ilustrasi kelas D</w:t>
      </w:r>
      <w:r>
        <w:rPr>
          <w:rFonts w:ascii="Arial" w:cs="Arial" w:eastAsia="Arial" w:hAnsi="Arial"/>
          <w:color w:val="000000"/>
          <w:sz w:val="19"/>
          <w:szCs w:val="19"/>
        </w:rPr>
        <w:t xml:space="preserve">: setiap asumsi dinyatakan dan harus diganti dengan data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Asumsi (ilustratif)</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Barang dan peralatan sebagai porsi belanja modal (capex) proyek jangkar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45%</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impor atas barang tersebut saat ini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60% (PT PAL melaporkan 75% untuk materialnya [D6])</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tambah dalam negeri per rupiah pembelian dalam negeri</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Kandungan impor dari pasokan dalam negeri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tambah per tahun-kerja penuh waktu</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Rp250 juta</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Nilai tukar</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Rp16.500 per US$</w:t>
            </w:r>
          </w:p>
        </w:tc>
      </w:tr>
    </w:tbl>
    <w:p>
      <w:pPr>
        <w:keepNext w:val="false"/>
        <w:spacing w:after="140"/>
      </w:pPr>
    </w:p>
    <w:p>
      <w:pPr>
        <w:keepNext/>
        <w:spacing w:after="80" w:before="120"/>
      </w:pPr>
      <w:r>
        <w:rPr>
          <w:rFonts w:ascii="Arial" w:cs="Arial" w:eastAsia="Arial" w:hAnsi="Arial"/>
          <w:b/>
          <w:bCs/>
          <w:color w:val="00338D"/>
          <w:sz w:val="18"/>
          <w:szCs w:val="18"/>
        </w:rPr>
        <w:t xml:space="preserve">Tabel 6: </w:t>
      </w:r>
      <w:r>
        <w:rPr>
          <w:rFonts w:ascii="Arial" w:cs="Arial" w:eastAsia="Arial" w:hAnsi="Arial"/>
          <w:b/>
          <w:bCs/>
          <w:color w:val="00338D"/>
          <w:sz w:val="18"/>
          <w:szCs w:val="18"/>
        </w:rPr>
        <w:t xml:space="preserve">Skenario lokalisasi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2"/>
        <w:gridCol w:w="1542"/>
        <w:gridCol w:w="1542"/>
        <w:gridCol w:w="1542"/>
      </w:tblGrid>
      <w:tr>
        <w:trPr>
          <w:cantSplit/>
          <w:tblHeader/>
        </w:trPr>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Porsi barang impor yang dialihkan ke pemasok DOCK-UP</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10%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20%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30%</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Pembelian dalam negeri per Rp100 triliun capex (Rp triliun)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2,7</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5,4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8,1</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nilai tambah dalam negeri per Rp100 triliun (Rp triliun)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2,2</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3,2</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(Rp2.091 triliun): pembelian dalam negeri (Rp triliun)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56</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113</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169</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tambahan nilai tambah (Rp triliun)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23</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45</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68</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penghematan devisa neto (Rp triliun / US$ miliar)</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40 / 2,4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79 / 4,8</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119 / 7,2</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Seluruh portofolio: tahun-kerja yang didukung</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90.000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181.000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271.000</w:t>
            </w:r>
          </w:p>
        </w:tc>
      </w:tr>
    </w:tbl>
    <w:p>
      <w:pPr>
        <w:keepNext w:val="false"/>
        <w:spacing w:after="140"/>
      </w:pPr>
    </w:p>
    <w:p>
      <w:pPr>
        <w:spacing w:after="160"/>
      </w:pPr>
      <w:r>
        <w:rPr>
          <w:rFonts w:ascii="Arial" w:cs="Arial" w:eastAsia="Arial" w:hAnsi="Arial"/>
          <w:i/>
          <w:iCs/>
          <w:color w:val="000000"/>
          <w:sz w:val="15"/>
          <w:szCs w:val="15"/>
        </w:rPr>
        <w:t xml:space="preserve">Ilustrasi kelas D. Angka seluruh portofolio terakumulasi selama periode pembangunan, bukan per tahun. Angka tersebut menskalakan hasil per Rp100 triliun dengan faktor 20,9 dan menggunakan total portofolio yang belum direkonsiliasi.</w:t>
      </w:r>
    </w:p>
    <w:p>
      <w:pPr>
        <w:spacing w:after="100" w:before="0" w:line="258"/>
        <w:jc w:val="left"/>
      </w:pPr>
      <w:r>
        <w:rPr>
          <w:rFonts w:ascii="Arial" w:cs="Arial" w:eastAsia="Arial" w:hAnsi="Arial"/>
          <w:color w:val="000000"/>
          <w:sz w:val="19"/>
          <w:szCs w:val="19"/>
        </w:rPr>
        <w:t xml:space="preserve">Bahkan skenario yang moderat kemungkinan besar akan jauh melampaui biaya penyelenggaraan DOCK-UP; hal ini perlu dikonfirmasi setelah biaya percontohan dihitung. Angka-angka tersebut masih bruto, belum dikurangi efek perpindahan, dan tidak boleh dilaporkan sebagai tambahan PDB (Bagian 14.4).</w:t>
      </w:r>
    </w:p>
    <w:p>
      <w:pPr>
        <w:pStyle w:val="Heading2"/>
        <w:keepNext/>
        <w:keepLines/>
        <w:spacing w:after="120" w:before="280"/>
      </w:pPr>
      <w:r>
        <w:rPr>
          <w:rFonts w:ascii="Arial" w:cs="Arial" w:eastAsia="Arial" w:hAnsi="Arial"/>
          <w:b/>
          <w:bCs/>
          <w:color w:val="00338D"/>
          <w:sz w:val="28"/>
          <w:szCs w:val="28"/>
        </w:rPr>
        <w:t xml:space="preserve">5.2 Tujuan strategis dan lima nilai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Usulan tujuan strategis</w:t>
            </w:r>
          </w:p>
          <w:p>
            <w:pPr>
              <w:spacing w:after="80" w:line="264"/>
            </w:pPr>
            <w:r>
              <w:rPr>
                <w:rFonts w:ascii="Arial" w:cs="Arial" w:eastAsia="Arial" w:hAnsi="Arial"/>
                <w:color w:val="FFFFFF"/>
                <w:sz w:val="19"/>
                <w:szCs w:val="19"/>
              </w:rPr>
              <w:t xml:space="preserve">Menghasilkan imbal hasil yang berkelanjutan sambil membangun kapabilitas industri nasional yang meningkatkan produktivitas, teknologi, ketahanan, dan daya saing Indonesia [D3 hlm. 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530"/>
        <w:gridCol w:w="3373"/>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Kontribusi Danantara</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 ilustratif</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ekonomi</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di atas biaya modal; tambahan nilai tambah; modal swasta yang dimobilisasi</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IRR neto di atas ambang (hurdle); ENPV; rasio mobilisasi</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industri</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Kapasitas produksi dalam negeri baru dan pemasok yang terkualifikasi</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Pemasok terkualifikasi pada G3/G4; utilisasi kapasitas baru</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teknologi</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Teknologi yang dikuasai serta HKI yang dimiliki atau dikendalikan di Indonesia</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Tonggak kapabilitas yang diterima secara independen; hak operasi dan penyempurnaan yang dapat ditegakkan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strategis</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Ketahanan rantai pasok kritis, terutama pertahanan dan energi</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komponen kritis yang memiliki sumber dalam negeri terkualifikasi; kapasitas dukungan sepanjang umur pakai</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Nilai sosial</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Lapangan kerja berkualitas, partisipasi UKM, layanan, lingkungan</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FTE berkelanjutan; UKM dalam rantai pasok; unit layanan; tCO2e yang dikurangi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5.3 Logika perubahan</w:t>
      </w:r>
    </w:p>
    <w:p>
      <w:pPr>
        <w:spacing w:after="100" w:before="0" w:line="258"/>
        <w:jc w:val="left"/>
      </w:pPr>
      <w:r>
        <w:rPr>
          <w:rFonts w:ascii="Arial" w:cs="Arial" w:eastAsia="Arial" w:hAnsi="Arial"/>
          <w:color w:val="000000"/>
          <w:sz w:val="19"/>
          <w:szCs w:val="19"/>
        </w:rPr>
        <w:t xml:space="preserve">Platform ini mengubah modal menjadi kapabilitas melalui serangkaian tahap, di mana setiap tahap harus diverifikasi sebelum tahap berikutnya didanai. Inilah inti dari model yang kami rekomendasikan.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Modal</w:t>
            </w:r>
          </w:p>
          <w:p>
            <w:pPr>
              <w:spacing w:after="0" w:line="236"/>
            </w:pPr>
            <w:r>
              <w:rPr>
                <w:rFonts w:ascii="Arial" w:cs="Arial" w:eastAsia="Arial" w:hAnsi="Arial"/>
                <w:color w:val="FFFFFF"/>
                <w:sz w:val="14"/>
                <w:szCs w:val="14"/>
              </w:rPr>
              <w:t xml:space="preserve">Ekuitas Danantara, NRF, dan surat proyek yang ditokenisasi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Permintaan jangkar</w:t>
            </w:r>
          </w:p>
          <w:p>
            <w:pPr>
              <w:spacing w:after="0" w:line="236"/>
            </w:pPr>
            <w:r>
              <w:rPr>
                <w:rFonts w:ascii="Arial" w:cs="Arial" w:eastAsia="Arial" w:hAnsi="Arial"/>
                <w:color w:val="FFFFFF"/>
                <w:sz w:val="14"/>
                <w:szCs w:val="14"/>
              </w:rPr>
              <w:t xml:space="preserve">Proyek strategis nasional dengan paket yang dapat dilokalisasi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Pesanan bergerbang</w:t>
            </w:r>
          </w:p>
          <w:p>
            <w:pPr>
              <w:spacing w:after="0" w:line="236"/>
            </w:pPr>
            <w:r>
              <w:rPr>
                <w:rFonts w:ascii="Arial" w:cs="Arial" w:eastAsia="Arial" w:hAnsi="Arial"/>
                <w:color w:val="FFFFFF"/>
                <w:sz w:val="14"/>
                <w:szCs w:val="14"/>
              </w:rPr>
              <w:t xml:space="preserve">Kontrak payung yang dilepas pada gerbang DOCK-UP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Peningkatan pemasok</w:t>
            </w:r>
          </w:p>
          <w:p>
            <w:pPr>
              <w:spacing w:after="0" w:line="236"/>
            </w:pPr>
            <w:r>
              <w:rPr>
                <w:rFonts w:ascii="Arial" w:cs="Arial" w:eastAsia="Arial" w:hAnsi="Arial"/>
                <w:color w:val="FFFFFF"/>
                <w:sz w:val="14"/>
                <w:szCs w:val="14"/>
              </w:rPr>
              <w:t xml:space="preserve">TRL/MRL terverifikasi, sertifikasi C1–C3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Kapabilitas</w:t>
            </w:r>
          </w:p>
          <w:p>
            <w:pPr>
              <w:spacing w:after="0" w:line="236"/>
            </w:pPr>
            <w:r>
              <w:rPr>
                <w:rFonts w:ascii="Arial" w:cs="Arial" w:eastAsia="Arial" w:hAnsi="Arial"/>
                <w:color w:val="FFFFFF"/>
                <w:sz w:val="14"/>
                <w:szCs w:val="14"/>
              </w:rPr>
              <w:t xml:space="preserve">Produksi, teknologi, HKI, keterampilan, ekspor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Hasil</w:t>
            </w:r>
          </w:p>
          <w:p>
            <w:pPr>
              <w:spacing w:after="0" w:line="236"/>
            </w:pPr>
            <w:r>
              <w:rPr>
                <w:rFonts w:ascii="Arial" w:cs="Arial" w:eastAsia="Arial" w:hAnsi="Arial"/>
                <w:color w:val="FFFFFF"/>
                <w:sz w:val="14"/>
                <w:szCs w:val="14"/>
              </w:rPr>
              <w:t xml:space="preserve">Nilai tambah, devisa, lapangan kerja, ketahanan, imbal hasil</w:t>
            </w:r>
          </w:p>
        </w:tc>
      </w:tr>
    </w:tbl>
    <w:p>
      <w:pPr>
        <w:spacing w:after="160"/>
      </w:pPr>
    </w:p>
    <w:p>
      <w:pPr>
        <w:spacing w:after="100" w:before="0" w:line="258"/>
        <w:jc w:val="left"/>
      </w:pPr>
      <w:r>
        <w:rPr>
          <w:rFonts w:ascii="Arial" w:cs="Arial" w:eastAsia="Arial" w:hAnsi="Arial"/>
          <w:color w:val="000000"/>
          <w:sz w:val="19"/>
          <w:szCs w:val="19"/>
        </w:rPr>
        <w:t xml:space="preserve">Transformasinya adalah dari </w:t>
      </w:r>
      <w:r>
        <w:rPr>
          <w:rFonts w:ascii="Arial" w:cs="Arial" w:eastAsia="Arial" w:hAnsi="Arial"/>
          <w:b/>
          <w:bCs/>
          <w:color w:val="000000"/>
          <w:sz w:val="19"/>
          <w:szCs w:val="19"/>
        </w:rPr>
        <w:t xml:space="preserve">pengelola aset dan investor</w:t>
      </w:r>
      <w:r>
        <w:rPr>
          <w:rFonts w:ascii="Arial" w:cs="Arial" w:eastAsia="Arial" w:hAnsi="Arial"/>
          <w:color w:val="000000"/>
          <w:sz w:val="19"/>
          <w:szCs w:val="19"/>
        </w:rPr>
        <w:t xml:space="preserve"> menjadi </w:t>
      </w:r>
      <w:r>
        <w:rPr>
          <w:rFonts w:ascii="Arial" w:cs="Arial" w:eastAsia="Arial" w:hAnsi="Arial"/>
          <w:b/>
          <w:bCs/>
          <w:color w:val="000000"/>
          <w:sz w:val="19"/>
          <w:szCs w:val="19"/>
        </w:rPr>
        <w:t xml:space="preserve">platform kapabilitas industri nasional berbasis proyek strategis dan permintaan dalam negeri</w:t>
      </w:r>
      <w:r>
        <w:rPr>
          <w:rFonts w:ascii="Arial" w:cs="Arial" w:eastAsia="Arial" w:hAnsi="Arial"/>
          <w:color w:val="000000"/>
          <w:sz w:val="19"/>
          <w:szCs w:val="19"/>
        </w:rPr>
        <w:t xml:space="preserve">. Danantara menyumbangkan modal, tata kelola, dan mandat; DOCK-UP mengubahnya menjadi produksi, teknologi, pemasok dalam negeri, sumber daya manusia, dan ekspor [D3 hlm. 2].</w:t>
      </w:r>
    </w:p>
    <w:p>
      <w:pPr>
        <w:pStyle w:val="Heading2"/>
        <w:keepNext/>
        <w:keepLines/>
        <w:spacing w:after="120" w:before="280"/>
      </w:pPr>
      <w:r>
        <w:rPr>
          <w:rFonts w:ascii="Arial" w:cs="Arial" w:eastAsia="Arial" w:hAnsi="Arial"/>
          <w:b/>
          <w:bCs/>
          <w:color w:val="00338D"/>
          <w:sz w:val="28"/>
          <w:szCs w:val="28"/>
        </w:rPr>
        <w:t xml:space="preserve">5.4 Arsitektur portofolio</w:t>
      </w:r>
    </w:p>
    <w:p>
      <w:pPr>
        <w:spacing w:after="100" w:before="0" w:line="258"/>
        <w:jc w:val="left"/>
      </w:pPr>
      <w:r>
        <w:rPr>
          <w:rFonts w:ascii="Arial" w:cs="Arial" w:eastAsia="Arial" w:hAnsi="Arial"/>
          <w:color w:val="000000"/>
          <w:sz w:val="19"/>
          <w:szCs w:val="19"/>
        </w:rPr>
        <w:t xml:space="preserve">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pPr>
        <w:keepNext/>
        <w:spacing w:after="80" w:before="120"/>
      </w:pPr>
      <w:r>
        <w:rPr>
          <w:rFonts w:ascii="Arial" w:cs="Arial" w:eastAsia="Arial" w:hAnsi="Arial"/>
          <w:b/>
          <w:bCs/>
          <w:color w:val="00338D"/>
          <w:sz w:val="18"/>
          <w:szCs w:val="18"/>
        </w:rPr>
        <w:t xml:space="preserve">Tabel 7: </w:t>
      </w:r>
      <w:r>
        <w:rPr>
          <w:rFonts w:ascii="Arial" w:cs="Arial" w:eastAsia="Arial" w:hAnsi="Arial"/>
          <w:b/>
          <w:bCs/>
          <w:color w:val="00338D"/>
          <w:sz w:val="18"/>
          <w:szCs w:val="18"/>
        </w:rPr>
        <w:t xml:space="preserve">Lima portofolio dengan ukuran dan penanggung jawab yang berbeda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891"/>
        <w:gridCol w:w="3084"/>
        <w:gridCol w:w="1928"/>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keberhasilan utama</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 penanggung jawab</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Pelestarian kekayaan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publik, obligasi, dan aset global yang matang</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tertimbang waktu neto dibandingkan tolok ukur kebijakan; likuiditas dan penurunan nilai (drawdown)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strategis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pelabuhan, logistik, kawasan industri, pusat data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NPV finansial dan ENPV; ketersediaan dan keandalan layanan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DDMF bersama DIM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Platform industri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jangkar: Giant Sea Wall, 3 Juta Rumah, maritim, pertahanan (D3); kami mengusulkan penambahan hilirisasi mineral</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Lokalisasi yang dicapai melalui DOCK-UP; nilai tambah dalam negeri yang terverifikasi; commissioning tepat waktu dan sesuai anggaran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Industri Strategis bersama sponsor proyek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Inovasi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Semikonduktor, AI, material maju, litbang, dan teknologi masa depan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Pengurangan ketidakpastian secara bertahap berbasis gerbang; tonggak capaian teknologi yang diterima secara independen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Pengembangan pemasok</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UMKM dan pemasok Tier 1–3 untuk peralatan, komponen, dan fabrikasi</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Pemasok yang lolos G1–G4; produktivitas pemasok; kesetaraan biaya dengan impor</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Kantor DOCK-UP bersama integrator dan bank</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Satu peta dari proyek jangkar ke portofolio</w:t>
      </w:r>
    </w:p>
    <w:p>
      <w:pPr>
        <w:spacing w:after="100" w:before="0" w:line="258"/>
        <w:jc w:val="left"/>
      </w:pPr>
      <w:r>
        <w:rPr>
          <w:rFonts w:ascii="Arial" w:cs="Arial" w:eastAsia="Arial" w:hAnsi="Arial"/>
          <w:color w:val="000000"/>
          <w:sz w:val="19"/>
          <w:szCs w:val="19"/>
        </w:rPr>
        <w:t xml:space="preserve">Pembaca akan menemui beberapa pengelompokan dalam laporan ini: proyek jangkar (Bab 7), empat klaster dalam D2, dan lima portofolio di atas. Tabel di bawah memetakan ketiganya satu sama lain. Imbal hasil finansial portofolio platform industri tetap menjadi tanggung jawab entitas yang berinvestasi (DIM, DDMF, atau BUMN sponsor). Unit bertanggung jawab atas hasil integrasi dan kapabilitas, bukan atas persetujuan modal.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2120"/>
        <w:gridCol w:w="1928"/>
        <w:gridCol w:w="1734"/>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 (D2)</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kapabilitas</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imbal hasil</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Mineral dan material</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mineral</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BUMN sponsor / DIM</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dan infrastruktur industri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strategis + 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infrastruktur</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 DDMF</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Juta Rumah</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dan infrastruktur industri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infrastruktur</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Pemilik program / BUMN sponsor</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(galangan kapal, MRO)</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Pertahanan dan maritim</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pertahanan dan maritim</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PT PAL / DEFEND ID / DIM</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pertahanan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Pertahanan dan maritim</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pertahanan dan maritim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 kontrak Kementerian Pertahanan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Kimia, WtE, pusat data, pangan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Manufaktur strategis lainnya</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strategis atau 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sektor setelah dipisahkan</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 / DDMF / BUMN sponsor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UMKM dan pemasok Tier 1–3</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Semua klaster</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Pengembangan pemasok</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Kantor DOCK-UP di dalam unit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Bank dan penjamin untuk risiko kredit</w:t>
            </w:r>
          </w:p>
        </w:tc>
      </w:tr>
    </w:tbl>
    <w:p>
      <w:pPr>
        <w:keepNext w:val="false"/>
        <w:spacing w:after="140"/>
      </w:pPr>
    </w:p>
    <w:p>
      <w:pPr>
        <w:spacing w:after="80" w:before="0" w:line="258"/>
        <w:jc w:val="left"/>
      </w:pPr>
      <w:r>
        <w:rPr>
          <w:rFonts w:ascii="Arial" w:cs="Arial" w:eastAsia="Arial" w:hAnsi="Arial"/>
          <w:color w:val="000000"/>
          <w:sz w:val="16"/>
          <w:szCs w:val="16"/>
        </w:rPr>
        <w:t xml:space="preserve">Apakah Giant Sea Wall dan program 3 Juta Rumah termasuk dalam register 40 proyek harus dikonfirmasi selama rekonsiliasi.</w:t>
      </w:r>
    </w:p>
    <w:p>
      <w:pPr>
        <w:pStyle w:val="Heading2"/>
        <w:keepNext/>
        <w:keepLines/>
        <w:spacing w:after="120" w:before="280"/>
      </w:pPr>
      <w:r>
        <w:rPr>
          <w:rFonts w:ascii="Arial" w:cs="Arial" w:eastAsia="Arial" w:hAnsi="Arial"/>
          <w:b/>
          <w:bCs/>
          <w:color w:val="00338D"/>
          <w:sz w:val="28"/>
          <w:szCs w:val="28"/>
        </w:rPr>
        <w:t xml:space="preserve">5.5 Pendukung teknologi lintas sektor</w:t>
      </w:r>
    </w:p>
    <w:p>
      <w:pPr>
        <w:spacing w:after="100" w:before="0" w:line="258"/>
        <w:jc w:val="left"/>
      </w:pPr>
      <w:r>
        <w:rPr>
          <w:rFonts w:ascii="Arial" w:cs="Arial" w:eastAsia="Arial" w:hAnsi="Arial"/>
          <w:color w:val="000000"/>
          <w:sz w:val="19"/>
          <w:szCs w:val="19"/>
        </w:rPr>
        <w:t xml:space="preserve">Enam teknologi pendukung yang disebutkan dalam D3 hlm. 2 bersifat lintas proyek jangkar (uraian dari kami). Teknologi-teknologi ini perlu diprioritaskan dalam portofolio inovasi karena dapat meningkatkan kapabilitas di beberapa klaster sekaligus:</w:t>
      </w:r>
    </w:p>
    <w:p>
      <w:pPr>
        <w:pStyle w:val="ListParagraph"/>
        <w:numPr>
          <w:ilvl w:val="0"/>
          <w:numId w:val="2"/>
        </w:numPr>
        <w:spacing w:after="60" w:line="264"/>
      </w:pPr>
      <w:r>
        <w:rPr>
          <w:rFonts w:ascii="Arial" w:cs="Arial" w:eastAsia="Arial" w:hAnsi="Arial"/>
          <w:b/>
          <w:bCs/>
          <w:sz w:val="19"/>
          <w:szCs w:val="19"/>
        </w:rPr>
        <w:t xml:space="preserve">Elektronika daya dan desain semikonduktor</w:t>
      </w:r>
      <w:r>
        <w:rPr>
          <w:rFonts w:ascii="Arial" w:cs="Arial" w:eastAsia="Arial" w:hAnsi="Arial"/>
          <w:sz w:val="19"/>
          <w:szCs w:val="19"/>
        </w:rPr>
        <w:t xml:space="preserve">: penggerak (drive), konverter, dan papan kendali yang digunakan pada kapal, sistem energi, dan elektronika pertahanan.</w:t>
      </w:r>
    </w:p>
    <w:p>
      <w:pPr>
        <w:pStyle w:val="ListParagraph"/>
        <w:numPr>
          <w:ilvl w:val="0"/>
          <w:numId w:val="2"/>
        </w:numPr>
        <w:spacing w:after="60" w:line="264"/>
      </w:pPr>
      <w:r>
        <w:rPr>
          <w:rFonts w:ascii="Arial" w:cs="Arial" w:eastAsia="Arial" w:hAnsi="Arial"/>
          <w:b/>
          <w:bCs/>
          <w:sz w:val="19"/>
          <w:szCs w:val="19"/>
        </w:rPr>
        <w:t xml:space="preserve">AI industri dan otomasi</w:t>
      </w:r>
      <w:r>
        <w:rPr>
          <w:rFonts w:ascii="Arial" w:cs="Arial" w:eastAsia="Arial" w:hAnsi="Arial"/>
          <w:sz w:val="19"/>
          <w:szCs w:val="19"/>
        </w:rPr>
        <w:t xml:space="preserve">: kendali proses, inspeksi mutu, dan sistem operasi proyek yang diuraikan dalam Bab 12.</w:t>
      </w:r>
    </w:p>
    <w:p>
      <w:pPr>
        <w:pStyle w:val="ListParagraph"/>
        <w:numPr>
          <w:ilvl w:val="0"/>
          <w:numId w:val="2"/>
        </w:numPr>
        <w:spacing w:after="60" w:line="264"/>
      </w:pPr>
      <w:r>
        <w:rPr>
          <w:rFonts w:ascii="Arial" w:cs="Arial" w:eastAsia="Arial" w:hAnsi="Arial"/>
          <w:b/>
          <w:bCs/>
          <w:sz w:val="19"/>
          <w:szCs w:val="19"/>
        </w:rPr>
        <w:t xml:space="preserve">Material maju (baja, komposit)</w:t>
      </w:r>
      <w:r>
        <w:rPr>
          <w:rFonts w:ascii="Arial" w:cs="Arial" w:eastAsia="Arial" w:hAnsi="Arial"/>
          <w:sz w:val="19"/>
          <w:szCs w:val="19"/>
        </w:rPr>
        <w:t xml:space="preserve">: baja kelas maritim, pelindung lapis baja, dan struktur komposit.</w:t>
      </w:r>
    </w:p>
    <w:p>
      <w:pPr>
        <w:pStyle w:val="ListParagraph"/>
        <w:numPr>
          <w:ilvl w:val="0"/>
          <w:numId w:val="2"/>
        </w:numPr>
        <w:spacing w:after="60" w:line="264"/>
      </w:pPr>
      <w:r>
        <w:rPr>
          <w:rFonts w:ascii="Arial" w:cs="Arial" w:eastAsia="Arial" w:hAnsi="Arial"/>
          <w:b/>
          <w:bCs/>
          <w:sz w:val="19"/>
          <w:szCs w:val="19"/>
        </w:rPr>
        <w:t xml:space="preserve">Energi terbarukan dan penyimpanan energi</w:t>
      </w:r>
      <w:r>
        <w:rPr>
          <w:rFonts w:ascii="Arial" w:cs="Arial" w:eastAsia="Arial" w:hAnsi="Arial"/>
          <w:sz w:val="19"/>
          <w:szCs w:val="19"/>
        </w:rPr>
        <w:t xml:space="preserve">: material baterai dan penyimpanan yang terkait dengan hilirisasi mineral.</w:t>
      </w:r>
    </w:p>
    <w:p>
      <w:pPr>
        <w:pStyle w:val="ListParagraph"/>
        <w:numPr>
          <w:ilvl w:val="0"/>
          <w:numId w:val="2"/>
        </w:numPr>
        <w:spacing w:after="60" w:line="264"/>
      </w:pPr>
      <w:r>
        <w:rPr>
          <w:rFonts w:ascii="Arial" w:cs="Arial" w:eastAsia="Arial" w:hAnsi="Arial"/>
          <w:b/>
          <w:bCs/>
          <w:sz w:val="19"/>
          <w:szCs w:val="19"/>
        </w:rPr>
        <w:t xml:space="preserve">Industri mesin perkakas</w:t>
      </w:r>
      <w:r>
        <w:rPr>
          <w:rFonts w:ascii="Arial" w:cs="Arial" w:eastAsia="Arial" w:hAnsi="Arial"/>
          <w:sz w:val="19"/>
          <w:szCs w:val="19"/>
        </w:rPr>
        <w:t xml:space="preserve">: barang modal yang memungkinkan UKM naik dari MRL 5 ke MRL 8.</w:t>
      </w:r>
    </w:p>
    <w:p>
      <w:pPr>
        <w:pStyle w:val="ListParagraph"/>
        <w:numPr>
          <w:ilvl w:val="0"/>
          <w:numId w:val="2"/>
        </w:numPr>
        <w:spacing w:after="60" w:line="264"/>
      </w:pPr>
      <w:r>
        <w:rPr>
          <w:rFonts w:ascii="Arial" w:cs="Arial" w:eastAsia="Arial" w:hAnsi="Arial"/>
          <w:b/>
          <w:bCs/>
          <w:sz w:val="19"/>
          <w:szCs w:val="19"/>
        </w:rPr>
        <w:t xml:space="preserve">Industri digital dan perangkat lunak</w:t>
      </w:r>
      <w:r>
        <w:rPr>
          <w:rFonts w:ascii="Arial" w:cs="Arial" w:eastAsia="Arial" w:hAnsi="Arial"/>
          <w:sz w:val="19"/>
          <w:szCs w:val="19"/>
        </w:rPr>
        <w:t xml:space="preserve">: perangkat lunak rekayasa, PLM, portal pemasok, dan keamanan siber.</w:t>
      </w:r>
    </w:p>
    <w:p>
      <w:pPr>
        <w:pStyle w:val="Heading2"/>
        <w:keepNext/>
        <w:keepLines/>
        <w:spacing w:after="120" w:before="280"/>
      </w:pPr>
      <w:r>
        <w:rPr>
          <w:rFonts w:ascii="Arial" w:cs="Arial" w:eastAsia="Arial" w:hAnsi="Arial"/>
          <w:b/>
          <w:bCs/>
          <w:color w:val="00338D"/>
          <w:sz w:val="28"/>
          <w:szCs w:val="28"/>
        </w:rPr>
        <w:t xml:space="preserve">5.6 Prinsip desain</w:t>
      </w:r>
    </w:p>
    <w:p>
      <w:pPr>
        <w:pStyle w:val="ListParagraph"/>
        <w:numPr>
          <w:ilvl w:val="0"/>
          <w:numId w:val="3"/>
        </w:numPr>
        <w:spacing w:after="60" w:line="264"/>
      </w:pPr>
      <w:r>
        <w:rPr>
          <w:rFonts w:ascii="Arial" w:cs="Arial" w:eastAsia="Arial" w:hAnsi="Arial"/>
          <w:b/>
          <w:bCs/>
          <w:sz w:val="19"/>
          <w:szCs w:val="19"/>
        </w:rPr>
        <w:t xml:space="preserve">Permintaan sebelum subsidi.</w:t>
      </w:r>
      <w:r>
        <w:rPr>
          <w:rFonts w:ascii="Arial" w:cs="Arial" w:eastAsia="Arial" w:hAnsi="Arial"/>
          <w:sz w:val="19"/>
          <w:szCs w:val="19"/>
        </w:rPr>
        <w:t xml:space="preserve"> Dukungan mengikuti buku pesanan nyata dari proyek jangkar, bukan sebaliknya.</w:t>
      </w:r>
    </w:p>
    <w:p>
      <w:pPr>
        <w:pStyle w:val="ListParagraph"/>
        <w:numPr>
          <w:ilvl w:val="0"/>
          <w:numId w:val="3"/>
        </w:numPr>
        <w:spacing w:after="60" w:line="264"/>
      </w:pPr>
      <w:r>
        <w:rPr>
          <w:rFonts w:ascii="Arial" w:cs="Arial" w:eastAsia="Arial" w:hAnsi="Arial"/>
          <w:b/>
          <w:bCs/>
          <w:sz w:val="19"/>
          <w:szCs w:val="19"/>
        </w:rPr>
        <w:t xml:space="preserve">Kesiapan sebelum volume.</w:t>
      </w:r>
      <w:r>
        <w:rPr>
          <w:rFonts w:ascii="Arial" w:cs="Arial" w:eastAsia="Arial" w:hAnsi="Arial"/>
          <w:sz w:val="19"/>
          <w:szCs w:val="19"/>
        </w:rPr>
        <w:t xml:space="preserve"> Pesanan, pembiayaan, dan sertifikat dilepas berdasarkan kesiapan yang terverifikasi, tidak pernah berdasarkan kuota [D4].</w:t>
      </w:r>
    </w:p>
    <w:p>
      <w:pPr>
        <w:pStyle w:val="ListParagraph"/>
        <w:numPr>
          <w:ilvl w:val="0"/>
          <w:numId w:val="3"/>
        </w:numPr>
        <w:spacing w:after="60" w:line="264"/>
      </w:pPr>
      <w:r>
        <w:rPr>
          <w:rFonts w:ascii="Arial" w:cs="Arial" w:eastAsia="Arial" w:hAnsi="Arial"/>
          <w:b/>
          <w:bCs/>
          <w:sz w:val="19"/>
          <w:szCs w:val="19"/>
        </w:rPr>
        <w:t xml:space="preserve">Satu register, satu penyebut.</w:t>
      </w:r>
      <w:r>
        <w:rPr>
          <w:rFonts w:ascii="Arial" w:cs="Arial" w:eastAsia="Arial" w:hAnsi="Arial"/>
          <w:sz w:val="19"/>
          <w:szCs w:val="19"/>
        </w:rPr>
        <w:t xml:space="preserve"> Setiap proyek, fase, pemasok, dan instrumen pembiayaan memiliki satu identitas dalam satu register [D1, D2].</w:t>
      </w:r>
    </w:p>
    <w:p>
      <w:pPr>
        <w:pStyle w:val="ListParagraph"/>
        <w:numPr>
          <w:ilvl w:val="0"/>
          <w:numId w:val="3"/>
        </w:numPr>
        <w:spacing w:after="60" w:line="264"/>
      </w:pPr>
      <w:r>
        <w:rPr>
          <w:rFonts w:ascii="Arial" w:cs="Arial" w:eastAsia="Arial" w:hAnsi="Arial"/>
          <w:b/>
          <w:bCs/>
          <w:sz w:val="19"/>
          <w:szCs w:val="19"/>
        </w:rPr>
        <w:t xml:space="preserve">Pembiayaan mengikuti gerbang.</w:t>
      </w:r>
      <w:r>
        <w:rPr>
          <w:rFonts w:ascii="Arial" w:cs="Arial" w:eastAsia="Arial" w:hAnsi="Arial"/>
          <w:sz w:val="19"/>
          <w:szCs w:val="19"/>
        </w:rPr>
        <w:t xml:space="preserve"> Setiap instrumen pembiayaan disesuaikan dengan gerbang yang telah dicapai oleh proyek atau pemasok.</w:t>
      </w:r>
    </w:p>
    <w:p>
      <w:pPr>
        <w:pStyle w:val="ListParagraph"/>
        <w:numPr>
          <w:ilvl w:val="0"/>
          <w:numId w:val="3"/>
        </w:numPr>
        <w:spacing w:after="60" w:line="264"/>
      </w:pPr>
      <w:r>
        <w:rPr>
          <w:rFonts w:ascii="Arial" w:cs="Arial" w:eastAsia="Arial" w:hAnsi="Arial"/>
          <w:b/>
          <w:bCs/>
          <w:sz w:val="19"/>
          <w:szCs w:val="19"/>
        </w:rPr>
        <w:t xml:space="preserve">Substansi di atas label.</w:t>
      </w:r>
      <w:r>
        <w:rPr>
          <w:rFonts w:ascii="Arial" w:cs="Arial" w:eastAsia="Arial" w:hAnsi="Arial"/>
          <w:sz w:val="19"/>
          <w:szCs w:val="19"/>
        </w:rPr>
        <w:t xml:space="preserve"> Instrumen yang wajib dilunasi adalah liabilitas, apa pun namanya dan di mana pun dicatat [D1, D2].</w:t>
      </w:r>
    </w:p>
    <w:p>
      <w:pPr>
        <w:pStyle w:val="ListParagraph"/>
        <w:numPr>
          <w:ilvl w:val="0"/>
          <w:numId w:val="3"/>
        </w:numPr>
        <w:spacing w:after="60" w:line="264"/>
      </w:pPr>
      <w:r>
        <w:rPr>
          <w:rFonts w:ascii="Arial" w:cs="Arial" w:eastAsia="Arial" w:hAnsi="Arial"/>
          <w:b/>
          <w:bCs/>
          <w:sz w:val="19"/>
          <w:szCs w:val="19"/>
        </w:rPr>
        <w:t xml:space="preserve">Proteksi bersifat sementara.</w:t>
      </w:r>
      <w:r>
        <w:rPr>
          <w:rFonts w:ascii="Arial" w:cs="Arial" w:eastAsia="Arial" w:hAnsi="Arial"/>
          <w:sz w:val="19"/>
          <w:szCs w:val="19"/>
        </w:rPr>
        <w:t xml:space="preserve"> Preferensi bagi pemasok dalam negeri harus bersifat sementara [D4]; kami mengusulkan mekanisme keluar (exit) yang jelas.</w:t>
      </w:r>
    </w:p>
    <w:p>
      <w:pPr>
        <w:pStyle w:val="ListParagraph"/>
        <w:numPr>
          <w:ilvl w:val="0"/>
          <w:numId w:val="3"/>
        </w:numPr>
        <w:spacing w:after="60" w:line="264"/>
      </w:pPr>
      <w:r>
        <w:rPr>
          <w:rFonts w:ascii="Arial" w:cs="Arial" w:eastAsia="Arial" w:hAnsi="Arial"/>
          <w:b/>
          <w:bCs/>
          <w:sz w:val="19"/>
          <w:szCs w:val="19"/>
        </w:rPr>
        <w:t xml:space="preserve">Ukur yang tambahan, bukan yang bruto.</w:t>
      </w:r>
      <w:r>
        <w:rPr>
          <w:rFonts w:ascii="Arial" w:cs="Arial" w:eastAsia="Arial" w:hAnsi="Arial"/>
          <w:sz w:val="19"/>
          <w:szCs w:val="19"/>
        </w:rPr>
        <w:t xml:space="preserve"> Laporkan estimasi kontribusi Danantara dalam bentuk rentang, bukan total bruto proyek [D1].</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06</w:t>
            </w:r>
          </w:p>
          <w:p>
            <w:pPr>
              <w:pStyle w:val="Heading1"/>
              <w:spacing w:after="100"/>
            </w:pPr>
            <w:r>
              <w:rPr>
                <w:rFonts w:ascii="Arial" w:cs="Arial" w:eastAsia="Arial" w:hAnsi="Arial"/>
                <w:b/>
                <w:bCs/>
                <w:color w:val="FFFFFF"/>
                <w:sz w:val="40"/>
                <w:szCs w:val="40"/>
              </w:rPr>
              <w:t xml:space="preserve">DOCK-UP: membangun kapabilitas industri nasional</w:t>
            </w:r>
          </w:p>
          <w:p>
            <w:pPr>
              <w:spacing w:after="0" w:line="276"/>
            </w:pPr>
            <w:r>
              <w:rPr>
                <w:rFonts w:ascii="Arial" w:cs="Arial" w:eastAsia="Arial" w:hAnsi="Arial"/>
                <w:color w:val="FFFFFF"/>
                <w:sz w:val="20"/>
                <w:szCs w:val="20"/>
              </w:rPr>
              <w:t xml:space="preserve">Kerangka bergerbang yang mengubah permintaan dalam negeri yang terjamin menjadi pemasok yang terkualifikasi dan siap produksi, diukur dengan Technology Readiness Level (TRL) dan Manufacturing Readiness Level (MRL).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6.1 Masalahnya: permintaan ada dalam undang-undang, basis pemasoknya belum 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85% / 35%</w:t>
            </w:r>
          </w:p>
          <w:p>
            <w:pPr>
              <w:spacing w:after="0" w:line="240"/>
            </w:pPr>
            <w:r>
              <w:rPr>
                <w:rFonts w:ascii="Arial" w:cs="Arial" w:eastAsia="Arial" w:hAnsi="Arial"/>
                <w:color w:val="FFFFFF"/>
                <w:sz w:val="16"/>
                <w:szCs w:val="16"/>
              </w:rPr>
              <w:t xml:space="preserve">Minimum imbal dagang dan kandungan lokal / ofset untuk alat pertahanan impor (UU 16/2012 Pasal 43), naik 10 poin setiap 5 tahun</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64,2 juta</w:t>
            </w:r>
          </w:p>
          <w:p>
            <w:pPr>
              <w:spacing w:after="0" w:line="240"/>
            </w:pPr>
            <w:r>
              <w:rPr>
                <w:rFonts w:ascii="Arial" w:cs="Arial" w:eastAsia="Arial" w:hAnsi="Arial"/>
                <w:color w:val="FFFFFF"/>
                <w:sz w:val="16"/>
                <w:szCs w:val="16"/>
              </w:rPr>
              <w:t xml:space="preserve">UMKM di Indonesia: ~62% PDB dan ~97% lapangan kerja (KemenkopUKM, 2021), tetapi hanya sedikit yang masuk rantai pasok strategis</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25–30 tahun</w:t>
            </w:r>
          </w:p>
          <w:p>
            <w:pPr>
              <w:spacing w:after="0" w:line="240"/>
            </w:pPr>
            <w:r>
              <w:rPr>
                <w:rFonts w:ascii="Arial" w:cs="Arial" w:eastAsia="Arial" w:hAnsi="Arial"/>
                <w:color w:val="FFFFFF"/>
                <w:sz w:val="16"/>
                <w:szCs w:val="16"/>
              </w:rPr>
              <w:t xml:space="preserve">Umur layanan kapal perang; pemeliharaan, suku cadang, dan peningkatan sering kali lebih mahal daripada pembangunannya</w:t>
            </w:r>
          </w:p>
        </w:tc>
      </w:tr>
    </w:tbl>
    <w:p>
      <w:pPr>
        <w:spacing w:after="160"/>
      </w:pPr>
    </w:p>
    <w:p>
      <w:pPr>
        <w:spacing w:after="160"/>
      </w:pPr>
      <w:r>
        <w:rPr>
          <w:rFonts w:ascii="Arial" w:cs="Arial" w:eastAsia="Arial" w:hAnsi="Arial"/>
          <w:i/>
          <w:iCs/>
          <w:color w:val="000000"/>
          <w:sz w:val="15"/>
          <w:szCs w:val="15"/>
        </w:rPr>
        <w:t xml:space="preserve">Sumber: D4 hlm. 2.</w:t>
      </w:r>
    </w:p>
    <w:p>
      <w:pPr>
        <w:spacing w:after="100" w:before="0" w:line="258"/>
        <w:jc w:val="left"/>
      </w:pPr>
      <w:r>
        <w:rPr>
          <w:rFonts w:ascii="Arial" w:cs="Arial" w:eastAsia="Arial" w:hAnsi="Arial"/>
          <w:color w:val="000000"/>
          <w:sz w:val="19"/>
          <w:szCs w:val="19"/>
        </w:rPr>
        <w:t xml:space="preserve">D4 menggambarkan lingkaran setan yang hanya dapat diputus melalui program konkret di mana pengembangan, off-take, sertifikasi, dan peningkatan dihubungkan oleh gerbang yang menggabungkan TRL dan MRL [D4]. Menurut pembacaan kami, lingkaran tersebut bekerja sebagai berikut. Integrator tidak akan memesan dari UKM yang belum terkualifikasi. UKM tidak dapat berinvestasi dalam kualifikasi tanpa pesanan. Bank tidak akan memberikan kredit tanpa salah satu dari keduanya.</w:t>
      </w:r>
    </w:p>
    <w:p>
      <w:pPr>
        <w:pStyle w:val="Heading2"/>
        <w:keepNext/>
        <w:keepLines/>
        <w:spacing w:after="120" w:before="280"/>
      </w:pPr>
      <w:r>
        <w:rPr>
          <w:rFonts w:ascii="Arial" w:cs="Arial" w:eastAsia="Arial" w:hAnsi="Arial"/>
          <w:b/>
          <w:bCs/>
          <w:color w:val="00338D"/>
          <w:sz w:val="28"/>
          <w:szCs w:val="28"/>
        </w:rPr>
        <w:t xml:space="preserve">6.2 Bahasa bersama: TRL dan MRL</w:t>
      </w:r>
    </w:p>
    <w:p>
      <w:pPr>
        <w:spacing w:after="100" w:before="0" w:line="258"/>
        <w:jc w:val="left"/>
      </w:pPr>
      <w:r>
        <w:rPr>
          <w:rFonts w:ascii="Arial" w:cs="Arial" w:eastAsia="Arial" w:hAnsi="Arial"/>
          <w:color w:val="000000"/>
          <w:sz w:val="19"/>
          <w:szCs w:val="19"/>
        </w:rPr>
        <w:t xml:space="preserve">TRL menjawab “apakah teknologinya berfungsi?”. MRL menjawab “apakah dapat dibuat secara konsisten setiap saat?”. Bagi UKM, masalah yang berulang adalah peningkatan skala (MRL) atas teknologi yang sudah mereka kuasai; industri besar diperlukan untuk membantu dengan metode yang telah terbukti. Industri besar juga diperlukan untuk mematangkan teknologi (TRL)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952"/>
        <w:gridCol w:w="867"/>
        <w:gridCol w:w="3952"/>
      </w:tblGrid>
      <w:tr>
        <w:trPr>
          <w:cantSplit/>
          <w:tblHeader/>
        </w:trPr>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 teknologi</w:t>
            </w:r>
          </w:p>
        </w:tc>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 manufaktur</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Prinsip teramati; belum ada yang dibuat</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1–3</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Kelayakan dibahas; belum ada proses</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Pembuktian konsep: eksperimen laboratorium berhasil</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Skala laboratorium; buatan tangan atau dengan alat dasar</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4–5</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Divalidasi di laboratorium terkendali, lalu di lingkungan simulasi</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Proses percontohan dengan metode yang mewakili produksi</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Prototipe didemonstrasikan di lingkungan yang relevan; pengujian aktual</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Laju rendah; mutu berulang pada volume rendah</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8–9</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Terbukti, terkualifikasi, dan digunakan secara rutin</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Praproduksi: perkakas, rantai pasok, dan pengendalian mutu terbukti</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9–10</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Produksi penuh berkelanjutan dengan biaya kompetitif</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6.3 Diagnosis: empat profil pemasok</w:t>
      </w:r>
    </w:p>
    <w:p>
      <w:pPr>
        <w:spacing w:after="100" w:before="0" w:line="258"/>
        <w:jc w:val="left"/>
      </w:pPr>
      <w:r>
        <w:rPr>
          <w:rFonts w:ascii="Arial" w:cs="Arial" w:eastAsia="Arial" w:hAnsi="Arial"/>
          <w:color w:val="000000"/>
          <w:sz w:val="19"/>
          <w:szCs w:val="19"/>
        </w:rPr>
        <w:t xml:space="preserve">Setiap UKM dipetakan pada kedua skala untuk menentukan bentuk bantuan berikutnya. Keempat profil ini merupakan arketipe, bukan pembagian lengkap atas setiap kombinasi TRL/MRL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1–4 · MRL 1–3</w:t>
            </w:r>
          </w:p>
          <w:p>
            <w:pPr>
              <w:spacing w:after="70" w:line="250"/>
            </w:pPr>
            <w:r>
              <w:rPr>
                <w:rFonts w:ascii="Arial" w:cs="Arial" w:eastAsia="Arial" w:hAnsi="Arial"/>
                <w:b/>
                <w:bCs/>
                <w:color w:val="00338D"/>
                <w:sz w:val="19"/>
                <w:szCs w:val="19"/>
              </w:rPr>
              <w:t xml:space="preserve">Penjelajah</w:t>
            </w:r>
          </w:p>
          <w:p>
            <w:pPr>
              <w:spacing w:after="50" w:line="252"/>
            </w:pPr>
            <w:r>
              <w:rPr>
                <w:rFonts w:ascii="Arial" w:cs="Arial" w:eastAsia="Arial" w:hAnsi="Arial"/>
                <w:sz w:val="17"/>
                <w:szCs w:val="17"/>
              </w:rPr>
              <w:t xml:space="preserve">Gagasannya masih harus dibuktikan. Dukungan yang tepat: hibah riset, laboratorium BRIN dan perguruan tinggi.</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6–8 · MRL 3–5</w:t>
            </w:r>
          </w:p>
          <w:p>
            <w:pPr>
              <w:spacing w:after="70" w:line="250"/>
            </w:pPr>
            <w:r>
              <w:rPr>
                <w:rFonts w:ascii="Arial" w:cs="Arial" w:eastAsia="Arial" w:hAnsi="Arial"/>
                <w:b/>
                <w:bCs/>
                <w:color w:val="00338D"/>
                <w:sz w:val="19"/>
                <w:szCs w:val="19"/>
              </w:rPr>
              <w:t xml:space="preserve">Kaya prototipe, lemah produksi</w:t>
            </w:r>
          </w:p>
          <w:p>
            <w:pPr>
              <w:spacing w:after="50" w:line="252"/>
            </w:pPr>
            <w:r>
              <w:rPr>
                <w:rFonts w:ascii="Arial" w:cs="Arial" w:eastAsia="Arial" w:hAnsi="Arial"/>
                <w:b/>
                <w:bCs/>
                <w:sz w:val="17"/>
                <w:szCs w:val="17"/>
              </w:rPr>
              <w:t xml:space="preserve">Sebagian besar UKM terhenti di sini.</w:t>
            </w:r>
            <w:r>
              <w:rPr>
                <w:rFonts w:ascii="Arial" w:cs="Arial" w:eastAsia="Arial" w:hAnsi="Arial"/>
                <w:sz w:val="17"/>
                <w:szCs w:val="17"/>
              </w:rPr>
              <w:t xml:space="preserve"> Dukungan yang tepat: pesanan jangkar, peralatan bersama, dan insinyur pendamping. Inilah inti DOCK-UP.</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4–5 · MRL 6–8</w:t>
            </w:r>
          </w:p>
          <w:p>
            <w:pPr>
              <w:spacing w:after="70" w:line="250"/>
            </w:pPr>
            <w:r>
              <w:rPr>
                <w:rFonts w:ascii="Arial" w:cs="Arial" w:eastAsia="Arial" w:hAnsi="Arial"/>
                <w:b/>
                <w:bCs/>
                <w:color w:val="00338D"/>
                <w:sz w:val="19"/>
                <w:szCs w:val="19"/>
              </w:rPr>
              <w:t xml:space="preserve">Siap produksi, teknologi dangkal</w:t>
            </w:r>
          </w:p>
          <w:p>
            <w:pPr>
              <w:spacing w:after="50" w:line="252"/>
            </w:pPr>
            <w:r>
              <w:rPr>
                <w:rFonts w:ascii="Arial" w:cs="Arial" w:eastAsia="Arial" w:hAnsi="Arial"/>
                <w:sz w:val="17"/>
                <w:szCs w:val="17"/>
              </w:rPr>
              <w:t xml:space="preserve">Produksi andal; produk sendiri belum tervalidasi. Dukungan yang tepat: mitra litbang dan sertifikasi produk.</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8–9 · MRL 8–10</w:t>
            </w:r>
          </w:p>
          <w:p>
            <w:pPr>
              <w:spacing w:after="70" w:line="250"/>
            </w:pPr>
            <w:r>
              <w:rPr>
                <w:rFonts w:ascii="Arial" w:cs="Arial" w:eastAsia="Arial" w:hAnsi="Arial"/>
                <w:b/>
                <w:bCs/>
                <w:color w:val="00338D"/>
                <w:sz w:val="19"/>
                <w:szCs w:val="19"/>
              </w:rPr>
              <w:t xml:space="preserve">Pemasok terkualifikasi</w:t>
            </w:r>
          </w:p>
          <w:p>
            <w:pPr>
              <w:spacing w:after="50" w:line="252"/>
            </w:pPr>
            <w:r>
              <w:rPr>
                <w:rFonts w:ascii="Arial" w:cs="Arial" w:eastAsia="Arial" w:hAnsi="Arial"/>
                <w:sz w:val="17"/>
                <w:szCs w:val="17"/>
              </w:rPr>
              <w:t xml:space="preserve">Keduanya terbukti. Dukungan yang tepat: kontrak payung jangka panjang dan ekspor.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6.4 Empat elemen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5590"/>
        <w:gridCol w:w="2602"/>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Fungsinya</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Titik keluar atau tonggak capaian</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 Develop (Pengembangan)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Baseline TRL/MRL; dukungan diarahkan pada aspek MRL yang paling lemah. Di tingkat platform: mengidentifikasi peluang industri, merancang proyek dengan kandungan dalam negeri, menyiapkan pra-FEED dan FEED [D3 hlm. 2].</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Keluar pada G1 ketika MRL 6 tercapai</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 Off-taker</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Kontrak payung 3–5 tahun; volume dilepas secara bertahap pada G1, G2, dan G3. Di tingkat platform: mengagregasi permintaan dari pemerintah, BUMN, dan proyek jangkar untuk memberikan kepastian volume kepada pemasok lokal.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1 pesanan percontohan (G1) → pasokan laju rendah (G2) → pasokan serial dan suku cadang (G3)</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 Certification (Sertifikasi)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C1 mutu = MRL 7 (ISO 9001); C2 klas = MRL 8 (persetujuan pengguna, pengelasan ISO 3834/9606, ketertelusuran); C3 mutu industri pertahanan ditambah keamanan. Di tingkat platform: standar teknis, TKDN berbasis kapabilitas, pengujian dan validasi produk dalam negeri.</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C1 pada G2; C2 pada G3; C3 untuk barang sensitif kelas pertahanan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UP: Upgrading (Peningkatan)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Peningkatan dari build-to-print → build-to-spec → design-and-build. Pada G4, TRL milik UKM sendiri diperhitungkan. Di tingkat platform: alih teknologi, inovasi dan efisiensi, ekspor, dan HKI.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G4: produk sendiri TRL 7+, MRL 9, diadopsi pada satu kelas kapal</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Aturan pokok</w:t>
            </w:r>
          </w:p>
          <w:p>
            <w:pPr>
              <w:spacing w:after="80" w:line="264"/>
            </w:pPr>
            <w:r>
              <w:rPr>
                <w:rFonts w:ascii="Arial" w:cs="Arial" w:eastAsia="Arial" w:hAnsi="Arial"/>
                <w:b/>
                <w:bCs/>
                <w:color w:val="FFFFFF"/>
                <w:sz w:val="19"/>
                <w:szCs w:val="19"/>
              </w:rPr>
              <w:t xml:space="preserve">Kesiapan, bukan janji atau komitmen, yang membuka langkah berikutnya.</w:t>
            </w:r>
            <w:r>
              <w:rPr>
                <w:rFonts w:ascii="Arial" w:cs="Arial" w:eastAsia="Arial" w:hAnsi="Arial"/>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6.5 Model gerbang terintegrasi</w:t>
      </w:r>
    </w:p>
    <w:p>
      <w:pPr>
        <w:spacing w:after="100" w:before="0" w:line="258"/>
        <w:jc w:val="left"/>
      </w:pPr>
      <w:r>
        <w:rPr>
          <w:rFonts w:ascii="Arial" w:cs="Arial" w:eastAsia="Arial" w:hAnsi="Arial"/>
          <w:color w:val="000000"/>
          <w:sz w:val="19"/>
          <w:szCs w:val="19"/>
        </w:rPr>
        <w:t xml:space="preserve">Setiap gerbang mengirimkan pesan yang sama kepada UKM, pembeli, dan bank. Sinyal bersama inilah yang memungkinkan pembiayaan nonpemerintah masuk.</w:t>
      </w:r>
    </w:p>
    <w:p>
      <w:pPr>
        <w:keepNext/>
        <w:spacing w:after="80" w:before="120"/>
      </w:pPr>
      <w:r>
        <w:rPr>
          <w:rFonts w:ascii="Arial" w:cs="Arial" w:eastAsia="Arial" w:hAnsi="Arial"/>
          <w:b/>
          <w:bCs/>
          <w:color w:val="00338D"/>
          <w:sz w:val="18"/>
          <w:szCs w:val="18"/>
        </w:rPr>
        <w:t xml:space="preserve">Tabel 8: </w:t>
      </w:r>
      <w:r>
        <w:rPr>
          <w:rFonts w:ascii="Arial" w:cs="Arial" w:eastAsia="Arial" w:hAnsi="Arial"/>
          <w:b/>
          <w:bCs/>
          <w:color w:val="00338D"/>
          <w:sz w:val="18"/>
          <w:szCs w:val="18"/>
        </w:rPr>
        <w:t xml:space="preserve">Gerbang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2602"/>
        <w:gridCol w:w="2313"/>
        <w:gridCol w:w="2314"/>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dibuka</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Dukungan utama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Masuk</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TRL/MRL</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mandiri yang diverifikasi oleh asesor independen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pengembangan dan pendampingan</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Insinyur pendamping, pelatihan</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G1</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Lolos inspeksi artikel pertama</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1: pesanan percontohan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Hibah pendamping (matching grant), fasilitas bersama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G2</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7 + C1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Batch kecil berulang; ISO 9001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2: pasokan laju rendah</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rantai pasok, KUR</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G3</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8 + C2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pengguna; ISO 3834/9606; ketertelusuran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3: pasokan serial dan suku cadang</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Kredit investasi, penjaminan kerugian pertama (first-loss)</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G4</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 sendiri TRL 7+; MRL 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 diadopsi pada satu kelas kapal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Build-to-spec, design-and-build, ekspor</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Corporate venture, super-deduction litbang, LPEI</w:t>
            </w:r>
          </w:p>
        </w:tc>
      </w:tr>
    </w:tbl>
    <w:p>
      <w:pPr>
        <w:keepNext w:val="false"/>
        <w:spacing w:after="140"/>
      </w:pPr>
    </w:p>
    <w:p>
      <w:pPr>
        <w:spacing w:after="160"/>
      </w:pPr>
      <w:r>
        <w:rPr>
          <w:rFonts w:ascii="Arial" w:cs="Arial" w:eastAsia="Arial" w:hAnsi="Arial"/>
          <w:i/>
          <w:iCs/>
          <w:color w:val="000000"/>
          <w:sz w:val="15"/>
          <w:szCs w:val="15"/>
        </w:rPr>
        <w:t xml:space="preserve">Sumber: D4 hlm. 6.</w:t>
      </w:r>
    </w:p>
    <w:p>
      <w:pPr>
        <w:pStyle w:val="Heading2"/>
        <w:keepNext/>
        <w:keepLines/>
        <w:spacing w:after="120" w:before="280"/>
      </w:pPr>
      <w:r>
        <w:rPr>
          <w:rFonts w:ascii="Arial" w:cs="Arial" w:eastAsia="Arial" w:hAnsi="Arial"/>
          <w:b/>
          <w:bCs/>
          <w:color w:val="00338D"/>
          <w:sz w:val="28"/>
          <w:szCs w:val="28"/>
        </w:rPr>
        <w:t xml:space="preserve">6.6 Dua jalur melalui DOCK-UP</w:t>
      </w:r>
    </w:p>
    <w:p>
      <w:pPr>
        <w:spacing w:after="100" w:before="0" w:line="258"/>
        <w:jc w:val="left"/>
      </w:pPr>
      <w:r>
        <w:rPr>
          <w:rFonts w:ascii="Arial" w:cs="Arial" w:eastAsia="Arial" w:hAnsi="Arial"/>
          <w:color w:val="000000"/>
          <w:sz w:val="19"/>
          <w:szCs w:val="19"/>
        </w:rPr>
        <w:t xml:space="preserve">Instrumennya sama; urutannya yang berbeda. UKM build-to-print mengikuti </w:t>
      </w:r>
      <w:r>
        <w:rPr>
          <w:rFonts w:ascii="Arial" w:cs="Arial" w:eastAsia="Arial" w:hAnsi="Arial"/>
          <w:b/>
          <w:bCs/>
          <w:color w:val="000000"/>
          <w:sz w:val="19"/>
          <w:szCs w:val="19"/>
        </w:rPr>
        <w:t xml:space="preserve">jalur MRL</w:t>
      </w:r>
      <w:r>
        <w:rPr>
          <w:rFonts w:ascii="Arial" w:cs="Arial" w:eastAsia="Arial" w:hAnsi="Arial"/>
          <w:color w:val="000000"/>
          <w:sz w:val="19"/>
          <w:szCs w:val="19"/>
        </w:rPr>
        <w:t xml:space="preserve">; UKM yang memiliki produk sendiri mengikuti </w:t>
      </w:r>
      <w:r>
        <w:rPr>
          <w:rFonts w:ascii="Arial" w:cs="Arial" w:eastAsia="Arial" w:hAnsi="Arial"/>
          <w:b/>
          <w:bCs/>
          <w:color w:val="000000"/>
          <w:sz w:val="19"/>
          <w:szCs w:val="19"/>
        </w:rPr>
        <w:t xml:space="preserve">jalur TRL</w:t>
      </w:r>
      <w:r>
        <w:rPr>
          <w:rFonts w:ascii="Arial" w:cs="Arial" w:eastAsia="Arial" w:hAnsi="Arial"/>
          <w:color w:val="000000"/>
          <w:sz w:val="19"/>
          <w:szCs w:val="19"/>
        </w:rPr>
        <w:t xml:space="preserve">. Dua UKM ilustratif di bawah diambil dari D4 dan bukan perusahaan nyata.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144"/>
        <w:gridCol w:w="4145"/>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Jalur MRL: “Sidoarjo Steel Manufacturing” (bantalan dan katup, dari barang rumah tangga hingga fregat)</w:t>
            </w:r>
          </w:p>
        </w:tc>
        <w:tc>
          <w:tcPr>
            <w:tcW w:type="dxa" w:w="414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Jalur TRL: “Sensor Karya Mandiri” (sensor inframerah, dari kamera genggam hingga kapal perang dan rudal)</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Baseline</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sipil 7, MRL kapal perang 4. Produksi massal untuk sepeda dan barang rumah tangga; lemah dalam material dan pengujian.</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Pijakan sipil: kamera termal genggam TRL 8–9 yang menghasilkan pendapatan.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Membangun kapabilitas</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ke-1–6: insinyur pendamping; material kelas maritim bersertifikat, permesinan terkualifikasi, uji hidrostatik.</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Rekualifikasi pertahanan, TRL 5 → 7: uji kejut, getaran, semprotan garam, EMC; uji laut IRST.</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Gerbang pertama</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ke-7, </w:t>
            </w:r>
            <w:r>
              <w:rPr>
                <w:rFonts w:ascii="Arial" w:cs="Arial" w:eastAsia="Arial" w:hAnsi="Arial"/>
                <w:b/>
                <w:bCs/>
                <w:color w:val="000000"/>
                <w:sz w:val="16"/>
                <w:szCs w:val="16"/>
              </w:rPr>
              <w:t xml:space="preserve">G1 (MRL 6)</w:t>
            </w:r>
            <w:r>
              <w:rPr>
                <w:rFonts w:ascii="Arial" w:cs="Arial" w:eastAsia="Arial" w:hAnsi="Arial"/>
                <w:b w:val="false"/>
                <w:bCs w:val="false"/>
                <w:color w:val="000000"/>
                <w:sz w:val="16"/>
                <w:szCs w:val="16"/>
              </w:rPr>
              <w:t xml:space="preserve">: katup kapal perang pertama lolos inspeksi; pesanan percontohan 20 katup.</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Produksi kelas pertahanan, MRL 5 → 8: kalibrasi, ketertelusuran, C3, kontrol ekspor.</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Peningkatan skala</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ke-8–14, </w:t>
            </w:r>
            <w:r>
              <w:rPr>
                <w:rFonts w:ascii="Arial" w:cs="Arial" w:eastAsia="Arial" w:hAnsi="Arial"/>
                <w:b/>
                <w:bCs/>
                <w:color w:val="000000"/>
                <w:sz w:val="16"/>
                <w:szCs w:val="16"/>
              </w:rPr>
              <w:t xml:space="preserve">G2 (MRL 7 + C1)</w:t>
            </w:r>
            <w:r>
              <w:rPr>
                <w:rFonts w:ascii="Arial" w:cs="Arial" w:eastAsia="Arial" w:hAnsi="Arial"/>
                <w:b w:val="false"/>
                <w:bCs w:val="false"/>
                <w:color w:val="000000"/>
                <w:sz w:val="16"/>
                <w:szCs w:val="16"/>
              </w:rPr>
              <w:t xml:space="preserve">: batch tepat waktu; katup dan bantalan untuk satu set kapal.</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IRST pada kapal perang, TRL 8, </w:t>
            </w:r>
            <w:r>
              <w:rPr>
                <w:rFonts w:ascii="Arial" w:cs="Arial" w:eastAsia="Arial" w:hAnsi="Arial"/>
                <w:b/>
                <w:bCs/>
                <w:color w:val="000000"/>
                <w:sz w:val="16"/>
                <w:szCs w:val="16"/>
              </w:rPr>
              <w:t xml:space="preserve">G4</w:t>
            </w:r>
            <w:r>
              <w:rPr>
                <w:rFonts w:ascii="Arial" w:cs="Arial" w:eastAsia="Arial" w:hAnsi="Arial"/>
                <w:b w:val="false"/>
                <w:bCs w:val="false"/>
                <w:color w:val="000000"/>
                <w:sz w:val="16"/>
                <w:szCs w:val="16"/>
              </w:rPr>
              <w:t xml:space="preserve">: uji coba laut pada kapal perang.</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Matang</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Bulan ke-15–24, </w:t>
            </w:r>
            <w:r>
              <w:rPr>
                <w:rFonts w:ascii="Arial" w:cs="Arial" w:eastAsia="Arial" w:hAnsi="Arial"/>
                <w:b/>
                <w:bCs/>
                <w:color w:val="000000"/>
                <w:sz w:val="16"/>
                <w:szCs w:val="16"/>
              </w:rPr>
              <w:t xml:space="preserve">G3 (MRL 8 + C2)</w:t>
            </w:r>
            <w:r>
              <w:rPr>
                <w:rFonts w:ascii="Arial" w:cs="Arial" w:eastAsia="Arial" w:hAnsi="Arial"/>
                <w:b w:val="false"/>
                <w:bCs w:val="false"/>
                <w:color w:val="000000"/>
                <w:sz w:val="16"/>
                <w:szCs w:val="16"/>
              </w:rPr>
              <w:t xml:space="preserve">: distandardisasi untuk satu kelas fregat.</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Sensor rudal pencari panas: subpemasok untuk program rudal DEFEND ID.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6.7 Aspek ekonomi: mengapa kesiapan yang terverifikasi menarik pembiayaan swasta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Biaya modal lebih rendah</w:t>
            </w:r>
          </w:p>
          <w:p>
            <w:pPr>
              <w:spacing w:after="50" w:line="252"/>
            </w:pPr>
            <w:r>
              <w:rPr>
                <w:rFonts w:ascii="Arial" w:cs="Arial" w:eastAsia="Arial" w:hAnsi="Arial"/>
                <w:sz w:val="17"/>
                <w:szCs w:val="17"/>
              </w:rPr>
              <w:t xml:space="preserve">Off-take multitahun ditambah skor MRL yang terverifikasi memberi bank dasar untuk penilaian kredit.</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Ukuran lot yang ekonomis</w:t>
            </w:r>
          </w:p>
          <w:p>
            <w:pPr>
              <w:spacing w:after="50" w:line="252"/>
            </w:pPr>
            <w:r>
              <w:rPr>
                <w:rFonts w:ascii="Arial" w:cs="Arial" w:eastAsia="Arial" w:hAnsi="Arial"/>
                <w:sz w:val="17"/>
                <w:szCs w:val="17"/>
              </w:rPr>
              <w:t xml:space="preserve">Komponen standar untuk beberapa jenis kapal dan perusahaan DEFEND ID memungkinkan penggabungan volume.</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Efek devisa dan pengganda</w:t>
            </w:r>
          </w:p>
          <w:p>
            <w:pPr>
              <w:spacing w:after="50" w:line="252"/>
            </w:pPr>
            <w:r>
              <w:rPr>
                <w:rFonts w:ascii="Arial" w:cs="Arial" w:eastAsia="Arial" w:hAnsi="Arial"/>
                <w:sz w:val="17"/>
                <w:szCs w:val="17"/>
              </w:rPr>
              <w:t xml:space="preserve">Kandungan lokal tetap berada di dalam negeri dan tidak dapat ditahan oleh negara lain.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Nilai sepanjang umur pakai</w:t>
            </w:r>
          </w:p>
          <w:p>
            <w:pPr>
              <w:spacing w:after="50" w:line="252"/>
            </w:pPr>
            <w:r>
              <w:rPr>
                <w:rFonts w:ascii="Arial" w:cs="Arial" w:eastAsia="Arial" w:hAnsi="Arial"/>
                <w:sz w:val="17"/>
                <w:szCs w:val="17"/>
              </w:rPr>
              <w:t xml:space="preserve">UU 16/2012 mewajibkan MRO dalam negeri; Tahap 3 mencakup suku cadang, yang selama umur 25–30 tahun dapat melampaui nilai pembangunan.</w:t>
            </w:r>
          </w:p>
        </w:tc>
      </w:tr>
    </w:tbl>
    <w:p>
      <w:pPr>
        <w:spacing w:after="160"/>
      </w:pPr>
    </w:p>
    <w:p>
      <w:pPr>
        <w:pStyle w:val="Heading3"/>
        <w:keepNext/>
        <w:keepLines/>
        <w:spacing w:after="80" w:before="200"/>
      </w:pPr>
      <w:r>
        <w:rPr>
          <w:rFonts w:ascii="Arial" w:cs="Arial" w:eastAsia="Arial" w:hAnsi="Arial"/>
          <w:b/>
          <w:bCs/>
          <w:color w:val="005EB8"/>
          <w:sz w:val="22"/>
          <w:szCs w:val="22"/>
        </w:rPr>
        <w:t xml:space="preserve">Ilustrasi kurva pembelajaran</w:t>
      </w:r>
    </w:p>
    <w:p>
      <w:pPr>
        <w:spacing w:after="100" w:before="0" w:line="258"/>
        <w:jc w:val="left"/>
      </w:pPr>
      <w:r>
        <w:rPr>
          <w:rFonts w:ascii="Arial" w:cs="Arial" w:eastAsia="Arial" w:hAnsi="Arial"/>
          <w:color w:val="000000"/>
          <w:sz w:val="19"/>
          <w:szCs w:val="19"/>
        </w:rPr>
        <w:t xml:space="preserve">D4 mengilustrasikan </w:t>
      </w:r>
      <w:r>
        <w:rPr>
          <w:rFonts w:ascii="Arial" w:cs="Arial" w:eastAsia="Arial" w:hAnsi="Arial"/>
          <w:b/>
          <w:bCs/>
          <w:color w:val="000000"/>
          <w:sz w:val="19"/>
          <w:szCs w:val="19"/>
        </w:rPr>
        <w:t xml:space="preserve">kurva pembelajaran 85%</w:t>
      </w:r>
      <w:r>
        <w:rPr>
          <w:rFonts w:ascii="Arial" w:cs="Arial" w:eastAsia="Arial" w:hAnsi="Arial"/>
          <w:color w:val="000000"/>
          <w:sz w:val="19"/>
          <w:szCs w:val="19"/>
        </w:rPr>
        <w:t xml:space="preserve">: setiap penggandaan volume kumulatif menurunkan biaya per unit menjadi 85% dari tingkat sebelumnya. Penggabungan pesanan antarperusahaan DEFEND ID mempercepat UKM menuruni kurva tersebut. Tabel berikut menunjukkan implikasinya (ilustrasi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72"/>
        <w:gridCol w:w="1272"/>
        <w:gridCol w:w="1272"/>
        <w:gridCol w:w="1272"/>
        <w:gridCol w:w="1273"/>
      </w:tblGrid>
      <w:tr>
        <w:trPr>
          <w:cantSplit/>
          <w:tblHeader/>
        </w:trPr>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Volume kumulatif (× lot pertama)</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2×</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4×</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8×</w:t>
            </w:r>
          </w:p>
        </w:tc>
        <w:tc>
          <w:tcPr>
            <w:tcW w:type="dxa" w:w="12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16×</w:t>
            </w:r>
          </w:p>
        </w:tc>
      </w:tr>
      <w:tr>
        <w:trPr>
          <w:cantSplit/>
        </w:trPr>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Biaya per unit (% dari lot pertama)</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100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85,0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72,3</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61,4</w:t>
            </w:r>
          </w:p>
        </w:tc>
        <w:tc>
          <w:tcPr>
            <w:tcW w:type="dxa" w:w="12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52,2</w:t>
            </w:r>
          </w:p>
        </w:tc>
      </w:tr>
      <w:tr>
        <w:trPr>
          <w:cantSplit/>
        </w:trPr>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Jika biaya lot pertama 140% dari harga impor</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140</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119</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101</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86</w:t>
            </w:r>
          </w:p>
        </w:tc>
        <w:tc>
          <w:tcPr>
            <w:tcW w:type="dxa" w:w="12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73</w:t>
            </w:r>
          </w:p>
        </w:tc>
      </w:tr>
    </w:tbl>
    <w:p>
      <w:pPr>
        <w:keepNext w:val="false"/>
        <w:spacing w:after="140"/>
      </w:pPr>
    </w:p>
    <w:p>
      <w:pPr>
        <w:spacing w:after="100" w:before="0" w:line="258"/>
        <w:jc w:val="left"/>
      </w:pPr>
      <w:r>
        <w:rPr>
          <w:rFonts w:ascii="Arial" w:cs="Arial" w:eastAsia="Arial" w:hAnsi="Arial"/>
          <w:color w:val="000000"/>
          <w:sz w:val="19"/>
          <w:szCs w:val="19"/>
        </w:rPr>
        <w:t xml:space="preserve">Dengan asumsi ini, UKM yang memulai 40% di atas harga impor mencapai kesetaraan setelah sekitar 2,1 kali penggandaan, kurang lebih </w:t>
      </w:r>
      <w:r>
        <w:rPr>
          <w:rFonts w:ascii="Arial" w:cs="Arial" w:eastAsia="Arial" w:hAnsi="Arial"/>
          <w:b/>
          <w:bCs/>
          <w:color w:val="000000"/>
          <w:sz w:val="19"/>
          <w:szCs w:val="19"/>
        </w:rPr>
        <w:t xml:space="preserve">4× volume lot pertama</w:t>
      </w:r>
      <w:r>
        <w:rPr>
          <w:rFonts w:ascii="Arial" w:cs="Arial" w:eastAsia="Arial" w:hAnsi="Arial"/>
          <w:color w:val="000000"/>
          <w:sz w:val="19"/>
          <w:szCs w:val="19"/>
        </w:rPr>
        <w:t xml:space="preserve">. Inilah sebabnya agregasi pesanan antarintegrator lebih penting daripada subsidi tunggal mana pun, dan mengapa proteksi harus bersifat </w:t>
      </w:r>
      <w:r>
        <w:rPr>
          <w:rFonts w:ascii="Arial" w:cs="Arial" w:eastAsia="Arial" w:hAnsi="Arial"/>
          <w:b/>
          <w:bCs/>
          <w:color w:val="000000"/>
          <w:sz w:val="19"/>
          <w:szCs w:val="19"/>
        </w:rPr>
        <w:t xml:space="preserve">sementara</w:t>
      </w:r>
      <w:r>
        <w:rPr>
          <w:rFonts w:ascii="Arial" w:cs="Arial" w:eastAsia="Arial" w:hAnsi="Arial"/>
          <w:color w:val="000000"/>
          <w:sz w:val="19"/>
          <w:szCs w:val="19"/>
        </w:rPr>
        <w:t xml:space="preserve">: setelah kesetaraan tercapai, UKM harus mempertahankan MRL 8 berdasarkan efisiensi, dan integrator dapat membuka DOCK-UP bagi kohort berikutnya [D4].</w:t>
      </w:r>
    </w:p>
    <w:p>
      <w:pPr>
        <w:pStyle w:val="Heading3"/>
        <w:keepNext/>
        <w:keepLines/>
        <w:spacing w:after="80" w:before="200"/>
      </w:pPr>
      <w:r>
        <w:rPr>
          <w:rFonts w:ascii="Arial" w:cs="Arial" w:eastAsia="Arial" w:hAnsi="Arial"/>
          <w:b/>
          <w:bCs/>
          <w:color w:val="005EB8"/>
          <w:sz w:val="22"/>
          <w:szCs w:val="22"/>
        </w:rPr>
        <w:t xml:space="preserve">Pembiayaan yang disesuaikan dengan gerbang</w:t>
      </w:r>
    </w:p>
    <w:p>
      <w:pPr>
        <w:spacing w:after="100" w:before="0" w:line="258"/>
        <w:jc w:val="left"/>
      </w:pPr>
      <w:r>
        <w:rPr>
          <w:rFonts w:ascii="Arial" w:cs="Arial" w:eastAsia="Arial" w:hAnsi="Arial"/>
          <w:color w:val="000000"/>
          <w:sz w:val="19"/>
          <w:szCs w:val="19"/>
        </w:rPr>
        <w:t xml:space="preserve">D4 mengaitkan instrumen pembiayaan dengan gerbang: hibah pendamping (matching grant), KUR (Kredit Usaha Rakyat), pembiayaan rantai pasok, penjaminan kerugian pertama (first-loss), super-deduction litbang berdasarkan PP 45/2019, dan pembiayaan ekspor LPEI. Bab 10 mengintegrasikan instrumen-instrumen ini ke dalam arsitektur pembiayaan yang lebih luas.</w:t>
      </w:r>
    </w:p>
    <w:p>
      <w:pPr>
        <w:pStyle w:val="Heading2"/>
        <w:keepNext/>
        <w:keepLines/>
        <w:spacing w:after="120" w:before="280"/>
      </w:pPr>
      <w:r>
        <w:rPr>
          <w:rFonts w:ascii="Arial" w:cs="Arial" w:eastAsia="Arial" w:hAnsi="Arial"/>
          <w:b/>
          <w:bCs/>
          <w:color w:val="00338D"/>
          <w:sz w:val="28"/>
          <w:szCs w:val="28"/>
        </w:rPr>
        <w:t xml:space="preserve">6.8 Teknologi dan penilaian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Prioritas teknologi</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Mutu proses lebih dahulu</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Pengelasan terkualifikasi, perlakuan panas, pelapisan standar angkatan laut, dan pengujian tak merusak (NDT)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Alih teknologi berjenjang</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Perjanjian ofset menyebutkan paket-paket yang disublisensikan kepada pemasok DOCK-UP</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Integrasi digital</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Portal pemasok yang terhubung dengan ERP integrator: gambar teknik, revisi, ketertelusuran, dan catatan gerbang</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Keamanan informasi</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Akses terkendali dan keamanan siber, dicakup dalam C3 (kelas pertahanan) sesuai tingkat sensitivitas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60"/>
        <w:gridCol w:w="2214"/>
        <w:gridCol w:w="260"/>
        <w:gridCol w:w="2214"/>
        <w:gridCol w:w="260"/>
        <w:gridCol w:w="2216"/>
      </w:tblGrid>
      <w:tr>
        <w:trPr>
          <w:cantSplit/>
        </w:trPr>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Penilaian mandiri terstruktur</w:t>
            </w:r>
          </w:p>
          <w:p>
            <w:pPr>
              <w:spacing w:after="0" w:line="236"/>
            </w:pPr>
            <w:r>
              <w:rPr>
                <w:rFonts w:ascii="Arial" w:cs="Arial" w:eastAsia="Arial" w:hAnsi="Arial"/>
                <w:color w:val="FFFFFF"/>
                <w:sz w:val="15"/>
                <w:szCs w:val="15"/>
              </w:rPr>
              <w:t xml:space="preserve">Berdasarkan kriteria TRL yang dipublikasikan dan sembilan aspek MRL</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Verifikasi independen</w:t>
            </w:r>
          </w:p>
          <w:p>
            <w:pPr>
              <w:spacing w:after="0" w:line="236"/>
            </w:pPr>
            <w:r>
              <w:rPr>
                <w:rFonts w:ascii="Arial" w:cs="Arial" w:eastAsia="Arial" w:hAnsi="Arial"/>
                <w:color w:val="FFFFFF"/>
                <w:sz w:val="15"/>
                <w:szCs w:val="15"/>
              </w:rPr>
              <w:t xml:space="preserve">Perguruan tinggi, laboratorium uji, BKI, atau kumpulan asesor terakreditasi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Integrator meninjau bukti</w:t>
            </w:r>
          </w:p>
          <w:p>
            <w:pPr>
              <w:spacing w:after="0" w:line="236"/>
            </w:pPr>
            <w:r>
              <w:rPr>
                <w:rFonts w:ascii="Arial" w:cs="Arial" w:eastAsia="Arial" w:hAnsi="Arial"/>
                <w:color w:val="FFFFFF"/>
                <w:sz w:val="15"/>
                <w:szCs w:val="15"/>
              </w:rPr>
              <w:t xml:space="preserve">Inspeksi artikel pertama, batch laju rendah, audit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6"/>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Penilaian ulang tahunan</w:t>
            </w:r>
          </w:p>
          <w:p>
            <w:pPr>
              <w:spacing w:after="0" w:line="236"/>
            </w:pPr>
            <w:r>
              <w:rPr>
                <w:rFonts w:ascii="Arial" w:cs="Arial" w:eastAsia="Arial" w:hAnsi="Arial"/>
                <w:color w:val="FFFFFF"/>
                <w:sz w:val="15"/>
                <w:szCs w:val="15"/>
              </w:rPr>
              <w:t xml:space="preserve">Atau pada setiap permintaan tahap; dicatat dalam register bersama</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6.9 Langkah ke depan dan risiko terbesar</w:t>
      </w:r>
    </w:p>
    <w:p>
      <w:pPr>
        <w:pStyle w:val="ListParagraph"/>
        <w:numPr>
          <w:ilvl w:val="0"/>
          <w:numId w:val="4"/>
        </w:numPr>
        <w:spacing w:after="60" w:line="264"/>
      </w:pPr>
      <w:r>
        <w:rPr>
          <w:rFonts w:ascii="Arial" w:cs="Arial" w:eastAsia="Arial" w:hAnsi="Arial"/>
          <w:sz w:val="19"/>
          <w:szCs w:val="19"/>
        </w:rPr>
        <w:t xml:space="preserve">Menetapkan DOCK-UP sebagai model standar partisipasi UKM, dikoordinasikan oleh KKIP (Komite Kebijakan Industri Pertahanan).</w:t>
      </w:r>
    </w:p>
    <w:p>
      <w:pPr>
        <w:pStyle w:val="ListParagraph"/>
        <w:numPr>
          <w:ilvl w:val="0"/>
          <w:numId w:val="4"/>
        </w:numPr>
        <w:spacing w:after="60" w:line="264"/>
      </w:pPr>
      <w:r>
        <w:rPr>
          <w:rFonts w:ascii="Arial" w:cs="Arial" w:eastAsia="Arial" w:hAnsi="Arial"/>
          <w:sz w:val="19"/>
          <w:szCs w:val="19"/>
        </w:rPr>
        <w:t xml:space="preserve">Menjadikan penilaian TRL (TKT) dan MRL sebagai saringan masuk.</w:t>
      </w:r>
    </w:p>
    <w:p>
      <w:pPr>
        <w:pStyle w:val="ListParagraph"/>
        <w:numPr>
          <w:ilvl w:val="0"/>
          <w:numId w:val="4"/>
        </w:numPr>
        <w:spacing w:after="60" w:line="264"/>
      </w:pPr>
      <w:r>
        <w:rPr>
          <w:rFonts w:ascii="Arial" w:cs="Arial" w:eastAsia="Arial" w:hAnsi="Arial"/>
          <w:sz w:val="19"/>
          <w:szCs w:val="19"/>
        </w:rPr>
        <w:t xml:space="preserve">Mengadopsi gerbang G1–G4 sebagai aturan bersama antarintegrator.</w:t>
      </w:r>
    </w:p>
    <w:p>
      <w:pPr>
        <w:pStyle w:val="ListParagraph"/>
        <w:numPr>
          <w:ilvl w:val="0"/>
          <w:numId w:val="4"/>
        </w:numPr>
        <w:spacing w:after="60" w:line="264"/>
      </w:pPr>
      <w:r>
        <w:rPr>
          <w:rFonts w:ascii="Arial" w:cs="Arial" w:eastAsia="Arial" w:hAnsi="Arial"/>
          <w:sz w:val="19"/>
          <w:szCs w:val="19"/>
        </w:rPr>
        <w:t xml:space="preserve">Melakukan percontohan dengan satu integrator, 20–30 UKM, dan 3–5 kelompok komponen.</w:t>
      </w:r>
    </w:p>
    <w:p>
      <w:pPr>
        <w:pStyle w:val="ListParagraph"/>
        <w:numPr>
          <w:ilvl w:val="0"/>
          <w:numId w:val="4"/>
        </w:numPr>
        <w:spacing w:after="60" w:line="264"/>
      </w:pPr>
      <w:r>
        <w:rPr>
          <w:rFonts w:ascii="Arial" w:cs="Arial" w:eastAsia="Arial" w:hAnsi="Arial"/>
          <w:sz w:val="19"/>
          <w:szCs w:val="19"/>
        </w:rPr>
        <w:t xml:space="preserve">Mencantumkan paket DOCK-UP, per gerbang, ke dalam kontrak payung dan perjanjian ofset.</w:t>
      </w:r>
    </w:p>
    <w:p>
      <w:pPr>
        <w:pStyle w:val="ListParagraph"/>
        <w:numPr>
          <w:ilvl w:val="0"/>
          <w:numId w:val="4"/>
        </w:numPr>
        <w:spacing w:after="60" w:line="264"/>
      </w:pPr>
      <w:r>
        <w:rPr>
          <w:rFonts w:ascii="Arial" w:cs="Arial" w:eastAsia="Arial" w:hAnsi="Arial"/>
          <w:sz w:val="19"/>
          <w:szCs w:val="19"/>
        </w:rPr>
        <w:t xml:space="preserve">Mendanai bersama sertifikasi C1–C3; mengaitkan KUR, pembiayaan rantai pasok, dan LPEI dengan pencapaian gerbang.</w:t>
      </w:r>
    </w:p>
    <w:p>
      <w:pPr>
        <w:pStyle w:val="ListParagraph"/>
        <w:numPr>
          <w:ilvl w:val="0"/>
          <w:numId w:val="4"/>
        </w:numPr>
        <w:spacing w:after="60" w:line="264"/>
      </w:pPr>
      <w:r>
        <w:rPr>
          <w:rFonts w:ascii="Arial" w:cs="Arial" w:eastAsia="Arial" w:hAnsi="Arial"/>
          <w:sz w:val="19"/>
          <w:szCs w:val="19"/>
        </w:rPr>
        <w:t xml:space="preserve">Membangun kumpulan asesor independen dan register kesiapan bersama.</w:t>
      </w:r>
    </w:p>
    <w:p>
      <w:pPr>
        <w:pStyle w:val="Heading3"/>
        <w:keepNext/>
        <w:keepLines/>
        <w:spacing w:after="80" w:before="200"/>
      </w:pPr>
      <w:r>
        <w:rPr>
          <w:rFonts w:ascii="Arial" w:cs="Arial" w:eastAsia="Arial" w:hAnsi="Arial"/>
          <w:b/>
          <w:bCs/>
          <w:color w:val="005EB8"/>
          <w:sz w:val="22"/>
          <w:szCs w:val="22"/>
        </w:rPr>
        <w:t xml:space="preserve">Siapa yang menjalankan DOCK-UP</w:t>
      </w:r>
    </w:p>
    <w:p>
      <w:pPr>
        <w:spacing w:after="100" w:before="0" w:line="258"/>
        <w:jc w:val="left"/>
      </w:pPr>
      <w:r>
        <w:rPr>
          <w:rFonts w:ascii="Arial" w:cs="Arial" w:eastAsia="Arial" w:hAnsi="Arial"/>
          <w:color w:val="000000"/>
          <w:sz w:val="19"/>
          <w:szCs w:val="19"/>
        </w:rPr>
        <w:t xml:space="preserve">KKIP menetapkan kebijakan industri pertahanan. Di bawah unit, sebuah </w:t>
      </w:r>
      <w:r>
        <w:rPr>
          <w:rFonts w:ascii="Arial" w:cs="Arial" w:eastAsia="Arial" w:hAnsi="Arial"/>
          <w:b/>
          <w:bCs/>
          <w:color w:val="000000"/>
          <w:sz w:val="19"/>
          <w:szCs w:val="19"/>
        </w:rPr>
        <w:t xml:space="preserve">kantor DOCK-UP</w:t>
      </w:r>
      <w:r>
        <w:rPr>
          <w:rFonts w:ascii="Arial" w:cs="Arial" w:eastAsia="Arial" w:hAnsi="Arial"/>
          <w:color w:val="000000"/>
          <w:sz w:val="19"/>
          <w:szCs w:val="19"/>
        </w:rPr>
        <w:t xml:space="preserve"> lintas sektor memelihara aturan gerbang, kumpulan asesor, dan register kesiapan bersama. Integrator dan sponsor proyek jangkar menempatkan pesanan dan mengelola kinerja pemasok. Bank dan penjamin mengambil keputusan kredit berdasarkan gerbang yang terverifikasi.</w:t>
      </w:r>
    </w:p>
    <w:p>
      <w:pPr>
        <w:pStyle w:val="Heading3"/>
        <w:keepNext/>
        <w:keepLines/>
        <w:spacing w:after="80" w:before="200"/>
      </w:pPr>
      <w:r>
        <w:rPr>
          <w:rFonts w:ascii="Arial" w:cs="Arial" w:eastAsia="Arial" w:hAnsi="Arial"/>
          <w:b/>
          <w:bCs/>
          <w:color w:val="005EB8"/>
          <w:sz w:val="22"/>
          <w:szCs w:val="22"/>
        </w:rPr>
        <w:t xml:space="preserve">Gerbang dan batas minimum menurut undang-undang</w:t>
      </w:r>
    </w:p>
    <w:p>
      <w:pPr>
        <w:spacing w:after="100" w:before="0" w:line="258"/>
        <w:jc w:val="left"/>
      </w:pPr>
      <w:r>
        <w:rPr>
          <w:rFonts w:ascii="Arial" w:cs="Arial" w:eastAsia="Arial" w:hAnsi="Arial"/>
          <w:color w:val="000000"/>
          <w:sz w:val="19"/>
          <w:szCs w:val="19"/>
        </w:rPr>
        <w:t xml:space="preserve">UU 16/2012 menetapkan batas minimum kuantitatif untuk imbal dagang, kandungan lokal, dan ofset. Gerbang kesiapan tidak menggantikan batas minimum tersebut. Gerbang menentukan </w:t>
      </w:r>
      <w:r>
        <w:rPr>
          <w:rFonts w:ascii="Arial" w:cs="Arial" w:eastAsia="Arial" w:hAnsi="Arial"/>
          <w:b/>
          <w:bCs/>
          <w:color w:val="000000"/>
          <w:sz w:val="19"/>
          <w:szCs w:val="19"/>
        </w:rPr>
        <w:t xml:space="preserve">pemasok mana</w:t>
      </w:r>
      <w:r>
        <w:rPr>
          <w:rFonts w:ascii="Arial" w:cs="Arial" w:eastAsia="Arial" w:hAnsi="Arial"/>
          <w:color w:val="000000"/>
          <w:sz w:val="19"/>
          <w:szCs w:val="19"/>
        </w:rPr>
        <w:t xml:space="preserve"> yang menerima volume. Apabila kesiapan dalam negeri yang terverifikasi belum memenuhi batas minimum hukum, kesenjangan tersebut perlu ditutup melalui paket ofset dan alih teknologi yang menyalurkan manfaat kepada pemasok DOCK-UP, bukan melalui pesanan kepada pemasok yang belum siap. Kepatuhan terhadap batas minimum tetap disertifikasi oleh otoritas yang berwenang.</w:t>
      </w:r>
    </w:p>
    <w:p>
      <w:pPr>
        <w:pStyle w:val="Heading3"/>
        <w:keepNext/>
        <w:keepLines/>
        <w:spacing w:after="80" w:before="200"/>
      </w:pPr>
      <w:r>
        <w:rPr>
          <w:rFonts w:ascii="Arial" w:cs="Arial" w:eastAsia="Arial" w:hAnsi="Arial"/>
          <w:b/>
          <w:bCs/>
          <w:color w:val="005EB8"/>
          <w:sz w:val="22"/>
          <w:szCs w:val="22"/>
        </w:rPr>
        <w:t xml:space="preserve">Struktur anggaran percontohan dan target keluar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626"/>
        <w:gridCol w:w="2699"/>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 biaya</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Pemicu biaya untuk percontohan 20–30 UKM</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 pendanaan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Asesor independen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Kumpulan sekitar 10–15 asesor terakreditasi; penilaian masuk ditambah penilaian ulang tahunan per UKM</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program Danantara / KKIP</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Insinyur pendamping</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Sekitar 1 insinyur per 4 UKM (5–8 insinyur) selama 12–24 bulan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dan Danantara, ditanggung bersama</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Hibah pendamping dan fasilitas bersama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Perkakas artikel pertama dan peralatan uji bagi UKM yang mendekati G1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Jendela hibah Danantara; jendela pemasok NRF setelah dibuka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Pendanaan bersama sertifikasi</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C1 (ISO 9001) untuk semua UKM yang mencapai G2; C2 dan C3 untuk yang mendekati G3</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Danantara, dan UKM, ditanggung bersama</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Penjaminan kerugian pertama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Tranche kerugian pertama atas kredit bank kepada UKM pada G2–G3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Penyedia penjaminan dan bank; jendela pemasok NRF setelah dibuka</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Target keluar (akan dikonfirmasi), bulan sejak percontohan dimulai</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ke-12</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ke-18</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ke-24</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 percontohan pada G1 atau lebih tinggi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60%</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75%</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80%</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 percontohan pada G2 atau lebih tinggi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25%</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40%</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Tingkat penolakan artikel pertama atau batch</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ditetapkan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batas yang disepakati</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batas yang disepakati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Kredit bank yang disalurkan berdasarkan bukti gerbang</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Fasilitas pertama</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Bertumbuh</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Tanpa dukungan hibah untuk G2+</w:t>
            </w:r>
          </w:p>
        </w:tc>
      </w:tr>
    </w:tbl>
    <w:p>
      <w:pPr>
        <w:keepNext w:val="false"/>
        <w:spacing w:after="140"/>
      </w:pPr>
    </w:p>
    <w:p>
      <w:pPr>
        <w:spacing w:after="80" w:before="0" w:line="258"/>
        <w:jc w:val="left"/>
      </w:pPr>
      <w:r>
        <w:rPr>
          <w:rFonts w:ascii="Arial" w:cs="Arial" w:eastAsia="Arial" w:hAnsi="Arial"/>
          <w:color w:val="000000"/>
          <w:sz w:val="16"/>
          <w:szCs w:val="16"/>
        </w:rPr>
        <w:t xml:space="preserve">Biaya tidak diestimasi di sini karena tarif satuan untuk asesor, insinyur, dan sertifikasi harus berasal dari integrator dan KKIP. Tabel ini memuat pemicu biaya untuk keperluan penganggaran.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Risiko terbesar</w:t>
            </w:r>
          </w:p>
          <w:p>
            <w:pPr>
              <w:spacing w:after="80" w:line="264"/>
            </w:pPr>
            <w:r>
              <w:rPr>
                <w:rFonts w:ascii="Arial" w:cs="Arial" w:eastAsia="Arial" w:hAnsi="Arial"/>
                <w:color w:val="000000"/>
                <w:sz w:val="19"/>
                <w:szCs w:val="19"/>
              </w:rPr>
              <w:t xml:space="preserve">Memperlakukan DOCK-UP sebagai </w:t>
            </w:r>
            <w:r>
              <w:rPr>
                <w:rFonts w:ascii="Arial" w:cs="Arial" w:eastAsia="Arial" w:hAnsi="Arial"/>
                <w:b/>
                <w:bCs/>
                <w:color w:val="000000"/>
                <w:sz w:val="19"/>
                <w:szCs w:val="19"/>
              </w:rPr>
              <w:t xml:space="preserve">kuota</w:t>
            </w:r>
            <w:r>
              <w:rPr>
                <w:rFonts w:ascii="Arial" w:cs="Arial" w:eastAsia="Arial" w:hAnsi="Arial"/>
                <w:color w:val="000000"/>
                <w:sz w:val="19"/>
                <w:szCs w:val="19"/>
              </w:rPr>
              <w:t xml:space="preserve"> dan bukan sebagai jalur bergerbang kesiapan teknologi dan manufaktur akan merusak model ini. Pesanan yang ditempatkan sebelum kesiapan terverifikasi dapat menyebabkan kegagalan mutu pada kapal perang dan merusak kredibilitas seluruh program. Integrator harus memitigasi risiko volume dan mutu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6.10 Memperluas DOCK-UP ke setiap proyek jangkar</w:t>
      </w:r>
    </w:p>
    <w:p>
      <w:pPr>
        <w:spacing w:after="100" w:before="0" w:line="258"/>
        <w:jc w:val="left"/>
      </w:pPr>
      <w:r>
        <w:rPr>
          <w:rFonts w:ascii="Arial" w:cs="Arial" w:eastAsia="Arial" w:hAnsi="Arial"/>
          <w:color w:val="000000"/>
          <w:sz w:val="19"/>
          <w:szCs w:val="19"/>
        </w:rPr>
        <w:t xml:space="preserve">DOCK-UP dirancang untuk sektor maritim dan pertahanan. D3 mengusulkan </w:t>
      </w:r>
      <w:r>
        <w:rPr>
          <w:rFonts w:ascii="Arial" w:cs="Arial" w:eastAsia="Arial" w:hAnsi="Arial"/>
          <w:b/>
          <w:bCs/>
          <w:color w:val="000000"/>
          <w:sz w:val="19"/>
          <w:szCs w:val="19"/>
        </w:rPr>
        <w:t xml:space="preserve">satu skema DOCK-UP untuk semua proyek jangkar</w:t>
      </w:r>
      <w:r>
        <w:rPr>
          <w:rFonts w:ascii="Arial" w:cs="Arial" w:eastAsia="Arial" w:hAnsi="Arial"/>
          <w:color w:val="000000"/>
          <w:sz w:val="19"/>
          <w:szCs w:val="19"/>
        </w:rPr>
        <w:t xml:space="preserve">. Gerbang-gerbangnya dapat diterapkan langsung; yang berbeda menurut sektor adalah lembaga sertifikasi, bukti kualifikasi, dan off-taker-nya.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91"/>
        <w:gridCol w:w="2699"/>
        <w:gridCol w:w="2120"/>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Paket DOCK-UP yang lazim</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C1/C2 (ilustratif)</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Off-taker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dan pertahanan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Katup, bantalan, perpipaan, harness kabel, sensor, pelapis, MRO</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ISO 9001; persetujuan klas (BKI); pengelasan ISO 3834/9606; keamanan C3</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PT PAL dan DEFEND ID; program Kementerian Pertahanan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pesisir (Giant Sea Wall)</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Beton pracetak, tiang pancang baja, turap, pintu air, pompa, dukungan pengerukan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Standar produk dan sertifikat uji material; persetujuan konsultan pemilik (owner's engineer)</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dan kontraktor EPC</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Perumahan (3 Juta Rumah)</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Komponen modular dan prafabrikasi, HVAC, sistem kelistrikan, perlengkapan, dan pompa. Material curah yang sudah matang seperti semen, menurut asumsi kami, merupakan prioritas DOCK-UP yang lebih rendah.</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Standar produk; pengendalian produksi pabrik untuk unit modular</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Pengembang program perumahan dan BUMN Karya</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dan hilirisasi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Suku cadang peralatan proses, refraktori, suku cadang aus, kelistrikan, jasa pemeliharaan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Kualifikasi pemilik; persetujuan vendor khusus pabrik</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Operator smelter dan kilang/pemurnian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Energi dan WtE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Suku cadang boiler dan grate, kelistrikan balance of plant, panel kendali, jasa O&amp;M</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Kualifikasi vendor perusahaan utilitas</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Perusahaan proyek; perusahaan utilitas</w:t>
            </w:r>
          </w:p>
        </w:tc>
      </w:tr>
    </w:tbl>
    <w:p>
      <w:pPr>
        <w:keepNext w:val="false"/>
        <w:spacing w:after="140"/>
      </w:pPr>
    </w:p>
    <w:p>
      <w:pPr>
        <w:spacing w:after="80" w:before="0" w:line="258"/>
        <w:jc w:val="left"/>
      </w:pPr>
      <w:r>
        <w:rPr>
          <w:rFonts w:ascii="Arial" w:cs="Arial" w:eastAsia="Arial" w:hAnsi="Arial"/>
          <w:color w:val="000000"/>
          <w:sz w:val="16"/>
          <w:szCs w:val="16"/>
        </w:rPr>
        <w:t xml:space="preserve">Bukti sertifikasi untuk sektor selain maritim dan pertahanan merupakan usulan ilustratif kami dan harus dikonfirmasi dengan otoritas dan pemilik terkait.</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07</w:t>
            </w:r>
          </w:p>
          <w:p>
            <w:pPr>
              <w:pStyle w:val="Heading1"/>
              <w:spacing w:after="100"/>
            </w:pPr>
            <w:r>
              <w:rPr>
                <w:rFonts w:ascii="Arial" w:cs="Arial" w:eastAsia="Arial" w:hAnsi="Arial"/>
                <w:b/>
                <w:bCs/>
                <w:color w:val="FFFFFF"/>
                <w:sz w:val="40"/>
                <w:szCs w:val="40"/>
              </w:rPr>
              <w:t xml:space="preserve">Proyek jangkar sebagai mesin permintaan</w:t>
            </w:r>
          </w:p>
          <w:p>
            <w:pPr>
              <w:spacing w:after="0" w:line="276"/>
            </w:pPr>
            <w:r>
              <w:rPr>
                <w:rFonts w:ascii="Arial" w:cs="Arial" w:eastAsia="Arial" w:hAnsi="Arial"/>
                <w:color w:val="FFFFFF"/>
                <w:sz w:val="20"/>
                <w:szCs w:val="20"/>
              </w:rPr>
              <w:t xml:space="preserve">Proyek strategis nasional di bidang mineral, infrastruktur, maritim, pertahanan, dan industri lainnya digunakan sebagai permintaan yang terjamin untuk membangun rantai pasok dalam negeri.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7.1 Prinsip proyek jangkar</w:t>
      </w:r>
    </w:p>
    <w:p>
      <w:pPr>
        <w:spacing w:after="100" w:before="0" w:line="258"/>
        <w:jc w:val="left"/>
      </w:pPr>
      <w:r>
        <w:rPr>
          <w:rFonts w:ascii="Arial" w:cs="Arial" w:eastAsia="Arial" w:hAnsi="Arial"/>
          <w:color w:val="000000"/>
          <w:sz w:val="19"/>
          <w:szCs w:val="19"/>
        </w:rPr>
        <w:t xml:space="preserve">Proyek jangkar (anchor project) adalah program besar berjangka panjang dengan pengadaan yang dapat diprediksi, di mana Danantara atau BUMN-nya berpartisipasi. Nilainya bagi kebijakan industri bukan hanya aset yang dibangun, tetapi juga </w:t>
      </w:r>
      <w:r>
        <w:rPr>
          <w:rFonts w:ascii="Arial" w:cs="Arial" w:eastAsia="Arial" w:hAnsi="Arial"/>
          <w:b/>
          <w:bCs/>
          <w:color w:val="000000"/>
          <w:sz w:val="19"/>
          <w:szCs w:val="19"/>
        </w:rPr>
        <w:t xml:space="preserve">buku pesanan yang diciptakannya</w:t>
      </w:r>
      <w:r>
        <w:rPr>
          <w:rFonts w:ascii="Arial" w:cs="Arial" w:eastAsia="Arial" w:hAnsi="Arial"/>
          <w:color w:val="000000"/>
          <w:sz w:val="19"/>
          <w:szCs w:val="19"/>
        </w:rPr>
        <w:t xml:space="preserve">. Setiap proyek jangkar perlu memublikasikan rencana lokalisasi yang mengidentifikasi paket mana yang dapat dipasok dari dalam negeri, pada gerbang mana, dan kapan.</w:t>
      </w:r>
    </w:p>
    <w:p>
      <w:pPr>
        <w:keepNext/>
        <w:spacing w:after="80" w:before="120"/>
      </w:pPr>
      <w:r>
        <w:rPr>
          <w:rFonts w:ascii="Arial" w:cs="Arial" w:eastAsia="Arial" w:hAnsi="Arial"/>
          <w:b/>
          <w:bCs/>
          <w:color w:val="00338D"/>
          <w:sz w:val="18"/>
          <w:szCs w:val="18"/>
        </w:rPr>
        <w:t xml:space="preserve">Tabel 9: </w:t>
      </w:r>
      <w:r>
        <w:rPr>
          <w:rFonts w:ascii="Arial" w:cs="Arial" w:eastAsia="Arial" w:hAnsi="Arial"/>
          <w:b/>
          <w:bCs/>
          <w:color w:val="00338D"/>
          <w:sz w:val="18"/>
          <w:szCs w:val="18"/>
        </w:rPr>
        <w:t xml:space="preserve">Proyek jangkar dan permintaan industri yang diciptakannya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313"/>
        <w:gridCol w:w="520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Platform industri</w:t>
            </w:r>
          </w:p>
        </w:tc>
        <w:tc>
          <w:tcPr>
            <w:tcW w:type="dxa" w:w="52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Permintaan yang tercipta bagi industri dalam negeri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industri maritim dan pesisir</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Struktur beton dan baja; galangan kapal dan peralatan kelautan; pompa, pintu air, dan material lokal; perlindungan banjir dan ketahanan pesisir</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3 Juta Rumah</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industri perumahan nasional</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Semen, baja, kaca, dan keramik; komponen rumah modular; sistem perpipaan, kelistrikan, dan HVAC; material ramah lingkungan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maritim</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Galangan kapal, komponen, dan MRO</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Kapal komersial dan kapal khusus; mesin, propulsi, dan sistem kelautan; MRO dan pengedokan; komponen, elektronika, dan peralatan kapal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pertahanan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Alat pertahanan dan sistem pendukung</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darat, laut, dan udara; elektronika, sensor, dan radar; mesin, propulsi, dan material khusus; integrasi sistem dan pemeliharaan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mineral dan material</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Pengolahan nikel, aluminium, bauksit, dan tembaga: smelter, alumina, soda kaustik; peralatan proses, jasa pemeliharaan, dan logistik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Industri strategis lainnya</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Kimia, energi, digital, pangan</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Kimia CA–EDC, waste-to-energy, pusat data, pertanian dan pupuk; akan dipisahkan ke dalam klaster yang sesuai setelah register lengkap</w:t>
            </w:r>
          </w:p>
        </w:tc>
      </w:tr>
    </w:tbl>
    <w:p>
      <w:pPr>
        <w:keepNext w:val="false"/>
        <w:spacing w:after="140"/>
      </w:pPr>
    </w:p>
    <w:p>
      <w:pPr>
        <w:spacing w:after="160"/>
      </w:pPr>
      <w:r>
        <w:rPr>
          <w:rFonts w:ascii="Arial" w:cs="Arial" w:eastAsia="Arial" w:hAnsi="Arial"/>
          <w:i/>
          <w:iCs/>
          <w:color w:val="000000"/>
          <w:sz w:val="15"/>
          <w:szCs w:val="15"/>
        </w:rPr>
        <w:t xml:space="preserve">Sumber: D3 hlm. 1–2; D1/S06–S08; D2 §9.</w:t>
      </w:r>
    </w:p>
    <w:p>
      <w:pPr>
        <w:pStyle w:val="Heading2"/>
        <w:keepNext/>
        <w:keepLines/>
        <w:spacing w:after="120" w:before="280"/>
      </w:pPr>
      <w:r>
        <w:rPr>
          <w:rFonts w:ascii="Arial" w:cs="Arial" w:eastAsia="Arial" w:hAnsi="Arial"/>
          <w:b/>
          <w:bCs/>
          <w:color w:val="00338D"/>
          <w:sz w:val="28"/>
          <w:szCs w:val="28"/>
        </w:rPr>
        <w:t xml:space="preserve">7.2 Empat klaster awal</w:t>
      </w:r>
    </w:p>
    <w:p>
      <w:pPr>
        <w:spacing w:after="100" w:before="0" w:line="258"/>
        <w:jc w:val="left"/>
      </w:pPr>
      <w:r>
        <w:rPr>
          <w:rFonts w:ascii="Arial" w:cs="Arial" w:eastAsia="Arial" w:hAnsi="Arial"/>
          <w:color w:val="000000"/>
          <w:sz w:val="19"/>
          <w:szCs w:val="19"/>
        </w:rPr>
        <w:t xml:space="preserve">D2 mengusulkan empat klaster awal yang selaras dengan materi portofolio. Kelompok “Lainnya” harus dipisahkan setelah register lengkap tersedia, karena proyek pangan, digital, kesehatan, dan lainnya memerlukan keahlian yang berbeda. Pembangunan kapal sipil dan pertahanan perlu diorganisasikan sebagai paket kerja terpisah meskipun berada dalam satu klaster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831"/>
        <w:gridCol w:w="2698"/>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 (contoh)</w:t>
            </w:r>
          </w:p>
        </w:tc>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 portofolio, tabel ringkasan (Rp triliun)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Tugas pertama pemimpin klaster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dan material</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Nikel, bauksit–alumina–aluminium, tembaga, material baterai</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283,85</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Memetakan bahan baku, pasar, teknologi, dan fasilitas bersama; menetapkan uji kapabilitas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Energi dan infrastruktur industri</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Giant Sea Wall, energi, WtE, pelabuhan, kawasan industri, 3 Juta Rumah</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1.274,57 (infrastruktur)</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Mengemas item yang dapat dilokalisasi; menyelaraskan BUMN Karya dengan DOCK-UP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Pertahanan dan maritim</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Kapal selam, fregat, LPD, kapal rumah sakit, MRO, program DEFEND ID</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81,10</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Meluncurkan percontohan DOCK-UP; mengaitkan ofset dengan paket</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Manufaktur strategis lainnya</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Kimia (CA–EDC), digital, pangan, kesehatan</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451,94 (lainnya)</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Memisahkan per sektor; menugaskan pemimpin spesialis</w:t>
            </w:r>
          </w:p>
        </w:tc>
      </w:tr>
    </w:tbl>
    <w:p>
      <w:pPr>
        <w:keepNext w:val="false"/>
        <w:spacing w:after="140"/>
      </w:pPr>
    </w:p>
    <w:p>
      <w:pPr>
        <w:spacing w:after="80" w:before="0" w:line="258"/>
        <w:jc w:val="left"/>
      </w:pPr>
      <w:r>
        <w:rPr>
          <w:rFonts w:ascii="Arial" w:cs="Arial" w:eastAsia="Arial" w:hAnsi="Arial"/>
          <w:color w:val="000000"/>
          <w:sz w:val="16"/>
          <w:szCs w:val="16"/>
        </w:rPr>
        <w:t xml:space="preserve">Nilai berasal dari tabel ringkasan yang belum direkonsiliasi dan hanya ditampilkan sebagai orientasi (lihat Bagian 4.6).</w:t>
      </w:r>
    </w:p>
    <w:p>
      <w:pPr>
        <w:pStyle w:val="Heading2"/>
        <w:keepNext/>
        <w:keepLines/>
        <w:spacing w:after="120" w:before="280"/>
      </w:pPr>
      <w:r>
        <w:rPr>
          <w:rFonts w:ascii="Arial" w:cs="Arial" w:eastAsia="Arial" w:hAnsi="Arial"/>
          <w:b/>
          <w:bCs/>
          <w:color w:val="00338D"/>
          <w:sz w:val="28"/>
          <w:szCs w:val="28"/>
        </w:rPr>
        <w:t xml:space="preserve">7.3 Uji kapabilitas per klaster</w:t>
      </w:r>
    </w:p>
    <w:p>
      <w:pPr>
        <w:spacing w:after="100" w:before="0" w:line="258"/>
        <w:jc w:val="left"/>
      </w:pPr>
      <w:r>
        <w:rPr>
          <w:rFonts w:ascii="Arial" w:cs="Arial" w:eastAsia="Arial" w:hAnsi="Arial"/>
          <w:color w:val="000000"/>
          <w:sz w:val="19"/>
          <w:szCs w:val="19"/>
        </w:rPr>
        <w:t xml:space="preserve">Setiap klaster memerlukan dua set uji: uji finansial dan operasional, serta uji kapabilitas industri. Percontohan atau demonstrasi tidak boleh disalahartikan sebagai keberhasilan industri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finansial dan operasional</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kapabilitas industri dan hasil</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Material baterai, daur ulang, penyimpanan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Rendemen, tingkat perolehan (recovery), biaya sampai tujuan, biaya kualifikasi, modal kerja, offtake, IRR, capex peningkatan skala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Keluaran terkualifikasi kelas baterai, nilai tambah lokal yang terverifikasi, hak HKI operasional, penjualan berulang, emisi sepanjang siklus hidup</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Alumina, aluminium, mineral</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bijih dan energi, tingkat perolehan, utilisasi, logistik, imbal hasil pada skenario harga logam rendah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pengolahan dalam negeri inkremental, devisa neto setelah input impor, kapabilitas pemasok, intensitas energi dan karbon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CA–EDC dan kimia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Intensitas listrik dan bahan baku, utilisasi, selisih harga produk, keselamatan, pembentukan kas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Substitusi impor secara komersial, daya saing ekspor, pasokan dalam negeri yang andal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Waste-to-energy dan infrastruktur bersih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layanan sepanjang umur, pendapatan berbasis kontrak, pembayaran utang, liabilitas sisa limbah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Limbah yang benar-benar diolah, GRK neto sepanjang siklus hidup, kualitas udara lokal, keterjangkauan, efek terhadap daur ulang</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pembangunan kapal, logistik</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Kualitas buku pesanan, ketepatan waktu penyerahan, biaya siklus hidup, waktu penyelesaian perbaikan, liabilitas garansi</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Kapabilitas desain dan manufaktur bersertifikat, nilai komponen dalam negeri, pesanan ekspor, produktivitas logistik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Teknologi maju, manufaktur strategis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Modal litbang bertahap berbasis gerbang, permintaan terkualifikasi, jalur penurunan biaya, kesiapan skala komersial</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Mutu produksi, kemandirian rekayasa dalam negeri, pesanan berulang yang kompetitif</w:t>
            </w:r>
          </w:p>
        </w:tc>
      </w:tr>
    </w:tbl>
    <w:p>
      <w:pPr>
        <w:keepNext w:val="false"/>
        <w:spacing w:after="140"/>
      </w:pPr>
    </w:p>
    <w:p>
      <w:pPr>
        <w:spacing w:after="160"/>
      </w:pPr>
      <w:r>
        <w:rPr>
          <w:rFonts w:ascii="Arial" w:cs="Arial" w:eastAsia="Arial" w:hAnsi="Arial"/>
          <w:i/>
          <w:iCs/>
          <w:color w:val="000000"/>
          <w:sz w:val="15"/>
          <w:szCs w:val="15"/>
        </w:rPr>
        <w:t xml:space="preserve">Sumber: D1, “Penerapan kerangka pada industri strategis”.</w:t>
      </w:r>
    </w:p>
    <w:p>
      <w:pPr>
        <w:pStyle w:val="Heading2"/>
        <w:keepNext/>
        <w:keepLines/>
        <w:spacing w:after="120" w:before="280"/>
      </w:pPr>
      <w:r>
        <w:rPr>
          <w:rFonts w:ascii="Arial" w:cs="Arial" w:eastAsia="Arial" w:hAnsi="Arial"/>
          <w:b/>
          <w:bCs/>
          <w:color w:val="00338D"/>
          <w:sz w:val="28"/>
          <w:szCs w:val="28"/>
        </w:rPr>
        <w:t xml:space="preserve">7.4 Menghubungkan gerbang proyek dan gerbang pemasok</w:t>
      </w:r>
    </w:p>
    <w:p>
      <w:pPr>
        <w:spacing w:after="100" w:before="0" w:line="258"/>
        <w:jc w:val="left"/>
      </w:pPr>
      <w:r>
        <w:rPr>
          <w:rFonts w:ascii="Arial" w:cs="Arial" w:eastAsia="Arial" w:hAnsi="Arial"/>
          <w:color w:val="000000"/>
          <w:sz w:val="19"/>
          <w:szCs w:val="19"/>
        </w:rPr>
        <w:t xml:space="preserve">Dua sistem gerbang harus saling mengunci. Gerbang proyek (G0–G6 dalam D2, di sini diberi label </w:t>
      </w:r>
      <w:r>
        <w:rPr>
          <w:rFonts w:ascii="Arial" w:cs="Arial" w:eastAsia="Arial" w:hAnsi="Arial"/>
          <w:b/>
          <w:bCs/>
          <w:color w:val="000000"/>
          <w:sz w:val="19"/>
          <w:szCs w:val="19"/>
        </w:rPr>
        <w:t xml:space="preserve">P0–P6</w:t>
      </w:r>
      <w:r>
        <w:rPr>
          <w:rFonts w:ascii="Arial" w:cs="Arial" w:eastAsia="Arial" w:hAnsi="Arial"/>
          <w:color w:val="000000"/>
          <w:sz w:val="19"/>
          <w:szCs w:val="19"/>
        </w:rPr>
        <w:t xml:space="preserve"> untuk menghindari kerancuan) mengatur apakah suatu proyek dapat dilanjutkan. Gerbang pemasok (</w:t>
      </w:r>
      <w:r>
        <w:rPr>
          <w:rFonts w:ascii="Arial" w:cs="Arial" w:eastAsia="Arial" w:hAnsi="Arial"/>
          <w:b/>
          <w:bCs/>
          <w:color w:val="000000"/>
          <w:sz w:val="19"/>
          <w:szCs w:val="19"/>
        </w:rPr>
        <w:t xml:space="preserve">G1–G4</w:t>
      </w:r>
      <w:r>
        <w:rPr>
          <w:rFonts w:ascii="Arial" w:cs="Arial" w:eastAsia="Arial" w:hAnsi="Arial"/>
          <w:color w:val="000000"/>
          <w:sz w:val="19"/>
          <w:szCs w:val="19"/>
        </w:rPr>
        <w:t xml:space="preserve"> dalam D4) mengatur apakah suatu pemasok menerima volume. </w:t>
      </w:r>
      <w:r>
        <w:rPr>
          <w:rFonts w:ascii="Arial" w:cs="Arial" w:eastAsia="Arial" w:hAnsi="Arial"/>
          <w:b/>
          <w:bCs/>
          <w:color w:val="000000"/>
          <w:sz w:val="19"/>
          <w:szCs w:val="19"/>
        </w:rPr>
        <w:t xml:space="preserve">Rencana lokalisasi</w:t>
      </w:r>
      <w:r>
        <w:rPr>
          <w:rFonts w:ascii="Arial" w:cs="Arial" w:eastAsia="Arial" w:hAnsi="Arial"/>
          <w:color w:val="000000"/>
          <w:sz w:val="19"/>
          <w:szCs w:val="19"/>
        </w:rPr>
        <w:t xml:space="preserve"> adalah dokumen yang menghubungkan keduanya.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proyek</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untuk melanjutkan (D2)</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 lokalisasi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P0 Validasi mandat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Identitas proyek, dasar mandat, sponsor, lingkup, data biaya, jalur keputusan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Menandai apakah proyek merupakan proyek jangkar dengan paket yang dapat dilokalisasi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P1 Prioritas dan opsi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finansial dan kajian dampak nasional; alternatif termasuk tidak membangun; keterkaitan antarproyek</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Daftar panjang paket yang dapat dilokalisasi beserta porsi impor saat ini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P2 Kesiapan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teknis, lahan, perizinan, HKI, L&amp;S, pasar, offtake, risiko, biaya, sumber modal</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lokalisasi: paket menurut PBS, calon pemasok dengan baseline TRL/MRL terverifikasi, tanggal kebutuhan di lokasi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P3 Keputusan modal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Rekomendasi komite, pendapat berbeda, konflik kepentingan, persetujuan yang dicadangkan, persyaratan</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 payung dan paket ofset dicantumkan dalam kontrak EPC/pasokan, dengan tahap yang dikaitkan pada G1–G3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P4 Financial close dan konstruksi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Pendanaan yang mengikat, persyaratan pendahuluan, kontrak yang berlaku efektif, perizinan, jadwal baseline, pengendalian perubahan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dilepas hanya ketika pemasok lolos gerbang; jalur impor cadangan disetujui sebelumnya untuk melindungi jadwal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P5 Commissioning dan operasi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kinerja, keselamatan, penerimaan aset, operator, kesiapan rantai pasok, sertifikasi</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Kinerja pemasok dan kesiapan suku cadang terverifikasi; kontrak dukungan sepanjang umur pakai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P6 Evaluasi hasil</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Biaya final, manfaat aktual, kapasitas, teknologi, emisi, tindakan korektif atau keluar</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dalam negeri dan tonggak capaian kapabilitas yang terverifikasi dilaporkan terhadap rencana</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Isi rencana lokalisasi</w:t>
      </w:r>
    </w:p>
    <w:p>
      <w:pPr>
        <w:pStyle w:val="ListParagraph"/>
        <w:numPr>
          <w:ilvl w:val="0"/>
          <w:numId w:val="2"/>
        </w:numPr>
        <w:spacing w:after="60" w:line="264"/>
      </w:pPr>
      <w:r>
        <w:rPr>
          <w:rFonts w:ascii="Arial" w:cs="Arial" w:eastAsia="Arial" w:hAnsi="Arial"/>
          <w:sz w:val="19"/>
          <w:szCs w:val="19"/>
        </w:rPr>
        <w:t xml:space="preserve">Daftar paket yang disusun menurut PBS proyek, sehingga setiap paket memiliki kode biaya, kuantitas, dan tanggal kebutuhan di lokasi.</w:t>
      </w:r>
    </w:p>
    <w:p>
      <w:pPr>
        <w:pStyle w:val="ListParagraph"/>
        <w:numPr>
          <w:ilvl w:val="0"/>
          <w:numId w:val="2"/>
        </w:numPr>
        <w:spacing w:after="60" w:line="264"/>
      </w:pPr>
      <w:r>
        <w:rPr>
          <w:rFonts w:ascii="Arial" w:cs="Arial" w:eastAsia="Arial" w:hAnsi="Arial"/>
          <w:sz w:val="19"/>
          <w:szCs w:val="19"/>
        </w:rPr>
        <w:t xml:space="preserve">Porsi impor saat ini dan target porsi dalam negeri per paket, menurut gerbang pemasok.</w:t>
      </w:r>
    </w:p>
    <w:p>
      <w:pPr>
        <w:pStyle w:val="ListParagraph"/>
        <w:numPr>
          <w:ilvl w:val="0"/>
          <w:numId w:val="2"/>
        </w:numPr>
        <w:spacing w:after="60" w:line="264"/>
      </w:pPr>
      <w:r>
        <w:rPr>
          <w:rFonts w:ascii="Arial" w:cs="Arial" w:eastAsia="Arial" w:hAnsi="Arial"/>
          <w:sz w:val="19"/>
          <w:szCs w:val="19"/>
        </w:rPr>
        <w:t xml:space="preserve">Calon pemasok dengan baseline TRL/MRL yang diverifikasi secara independen dan rencana pengembangan.</w:t>
      </w:r>
    </w:p>
    <w:p>
      <w:pPr>
        <w:pStyle w:val="ListParagraph"/>
        <w:numPr>
          <w:ilvl w:val="0"/>
          <w:numId w:val="2"/>
        </w:numPr>
        <w:spacing w:after="60" w:line="264"/>
      </w:pPr>
      <w:r>
        <w:rPr>
          <w:rFonts w:ascii="Arial" w:cs="Arial" w:eastAsia="Arial" w:hAnsi="Arial"/>
          <w:sz w:val="19"/>
          <w:szCs w:val="19"/>
        </w:rPr>
        <w:t xml:space="preserve">Ketentuan off-take: kontrak payung, tahap volume, formula harga, dan jalur menuju kesetaraan harga.</w:t>
      </w:r>
    </w:p>
    <w:p>
      <w:pPr>
        <w:pStyle w:val="ListParagraph"/>
        <w:numPr>
          <w:ilvl w:val="0"/>
          <w:numId w:val="2"/>
        </w:numPr>
        <w:spacing w:after="60" w:line="264"/>
      </w:pPr>
      <w:r>
        <w:rPr>
          <w:rFonts w:ascii="Arial" w:cs="Arial" w:eastAsia="Arial" w:hAnsi="Arial"/>
          <w:sz w:val="19"/>
          <w:szCs w:val="19"/>
        </w:rPr>
        <w:t xml:space="preserve">Jalur sertifikasi (C1–C3) dan pihak yang menanggung biayanya.</w:t>
      </w:r>
    </w:p>
    <w:p>
      <w:pPr>
        <w:pStyle w:val="ListParagraph"/>
        <w:numPr>
          <w:ilvl w:val="0"/>
          <w:numId w:val="2"/>
        </w:numPr>
        <w:spacing w:after="60" w:line="264"/>
      </w:pPr>
      <w:r>
        <w:rPr>
          <w:rFonts w:ascii="Arial" w:cs="Arial" w:eastAsia="Arial" w:hAnsi="Arial"/>
          <w:sz w:val="19"/>
          <w:szCs w:val="19"/>
        </w:rPr>
        <w:t xml:space="preserve">Instrumen pembiayaan yang disesuaikan dengan setiap gerbang (Bab 10).</w:t>
      </w:r>
    </w:p>
    <w:p>
      <w:pPr>
        <w:pStyle w:val="ListParagraph"/>
        <w:numPr>
          <w:ilvl w:val="0"/>
          <w:numId w:val="2"/>
        </w:numPr>
        <w:spacing w:after="60" w:line="264"/>
      </w:pPr>
      <w:r>
        <w:rPr>
          <w:rFonts w:ascii="Arial" w:cs="Arial" w:eastAsia="Arial" w:hAnsi="Arial"/>
          <w:sz w:val="19"/>
          <w:szCs w:val="19"/>
        </w:rPr>
        <w:t xml:space="preserve">Perlindungan jadwal: sumber cadangan yang telah disetujui sebelumnya apabila pemasok tidak lolos gerbang, sehingga lokalisasi tidak pernah menunda jalur kritis proyek jangkar.</w:t>
      </w:r>
    </w:p>
    <w:p>
      <w:pPr>
        <w:pStyle w:val="ListParagraph"/>
        <w:numPr>
          <w:ilvl w:val="0"/>
          <w:numId w:val="2"/>
        </w:numPr>
        <w:spacing w:after="60" w:line="264"/>
      </w:pPr>
      <w:r>
        <w:rPr>
          <w:rFonts w:ascii="Arial" w:cs="Arial" w:eastAsia="Arial" w:hAnsi="Arial"/>
          <w:sz w:val="19"/>
          <w:szCs w:val="19"/>
        </w:rPr>
        <w:t xml:space="preserve">Indikator: porsi nilai tambah dalam negeri (D05), jumlah pemasok per gerbang, produktivitas pemasok (D09).</w:t>
      </w:r>
    </w:p>
    <w:p>
      <w:pPr>
        <w:pStyle w:val="Heading2"/>
        <w:keepNext/>
        <w:keepLines/>
        <w:spacing w:after="120" w:before="280"/>
      </w:pPr>
      <w:r>
        <w:rPr>
          <w:rFonts w:ascii="Arial" w:cs="Arial" w:eastAsia="Arial" w:hAnsi="Arial"/>
          <w:b/>
          <w:bCs/>
          <w:color w:val="00338D"/>
          <w:sz w:val="28"/>
          <w:szCs w:val="28"/>
        </w:rPr>
        <w:t xml:space="preserve">7.5 Contoh penerapan: proyek jangkar maritim</w:t>
      </w:r>
    </w:p>
    <w:p>
      <w:pPr>
        <w:spacing w:after="100" w:before="0" w:line="258"/>
        <w:jc w:val="left"/>
      </w:pPr>
      <w:r>
        <w:rPr>
          <w:rFonts w:ascii="Arial" w:cs="Arial" w:eastAsia="Arial" w:hAnsi="Arial"/>
          <w:color w:val="000000"/>
          <w:sz w:val="19"/>
          <w:szCs w:val="19"/>
        </w:rPr>
        <w:t xml:space="preserve">Backlog proyek berdaulat PT PAL, yang terdiri atas dua kapal selam Scorpène Evolved (US$2,16 miliar), dua fregat Merah Putih (AH-140, US$1,2 miliar), LPD, dan kapal rumah sakit, menggambarkan bagaimana komponen-komponen ini saling terkait. Sekitar </w:t>
      </w:r>
      <w:r>
        <w:rPr>
          <w:rFonts w:ascii="Arial" w:cs="Arial" w:eastAsia="Arial" w:hAnsi="Arial"/>
          <w:b/>
          <w:bCs/>
          <w:color w:val="000000"/>
          <w:sz w:val="19"/>
          <w:szCs w:val="19"/>
        </w:rPr>
        <w:t xml:space="preserve">75% material diimpor</w:t>
      </w:r>
      <w:r>
        <w:rPr>
          <w:rFonts w:ascii="Arial" w:cs="Arial" w:eastAsia="Arial" w:hAnsi="Arial"/>
          <w:color w:val="000000"/>
          <w:sz w:val="19"/>
          <w:szCs w:val="19"/>
        </w:rPr>
        <w:t xml:space="preserve">, dan setiap program menghadapi kesenjangan modal kerja sebesar </w:t>
      </w:r>
      <w:r>
        <w:rPr>
          <w:rFonts w:ascii="Arial" w:cs="Arial" w:eastAsia="Arial" w:hAnsi="Arial"/>
          <w:b/>
          <w:bCs/>
          <w:color w:val="000000"/>
          <w:sz w:val="19"/>
          <w:szCs w:val="19"/>
        </w:rPr>
        <w:t xml:space="preserve">US$150–300 juta</w:t>
      </w:r>
      <w:r>
        <w:rPr>
          <w:rFonts w:ascii="Arial" w:cs="Arial" w:eastAsia="Arial" w:hAnsi="Arial"/>
          <w:color w:val="000000"/>
          <w:sz w:val="19"/>
          <w:szCs w:val="19"/>
        </w:rPr>
        <w:t xml:space="preserve"> karena material harus dibayar sebelum pembayaran tonggak capaian diterima [D6].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Permintaan jangkar</w:t>
            </w:r>
          </w:p>
          <w:p>
            <w:pPr>
              <w:spacing w:after="0" w:line="236"/>
            </w:pPr>
            <w:r>
              <w:rPr>
                <w:rFonts w:ascii="Arial" w:cs="Arial" w:eastAsia="Arial" w:hAnsi="Arial"/>
                <w:color w:val="FFFFFF"/>
                <w:sz w:val="15"/>
                <w:szCs w:val="15"/>
              </w:rPr>
              <w:t xml:space="preserve">Kontrak Kementerian Pertahanan dengan siklus pembangunan 60–96 bulan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Rencana lokalisasi</w:t>
            </w:r>
          </w:p>
          <w:p>
            <w:pPr>
              <w:spacing w:after="0" w:line="236"/>
            </w:pPr>
            <w:r>
              <w:rPr>
                <w:rFonts w:ascii="Arial" w:cs="Arial" w:eastAsia="Arial" w:hAnsi="Arial"/>
                <w:color w:val="FFFFFF"/>
                <w:sz w:val="15"/>
                <w:szCs w:val="15"/>
              </w:rPr>
              <w:t xml:space="preserve">Katup, bantalan, perpipaan, pengkabelan, sensor sebagai paket DOCK-UP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Gerbang pemasok</w:t>
            </w:r>
          </w:p>
          <w:p>
            <w:pPr>
              <w:spacing w:after="0" w:line="236"/>
            </w:pPr>
            <w:r>
              <w:rPr>
                <w:rFonts w:ascii="Arial" w:cs="Arial" w:eastAsia="Arial" w:hAnsi="Arial"/>
                <w:color w:val="FFFFFF"/>
                <w:sz w:val="15"/>
                <w:szCs w:val="15"/>
              </w:rPr>
              <w:t xml:space="preserve">20–30 UKM masuk; volume dilepas pada G1–G3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Pembiayaan tonggak capaian</w:t>
            </w:r>
          </w:p>
          <w:p>
            <w:pPr>
              <w:spacing w:after="0" w:line="236"/>
            </w:pPr>
            <w:r>
              <w:rPr>
                <w:rFonts w:ascii="Arial" w:cs="Arial" w:eastAsia="Arial" w:hAnsi="Arial"/>
                <w:color w:val="FFFFFF"/>
                <w:sz w:val="15"/>
                <w:szCs w:val="15"/>
              </w:rPr>
              <w:t xml:space="preserve">Escrow piutang yang ditokenisasi membayar langsung pemasok yang terverifikasi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Kapabilitas</w:t>
            </w:r>
          </w:p>
          <w:p>
            <w:pPr>
              <w:spacing w:after="0" w:line="236"/>
            </w:pPr>
            <w:r>
              <w:rPr>
                <w:rFonts w:ascii="Arial" w:cs="Arial" w:eastAsia="Arial" w:hAnsi="Arial"/>
                <w:color w:val="FFFFFF"/>
                <w:sz w:val="15"/>
                <w:szCs w:val="15"/>
              </w:rPr>
              <w:t xml:space="preserve">Komponen standar kelas kapal; MRO dan suku cadang dalam negeri</w:t>
            </w:r>
          </w:p>
        </w:tc>
      </w:tr>
    </w:tbl>
    <w:p>
      <w:pPr>
        <w:spacing w:after="160"/>
      </w:pPr>
    </w:p>
    <w:p>
      <w:pPr>
        <w:spacing w:after="100" w:before="0" w:line="258"/>
        <w:jc w:val="left"/>
      </w:pPr>
      <w:r>
        <w:rPr>
          <w:rFonts w:ascii="Arial" w:cs="Arial" w:eastAsia="Arial" w:hAnsi="Arial"/>
          <w:color w:val="000000"/>
          <w:sz w:val="19"/>
          <w:szCs w:val="19"/>
        </w:rPr>
        <w:t xml:space="preserve">Inilah titik integrasi dari seluruh kajian. </w:t>
      </w:r>
      <w:r>
        <w:rPr>
          <w:rFonts w:ascii="Arial" w:cs="Arial" w:eastAsia="Arial" w:hAnsi="Arial"/>
          <w:b/>
          <w:bCs/>
          <w:color w:val="000000"/>
          <w:sz w:val="19"/>
          <w:szCs w:val="19"/>
        </w:rPr>
        <w:t xml:space="preserve">Permintaan</w:t>
      </w:r>
      <w:r>
        <w:rPr>
          <w:rFonts w:ascii="Arial" w:cs="Arial" w:eastAsia="Arial" w:hAnsi="Arial"/>
          <w:color w:val="000000"/>
          <w:sz w:val="19"/>
          <w:szCs w:val="19"/>
        </w:rPr>
        <w:t xml:space="preserve"> berasal dari program pertahanan; </w:t>
      </w:r>
      <w:r>
        <w:rPr>
          <w:rFonts w:ascii="Arial" w:cs="Arial" w:eastAsia="Arial" w:hAnsi="Arial"/>
          <w:b/>
          <w:bCs/>
          <w:color w:val="000000"/>
          <w:sz w:val="19"/>
          <w:szCs w:val="19"/>
        </w:rPr>
        <w:t xml:space="preserve">DOCK-UP</w:t>
      </w:r>
      <w:r>
        <w:rPr>
          <w:rFonts w:ascii="Arial" w:cs="Arial" w:eastAsia="Arial" w:hAnsi="Arial"/>
          <w:color w:val="000000"/>
          <w:sz w:val="19"/>
          <w:szCs w:val="19"/>
        </w:rPr>
        <w:t xml:space="preserve"> mengkualifikasi pemasok; </w:t>
      </w:r>
      <w:r>
        <w:rPr>
          <w:rFonts w:ascii="Arial" w:cs="Arial" w:eastAsia="Arial" w:hAnsi="Arial"/>
          <w:b/>
          <w:bCs/>
          <w:color w:val="000000"/>
          <w:sz w:val="19"/>
          <w:szCs w:val="19"/>
        </w:rPr>
        <w:t xml:space="preserve">tokenisasi proyek</w:t>
      </w:r>
      <w:r>
        <w:rPr>
          <w:rFonts w:ascii="Arial" w:cs="Arial" w:eastAsia="Arial" w:hAnsi="Arial"/>
          <w:color w:val="000000"/>
          <w:sz w:val="19"/>
          <w:szCs w:val="19"/>
        </w:rPr>
        <w:t xml:space="preserve"> membiayai modal kerja dan membayar pemasok langsung dari escrow (rekening penampungan) atas tonggak capaian yang terverifikasi; dan </w:t>
      </w:r>
      <w:r>
        <w:rPr>
          <w:rFonts w:ascii="Arial" w:cs="Arial" w:eastAsia="Arial" w:hAnsi="Arial"/>
          <w:b/>
          <w:bCs/>
          <w:color w:val="000000"/>
          <w:sz w:val="19"/>
          <w:szCs w:val="19"/>
        </w:rPr>
        <w:t xml:space="preserve">sistem operasi proyek berbasis AI</w:t>
      </w:r>
      <w:r>
        <w:rPr>
          <w:rFonts w:ascii="Arial" w:cs="Arial" w:eastAsia="Arial" w:hAnsi="Arial"/>
          <w:color w:val="000000"/>
          <w:sz w:val="19"/>
          <w:szCs w:val="19"/>
        </w:rPr>
        <w:t xml:space="preserve"> menyediakan jejak bukti. Bab 9 menilai instrumen pembiayaan tersebut secara rinci.</w:t>
      </w:r>
    </w:p>
    <w:p>
      <w:pPr>
        <w:pStyle w:val="Heading2"/>
        <w:keepNext/>
        <w:keepLines/>
        <w:spacing w:after="120" w:before="280"/>
      </w:pPr>
      <w:r>
        <w:rPr>
          <w:rFonts w:ascii="Arial" w:cs="Arial" w:eastAsia="Arial" w:hAnsi="Arial"/>
          <w:b/>
          <w:bCs/>
          <w:color w:val="00338D"/>
          <w:sz w:val="28"/>
          <w:szCs w:val="28"/>
        </w:rPr>
        <w:t xml:space="preserve">7.6 Contoh penerapan untuk proyek jangkar lainnya</w:t>
      </w:r>
    </w:p>
    <w:p>
      <w:pPr>
        <w:spacing w:after="100" w:before="0" w:line="258"/>
        <w:jc w:val="left"/>
      </w:pPr>
      <w:r>
        <w:rPr>
          <w:rFonts w:ascii="Arial" w:cs="Arial" w:eastAsia="Arial" w:hAnsi="Arial"/>
          <w:color w:val="000000"/>
          <w:sz w:val="19"/>
          <w:szCs w:val="19"/>
        </w:rPr>
        <w:t xml:space="preserve">Langkah yang sama berlaku untuk proyek jangkar lainnya. Contoh di bawah bersifat </w:t>
      </w:r>
      <w:r>
        <w:rPr>
          <w:rFonts w:ascii="Arial" w:cs="Arial" w:eastAsia="Arial" w:hAnsi="Arial"/>
          <w:b/>
          <w:bCs/>
          <w:color w:val="000000"/>
          <w:sz w:val="19"/>
          <w:szCs w:val="19"/>
        </w:rPr>
        <w:t xml:space="preserve">ilustratif (kelas D)</w:t>
      </w:r>
      <w:r>
        <w:rPr>
          <w:rFonts w:ascii="Arial" w:cs="Arial" w:eastAsia="Arial" w:hAnsi="Arial"/>
          <w:color w:val="000000"/>
          <w:sz w:val="19"/>
          <w:szCs w:val="19"/>
        </w:rPr>
        <w:t xml:space="preserve">. Contoh tersebut menunjukkan paket-paket yang akan diperiksa terlebih dahulu dalam rencana lokalisasi, dipilih karena umumnya diimpor. Porsi impor aktual harus berasal dari daftar material (bill of materials) masing-masing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699"/>
        <w:gridCol w:w="2699"/>
        <w:gridCol w:w="250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Langkah</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Smelter nikel atau alumina</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Giant Sea Wall</w:t>
            </w:r>
          </w:p>
        </w:tc>
        <w:tc>
          <w:tcPr>
            <w:tcW w:type="dxa" w:w="25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3 Juta Rumah</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Paket yang dapat dilokalisasi untuk diperiksa terlebih dahulu</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Suku cadang aus, refraktori, konveyor, pompa dan katup, panel listrik, jasa pemeliharaan</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Pompa dan pintu air, turap baja, pekerjaan mekanikal dan elektrikal untuk stasiun pompa, dukungan pengerukan</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prafabrikasi dan modular, HVAC, perlengkapan listrik dan perpipaan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Titik awal pemasok yang lazim</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Fabrikator dengan MRL industri umum; mutu kelas proses belum terbukti</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Fabrikator baja dan perakit pompa; pompa dan pintu air berdiameter besar sebagian besar diimpor</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Banyak produsen dalam negeri; kesenjangannya adalah konsistensi mutu pada volume besar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Penekanan gerbang</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MRL: ketertelusuran material dan uji umur aus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TRL dan MRL: uji kinerja hidraulik untuk pompa dan pintu air</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MRL: pengendalian produksi pabrik dan logistik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Off-taker</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Operator smelter dengan kontrak payung 3–5 tahun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atau kontraktor EPC</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Pengembang dan BUMN Karya melalui agregasi permintaan program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Indikator utama</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dalam negeri dari belanja pemeliharaan; waktu henti tak terencana akibat suku cadang lokal</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dalam negeri dari nilai stasiun pompa; O&amp;M sepanjang umur pakai oleh perusahaan lokal</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Biaya per unit dan tingkat cacat komponen modular</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08</w:t>
            </w:r>
          </w:p>
          <w:p>
            <w:pPr>
              <w:pStyle w:val="Heading1"/>
              <w:spacing w:after="100"/>
            </w:pPr>
            <w:r>
              <w:rPr>
                <w:rFonts w:ascii="Arial" w:cs="Arial" w:eastAsia="Arial" w:hAnsi="Arial"/>
                <w:b/>
                <w:bCs/>
                <w:color w:val="FFFFFF"/>
                <w:sz w:val="40"/>
                <w:szCs w:val="40"/>
              </w:rPr>
              <w:t xml:space="preserve">Kanal pembiayaan 1: Natural Resource Fund</w:t>
            </w:r>
          </w:p>
          <w:p>
            <w:pPr>
              <w:spacing w:after="0" w:line="276"/>
            </w:pPr>
            <w:r>
              <w:rPr>
                <w:rFonts w:ascii="Arial" w:cs="Arial" w:eastAsia="Arial" w:hAnsi="Arial"/>
                <w:color w:val="FFFFFF"/>
                <w:sz w:val="20"/>
                <w:szCs w:val="20"/>
              </w:rPr>
              <w:t xml:space="preserve">Kanal di tingkat dana yang mengubah porsi negara atas kekayaan sumber daya alam menjadi modal jangka panjang. Kanal ini dinilai dari sisi alasan, desain, valuasi, dasar hukum, substansi fiskal, dan tata kelola.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8.1 Usulan</w:t>
      </w:r>
    </w:p>
    <w:p>
      <w:pPr>
        <w:spacing w:after="100" w:before="0" w:line="258"/>
        <w:jc w:val="left"/>
      </w:pPr>
      <w:r>
        <w:rPr>
          <w:rFonts w:ascii="Arial" w:cs="Arial" w:eastAsia="Arial" w:hAnsi="Arial"/>
          <w:color w:val="000000"/>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rFonts w:ascii="Arial" w:cs="Arial" w:eastAsia="Arial" w:hAnsi="Arial"/>
          <w:b/>
          <w:bCs/>
          <w:color w:val="000000"/>
          <w:sz w:val="19"/>
          <w:szCs w:val="19"/>
        </w:rPr>
        <w:t xml:space="preserve">manfaat fiskal langsung sebesar Rp100 triliun pada tahun pertama dan Rp1.000 triliun dalam tiga tahun</w:t>
      </w:r>
      <w:r>
        <w:rPr>
          <w:rFonts w:ascii="Arial" w:cs="Arial" w:eastAsia="Arial" w:hAnsi="Arial"/>
          <w:color w:val="000000"/>
          <w:sz w:val="19"/>
          <w:szCs w:val="19"/>
        </w:rPr>
        <w:t xml:space="preserve"> [D5].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 desain</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Sebagaimana diusulkan dalam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Kedudukan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Langsung di bawah Presiden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Cakupan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Mengonsolidasikan seluruh mineral strategis dan batu bara, dengan batu bara sebagai quick win; lahan juga dicantumkan sebagai salah satu bidang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Valuasi minimum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Rp10.000 triliun (kapitalisasi cadangan batu bara)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dasar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Cadangan mineral strategis yang 100% dimiliki negara, diverifikasi sesuai standar pelaporan internasional (CRIRSCO: KCMI)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Mekanisme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Sekuritisasi aset, yang mengubah sumber daya alam menjadi aset berbasis efek; sekuritisasi dibatasi paling banyak </w:t>
            </w:r>
            <w:r>
              <w:rPr>
                <w:rFonts w:ascii="Arial" w:cs="Arial" w:eastAsia="Arial" w:hAnsi="Arial"/>
                <w:b/>
                <w:bCs/>
                <w:color w:val="000000"/>
                <w:sz w:val="16"/>
                <w:szCs w:val="16"/>
              </w:rPr>
              <w:t xml:space="preserve">50% dari arus kas masa depan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Opsi monetisasi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Efek beragun aset berdaulat (sovereign asset-backed securities); (2) surat utang berdaulat berbasis mineral (mineral-based sovereign notes); (3) pembiayaan berbasis royalti (royalty-backed financing); (4) Mineral Reserve Trust (perwalian cadangan mineral)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Aliran dengan APBN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Reprofiling utang dengan APBN; (2) penerimaan pajak ke APBN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Penggunaan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Transisi energi, diversifikasi ekonomi, dana masa depan; pelaksanaan proyek melalui SPV atau BUMN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Pengelolaan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korporasi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Persiapan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Ditargetkan selesai dalam tiga bulan setelah persetujuan prinsip</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Delapan langkah strategis (0–2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9060"/>
      </w:tblGrid>
      <w:tr>
        <w:trPr>
          <w:cantSplit/>
          <w:tblHeader/>
        </w:trPr>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9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Langkah</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Penegakan hukum terhadap, dan nasionalisasi, pertambangan ilegal</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Peninjauan izin usaha pertambangan (IUP) dan hak guna usaha (HGU)</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Penguatan landasan hukum</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Pembentukan NRF di bawah Presiden</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Restrukturisasi kelembagaan BUMN terkait</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Integrasi sistem dan tata kelola pertambangan di bawah NRF</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7</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dan pemanfaatan hasil dana sumber daya alam</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8</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Pelibatan Koperasi Merah Putih (koperasi desa) dan distribusi manfaat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8.2 Alasan: rendahnya penerimaan fiskal dari sumber daya alam</w:t>
      </w:r>
    </w:p>
    <w:p>
      <w:pPr>
        <w:keepNext/>
        <w:spacing w:after="60" w:before="120"/>
      </w:pPr>
      <w:r>
        <w:rPr>
          <w:rFonts w:ascii="Arial" w:cs="Arial" w:eastAsia="Arial" w:hAnsi="Arial"/>
          <w:b/>
          <w:bCs/>
          <w:color w:val="00338D"/>
          <w:sz w:val="18"/>
          <w:szCs w:val="18"/>
        </w:rPr>
        <w:t xml:space="preserve">Gambar 2: </w:t>
      </w:r>
      <w:r>
        <w:rPr>
          <w:rFonts w:ascii="Arial" w:cs="Arial" w:eastAsia="Arial" w:hAnsi="Arial"/>
          <w:b/>
          <w:bCs/>
          <w:color w:val="00338D"/>
          <w:sz w:val="18"/>
          <w:szCs w:val="18"/>
        </w:rPr>
        <w:t xml:space="preserve">Penerimaan sumber daya alam sebagai porsi penerimaan negara, 2004–2026</w:t>
      </w:r>
    </w:p>
    <w:p>
      <w:pPr>
        <w:keepNext/>
        <w:spacing w:after="40"/>
      </w:pPr>
      <w:r>
        <w:drawing>
          <wp:inline distT="0" distB="0" distL="0" distR="0">
            <wp:extent cx="5852160" cy="2977415"/>
            <wp:effectExtent t="0" r="0" b="0" l="0"/>
            <wp:docPr id="2"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977415"/>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D5, nilai dibaca dari grafik. D5 tidak menyebutkan sumber deret data ini: perlakukan sebagai kelas C sampai direkonsiliasi dengan data anggaran. Angka 2026 adalah proyeksi dengan NRF. Grafik mencantumkan 2026 sebesar 10,86%; teks D5 menyebutkan 10,68%.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19,3% → 7,7%</w:t>
            </w:r>
          </w:p>
          <w:p>
            <w:pPr>
              <w:spacing w:after="0" w:line="240"/>
            </w:pPr>
            <w:r>
              <w:rPr>
                <w:rFonts w:ascii="Arial" w:cs="Arial" w:eastAsia="Arial" w:hAnsi="Arial"/>
                <w:color w:val="FFFFFF"/>
                <w:sz w:val="16"/>
                <w:szCs w:val="16"/>
              </w:rPr>
              <w:t xml:space="preserve">Kontribusi sumber daya alam terhadap APBN, 2004–2014 dibandingkan 2015–2024</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50%</w:t>
            </w:r>
          </w:p>
          <w:p>
            <w:pPr>
              <w:spacing w:after="0" w:line="240"/>
            </w:pPr>
            <w:r>
              <w:rPr>
                <w:rFonts w:ascii="Arial" w:cs="Arial" w:eastAsia="Arial" w:hAnsi="Arial"/>
                <w:color w:val="FFFFFF"/>
                <w:sz w:val="16"/>
                <w:szCs w:val="16"/>
              </w:rPr>
              <w:t xml:space="preserve">Penerimaan sumber daya alam 2024 relatif terhadap pembayaran bunga utang negara</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Rp1.684,7 triliun</w:t>
            </w:r>
          </w:p>
          <w:p>
            <w:pPr>
              <w:spacing w:after="0" w:line="240"/>
            </w:pPr>
            <w:r>
              <w:rPr>
                <w:rFonts w:ascii="Arial" w:cs="Arial" w:eastAsia="Arial" w:hAnsi="Arial"/>
                <w:color w:val="FFFFFF"/>
                <w:sz w:val="16"/>
                <w:szCs w:val="16"/>
              </w:rPr>
              <w:t xml:space="preserve">Kapitalisasi pasar perusahaan tambang batu bara yang dikutip dalam D5 (suatu stok; royalti negara sekitar Rp126,4 triliun pada 2024 adalah suatu aliran)</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2%</w:t>
            </w:r>
          </w:p>
          <w:p>
            <w:pPr>
              <w:spacing w:after="0" w:line="240"/>
            </w:pPr>
            <w:r>
              <w:rPr>
                <w:rFonts w:ascii="Arial" w:cs="Arial" w:eastAsia="Arial" w:hAnsi="Arial"/>
                <w:color w:val="FFFFFF"/>
                <w:sz w:val="16"/>
                <w:szCs w:val="16"/>
              </w:rPr>
              <w:t xml:space="preserve">Angka D5 untuk porsi negara atas total potensi batu bara (Rp10.000 triliun); metodenya tidak disebutkan</w:t>
            </w:r>
          </w:p>
        </w:tc>
      </w:tr>
    </w:tbl>
    <w:p>
      <w:pPr>
        <w:spacing w:after="160"/>
      </w:pPr>
    </w:p>
    <w:p>
      <w:pPr>
        <w:spacing w:after="160"/>
      </w:pPr>
      <w:r>
        <w:rPr>
          <w:rFonts w:ascii="Arial" w:cs="Arial" w:eastAsia="Arial" w:hAnsi="Arial"/>
          <w:i/>
          <w:iCs/>
          <w:color w:val="000000"/>
          <w:sz w:val="15"/>
          <w:szCs w:val="15"/>
        </w:rPr>
        <w:t xml:space="preserve">Sumber: D5. Proyeksi 2026 adalah manfaat sumber daya alam sebesar Rp336 triliun, setara 10,68% dari penerimaan negara, yang menyiratkan penerimaan negara sekitar Rp3.146 triliun (perhitungan kami).</w:t>
      </w:r>
    </w:p>
    <w:p>
      <w:pPr>
        <w:spacing w:after="100" w:before="0" w:line="258"/>
        <w:jc w:val="left"/>
      </w:pPr>
      <w:r>
        <w:rPr>
          <w:rFonts w:ascii="Arial" w:cs="Arial" w:eastAsia="Arial" w:hAnsi="Arial"/>
          <w:color w:val="000000"/>
          <w:sz w:val="19"/>
          <w:szCs w:val="19"/>
        </w:rPr>
        <w:t xml:space="preserve">Arah diagnosis ini didukung. Rata-rata dalam D5 sesuai dengan data tahunannya sendiri: sebelas nilai untuk 2004–2014 rata-rata 19,3%, dan sepuluh nilai untuk 2015–2024 rata-rata 7,7%.</w:t>
      </w:r>
    </w:p>
    <w:p>
      <w:pPr>
        <w:spacing w:after="100" w:before="0" w:line="258"/>
        <w:jc w:val="left"/>
      </w:pPr>
      <w:r>
        <w:rPr>
          <w:rFonts w:ascii="Arial" w:cs="Arial" w:eastAsia="Arial" w:hAnsi="Arial"/>
          <w:color w:val="000000"/>
          <w:sz w:val="19"/>
          <w:szCs w:val="19"/>
        </w:rPr>
        <w:t xml:space="preserve">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pPr>
        <w:pStyle w:val="Heading2"/>
        <w:keepNext/>
        <w:keepLines/>
        <w:spacing w:after="120" w:before="280"/>
      </w:pPr>
      <w:r>
        <w:rPr>
          <w:rFonts w:ascii="Arial" w:cs="Arial" w:eastAsia="Arial" w:hAnsi="Arial"/>
          <w:b/>
          <w:bCs/>
          <w:color w:val="00338D"/>
          <w:sz w:val="28"/>
          <w:szCs w:val="28"/>
        </w:rPr>
        <w:t xml:space="preserve">8.3 Penilaian: hal yang harus diselesaikan sebelum desain</w:t>
      </w:r>
    </w:p>
    <w:p>
      <w:pPr>
        <w:spacing w:after="100" w:before="0" w:line="258"/>
        <w:jc w:val="left"/>
      </w:pPr>
      <w:r>
        <w:rPr>
          <w:rFonts w:ascii="Arial" w:cs="Arial" w:eastAsia="Arial" w:hAnsi="Arial"/>
          <w:color w:val="000000"/>
          <w:sz w:val="19"/>
          <w:szCs w:val="19"/>
        </w:rPr>
        <w:t xml:space="preserve">Konsep NRF sudah tepat arahnya. Angka, dasar hukum, dan perlakuan fiskalnya belum cukup kuat untuk mendukung keputusan. Delapan isu harus diselesaikan.</w:t>
      </w:r>
    </w:p>
    <w:p>
      <w:pPr>
        <w:keepNext/>
        <w:spacing w:after="80" w:before="120"/>
      </w:pPr>
      <w:r>
        <w:rPr>
          <w:rFonts w:ascii="Arial" w:cs="Arial" w:eastAsia="Arial" w:hAnsi="Arial"/>
          <w:b/>
          <w:bCs/>
          <w:color w:val="00338D"/>
          <w:sz w:val="18"/>
          <w:szCs w:val="18"/>
        </w:rPr>
        <w:t xml:space="preserve">Tabel 10: </w:t>
      </w:r>
      <w:r>
        <w:rPr>
          <w:rFonts w:ascii="Arial" w:cs="Arial" w:eastAsia="Arial" w:hAnsi="Arial"/>
          <w:b/>
          <w:bCs/>
          <w:color w:val="00338D"/>
          <w:sz w:val="18"/>
          <w:szCs w:val="18"/>
        </w:rPr>
        <w:t xml:space="preserve">Isu NRF dan penyelesaian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891"/>
        <w:gridCol w:w="3084"/>
        <w:gridCol w:w="318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Isu</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Mengapa penting</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Penyelesaian yang diperlukan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Dasar valuasi.</w:t>
            </w:r>
            <w:r>
              <w:rPr>
                <w:rFonts w:ascii="Arial" w:cs="Arial" w:eastAsia="Arial" w:hAnsi="Arial"/>
                <w:color w:val="000000"/>
                <w:sz w:val="16"/>
                <w:szCs w:val="16"/>
              </w:rPr>
              <w:t xml:space="preserve"> Rp10.000 triliun adalah angka potensi atau in-situ; metodologinya tidak disebutkan.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Nilai yang dapat dibiayai adalah nilai kini porsi negara atas arus kas dari cadangan terbukti dan terkira, yang lazimnya hanya sebagian kecil dari nilai in-situ (Bagian 8.5).</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Valuasi independen berdasarkan KCMI/CRIRSCO; publikasikan metode dan haircut-nya.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Target manfaat.</w:t>
            </w:r>
            <w:r>
              <w:rPr>
                <w:rFonts w:ascii="Arial" w:cs="Arial" w:eastAsia="Arial" w:hAnsi="Arial"/>
                <w:color w:val="000000"/>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Kapitalisasi (stok) dan manfaat fiskal (aliran) adalah dua hal berbeda; keduanya tidak dapat dibandingkan dengan penerimaan anggaran.</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Nyatakan ulang target sebagai arus kas ke anggaran, setelah dikurangi penerimaan masa depan yang dilepaskan dan biaya.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Hak hukum.</w:t>
            </w:r>
            <w:r>
              <w:rPr>
                <w:rFonts w:ascii="Arial" w:cs="Arial" w:eastAsia="Arial" w:hAnsi="Arial"/>
                <w:color w:val="000000"/>
                <w:sz w:val="16"/>
                <w:szCs w:val="16"/>
              </w:rPr>
              <w:t xml:space="preserve"> Penguasaan negara berdasarkan Pasal 33 tidak dengan sendirinya memberi BPI atau NRF hak untuk menjaminkan cadangan yang belum ditambang atau penerimaan negara bukan pajak (PNBP) [D2 §18].</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Investor dan pengadilan akan menguji rantai hak; suatu cacat membatalkan jaminan.</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Kajian hukum tentang siapa pemegang hak pertambangan, hak untuk menjual dan menjaminkan, perlakuan pajak dan PNBP, serta otorisasi yang diperlukan.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Substansi fiskal.</w:t>
            </w:r>
            <w:r>
              <w:rPr>
                <w:rFonts w:ascii="Arial" w:cs="Arial" w:eastAsia="Arial" w:hAnsi="Arial"/>
                <w:color w:val="000000"/>
                <w:sz w:val="16"/>
                <w:szCs w:val="16"/>
              </w:rPr>
              <w:t xml:space="preserve"> Menyekuritisasi hingga 50% arus kas masa depan berarti meminjam dengan jaminan penerimaan masa depan.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Instrumen dengan kewajiban pelunasan atau kupon tetap adalah liabilitas pembiayaan; label di luar anggaran tidak menghilangkan risiko fiskal atau kontinjensi [D1, D2].</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Catat sebagai utang dalam pernyataan risiko fiskal; tunjukkan nilai kini penerimaan yang dilepaskan.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Reprofiling utang dengan APBN.</w:t>
            </w:r>
            <w:r>
              <w:rPr>
                <w:rFonts w:ascii="Arial" w:cs="Arial" w:eastAsia="Arial" w:hAnsi="Arial"/>
                <w:color w:val="000000"/>
                <w:sz w:val="16"/>
                <w:szCs w:val="16"/>
              </w:rPr>
              <w:t xml:space="preserve"> Menggunakan efek beragun sumber daya untuk reprofiling utang negara berarti menukar satu liabilitas dengan liabilitas lain.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Keuntungan hanya ada jika biaya keseluruhan lebih rendah dan pengalihan risikonya nyata.</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Perbandingan setara terhadap SBN dengan tenor dan mata uang yang sama.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Kedudukan kelembagaan.</w:t>
            </w:r>
            <w:r>
              <w:rPr>
                <w:rFonts w:ascii="Arial" w:cs="Arial" w:eastAsia="Arial" w:hAnsi="Arial"/>
                <w:color w:val="000000"/>
                <w:sz w:val="16"/>
                <w:szCs w:val="16"/>
              </w:rPr>
              <w:t xml:space="preserve"> NRF yang langsung di bawah Presiden berdampingan dengan Danantara berisiko menimbulkan tumpang tindih mandat.</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D1 mengutip Santiago Principles untuk tata kelola investasi dan risiko [D1/S16]. Poin tentang kejelasan peran pemilik, badan pengurus, dan pengelola merupakan pembacaan kami atas prinsip tersebut.</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Tetapkan NRF sebagai pemilik/dana dengan surat mandat. Pengelola profesional, yang dapat mencakup unit Danantara, mengelola aset berdasarkan kontrak, dengan tunduk pada keputusan Pemerintah.</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Proses hukum yang semestinya.</w:t>
            </w:r>
            <w:r>
              <w:rPr>
                <w:rFonts w:ascii="Arial" w:cs="Arial" w:eastAsia="Arial" w:hAnsi="Arial"/>
                <w:color w:val="000000"/>
                <w:sz w:val="16"/>
                <w:szCs w:val="16"/>
              </w:rPr>
              <w:t xml:space="preserve"> Langkah 1 dan 2 (nasionalisasi pertambangan ilegal; peninjauan IUP dan HGU) memengaruhi hak milik dan hak izin.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Kepercayaan investor di seluruh sektor sumber daya bergantung pada kepastian hukum.</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Penegakan hukum dan peninjauan izin mengikuti proses hukum yang transparan, dengan aturan kompensasi dan jalur banding yang independen.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Kanal distribusi.</w:t>
            </w:r>
            <w:r>
              <w:rPr>
                <w:rFonts w:ascii="Arial" w:cs="Arial" w:eastAsia="Arial" w:hAnsi="Arial"/>
                <w:color w:val="000000"/>
                <w:sz w:val="16"/>
                <w:szCs w:val="16"/>
              </w:rPr>
              <w:t xml:space="preserve"> Distribusi manfaat melalui Koperasi Merah Putih mencampurkan kanal program dengan wahana investasi.</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Pencampuran melemahkan disiplin investasi sekaligus akuntabilitas program.</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Salurkan distribusi melalui APBN atau jendela program terpisah dengan audit tersendiri.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8.4 Perbandingan empat opsi monetisasi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2699"/>
        <w:gridCol w:w="231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Opsi</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Kekuatan</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Kelemahan</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Efek beragun aset berdaulat (sovereign asset-backed securities)</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Dikenal oleh investor institusi; arus kas terpisah (ring-fenced)</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Memerlukan penjualan putus (true sale) atau jaminan yang jelas atas penerimaan; pekerjaan SPV dan pemeringkatan yang kompleks</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Layak</w:t>
            </w:r>
            <w:r>
              <w:rPr>
                <w:rFonts w:ascii="Arial" w:cs="Arial" w:eastAsia="Arial" w:hAnsi="Arial"/>
                <w:b w:val="false"/>
                <w:bCs w:val="false"/>
                <w:color w:val="000000"/>
                <w:sz w:val="16"/>
                <w:szCs w:val="16"/>
              </w:rPr>
              <w:t xml:space="preserve"> untuk aset berproduksi dengan aliran royalti yang stabil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utang berdaulat berbasis mineral (mineral-based sovereign note)</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Menggunakan kerangka surat berharga negara yang ada; paling sederhana bagi investor domestik</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Jelas merupakan utang negara; nilai tambahnya kecil kecuali dikaitkan dengan penerimaan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Instrumen pertama yang diutamakan</w:t>
            </w:r>
            <w:r>
              <w:rPr>
                <w:rFonts w:ascii="Arial" w:cs="Arial" w:eastAsia="Arial" w:hAnsi="Arial"/>
                <w:b w:val="false"/>
                <w:bCs w:val="false"/>
                <w:color w:val="000000"/>
                <w:sz w:val="16"/>
                <w:szCs w:val="16"/>
              </w:rPr>
              <w:t xml:space="preserve"> jika dikaitkan dengan rekening penerimaan yang terpisah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Pembiayaan berbasis royalti (royalty-backed financing)</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Langsung memonetisasi bagian negara yang sudah ada; terukur</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Menarik ke depan penerimaan yang seharusnya diterima anggaran masa depan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Layak</w:t>
            </w:r>
            <w:r>
              <w:rPr>
                <w:rFonts w:ascii="Arial" w:cs="Arial" w:eastAsia="Arial" w:hAnsi="Arial"/>
                <w:b w:val="false"/>
                <w:bCs w:val="false"/>
                <w:color w:val="000000"/>
                <w:sz w:val="16"/>
                <w:szCs w:val="16"/>
              </w:rPr>
              <w:t xml:space="preserve"> dengan batas tingkat uang muka (advance rate) dan uji cakupan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Mineral Reserve Trust (perwalian cadangan mineral)</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Dapat menyimpan cadangan untuk jangka panjang dan memisahkan kepemilikan dari operasi</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Paling sulit secara hukum; valuasi cadangan yang belum ditambang masih diperdebatkan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Tahap selanjutnya</w:t>
            </w:r>
            <w:r>
              <w:rPr>
                <w:rFonts w:ascii="Arial" w:cs="Arial" w:eastAsia="Arial" w:hAnsi="Arial"/>
                <w:b w:val="false"/>
                <w:bCs w:val="false"/>
                <w:color w:val="000000"/>
                <w:sz w:val="16"/>
                <w:szCs w:val="16"/>
              </w:rPr>
              <w:t xml:space="preserve">, setelah hak dan valuasi tuntas</w:t>
            </w:r>
          </w:p>
        </w:tc>
      </w:tr>
    </w:tbl>
    <w:p>
      <w:pPr>
        <w:keepNext w:val="false"/>
        <w:spacing w:after="140"/>
      </w:pPr>
    </w:p>
    <w:p>
      <w:pPr>
        <w:spacing w:after="80" w:before="0" w:line="258"/>
        <w:jc w:val="left"/>
      </w:pPr>
      <w:r>
        <w:rPr>
          <w:rFonts w:ascii="Arial" w:cs="Arial" w:eastAsia="Arial" w:hAnsi="Arial"/>
          <w:color w:val="000000"/>
          <w:sz w:val="16"/>
          <w:szCs w:val="16"/>
        </w:rPr>
        <w:t xml:space="preserve">Penilaian merupakan analisis kami (kelas D), berdasarkan opsi yang tercantum dalam D5.</w:t>
      </w:r>
    </w:p>
    <w:p>
      <w:pPr>
        <w:pStyle w:val="Heading2"/>
        <w:keepNext/>
        <w:keepLines/>
        <w:spacing w:after="120" w:before="280"/>
      </w:pPr>
      <w:r>
        <w:rPr>
          <w:rFonts w:ascii="Arial" w:cs="Arial" w:eastAsia="Arial" w:hAnsi="Arial"/>
          <w:b/>
          <w:bCs/>
          <w:color w:val="00338D"/>
          <w:sz w:val="28"/>
          <w:szCs w:val="28"/>
        </w:rPr>
        <w:t xml:space="preserve">8.5 Disiplin valuasi</w:t>
      </w:r>
    </w:p>
    <w:p>
      <w:pPr>
        <w:spacing w:after="100" w:before="0" w:line="258"/>
        <w:jc w:val="left"/>
      </w:pPr>
      <w:r>
        <w:rPr>
          <w:rFonts w:ascii="Arial" w:cs="Arial" w:eastAsia="Arial" w:hAnsi="Arial"/>
          <w:color w:val="000000"/>
          <w:sz w:val="19"/>
          <w:szCs w:val="19"/>
        </w:rPr>
        <w:t xml:space="preserve">Hanya </w:t>
      </w:r>
      <w:r>
        <w:rPr>
          <w:rFonts w:ascii="Arial" w:cs="Arial" w:eastAsia="Arial" w:hAnsi="Arial"/>
          <w:b/>
          <w:bCs/>
          <w:color w:val="000000"/>
          <w:sz w:val="19"/>
          <w:szCs w:val="19"/>
        </w:rPr>
        <w:t xml:space="preserve">cadangan terbukti dan terkira</w:t>
      </w:r>
      <w:r>
        <w:rPr>
          <w:rFonts w:ascii="Arial" w:cs="Arial" w:eastAsia="Arial" w:hAnsi="Arial"/>
          <w:color w:val="000000"/>
          <w:sz w:val="19"/>
          <w:szCs w:val="19"/>
        </w:rPr>
        <w:t xml:space="preserve"> berdasarkan KCMI/CRIRSCO yang boleh menjadi dasar pembiayaan. Sumber daya terukur, tertunjuk, dan tereka harus dikecualikan. Nilai harus disusun dalam tujuh langkah: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4"/>
        <w:gridCol w:w="260"/>
        <w:gridCol w:w="1154"/>
        <w:gridCol w:w="260"/>
        <w:gridCol w:w="1154"/>
        <w:gridCol w:w="260"/>
        <w:gridCol w:w="1154"/>
        <w:gridCol w:w="260"/>
        <w:gridCol w:w="1154"/>
        <w:gridCol w:w="260"/>
        <w:gridCol w:w="1154"/>
        <w:gridCol w:w="260"/>
        <w:gridCol w:w="1154"/>
      </w:tblGrid>
      <w:tr>
        <w:trPr>
          <w:cantSplit/>
        </w:trPr>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Tonase cadangan</w:t>
            </w:r>
          </w:p>
          <w:p>
            <w:pPr>
              <w:spacing w:after="0" w:line="236"/>
            </w:pPr>
            <w:r>
              <w:rPr>
                <w:rFonts w:ascii="Arial" w:cs="Arial" w:eastAsia="Arial" w:hAnsi="Arial"/>
                <w:color w:val="FFFFFF"/>
                <w:sz w:val="14"/>
                <w:szCs w:val="14"/>
              </w:rPr>
              <w:t xml:space="preserve">Hanya terbukti + terkira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Rencana produksi</w:t>
            </w:r>
          </w:p>
          <w:p>
            <w:pPr>
              <w:spacing w:after="0" w:line="236"/>
            </w:pPr>
            <w:r>
              <w:rPr>
                <w:rFonts w:ascii="Arial" w:cs="Arial" w:eastAsia="Arial" w:hAnsi="Arial"/>
                <w:color w:val="FFFFFF"/>
                <w:sz w:val="14"/>
                <w:szCs w:val="14"/>
              </w:rPr>
              <w:t xml:space="preserve">Umur tambang dan produksi tahunan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Asumsi harga</w:t>
            </w:r>
          </w:p>
          <w:p>
            <w:pPr>
              <w:spacing w:after="0" w:line="236"/>
            </w:pPr>
            <w:r>
              <w:rPr>
                <w:rFonts w:ascii="Arial" w:cs="Arial" w:eastAsia="Arial" w:hAnsi="Arial"/>
                <w:color w:val="FFFFFF"/>
                <w:sz w:val="14"/>
                <w:szCs w:val="14"/>
              </w:rPr>
              <w:t xml:space="preserve">Independen, konservatif</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Porsi negara</w:t>
            </w:r>
          </w:p>
          <w:p>
            <w:pPr>
              <w:spacing w:after="0" w:line="236"/>
            </w:pPr>
            <w:r>
              <w:rPr>
                <w:rFonts w:ascii="Arial" w:cs="Arial" w:eastAsia="Arial" w:hAnsi="Arial"/>
                <w:color w:val="FFFFFF"/>
                <w:sz w:val="14"/>
                <w:szCs w:val="14"/>
              </w:rPr>
              <w:t xml:space="preserve">Royalti, PNBP, dan pajak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Nilai kini</w:t>
            </w:r>
          </w:p>
          <w:p>
            <w:pPr>
              <w:spacing w:after="0" w:line="236"/>
            </w:pPr>
            <w:r>
              <w:rPr>
                <w:rFonts w:ascii="Arial" w:cs="Arial" w:eastAsia="Arial" w:hAnsi="Arial"/>
                <w:color w:val="FFFFFF"/>
                <w:sz w:val="14"/>
                <w:szCs w:val="14"/>
              </w:rPr>
              <w:t xml:space="preserve">Pada tingkat diskonto yang disetujui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Haircut</w:t>
            </w:r>
          </w:p>
          <w:p>
            <w:pPr>
              <w:spacing w:after="0" w:line="236"/>
            </w:pPr>
            <w:r>
              <w:rPr>
                <w:rFonts w:ascii="Arial" w:cs="Arial" w:eastAsia="Arial" w:hAnsi="Arial"/>
                <w:color w:val="FFFFFF"/>
                <w:sz w:val="14"/>
                <w:szCs w:val="14"/>
              </w:rPr>
              <w:t xml:space="preserve">Harga, volume, hukum</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7 Batas penerbitan</w:t>
            </w:r>
          </w:p>
          <w:p>
            <w:pPr>
              <w:spacing w:after="0" w:line="236"/>
            </w:pPr>
            <w:r>
              <w:rPr>
                <w:rFonts w:ascii="Arial" w:cs="Arial" w:eastAsia="Arial" w:hAnsi="Arial"/>
                <w:color w:val="FFFFFF"/>
                <w:sz w:val="14"/>
                <w:szCs w:val="14"/>
              </w:rPr>
              <w:t xml:space="preserve">NK ÷ rasio cakupan</w:t>
            </w:r>
          </w:p>
        </w:tc>
      </w:tr>
    </w:tbl>
    <w:p>
      <w:pPr>
        <w:spacing w:after="160"/>
      </w:pPr>
    </w:p>
    <w:p>
      <w:pPr>
        <w:keepNext/>
        <w:spacing w:after="60" w:before="120"/>
      </w:pPr>
      <w:r>
        <w:rPr>
          <w:rFonts w:ascii="Arial" w:cs="Arial" w:eastAsia="Arial" w:hAnsi="Arial"/>
          <w:b/>
          <w:bCs/>
          <w:color w:val="00338D"/>
          <w:sz w:val="18"/>
          <w:szCs w:val="18"/>
        </w:rPr>
        <w:t xml:space="preserve">Gambar 3: </w:t>
      </w:r>
      <w:r>
        <w:rPr>
          <w:rFonts w:ascii="Arial" w:cs="Arial" w:eastAsia="Arial" w:hAnsi="Arial"/>
          <w:b/>
          <w:bCs/>
          <w:color w:val="00338D"/>
          <w:sz w:val="18"/>
          <w:szCs w:val="18"/>
        </w:rPr>
        <w:t xml:space="preserve">Mengapa nilai yang dapat dibiayai jauh di bawah nilai in-situ (ilustrasi)</w:t>
      </w:r>
    </w:p>
    <w:p>
      <w:pPr>
        <w:keepNext/>
        <w:spacing w:after="40"/>
      </w:pPr>
      <w:r>
        <w:drawing>
          <wp:inline distT="0" distB="0" distL="0" distR="0">
            <wp:extent cx="5669280" cy="2044411"/>
            <wp:effectExtent t="0" r="0" b="0" l="0"/>
            <wp:docPr id="3"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044411"/>
                    </a:xfrm>
                    <a:prstGeom prst="rect">
                      <a:avLst/>
                    </a:prstGeom>
                  </pic:spPr>
                </pic:pic>
              </a:graphicData>
            </a:graphic>
          </wp:inline>
        </w:drawing>
      </w:r>
    </w:p>
    <w:p>
      <w:pPr>
        <w:spacing w:after="160"/>
      </w:pPr>
      <w:r>
        <w:rPr>
          <w:rFonts w:ascii="Arial" w:cs="Arial" w:eastAsia="Arial" w:hAnsi="Arial"/>
          <w:i/>
          <w:iCs/>
          <w:color w:val="000000"/>
          <w:sz w:val="15"/>
          <w:szCs w:val="15"/>
        </w:rPr>
        <w:t xml:space="preserve">Ilustrasi kelas D untuk deposit hipotetis: cadangan 1.000 Mt, US$80/t, produksi 50 Mt/tahun, porsi negara 15%, umur 20 tahun, tingkat diskonto 8%, cakupan 1,5×. Bukan estimasi untuk cadangan nyata mana pun.</w:t>
      </w:r>
    </w:p>
    <w:p>
      <w:pPr>
        <w:spacing w:after="100" w:before="0" w:line="258"/>
        <w:jc w:val="left"/>
      </w:pPr>
      <w:r>
        <w:rPr>
          <w:rFonts w:ascii="Arial" w:cs="Arial" w:eastAsia="Arial" w:hAnsi="Arial"/>
          <w:color w:val="000000"/>
          <w:sz w:val="19"/>
          <w:szCs w:val="19"/>
        </w:rPr>
        <w:t xml:space="preserve">Dalam ilustrasi tersebut, deposit dengan nilai in-situ US$80 miliar hanya mendukung penerbitan sekitar </w:t>
      </w:r>
      <w:r>
        <w:rPr>
          <w:rFonts w:ascii="Arial" w:cs="Arial" w:eastAsia="Arial" w:hAnsi="Arial"/>
          <w:b/>
          <w:bCs/>
          <w:color w:val="000000"/>
          <w:sz w:val="19"/>
          <w:szCs w:val="19"/>
        </w:rPr>
        <w:t xml:space="preserve">US$3,9 miliar</w:t>
      </w:r>
      <w:r>
        <w:rPr>
          <w:rFonts w:ascii="Arial" w:cs="Arial" w:eastAsia="Arial" w:hAnsi="Arial"/>
          <w:color w:val="000000"/>
          <w:sz w:val="19"/>
          <w:szCs w:val="19"/>
        </w:rPr>
        <w:t xml:space="preserve">, atau sekitar </w:t>
      </w:r>
      <w:r>
        <w:rPr>
          <w:rFonts w:ascii="Arial" w:cs="Arial" w:eastAsia="Arial" w:hAnsi="Arial"/>
          <w:b/>
          <w:bCs/>
          <w:color w:val="000000"/>
          <w:sz w:val="19"/>
          <w:szCs w:val="19"/>
        </w:rPr>
        <w:t xml:space="preserve">4,9%</w:t>
      </w:r>
      <w:r>
        <w:rPr>
          <w:rFonts w:ascii="Arial" w:cs="Arial" w:eastAsia="Arial" w:hAnsi="Arial"/>
          <w:color w:val="000000"/>
          <w:sz w:val="19"/>
          <w:szCs w:val="19"/>
        </w:rPr>
        <w:t xml:space="preserve"> dari nilai in-situ. Rasio ini berubah sesuai asumsi, tetapi besaran ordenya menjelaskan mengapa nilai cadangan utama tidak dapat dibaca sebagai kapasitas pembiayaan.</w:t>
      </w:r>
    </w:p>
    <w:p>
      <w:pPr>
        <w:pStyle w:val="Heading3"/>
        <w:keepNext/>
        <w:keepLines/>
        <w:spacing w:after="80" w:before="200"/>
      </w:pPr>
      <w:r>
        <w:rPr>
          <w:rFonts w:ascii="Arial" w:cs="Arial" w:eastAsia="Arial" w:hAnsi="Arial"/>
          <w:b/>
          <w:bCs/>
          <w:color w:val="005EB8"/>
          <w:sz w:val="22"/>
          <w:szCs w:val="22"/>
        </w:rPr>
        <w:t xml:space="preserve">Aturan valuasi dan penjaminan</w:t>
      </w:r>
    </w:p>
    <w:p>
      <w:pPr>
        <w:pStyle w:val="ListParagraph"/>
        <w:numPr>
          <w:ilvl w:val="0"/>
          <w:numId w:val="2"/>
        </w:numPr>
        <w:spacing w:after="60" w:line="264"/>
      </w:pPr>
      <w:r>
        <w:rPr>
          <w:rFonts w:ascii="Arial" w:cs="Arial" w:eastAsia="Arial" w:hAnsi="Arial"/>
          <w:sz w:val="19"/>
          <w:szCs w:val="19"/>
        </w:rPr>
        <w:t xml:space="preserve">Tidak ada penjaminan ganda: aliran penerimaan yang sama tidak boleh menjadi dasar instrumen NRF sekaligus dihitung dalam anggaran atau dijaminkan di tempat lain.</w:t>
      </w:r>
    </w:p>
    <w:p>
      <w:pPr>
        <w:pStyle w:val="ListParagraph"/>
        <w:numPr>
          <w:ilvl w:val="0"/>
          <w:numId w:val="2"/>
        </w:numPr>
        <w:spacing w:after="60" w:line="264"/>
      </w:pPr>
      <w:r>
        <w:rPr>
          <w:rFonts w:ascii="Arial" w:cs="Arial" w:eastAsia="Arial" w:hAnsi="Arial"/>
          <w:sz w:val="19"/>
          <w:szCs w:val="19"/>
        </w:rPr>
        <w:t xml:space="preserve">Competent person dan penilai yang independen, dengan revaluasi dan publikasi tahunan.</w:t>
      </w:r>
    </w:p>
    <w:p>
      <w:pPr>
        <w:pStyle w:val="ListParagraph"/>
        <w:numPr>
          <w:ilvl w:val="0"/>
          <w:numId w:val="2"/>
        </w:numPr>
        <w:spacing w:after="60" w:line="264"/>
      </w:pPr>
      <w:r>
        <w:rPr>
          <w:rFonts w:ascii="Arial" w:cs="Arial" w:eastAsia="Arial" w:hAnsi="Arial"/>
          <w:sz w:val="19"/>
          <w:szCs w:val="19"/>
        </w:rPr>
        <w:t xml:space="preserve">Penerbitan dibatasi pada sebagian dari nilai kini, dengan rasio cakupan (coverage ratio) minimum (misalnya 1,5×) dan rekening cadangan.</w:t>
      </w:r>
    </w:p>
    <w:p>
      <w:pPr>
        <w:pStyle w:val="ListParagraph"/>
        <w:numPr>
          <w:ilvl w:val="0"/>
          <w:numId w:val="2"/>
        </w:numPr>
        <w:spacing w:after="60" w:line="264"/>
      </w:pPr>
      <w:r>
        <w:rPr>
          <w:rFonts w:ascii="Arial" w:cs="Arial" w:eastAsia="Arial" w:hAnsi="Arial"/>
          <w:sz w:val="19"/>
          <w:szCs w:val="19"/>
        </w:rPr>
        <w:t xml:space="preserve">Mata uang instrumen disesuaikan dengan mata uang penerimaan, atau dilindung nilai.</w:t>
      </w:r>
    </w:p>
    <w:p>
      <w:pPr>
        <w:pStyle w:val="ListParagraph"/>
        <w:numPr>
          <w:ilvl w:val="0"/>
          <w:numId w:val="2"/>
        </w:numPr>
        <w:spacing w:after="60" w:line="264"/>
      </w:pPr>
      <w:r>
        <w:rPr>
          <w:rFonts w:ascii="Arial" w:cs="Arial" w:eastAsia="Arial" w:hAnsi="Arial"/>
          <w:sz w:val="19"/>
          <w:szCs w:val="19"/>
        </w:rPr>
        <w:t xml:space="preserve">Penerimaan yang dilepaskan oleh anggaran masa depan diungkapkan bersama dana yang dihimpun saat ini.</w:t>
      </w:r>
    </w:p>
    <w:p>
      <w:pPr>
        <w:pStyle w:val="Heading2"/>
        <w:keepNext/>
        <w:keepLines/>
        <w:spacing w:after="120" w:before="280"/>
      </w:pPr>
      <w:r>
        <w:rPr>
          <w:rFonts w:ascii="Arial" w:cs="Arial" w:eastAsia="Arial" w:hAnsi="Arial"/>
          <w:b/>
          <w:bCs/>
          <w:color w:val="00338D"/>
          <w:sz w:val="28"/>
          <w:szCs w:val="28"/>
        </w:rPr>
        <w:t xml:space="preserve">8.6 Penggunaan dana hasil NRF</w:t>
      </w:r>
    </w:p>
    <w:p>
      <w:pPr>
        <w:spacing w:after="100" w:before="0" w:line="258"/>
        <w:jc w:val="left"/>
      </w:pPr>
      <w:r>
        <w:rPr>
          <w:rFonts w:ascii="Arial" w:cs="Arial" w:eastAsia="Arial" w:hAnsi="Arial"/>
          <w:color w:val="000000"/>
          <w:sz w:val="19"/>
          <w:szCs w:val="19"/>
        </w:rPr>
        <w:t xml:space="preserve">Kami mengusulkan lima jendela, masing-masing dengan aturannya sendiri, agar dana hasil melayani tabungan sekaligus pembangunan kapabilitas tanpa mengaburkan akuntabilitas.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Jendela</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Tujuan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Stabilisasi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Menjadi penyangga anggaran terhadap siklus harga komoditas</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Penarikan hanya berdasarkan aturan yang dipublikasikan dan dikaitkan dengan kekurangan harga atau penerimaan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Tabungan / generasi mendatang</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Mengubah sumber daya yang menyusut menjadi kekayaan finansial</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Portofolio jangka panjang yang terdiversifikasi; tanpa pinjaman proyek domestik</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industri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dan kuasi-ekuitas pada proyek jangkar dan hilirisasi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Melalui Danantara/DDMF dengan business case finansial dan ekonomi; uji adisionalitas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Kapabilitas pemasok (DOCK-UP)</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Penjaminan kerugian pertama (first-loss), pendanaan bersama sertifikasi, dukungan pembiayaan rantai pasok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Dicairkan hanya setelah gerbang terverifikasi; mengungkit kredit swasta dan perbankan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Distribusi sosial</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Pembagian manfaat dengan masyarakat, termasuk melalui koperasi desa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Melalui APBN atau jendela program terpisah dengan audit tersendiri; tidak pernah dari jendela investasi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8.7 Tata kelola</w:t>
      </w:r>
    </w:p>
    <w:p>
      <w:pPr>
        <w:pStyle w:val="ListParagraph"/>
        <w:numPr>
          <w:ilvl w:val="0"/>
          <w:numId w:val="2"/>
        </w:numPr>
        <w:spacing w:after="60" w:line="264"/>
      </w:pPr>
      <w:r>
        <w:rPr>
          <w:rFonts w:ascii="Arial" w:cs="Arial" w:eastAsia="Arial" w:hAnsi="Arial"/>
          <w:b/>
          <w:bCs/>
          <w:sz w:val="19"/>
          <w:szCs w:val="19"/>
        </w:rPr>
        <w:t xml:space="preserve">Dasar hukum</w:t>
      </w:r>
      <w:r>
        <w:rPr>
          <w:rFonts w:ascii="Arial" w:cs="Arial" w:eastAsia="Arial" w:hAnsi="Arial"/>
          <w:sz w:val="19"/>
          <w:szCs w:val="19"/>
        </w:rPr>
        <w:t xml:space="preserve"> dalam undang-undang atau peraturan yang menetapkan kepemilikan, mandat, aturan penyetoran dan penarikan, serta hubungan dana dengan APBN.</w:t>
      </w:r>
    </w:p>
    <w:p>
      <w:pPr>
        <w:pStyle w:val="ListParagraph"/>
        <w:numPr>
          <w:ilvl w:val="0"/>
          <w:numId w:val="2"/>
        </w:numPr>
        <w:spacing w:after="60" w:line="264"/>
      </w:pPr>
      <w:r>
        <w:rPr>
          <w:rFonts w:ascii="Arial" w:cs="Arial" w:eastAsia="Arial" w:hAnsi="Arial"/>
          <w:b/>
          <w:bCs/>
          <w:sz w:val="19"/>
          <w:szCs w:val="19"/>
        </w:rPr>
        <w:t xml:space="preserve">Pemisahan pemilik–pengelola</w:t>
      </w:r>
      <w:r>
        <w:rPr>
          <w:rFonts w:ascii="Arial" w:cs="Arial" w:eastAsia="Arial" w:hAnsi="Arial"/>
          <w:sz w:val="19"/>
          <w:szCs w:val="19"/>
        </w:rPr>
        <w:t xml:space="preserve">: negara, melalui suatu dewan, memiliki dana dan menetapkan mandat; pengelola profesional mengelola aset berdasarkan mandat investasi (sejalan dengan Santiago Principles).</w:t>
      </w:r>
    </w:p>
    <w:p>
      <w:pPr>
        <w:pStyle w:val="ListParagraph"/>
        <w:numPr>
          <w:ilvl w:val="0"/>
          <w:numId w:val="2"/>
        </w:numPr>
        <w:spacing w:after="60" w:line="264"/>
      </w:pPr>
      <w:r>
        <w:rPr>
          <w:rFonts w:ascii="Arial" w:cs="Arial" w:eastAsia="Arial" w:hAnsi="Arial"/>
          <w:b/>
          <w:bCs/>
          <w:sz w:val="19"/>
          <w:szCs w:val="19"/>
        </w:rPr>
        <w:t xml:space="preserve">Audit independen</w:t>
      </w:r>
      <w:r>
        <w:rPr>
          <w:rFonts w:ascii="Arial" w:cs="Arial" w:eastAsia="Arial" w:hAnsi="Arial"/>
          <w:sz w:val="19"/>
          <w:szCs w:val="19"/>
        </w:rPr>
        <w:t xml:space="preserve"> dan publikasi tahunan atas kepemilikan aset, imbal hasil, aliran dari dan ke APBN, serta instrumen yang beredar.</w:t>
      </w:r>
    </w:p>
    <w:p>
      <w:pPr>
        <w:pStyle w:val="ListParagraph"/>
        <w:numPr>
          <w:ilvl w:val="0"/>
          <w:numId w:val="2"/>
        </w:numPr>
        <w:spacing w:after="60" w:line="264"/>
      </w:pPr>
      <w:r>
        <w:rPr>
          <w:rFonts w:ascii="Arial" w:cs="Arial" w:eastAsia="Arial" w:hAnsi="Arial"/>
          <w:b/>
          <w:bCs/>
          <w:sz w:val="19"/>
          <w:szCs w:val="19"/>
        </w:rPr>
        <w:t xml:space="preserve">Batas risiko</w:t>
      </w:r>
      <w:r>
        <w:rPr>
          <w:rFonts w:ascii="Arial" w:cs="Arial" w:eastAsia="Arial" w:hAnsi="Arial"/>
          <w:sz w:val="19"/>
          <w:szCs w:val="19"/>
        </w:rPr>
        <w:t xml:space="preserve"> atas konsentrasi, mata uang, leverage, dan eksposur kepada pihak berelasi.</w:t>
      </w:r>
    </w:p>
    <w:p>
      <w:pPr>
        <w:pStyle w:val="ListParagraph"/>
        <w:numPr>
          <w:ilvl w:val="0"/>
          <w:numId w:val="2"/>
        </w:numPr>
        <w:spacing w:after="60" w:line="264"/>
      </w:pPr>
      <w:r>
        <w:rPr>
          <w:rFonts w:ascii="Arial" w:cs="Arial" w:eastAsia="Arial" w:hAnsi="Arial"/>
          <w:b/>
          <w:bCs/>
          <w:sz w:val="19"/>
          <w:szCs w:val="19"/>
        </w:rPr>
        <w:t xml:space="preserve">Aturan benturan kepentingan</w:t>
      </w:r>
      <w:r>
        <w:rPr>
          <w:rFonts w:ascii="Arial" w:cs="Arial" w:eastAsia="Arial" w:hAnsi="Arial"/>
          <w:sz w:val="19"/>
          <w:szCs w:val="19"/>
        </w:rPr>
        <w:t xml:space="preserve"> bagi pejabat yang juga memegang peran di BUMN pertambangan atau regulator.</w:t>
      </w:r>
    </w:p>
    <w:p>
      <w:pPr>
        <w:pStyle w:val="Heading2"/>
        <w:keepNext/>
        <w:keepLines/>
        <w:spacing w:after="120" w:before="280"/>
      </w:pPr>
      <w:r>
        <w:rPr>
          <w:rFonts w:ascii="Arial" w:cs="Arial" w:eastAsia="Arial" w:hAnsi="Arial"/>
          <w:b/>
          <w:bCs/>
          <w:color w:val="00338D"/>
          <w:sz w:val="28"/>
          <w:szCs w:val="28"/>
        </w:rPr>
        <w:t xml:space="preserve">8.8 Jalur bertahap yang direkomendasikan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1638"/>
        <w:gridCol w:w="3855"/>
        <w:gridCol w:w="2699"/>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ke tahap berikutnya</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0: Fondasi</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bulan setelah persetujuan prinsip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hak hukum; daftar cadangan berdasarkan KCMI; metode valuasi; perlakuan risiko fiskal; desain tata kelola</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Hak dikonfirmasi; valuasi dipublikasikan; instrumen diklasifikasikan sebagai utang bila relevan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Percontohan</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3–12 bulan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terkait royalti atau penerimaan atas aset batu bara berproduksi dengan cadangan terbukti; ukuran dibatasi; investor institusi domestik</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Penerbitan berhasil dengan biaya tidak lebih tinggi dari SBN yang sebanding; covenant terpenuhi</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Perluasan</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bulan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Diperluas ke mineral strategis; membuka jendela pengembangan industri dan DOCK-UP</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Evaluasi independen atas percontohan; daftar penerimaan yang dijaminkan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3: Dana matang</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bulan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Jendela stabilisasi dan tabungan; mempertimbangkan Mineral Reserve Trust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Dasar undang-undang lengkap; rekam jejak imbal hasil dan pengungkapan</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09</w:t>
            </w:r>
          </w:p>
          <w:p>
            <w:pPr>
              <w:pStyle w:val="Heading1"/>
              <w:spacing w:after="100"/>
            </w:pPr>
            <w:r>
              <w:rPr>
                <w:rFonts w:ascii="Arial" w:cs="Arial" w:eastAsia="Arial" w:hAnsi="Arial"/>
                <w:b/>
                <w:bCs/>
                <w:color w:val="FFFFFF"/>
                <w:sz w:val="40"/>
                <w:szCs w:val="40"/>
              </w:rPr>
              <w:t xml:space="preserve">Kanal pembiayaan 2: tokenisasi proyek berdaulat</w:t>
            </w:r>
          </w:p>
          <w:p>
            <w:pPr>
              <w:spacing w:after="0" w:line="276"/>
            </w:pPr>
            <w:r>
              <w:rPr>
                <w:rFonts w:ascii="Arial" w:cs="Arial" w:eastAsia="Arial" w:hAnsi="Arial"/>
                <w:color w:val="FFFFFF"/>
                <w:sz w:val="20"/>
                <w:szCs w:val="20"/>
              </w:rPr>
              <w:t xml:space="preserve">Kanal di tingkat proyek yang mengubah kontrak negara yang terverifikasi menjadi instrumen layak investasi yang dicairkan per tonggak capaian. Kanal ini dinilai melalui usulan PALCapital untuk PT PAL.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9.1 Masalah yang ditangani</w:t>
      </w:r>
    </w:p>
    <w:p>
      <w:pPr>
        <w:spacing w:after="100" w:before="0" w:line="258"/>
        <w:jc w:val="left"/>
      </w:pPr>
      <w:r>
        <w:rPr>
          <w:rFonts w:ascii="Arial" w:cs="Arial" w:eastAsia="Arial" w:hAnsi="Arial"/>
          <w:color w:val="000000"/>
          <w:sz w:val="19"/>
          <w:szCs w:val="19"/>
        </w:rPr>
        <w:t xml:space="preserve">PT PAL memegang kontrak negara senilai miliaran dolar, tetapi menghadapi kesenjangan modal kerja [D6]:</w:t>
      </w:r>
    </w:p>
    <w:p>
      <w:pPr>
        <w:pStyle w:val="ListParagraph"/>
        <w:numPr>
          <w:ilvl w:val="0"/>
          <w:numId w:val="2"/>
        </w:numPr>
        <w:spacing w:after="60" w:line="264"/>
      </w:pPr>
      <w:r>
        <w:rPr>
          <w:rFonts w:ascii="Arial" w:cs="Arial" w:eastAsia="Arial" w:hAnsi="Arial"/>
          <w:b/>
          <w:bCs/>
          <w:sz w:val="19"/>
          <w:szCs w:val="19"/>
        </w:rPr>
        <w:t xml:space="preserve">Backlog berdaulat</w:t>
      </w:r>
      <w:r>
        <w:rPr>
          <w:rFonts w:ascii="Arial" w:cs="Arial" w:eastAsia="Arial" w:hAnsi="Arial"/>
          <w:sz w:val="19"/>
          <w:szCs w:val="19"/>
        </w:rPr>
        <w:t xml:space="preserve">: dua kapal selam Scorpène Evolved (US$2,16 miliar), dua fregat Merah Putih AH-140 (US$1,2 miliar), ditambah LPD dan kapal rumah sakit, seluruhnya kontrak Kementerian Pertahanan (Kemhan) dengan siklus 60–96 bulan.</w:t>
      </w:r>
    </w:p>
    <w:p>
      <w:pPr>
        <w:pStyle w:val="ListParagraph"/>
        <w:numPr>
          <w:ilvl w:val="0"/>
          <w:numId w:val="2"/>
        </w:numPr>
        <w:spacing w:after="60" w:line="264"/>
      </w:pPr>
      <w:r>
        <w:rPr>
          <w:rFonts w:ascii="Arial" w:cs="Arial" w:eastAsia="Arial" w:hAnsi="Arial"/>
          <w:b/>
          <w:bCs/>
          <w:sz w:val="19"/>
          <w:szCs w:val="19"/>
        </w:rPr>
        <w:t xml:space="preserve">Pengeluaran kas di muka</w:t>
      </w:r>
      <w:r>
        <w:rPr>
          <w:rFonts w:ascii="Arial" w:cs="Arial" w:eastAsia="Arial" w:hAnsi="Arial"/>
          <w:sz w:val="19"/>
          <w:szCs w:val="19"/>
        </w:rPr>
        <w:t xml:space="preserve">: baja HY-80, rangkaian baterai litium-ion, sistem propulsi dan sistem tempur harus dibayar sebelum pembayaran tonggak capaian diterima, sehingga timbul kesenjangan sebesar </w:t>
      </w:r>
      <w:r>
        <w:rPr>
          <w:rFonts w:ascii="Arial" w:cs="Arial" w:eastAsia="Arial" w:hAnsi="Arial"/>
          <w:b/>
          <w:bCs/>
          <w:sz w:val="19"/>
          <w:szCs w:val="19"/>
        </w:rPr>
        <w:t xml:space="preserve">US$150–300 juta per program</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b/>
          <w:bCs/>
          <w:sz w:val="19"/>
          <w:szCs w:val="19"/>
        </w:rPr>
        <w:t xml:space="preserve">Ketergantungan impor</w:t>
      </w:r>
      <w:r>
        <w:rPr>
          <w:rFonts w:ascii="Arial" w:cs="Arial" w:eastAsia="Arial" w:hAnsi="Arial"/>
          <w:sz w:val="19"/>
          <w:szCs w:val="19"/>
        </w:rPr>
        <w:t xml:space="preserve">: sekitar 75% material diimpor, sehingga risiko valuta asing dan rantai pasok terkonsentrasi.</w:t>
      </w:r>
    </w:p>
    <w:p>
      <w:pPr>
        <w:pStyle w:val="ListParagraph"/>
        <w:numPr>
          <w:ilvl w:val="0"/>
          <w:numId w:val="2"/>
        </w:numPr>
        <w:spacing w:after="60" w:line="264"/>
      </w:pPr>
      <w:r>
        <w:rPr>
          <w:rFonts w:ascii="Arial" w:cs="Arial" w:eastAsia="Arial" w:hAnsi="Arial"/>
          <w:b/>
          <w:bCs/>
          <w:sz w:val="19"/>
          <w:szCs w:val="19"/>
        </w:rPr>
        <w:t xml:space="preserve">Pembiayaan konvensional yang lambat</w:t>
      </w:r>
      <w:r>
        <w:rPr>
          <w:rFonts w:ascii="Arial" w:cs="Arial" w:eastAsia="Arial" w:hAnsi="Arial"/>
          <w:sz w:val="19"/>
          <w:szCs w:val="19"/>
        </w:rPr>
        <w:t xml:space="preserve">: sindikasi bank memerlukan 6–9 bulan, disertai covenant yang berat dan biaya keseluruhan 9–11%.</w:t>
      </w:r>
    </w:p>
    <w:p>
      <w:pPr>
        <w:pStyle w:val="Heading2"/>
        <w:keepNext/>
        <w:keepLines/>
        <w:spacing w:after="120" w:before="280"/>
      </w:pPr>
      <w:r>
        <w:rPr>
          <w:rFonts w:ascii="Arial" w:cs="Arial" w:eastAsia="Arial" w:hAnsi="Arial"/>
          <w:b/>
          <w:bCs/>
          <w:color w:val="00338D"/>
          <w:sz w:val="28"/>
          <w:szCs w:val="28"/>
        </w:rPr>
        <w:t xml:space="preserve">9.2 Instrumen yang diusulkan: PAL-SUB-1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Fitur</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Sebagaimana diusulkan dalam D6</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Sifat hukum</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berimbal hasil yang didukung pesanan pembelian (PO) Kemhan yang terverifikasi; investor disebut sebagai kreditur terjamin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Ukuran dan tenor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juta (Fase 1, Scorpène Unit 1); imbal hasil tetap 700 bps; 720 hari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Standar token dan jaringan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Token efek berizin (permissioned) ERC-3643 (T-REX) pada jaringan privat Hyperledger Besu (IBFT 2.0); 4 validator (PAL ×2, Danantara, BKI), 3 diperlukan untuk finalisasi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Privasi</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Zero-knowledge proof atas nilai PO dan tanda tangan Kementerian Keuangan; spesifikasi rahasia tidak pernah dicatat on-chain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Kustodian dan escrow</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Escrow (rekening penampungan) fiat di Bank Mandiri Custody berdasarkan akta tripartit PAL–Danantara–Mandiri; bank escrow ditetapkan oleh IC Danantara, Kemenkeu, dan OJK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Kontrol pencairan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dicairkan bertahap langsung ke vendor setelah persetujuan 2-dari-2 oleh lead surveyor BKI dan perwira TNI AL, dengan foto bertanda geolokasi, GPS, dan stempel waktu; data IoT hanya bersifat pendukung pada Fase 1; mutu las tetap diperiksa manual oleh BKI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Pelunasan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sebagai investor jangkar; Mandiri, BRI, dan dana kekayaan negara sebagai co-investor; 100 dompet dalam whitelist pada Fase 1; tanpa investor ritel hingga Fase 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Regulasi dan keamanan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Sandbox IKD (inovasi keuangan digital) OJK; sovereign cloud yang memenuhi ketentuan BSSN; ISO 27001; HSM FIPS 140-2 Level 3; node auditor baca-saja untuk Kemhan dan OJK; pembaruan melalui timelock 3 hari dan multisig 3-dari-5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Peta jalan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Fase 1 triwulan IV 2026: percontohan US$150 juta. Fase 2: US$300 juta, fregat dan kapal selam unit 2. Fase 3: US$1 miliar+, seluruh buku pesanan, IKD ritel, dan perdagangan sekunder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9.3 Siklus hidup dan arus 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Pemicu</w:t>
            </w:r>
          </w:p>
          <w:p>
            <w:pPr>
              <w:spacing w:after="0" w:line="236"/>
            </w:pPr>
            <w:r>
              <w:rPr>
                <w:rFonts w:ascii="Arial" w:cs="Arial" w:eastAsia="Arial" w:hAnsi="Arial"/>
                <w:color w:val="FFFFFF"/>
                <w:sz w:val="14"/>
                <w:szCs w:val="14"/>
              </w:rPr>
              <w:t xml:space="preserve">Kontrak Kemhan dan syarat pembayaran diinput dan di-hash</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Perisai ZK</w:t>
            </w:r>
          </w:p>
          <w:p>
            <w:pPr>
              <w:spacing w:after="0" w:line="236"/>
            </w:pPr>
            <w:r>
              <w:rPr>
                <w:rFonts w:ascii="Arial" w:cs="Arial" w:eastAsia="Arial" w:hAnsi="Arial"/>
                <w:color w:val="FFFFFF"/>
                <w:sz w:val="14"/>
                <w:szCs w:val="14"/>
              </w:rPr>
              <w:t xml:space="preserve">Bukti nilai dan tanda tangan Kemenkeu; tanpa data rahasia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Onboarding</w:t>
            </w:r>
          </w:p>
          <w:p>
            <w:pPr>
              <w:spacing w:after="0" w:line="236"/>
            </w:pPr>
            <w:r>
              <w:rPr>
                <w:rFonts w:ascii="Arial" w:cs="Arial" w:eastAsia="Arial" w:hAnsi="Arial"/>
                <w:color w:val="FFFFFF"/>
                <w:sz w:val="14"/>
                <w:szCs w:val="14"/>
              </w:rPr>
              <w:t xml:space="preserve">KYB/AML; token identitas; whitelist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Pendanaan escrow</w:t>
            </w:r>
          </w:p>
          <w:p>
            <w:pPr>
              <w:spacing w:after="0" w:line="236"/>
            </w:pPr>
            <w:r>
              <w:rPr>
                <w:rFonts w:ascii="Arial" w:cs="Arial" w:eastAsia="Arial" w:hAnsi="Arial"/>
                <w:color w:val="FFFFFF"/>
                <w:sz w:val="14"/>
                <w:szCs w:val="14"/>
              </w:rPr>
              <w:t xml:space="preserve">US$150 juta dikunci; fiat di Mandiri Custody</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Pembangunan dan pencairan</w:t>
            </w:r>
          </w:p>
          <w:p>
            <w:pPr>
              <w:spacing w:after="0" w:line="236"/>
            </w:pPr>
            <w:r>
              <w:rPr>
                <w:rFonts w:ascii="Arial" w:cs="Arial" w:eastAsia="Arial" w:hAnsi="Arial"/>
                <w:color w:val="FFFFFF"/>
                <w:sz w:val="14"/>
                <w:szCs w:val="14"/>
              </w:rPr>
              <w:t xml:space="preserve">Persetujuan surveyor 2-dari-2; dibayar langsung ke vendor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Penyelesaian</w:t>
            </w:r>
          </w:p>
          <w:p>
            <w:pPr>
              <w:spacing w:after="0" w:line="236"/>
            </w:pPr>
            <w:r>
              <w:rPr>
                <w:rFonts w:ascii="Arial" w:cs="Arial" w:eastAsia="Arial" w:hAnsi="Arial"/>
                <w:color w:val="FFFFFF"/>
                <w:sz w:val="14"/>
                <w:szCs w:val="14"/>
              </w:rPr>
              <w:t xml:space="preserve">Pembayaran Kemhan ke collection account; waterfall; burn</w:t>
            </w:r>
          </w:p>
        </w:tc>
      </w:tr>
    </w:tbl>
    <w:p>
      <w:pPr>
        <w:spacing w:after="160"/>
      </w:pPr>
    </w:p>
    <w:p>
      <w:pPr>
        <w:keepNext/>
        <w:spacing w:after="60" w:before="120"/>
      </w:pPr>
      <w:r>
        <w:rPr>
          <w:rFonts w:ascii="Arial" w:cs="Arial" w:eastAsia="Arial" w:hAnsi="Arial"/>
          <w:b/>
          <w:bCs/>
          <w:color w:val="00338D"/>
          <w:sz w:val="18"/>
          <w:szCs w:val="18"/>
        </w:rPr>
        <w:t xml:space="preserve">Gambar 4: </w:t>
      </w:r>
      <w:r>
        <w:rPr>
          <w:rFonts w:ascii="Arial" w:cs="Arial" w:eastAsia="Arial" w:hAnsi="Arial"/>
          <w:b/>
          <w:bCs/>
          <w:color w:val="00338D"/>
          <w:sz w:val="18"/>
          <w:szCs w:val="18"/>
        </w:rPr>
        <w:t xml:space="preserve">Tranche tonggak capaian PAL-SUB-1</w:t>
      </w:r>
    </w:p>
    <w:p>
      <w:pPr>
        <w:keepNext/>
        <w:spacing w:after="40"/>
      </w:pPr>
      <w:r>
        <w:drawing>
          <wp:inline distT="0" distB="0" distL="0" distR="0">
            <wp:extent cx="5303520" cy="2368433"/>
            <wp:effectExtent t="0" r="0" b="0" l="0"/>
            <wp:docPr id="4" name="c5_pal_tranches.png" descr="Tranche tonggak capaian PAL-SUB-1" title="Tranche tonggak capaian PAL-SU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2368433"/>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D6. Jumlah tranche adalah US$150 juta.</w:t>
      </w:r>
    </w:p>
    <w:p>
      <w:pPr>
        <w:spacing w:after="100" w:before="0" w:line="258"/>
        <w:jc w:val="left"/>
      </w:pPr>
      <w:r>
        <w:rPr>
          <w:rFonts w:ascii="Arial" w:cs="Arial" w:eastAsia="Arial" w:hAnsi="Arial"/>
          <w:color w:val="000000"/>
          <w:sz w:val="19"/>
          <w:szCs w:val="19"/>
        </w:rPr>
        <w:t xml:space="preserve">Pada 700 bps selama 720 hari, imbal hasil atas US$150 juta adalah </w:t>
      </w:r>
      <w:r>
        <w:rPr>
          <w:rFonts w:ascii="Arial" w:cs="Arial" w:eastAsia="Arial" w:hAnsi="Arial"/>
          <w:b/>
          <w:bCs/>
          <w:color w:val="000000"/>
          <w:sz w:val="19"/>
          <w:szCs w:val="19"/>
        </w:rPr>
        <w:t xml:space="preserve">US$20,7 juta</w:t>
      </w:r>
      <w:r>
        <w:rPr>
          <w:rFonts w:ascii="Arial" w:cs="Arial" w:eastAsia="Arial" w:hAnsi="Arial"/>
          <w:color w:val="000000"/>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rFonts w:ascii="Arial" w:cs="Arial" w:eastAsia="Arial" w:hAnsi="Arial"/>
          <w:b/>
          <w:bCs/>
          <w:color w:val="000000"/>
          <w:sz w:val="19"/>
          <w:szCs w:val="19"/>
        </w:rPr>
        <w:t xml:space="preserve">US$10,4 juta</w:t>
      </w:r>
      <w:r>
        <w:rPr>
          <w:rFonts w:ascii="Arial" w:cs="Arial" w:eastAsia="Arial" w:hAnsi="Arial"/>
          <w:color w:val="000000"/>
          <w:sz w:val="19"/>
          <w:szCs w:val="19"/>
        </w:rPr>
        <w:t xml:space="preserve">, sehingga klaim tersebut konsisten secara aritmetika. Ini hanya memeriksa aritmetika. Ini bukan perbandingan biaya yang setara (Isu 4 di bawah), dan belum mencakup biaya platform, kustodian, surveyor, dan hukum.</w:t>
      </w:r>
    </w:p>
    <w:p>
      <w:pPr>
        <w:pStyle w:val="Heading2"/>
        <w:keepNext/>
        <w:keepLines/>
        <w:spacing w:after="120" w:before="280"/>
      </w:pPr>
      <w:r>
        <w:rPr>
          <w:rFonts w:ascii="Arial" w:cs="Arial" w:eastAsia="Arial" w:hAnsi="Arial"/>
          <w:b/>
          <w:bCs/>
          <w:color w:val="00338D"/>
          <w:sz w:val="28"/>
          <w:szCs w:val="28"/>
        </w:rPr>
        <w:t xml:space="preserve">9.4 Penilaian</w:t>
      </w:r>
    </w:p>
    <w:p>
      <w:pPr>
        <w:pStyle w:val="Heading3"/>
        <w:keepNext/>
        <w:keepLines/>
        <w:spacing w:after="80" w:before="200"/>
      </w:pPr>
      <w:r>
        <w:rPr>
          <w:rFonts w:ascii="Arial" w:cs="Arial" w:eastAsia="Arial" w:hAnsi="Arial"/>
          <w:b/>
          <w:bCs/>
          <w:color w:val="005EB8"/>
          <w:sz w:val="22"/>
          <w:szCs w:val="22"/>
        </w:rPr>
        <w:t xml:space="preserve">Kekuatan yang perlu dipertahankan</w:t>
      </w:r>
    </w:p>
    <w:p>
      <w:pPr>
        <w:pStyle w:val="ListParagraph"/>
        <w:numPr>
          <w:ilvl w:val="0"/>
          <w:numId w:val="2"/>
        </w:numPr>
        <w:spacing w:after="60" w:line="264"/>
      </w:pPr>
      <w:r>
        <w:rPr>
          <w:rFonts w:ascii="Arial" w:cs="Arial" w:eastAsia="Arial" w:hAnsi="Arial"/>
          <w:b/>
          <w:bCs/>
          <w:sz w:val="19"/>
          <w:szCs w:val="19"/>
        </w:rPr>
        <w:t xml:space="preserve">Pencairan per tonggak capaian langsung ke pemasok</w:t>
      </w:r>
      <w:r>
        <w:rPr>
          <w:rFonts w:ascii="Arial" w:cs="Arial" w:eastAsia="Arial" w:hAnsi="Arial"/>
          <w:sz w:val="19"/>
          <w:szCs w:val="19"/>
        </w:rPr>
        <w:t xml:space="preserve"> merupakan kontrol yang kuat: dana tidak dapat dialihkan ke rekening operasional, dan hal ini sesuai dengan prinsip DOCK-UP bahwa kesiapan yang terverifikasi membuka akses dana.</w:t>
      </w:r>
    </w:p>
    <w:p>
      <w:pPr>
        <w:pStyle w:val="ListParagraph"/>
        <w:numPr>
          <w:ilvl w:val="0"/>
          <w:numId w:val="2"/>
        </w:numPr>
        <w:spacing w:after="60" w:line="264"/>
      </w:pPr>
      <w:r>
        <w:rPr>
          <w:rFonts w:ascii="Arial" w:cs="Arial" w:eastAsia="Arial" w:hAnsi="Arial"/>
          <w:b/>
          <w:bCs/>
          <w:sz w:val="19"/>
          <w:szCs w:val="19"/>
        </w:rPr>
        <w:t xml:space="preserve">Verifikasi fisik independen</w:t>
      </w:r>
      <w:r>
        <w:rPr>
          <w:rFonts w:ascii="Arial" w:cs="Arial" w:eastAsia="Arial" w:hAnsi="Arial"/>
          <w:sz w:val="19"/>
          <w:szCs w:val="19"/>
        </w:rPr>
        <w:t xml:space="preserve"> oleh BKI, dengan perwira pertahanan sebagai penanda tangan bersama, menjadikan bukti kemajuan sebagai pemicu pembayaran.</w:t>
      </w:r>
    </w:p>
    <w:p>
      <w:pPr>
        <w:pStyle w:val="ListParagraph"/>
        <w:numPr>
          <w:ilvl w:val="0"/>
          <w:numId w:val="2"/>
        </w:numPr>
        <w:spacing w:after="60" w:line="264"/>
      </w:pPr>
      <w:r>
        <w:rPr>
          <w:rFonts w:ascii="Arial" w:cs="Arial" w:eastAsia="Arial" w:hAnsi="Arial"/>
          <w:b/>
          <w:bCs/>
          <w:sz w:val="19"/>
          <w:szCs w:val="19"/>
        </w:rPr>
        <w:t xml:space="preserve">Visibilitas regulator sejak hari pertama</w:t>
      </w:r>
      <w:r>
        <w:rPr>
          <w:rFonts w:ascii="Arial" w:cs="Arial" w:eastAsia="Arial" w:hAnsi="Arial"/>
          <w:sz w:val="19"/>
          <w:szCs w:val="19"/>
        </w:rPr>
        <w:t xml:space="preserve"> (node baca-saja untuk Kemhan dan OJK) serta peningkatan skala bertahap yang dikendalikan melalui sandbox.</w:t>
      </w:r>
    </w:p>
    <w:p>
      <w:pPr>
        <w:pStyle w:val="ListParagraph"/>
        <w:numPr>
          <w:ilvl w:val="0"/>
          <w:numId w:val="2"/>
        </w:numPr>
        <w:spacing w:after="60" w:line="264"/>
      </w:pPr>
      <w:r>
        <w:rPr>
          <w:rFonts w:ascii="Arial" w:cs="Arial" w:eastAsia="Arial" w:hAnsi="Arial"/>
          <w:b/>
          <w:bCs/>
          <w:sz w:val="19"/>
          <w:szCs w:val="19"/>
        </w:rPr>
        <w:t xml:space="preserve">Privasi sejak desain (privacy by design)</w:t>
      </w:r>
      <w:r>
        <w:rPr>
          <w:rFonts w:ascii="Arial" w:cs="Arial" w:eastAsia="Arial" w:hAnsi="Arial"/>
          <w:sz w:val="19"/>
          <w:szCs w:val="19"/>
        </w:rPr>
        <w:t xml:space="preserve"> untuk data program yang bersifat rahasia.</w:t>
      </w:r>
    </w:p>
    <w:p>
      <w:pPr>
        <w:pStyle w:val="ListParagraph"/>
        <w:numPr>
          <w:ilvl w:val="0"/>
          <w:numId w:val="2"/>
        </w:numPr>
        <w:spacing w:after="60" w:line="264"/>
      </w:pPr>
      <w:r>
        <w:rPr>
          <w:rFonts w:ascii="Arial" w:cs="Arial" w:eastAsia="Arial" w:hAnsi="Arial"/>
          <w:b/>
          <w:bCs/>
          <w:sz w:val="19"/>
          <w:szCs w:val="19"/>
        </w:rPr>
        <w:t xml:space="preserve">Waterfall rekening penampungan penerimaan</w:t>
      </w:r>
      <w:r>
        <w:rPr>
          <w:rFonts w:ascii="Arial" w:cs="Arial" w:eastAsia="Arial" w:hAnsi="Arial"/>
          <w:sz w:val="19"/>
          <w:szCs w:val="19"/>
        </w:rPr>
        <w:t xml:space="preserve"> memberi investor prioritas yang jelas dan mengurangi risiko pengalihan pembayaran.</w:t>
      </w:r>
    </w:p>
    <w:p>
      <w:pPr>
        <w:pStyle w:val="Heading3"/>
        <w:keepNext/>
        <w:keepLines/>
        <w:spacing w:after="80" w:before="200"/>
      </w:pPr>
      <w:r>
        <w:rPr>
          <w:rFonts w:ascii="Arial" w:cs="Arial" w:eastAsia="Arial" w:hAnsi="Arial"/>
          <w:b/>
          <w:bCs/>
          <w:color w:val="005EB8"/>
          <w:sz w:val="22"/>
          <w:szCs w:val="22"/>
        </w:rPr>
        <w:t xml:space="preserve">Isu yang harus diselesaikan</w:t>
      </w:r>
    </w:p>
    <w:p>
      <w:pPr>
        <w:keepNext/>
        <w:spacing w:after="80" w:before="120"/>
      </w:pPr>
      <w:r>
        <w:rPr>
          <w:rFonts w:ascii="Arial" w:cs="Arial" w:eastAsia="Arial" w:hAnsi="Arial"/>
          <w:b/>
          <w:bCs/>
          <w:color w:val="00338D"/>
          <w:sz w:val="18"/>
          <w:szCs w:val="18"/>
        </w:rPr>
        <w:t xml:space="preserve">Tabel 11: </w:t>
      </w:r>
      <w:r>
        <w:rPr>
          <w:rFonts w:ascii="Arial" w:cs="Arial" w:eastAsia="Arial" w:hAnsi="Arial"/>
          <w:b/>
          <w:bCs/>
          <w:color w:val="00338D"/>
          <w:sz w:val="18"/>
          <w:szCs w:val="18"/>
        </w:rPr>
        <w:t xml:space="preserve">Isu PALCapital dan penyelesaian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5108"/>
        <w:gridCol w:w="4048"/>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Isu</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Penyelesaian yang diperlukan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Instrumen ini adalah utang.</w:t>
            </w:r>
            <w:r>
              <w:rPr>
                <w:rFonts w:ascii="Arial" w:cs="Arial" w:eastAsia="Arial" w:hAnsi="Arial"/>
                <w:color w:val="000000"/>
                <w:sz w:val="16"/>
                <w:szCs w:val="16"/>
              </w:rPr>
              <w:t xml:space="preserve"> D6 menyebut instrumen ini “bukan hibah, bukan utang” dan sekaligus “surat utang berimbal hasil” yang investornya adalah “kreditur terjamin”. Secara substansi, instrumen ini adalah pembiayaan tagihan terjamin.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Klasifikasikan dan laporkan sebagai liabilitas PT PAL (atau SPV penerbit) dan masukkan ke dalam leverage grup dan daftar penjaminan Danantara [D1,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Pengalihan tagihan negara.</w:t>
            </w:r>
            <w:r>
              <w:rPr>
                <w:rFonts w:ascii="Arial" w:cs="Arial" w:eastAsia="Arial" w:hAnsi="Arial"/>
                <w:color w:val="000000"/>
                <w:sz w:val="16"/>
                <w:szCs w:val="16"/>
              </w:rPr>
              <w:t xml:space="preserve"> Pengalihan pembayaran Kemhan ke collection account memerlukan hak kontraktual serta persetujuan Kemhan dan Kementerian Keuangan, dan harus sesuai dengan aturan pelaksanaan anggaran.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Pendapat hukum tertulis; instrumen persetujuan dari Kemhan/Kemenkeu sebelum token apa pun dicetak.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penyelesaian dan alokasi anggaran.</w:t>
            </w:r>
            <w:r>
              <w:rPr>
                <w:rFonts w:ascii="Arial" w:cs="Arial" w:eastAsia="Arial" w:hAnsi="Arial"/>
                <w:color w:val="000000"/>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Penilaian kredit independen yang mencakup keterlambatan program, pemutusan kontrak, dan waktu anggaran; uji stres keterlambatan pembayaran Kemhan selama 180 hari.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Perbandingan biaya tidak setara.</w:t>
            </w:r>
            <w:r>
              <w:rPr>
                <w:rFonts w:ascii="Arial" w:cs="Arial" w:eastAsia="Arial" w:hAnsi="Arial"/>
                <w:color w:val="000000"/>
                <w:sz w:val="16"/>
                <w:szCs w:val="16"/>
              </w:rPr>
              <w:t xml:space="preserve"> Angka 7% dibandingkan dengan biaya bank 9–11% tanpa menyebutkan mata uang, tenor, atau jaminan, dan tanpa biaya platform itu sendiri (D6 menambahkan biaya 2–3% hanya di sisi bank).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Bandingkan pada mata uang, tenor, dan jaminan yang sama, termasuk total biaya kepemilikan platform, kustodian, surveyor, dan biaya hukum.</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Siapa investornya?</w:t>
            </w:r>
            <w:r>
              <w:rPr>
                <w:rFonts w:ascii="Arial" w:cs="Arial" w:eastAsia="Arial" w:hAnsi="Arial"/>
                <w:color w:val="000000"/>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Perlakukan Fase 1 sebagai percontohan kontrol dan teknologi. Ukur keberhasilan dari masuknya investor institusi domestik baru pada fase berikutnya, bukan dari pendanaan negara-ke-negara.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Apakah blockchain diperlukan?</w:t>
            </w:r>
            <w:r>
              <w:rPr>
                <w:rFonts w:ascii="Arial" w:cs="Arial" w:eastAsia="Arial" w:hAnsi="Arial"/>
                <w:color w:val="000000"/>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Jadikan percontohan sebagai uji eksplisit: bandingkan escrow berbasis token dan escrow konvensional dari sisi biaya, kecepatan, kontrol, dan risiko.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Konsentrasi peran.</w:t>
            </w:r>
            <w:r>
              <w:rPr>
                <w:rFonts w:ascii="Arial" w:cs="Arial" w:eastAsia="Arial" w:hAnsi="Arial"/>
                <w:color w:val="000000"/>
                <w:sz w:val="16"/>
                <w:szCs w:val="16"/>
              </w:rPr>
              <w:t xml:space="preserve"> Danantara adalah investor jangkar, validator, anggota badan penentu escrow, dan pemegang kunci pembaruan.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peran investasi, validasi, dan tata kelola; beri validator independen dan regulator kendali yang menentukan.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Klaim yang belum terverifikasi.</w:t>
            </w:r>
            <w:r>
              <w:rPr>
                <w:rFonts w:ascii="Arial" w:cs="Arial" w:eastAsia="Arial" w:hAnsi="Arial"/>
                <w:color w:val="000000"/>
                <w:sz w:val="16"/>
                <w:szCs w:val="16"/>
              </w:rPr>
              <w:t xml:space="preserve"> Danantara “AUM US$900 miliar+”, “telah mendapat persetujuan awal BSSN dan OJK”, “preseden sandbox IDDB 2024”, dan proyeksi pasar pihak ketiga (US$2 triliun pada 2028; US$18,9 triliun pada 2033).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Perlakukan sebagai kelas C; peroleh konfirmasi tertulis sebelum mengandalkannya.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Inkonsistensi internal.</w:t>
            </w:r>
            <w:r>
              <w:rPr>
                <w:rFonts w:ascii="Arial" w:cs="Arial" w:eastAsia="Arial" w:hAnsi="Arial"/>
                <w:color w:val="000000"/>
                <w:sz w:val="16"/>
                <w:szCs w:val="16"/>
              </w:rPr>
              <w:t xml:space="preserve"> Go-live dalam 45 hari versus 90 hari; “tanpa agunan” versus “agunan PO Kemhan”; “tetap 6–7%” versus 700 bps; “+200 bps” yang tidak dijelaskan; bukti nilai US$500 juta versus penerbitan US$150 juta.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Terbitkan term sheet yang telah dikoreksi sebelum persetujuan apa pun.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10</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Kebocoran impor.</w:t>
            </w:r>
            <w:r>
              <w:rPr>
                <w:rFonts w:ascii="Arial" w:cs="Arial" w:eastAsia="Arial" w:hAnsi="Arial"/>
                <w:color w:val="000000"/>
                <w:sz w:val="16"/>
                <w:szCs w:val="16"/>
              </w:rPr>
              <w:t xml:space="preserve"> Dengan 75% material diimpor, sebagian besar pencairan escrow akan mengalir ke vendor asing.</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Tetapkan target porsi pencairan escrow kepada pemasok dalam negeri yang memenuhi kualifikasi DOCK-UP, yang meningkat di setiap fase.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9.5 Syarat persetujuan percontohan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Enam prasyarat (rekomendasi)</w:t>
            </w:r>
          </w:p>
          <w:p>
            <w:pPr>
              <w:pStyle w:val="ListParagraph"/>
              <w:numPr>
                <w:ilvl w:val="0"/>
                <w:numId w:val="2"/>
              </w:numPr>
              <w:spacing w:after="50" w:line="260"/>
            </w:pPr>
            <w:r>
              <w:rPr>
                <w:rFonts w:ascii="Arial" w:cs="Arial" w:eastAsia="Arial" w:hAnsi="Arial"/>
                <w:b/>
                <w:bCs/>
                <w:color w:val="000000"/>
                <w:sz w:val="19"/>
                <w:szCs w:val="19"/>
              </w:rPr>
              <w:t xml:space="preserve">Hukum</w:t>
            </w:r>
            <w:r>
              <w:rPr>
                <w:rFonts w:ascii="Arial" w:cs="Arial" w:eastAsia="Arial" w:hAnsi="Arial"/>
                <w:color w:val="000000"/>
                <w:sz w:val="19"/>
                <w:szCs w:val="19"/>
              </w:rPr>
              <w:t xml:space="preserve">: pendapat hukum yang mengonfirmasi sifat instrumen, ditambah persetujuan Kemhan dan Kemenkeu atas pengalihan dan pengalihan arah pembayaran.</w:t>
            </w:r>
          </w:p>
          <w:p>
            <w:pPr>
              <w:pStyle w:val="ListParagraph"/>
              <w:numPr>
                <w:ilvl w:val="0"/>
                <w:numId w:val="2"/>
              </w:numPr>
              <w:spacing w:after="50" w:line="260"/>
            </w:pPr>
            <w:r>
              <w:rPr>
                <w:rFonts w:ascii="Arial" w:cs="Arial" w:eastAsia="Arial" w:hAnsi="Arial"/>
                <w:b/>
                <w:bCs/>
                <w:color w:val="000000"/>
                <w:sz w:val="19"/>
                <w:szCs w:val="19"/>
              </w:rPr>
              <w:t xml:space="preserve">Risiko fiskal dan grup</w:t>
            </w:r>
            <w:r>
              <w:rPr>
                <w:rFonts w:ascii="Arial" w:cs="Arial" w:eastAsia="Arial" w:hAnsi="Arial"/>
                <w:color w:val="000000"/>
                <w:sz w:val="19"/>
                <w:szCs w:val="19"/>
              </w:rPr>
              <w:t xml:space="preserve">: dicatat sebagai liabilitas, dimasukkan dalam batas leverage grup dan daftar penjaminan; penilaian kredit independen.</w:t>
            </w:r>
          </w:p>
          <w:p>
            <w:pPr>
              <w:pStyle w:val="ListParagraph"/>
              <w:numPr>
                <w:ilvl w:val="0"/>
                <w:numId w:val="2"/>
              </w:numPr>
              <w:spacing w:after="50" w:line="260"/>
            </w:pPr>
            <w:r>
              <w:rPr>
                <w:rFonts w:ascii="Arial" w:cs="Arial" w:eastAsia="Arial" w:hAnsi="Arial"/>
                <w:b/>
                <w:bCs/>
                <w:color w:val="000000"/>
                <w:sz w:val="19"/>
                <w:szCs w:val="19"/>
              </w:rPr>
              <w:t xml:space="preserve">Keekonomian</w:t>
            </w:r>
            <w:r>
              <w:rPr>
                <w:rFonts w:ascii="Arial" w:cs="Arial" w:eastAsia="Arial" w:hAnsi="Arial"/>
                <w:color w:val="000000"/>
                <w:sz w:val="19"/>
                <w:szCs w:val="19"/>
              </w:rPr>
              <w:t xml:space="preserve">: perbandingan setara, termasuk total biaya kepemilikan platform, terhadap fasilitas berbasis escrow konvensional.</w:t>
            </w:r>
          </w:p>
          <w:p>
            <w:pPr>
              <w:pStyle w:val="ListParagraph"/>
              <w:numPr>
                <w:ilvl w:val="0"/>
                <w:numId w:val="2"/>
              </w:numPr>
              <w:spacing w:after="50" w:line="260"/>
            </w:pPr>
            <w:r>
              <w:rPr>
                <w:rFonts w:ascii="Arial" w:cs="Arial" w:eastAsia="Arial" w:hAnsi="Arial"/>
                <w:b/>
                <w:bCs/>
                <w:color w:val="000000"/>
                <w:sz w:val="19"/>
                <w:szCs w:val="19"/>
              </w:rPr>
              <w:t xml:space="preserve">Tata kelola</w:t>
            </w:r>
            <w:r>
              <w:rPr>
                <w:rFonts w:ascii="Arial" w:cs="Arial" w:eastAsia="Arial" w:hAnsi="Arial"/>
                <w:color w:val="000000"/>
                <w:sz w:val="19"/>
                <w:szCs w:val="19"/>
              </w:rPr>
              <w:t xml:space="preserve">: pemisahan peran Danantara; validator independen dan registrasi sandbox OJK telah tersedia; term sheet yang telah dikoreksi.</w:t>
            </w:r>
          </w:p>
          <w:p>
            <w:pPr>
              <w:pStyle w:val="ListParagraph"/>
              <w:numPr>
                <w:ilvl w:val="0"/>
                <w:numId w:val="2"/>
              </w:numPr>
              <w:spacing w:after="50" w:line="260"/>
            </w:pPr>
            <w:r>
              <w:rPr>
                <w:rFonts w:ascii="Arial" w:cs="Arial" w:eastAsia="Arial" w:hAnsi="Arial"/>
                <w:b/>
                <w:bCs/>
                <w:color w:val="000000"/>
                <w:sz w:val="19"/>
                <w:szCs w:val="19"/>
              </w:rPr>
              <w:t xml:space="preserve">Teknologi dan keamanan</w:t>
            </w:r>
            <w:r>
              <w:rPr>
                <w:rFonts w:ascii="Arial" w:cs="Arial" w:eastAsia="Arial" w:hAnsi="Arial"/>
                <w:color w:val="000000"/>
                <w:sz w:val="19"/>
                <w:szCs w:val="19"/>
              </w:rPr>
              <w:t xml:space="preserve">: audit keamanan independen, rencana manajemen kunci dan pemulihan insiden, persetujuan BSSN.</w:t>
            </w:r>
          </w:p>
          <w:p>
            <w:pPr>
              <w:pStyle w:val="ListParagraph"/>
              <w:numPr>
                <w:ilvl w:val="0"/>
                <w:numId w:val="2"/>
              </w:numPr>
              <w:spacing w:after="50" w:line="260"/>
            </w:pPr>
            <w:r>
              <w:rPr>
                <w:rFonts w:ascii="Arial" w:cs="Arial" w:eastAsia="Arial" w:hAnsi="Arial"/>
                <w:b/>
                <w:bCs/>
                <w:color w:val="000000"/>
                <w:sz w:val="19"/>
                <w:szCs w:val="19"/>
              </w:rPr>
              <w:t xml:space="preserve">Keterkaitan industri</w:t>
            </w:r>
            <w:r>
              <w:rPr>
                <w:rFonts w:ascii="Arial" w:cs="Arial" w:eastAsia="Arial" w:hAnsi="Arial"/>
                <w:color w:val="000000"/>
                <w:sz w:val="19"/>
                <w:szCs w:val="19"/>
              </w:rPr>
              <w:t xml:space="preserve">: standar bukti untuk pencairan per tonggak capaian, independensi BKI, dan target porsi pencairan kepada pemasok dalam negeri yang memenuhi kualifikasi DOCK-UP.</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9.6 Dari satu percontohan menjadi instrumen nasional</w:t>
      </w:r>
    </w:p>
    <w:p>
      <w:pPr>
        <w:spacing w:after="100" w:before="0" w:line="258"/>
        <w:jc w:val="left"/>
      </w:pPr>
      <w:r>
        <w:rPr>
          <w:rFonts w:ascii="Arial" w:cs="Arial" w:eastAsia="Arial" w:hAnsi="Arial"/>
          <w:color w:val="000000"/>
          <w:sz w:val="19"/>
          <w:szCs w:val="19"/>
        </w:rPr>
        <w:t xml:space="preserve">Jika percontohan berhasil, struktur yang sama dapat membiayai kontrak negara lainnya. Kami mengusulkan satu keluarga </w:t>
      </w:r>
      <w:r>
        <w:rPr>
          <w:rFonts w:ascii="Arial" w:cs="Arial" w:eastAsia="Arial" w:hAnsi="Arial"/>
          <w:b/>
          <w:bCs/>
          <w:color w:val="000000"/>
          <w:sz w:val="19"/>
          <w:szCs w:val="19"/>
        </w:rPr>
        <w:t xml:space="preserve">Surat Tagihan Proyek Berdaulat (Sovereign Project Receivable Notes)</w:t>
      </w:r>
      <w:r>
        <w:rPr>
          <w:rFonts w:ascii="Arial" w:cs="Arial" w:eastAsia="Arial" w:hAnsi="Arial"/>
          <w:color w:val="000000"/>
          <w:sz w:val="19"/>
          <w:szCs w:val="19"/>
        </w:rPr>
        <w:t xml:space="preserve"> dengan aturan desain yang seragam (usulan kami,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desain</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Mata uang dan penetapan harga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Berdenominasi rupiah, dihargai berdasarkan kurva SBN dengan tenor yang sesuai ditambah spread yang diungkapkan, sehingga dana pensiun, asuransi, dan bank domestik dapat memegangnya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dasar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Kewajiban pembayaran negara yang telah dikontrakkan: kontrak pertahanan, pembayaran ketersediaan layanan (availability payment), tipping fee atau PPA, atau tagihan program pemerintah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Pencairan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Tranche per tonggak capaian dicairkan langsung ke pemasok setelah sertifikasi independen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Pelunasan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Rekening penampungan penerimaan dan waterfall yang dipublikasikan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Transparansi</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baca bagi regulator dan auditor; ringkasan publik atas pencairan per tonggak capaian dan kategori pemasok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Akuntansi</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Dicatat sebagai utang penerbit dan dimasukkan dalam pelaporan risiko grup dan risiko fiskal</w:t>
            </w:r>
          </w:p>
        </w:tc>
      </w:tr>
    </w:tbl>
    <w:p>
      <w:pPr>
        <w:keepNext w:val="false"/>
        <w:spacing w:after="140"/>
      </w:pPr>
    </w:p>
    <w:p>
      <w:pPr>
        <w:spacing w:after="100" w:before="0" w:line="258"/>
        <w:jc w:val="left"/>
      </w:pPr>
      <w:r>
        <w:rPr>
          <w:rFonts w:ascii="Arial" w:cs="Arial" w:eastAsia="Arial" w:hAnsi="Arial"/>
          <w:b/>
          <w:bCs/>
          <w:color w:val="000000"/>
          <w:sz w:val="19"/>
          <w:szCs w:val="19"/>
        </w:rPr>
        <w:t xml:space="preserve">Uji substitusi untuk pinjaman luar negeri (usulan).</w:t>
      </w:r>
      <w:r>
        <w:rPr>
          <w:rFonts w:ascii="Arial" w:cs="Arial" w:eastAsia="Arial" w:hAnsi="Arial"/>
          <w:color w:val="000000"/>
          <w:sz w:val="19"/>
          <w:szCs w:val="19"/>
        </w:rPr>
        <w:t xml:space="preserve"> Sebelum pinjaman luar negeri baru disetujui untuk suatu program strategis, uji apakah surat utang proyek domestik dapat mendanainya dengan biaya keseluruhan yang sebanding setelah lindung nilai.</w:t>
      </w:r>
    </w:p>
    <w:p>
      <w:pPr>
        <w:keepNext/>
        <w:spacing w:after="80" w:before="120"/>
      </w:pPr>
      <w:r>
        <w:rPr>
          <w:rFonts w:ascii="Arial" w:cs="Arial" w:eastAsia="Arial" w:hAnsi="Arial"/>
          <w:b/>
          <w:bCs/>
          <w:color w:val="00338D"/>
          <w:sz w:val="18"/>
          <w:szCs w:val="18"/>
        </w:rPr>
        <w:t xml:space="preserve">Tabel 12: </w:t>
      </w:r>
      <w:r>
        <w:rPr>
          <w:rFonts w:ascii="Arial" w:cs="Arial" w:eastAsia="Arial" w:hAnsi="Arial"/>
          <w:b/>
          <w:bCs/>
          <w:color w:val="00338D"/>
          <w:sz w:val="18"/>
          <w:szCs w:val="18"/>
        </w:rPr>
        <w:t xml:space="preserve">Kemungkinan penerapan per sektor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Kemungkinan tagihan dasar</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Risiko spesifik utama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Perkapalan dan pertahanan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tonggak capaian kontrak Kemhan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Keterlambatan program, data rahasia, kandungan impor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pesisir dan transportasi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ketersediaan layanan dalam skema KPBU</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Keterlambatan konstruksi, pengadaan lahan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Pengolahan sampah menjadi energi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Tipping fee dan pembayaran PPA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Risiko volume dan nilai kalor sampah; keterlambatan pembayaran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Tagihan off-take dari pembeli yang layak kredit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komoditas; konsentrasi pembeli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Program perumahan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Pembayaran program pemerintah kepada pengembang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Risiko desain program dan alokasi anggaran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10</w:t>
            </w:r>
          </w:p>
          <w:p>
            <w:pPr>
              <w:pStyle w:val="Heading1"/>
              <w:spacing w:after="100"/>
            </w:pPr>
            <w:r>
              <w:rPr>
                <w:rFonts w:ascii="Arial" w:cs="Arial" w:eastAsia="Arial" w:hAnsi="Arial"/>
                <w:b/>
                <w:bCs/>
                <w:color w:val="FFFFFF"/>
                <w:sz w:val="40"/>
                <w:szCs w:val="40"/>
              </w:rPr>
              <w:t xml:space="preserve">Arsitektur pembiayaan terintegrasi</w:t>
            </w:r>
          </w:p>
          <w:p>
            <w:pPr>
              <w:spacing w:after="0" w:line="276"/>
            </w:pPr>
            <w:r>
              <w:rPr>
                <w:rFonts w:ascii="Arial" w:cs="Arial" w:eastAsia="Arial" w:hAnsi="Arial"/>
                <w:color w:val="FFFFFF"/>
                <w:sz w:val="20"/>
                <w:szCs w:val="20"/>
              </w:rPr>
              <w:t xml:space="preserve">Bagaimana kedua kanal saling melengkapi, bagaimana pembiayaan disesuaikan dengan gerbang proyek dan pemasok, dan bagaimana keseluruhannya dilindungi oleh satu disiplin pembiayaan.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10.1 Lima prinsip pembiayaan</w:t>
      </w:r>
    </w:p>
    <w:p>
      <w:pPr>
        <w:pStyle w:val="ListParagraph"/>
        <w:numPr>
          <w:ilvl w:val="0"/>
          <w:numId w:val="5"/>
        </w:numPr>
        <w:spacing w:after="60" w:line="264"/>
      </w:pPr>
      <w:r>
        <w:rPr>
          <w:rFonts w:ascii="Arial" w:cs="Arial" w:eastAsia="Arial" w:hAnsi="Arial"/>
          <w:b/>
          <w:bCs/>
          <w:sz w:val="19"/>
          <w:szCs w:val="19"/>
        </w:rPr>
        <w:t xml:space="preserve">Pembiayaan mengikuti kesiapan.</w:t>
      </w:r>
      <w:r>
        <w:rPr>
          <w:rFonts w:ascii="Arial" w:cs="Arial" w:eastAsia="Arial" w:hAnsi="Arial"/>
          <w:sz w:val="19"/>
          <w:szCs w:val="19"/>
        </w:rPr>
        <w:t xml:space="preserve"> Tidak ada modal investasi yang dikomitmenkan sebelum keputusan modal proyek (P3) atau gerbang pemasok yang relevan. Pendanaan persiapan sebelum P3 dibatasi dan diperlakukan sebagai beban.</w:t>
      </w:r>
    </w:p>
    <w:p>
      <w:pPr>
        <w:pStyle w:val="ListParagraph"/>
        <w:numPr>
          <w:ilvl w:val="0"/>
          <w:numId w:val="5"/>
        </w:numPr>
        <w:spacing w:after="60" w:line="264"/>
      </w:pPr>
      <w:r>
        <w:rPr>
          <w:rFonts w:ascii="Arial" w:cs="Arial" w:eastAsia="Arial" w:hAnsi="Arial"/>
          <w:b/>
          <w:bCs/>
          <w:sz w:val="19"/>
          <w:szCs w:val="19"/>
        </w:rPr>
        <w:t xml:space="preserve">Dua business case untuk setiap proyek.</w:t>
      </w:r>
      <w:r>
        <w:rPr>
          <w:rFonts w:ascii="Arial" w:cs="Arial" w:eastAsia="Arial" w:hAnsi="Arial"/>
          <w:sz w:val="19"/>
          <w:szCs w:val="19"/>
        </w:rPr>
        <w:t xml:space="preserve"> Business case finansial dan business case ekonomi; bila dukungan publik diperlukan, dukungan tersebut dikuantifikasi dan disetujui secara eksplisit [D1].</w:t>
      </w:r>
    </w:p>
    <w:p>
      <w:pPr>
        <w:pStyle w:val="ListParagraph"/>
        <w:numPr>
          <w:ilvl w:val="0"/>
          <w:numId w:val="5"/>
        </w:numPr>
        <w:spacing w:after="60" w:line="264"/>
      </w:pPr>
      <w:r>
        <w:rPr>
          <w:rFonts w:ascii="Arial" w:cs="Arial" w:eastAsia="Arial" w:hAnsi="Arial"/>
          <w:b/>
          <w:bCs/>
          <w:sz w:val="19"/>
          <w:szCs w:val="19"/>
        </w:rPr>
        <w:t xml:space="preserve">Substansi di atas label.</w:t>
      </w:r>
      <w:r>
        <w:rPr>
          <w:rFonts w:ascii="Arial" w:cs="Arial" w:eastAsia="Arial" w:hAnsi="Arial"/>
          <w:sz w:val="19"/>
          <w:szCs w:val="19"/>
        </w:rPr>
        <w:t xml:space="preserve"> Setiap instrumen dengan kewajiban pelunasan adalah liabilitas, baik diterbitkan oleh SPV, disebut token, maupun berada di luar anggaran [D1, D2].</w:t>
      </w:r>
    </w:p>
    <w:p>
      <w:pPr>
        <w:pStyle w:val="ListParagraph"/>
        <w:numPr>
          <w:ilvl w:val="0"/>
          <w:numId w:val="5"/>
        </w:numPr>
        <w:spacing w:after="60" w:line="264"/>
      </w:pPr>
      <w:r>
        <w:rPr>
          <w:rFonts w:ascii="Arial" w:cs="Arial" w:eastAsia="Arial" w:hAnsi="Arial"/>
          <w:b/>
          <w:bCs/>
          <w:sz w:val="19"/>
          <w:szCs w:val="19"/>
        </w:rPr>
        <w:t xml:space="preserve">Tidak ada penjaminan ganda.</w:t>
      </w:r>
      <w:r>
        <w:rPr>
          <w:rFonts w:ascii="Arial" w:cs="Arial" w:eastAsia="Arial" w:hAnsi="Arial"/>
          <w:sz w:val="19"/>
          <w:szCs w:val="19"/>
        </w:rPr>
        <w:t xml:space="preserve"> Satu daftar mencatat setiap aliran penerimaan yang dijaminkan, setiap tagihan yang dialihkan, dan setiap penjaminan yang diberikan.</w:t>
      </w:r>
    </w:p>
    <w:p>
      <w:pPr>
        <w:pStyle w:val="ListParagraph"/>
        <w:numPr>
          <w:ilvl w:val="0"/>
          <w:numId w:val="5"/>
        </w:numPr>
        <w:spacing w:after="60" w:line="264"/>
      </w:pPr>
      <w:r>
        <w:rPr>
          <w:rFonts w:ascii="Arial" w:cs="Arial" w:eastAsia="Arial" w:hAnsi="Arial"/>
          <w:b/>
          <w:bCs/>
          <w:sz w:val="19"/>
          <w:szCs w:val="19"/>
        </w:rPr>
        <w:t xml:space="preserve">Uji stres grup, bukan entitas.</w:t>
      </w:r>
      <w:r>
        <w:rPr>
          <w:rFonts w:ascii="Arial" w:cs="Arial" w:eastAsia="Arial" w:hAnsi="Arial"/>
          <w:sz w:val="19"/>
          <w:szCs w:val="19"/>
        </w:rPr>
        <w:t xml:space="preserve"> Kegagalan proyek dapat sekaligus memangkas dividen BUMN, melemahkan bank BUMN, dan memicu penjaminan [D1].</w:t>
      </w:r>
    </w:p>
    <w:p>
      <w:pPr>
        <w:pStyle w:val="Heading2"/>
        <w:keepNext/>
        <w:keepLines/>
        <w:spacing w:after="120" w:before="280"/>
      </w:pPr>
      <w:r>
        <w:rPr>
          <w:rFonts w:ascii="Arial" w:cs="Arial" w:eastAsia="Arial" w:hAnsi="Arial"/>
          <w:b/>
          <w:bCs/>
          <w:color w:val="00338D"/>
          <w:sz w:val="28"/>
          <w:szCs w:val="28"/>
        </w:rPr>
        <w:t xml:space="preserve">10.2 Bagaimana kedua kanal saling melengkapi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Natural Resource Fund</w:t>
            </w:r>
          </w:p>
        </w:tc>
        <w:tc>
          <w:tcPr>
            <w:tcW w:type="dxa" w:w="395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Tokenisasi proyek berdaulat</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Tingkat</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(hulu)</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dan pemasok (hilir)</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nilai</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negara atas rente sumber daya</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Kewajiban pembayaran negara yang telah dikontrakkan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Penggunaan umum</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jangka panjang, modal kerugian pertama, stabilisasi, dan tabungan</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Modal konstruksi dan modal kerja, dicairkan per tonggak capaian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Horizon</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Puluhan tahun</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 tahun per instrumen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utama</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komoditas, hak hukum, substansi fiskal</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Penyelesaian, waktu alokasi anggaran, teknologi, dan tata kelola</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Kaitan dengan DOCK-UP</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Mendanai jendela pemasok: penjaminan dan sertifikasi</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Membayar pemasok yang memenuhi kualifikasi langsung dari escrow</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NRF</w:t>
            </w:r>
          </w:p>
          <w:p>
            <w:pPr>
              <w:spacing w:after="0" w:line="236"/>
            </w:pPr>
            <w:r>
              <w:rPr>
                <w:rFonts w:ascii="Arial" w:cs="Arial" w:eastAsia="Arial" w:hAnsi="Arial"/>
                <w:color w:val="FFFFFF"/>
                <w:sz w:val="14"/>
                <w:szCs w:val="14"/>
              </w:rPr>
              <w:t xml:space="preserve">Rente sumber daya ditabung dan diinvestasikan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Danantara / DDMF</w:t>
            </w:r>
          </w:p>
          <w:p>
            <w:pPr>
              <w:spacing w:after="0" w:line="236"/>
            </w:pPr>
            <w:r>
              <w:rPr>
                <w:rFonts w:ascii="Arial" w:cs="Arial" w:eastAsia="Arial" w:hAnsi="Arial"/>
                <w:color w:val="FFFFFF"/>
                <w:sz w:val="14"/>
                <w:szCs w:val="14"/>
              </w:rPr>
              <w:t xml:space="preserve">Ekuitas dan first-loss pada proyek jangkar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Proyek jangkar</w:t>
            </w:r>
          </w:p>
          <w:p>
            <w:pPr>
              <w:spacing w:after="0" w:line="236"/>
            </w:pPr>
            <w:r>
              <w:rPr>
                <w:rFonts w:ascii="Arial" w:cs="Arial" w:eastAsia="Arial" w:hAnsi="Arial"/>
                <w:color w:val="FFFFFF"/>
                <w:sz w:val="14"/>
                <w:szCs w:val="14"/>
              </w:rPr>
              <w:t xml:space="preserve">Kontrak dengan off-taker (pembeli siaga) negara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Surat utang proyek</w:t>
            </w:r>
          </w:p>
          <w:p>
            <w:pPr>
              <w:spacing w:after="0" w:line="236"/>
            </w:pPr>
            <w:r>
              <w:rPr>
                <w:rFonts w:ascii="Arial" w:cs="Arial" w:eastAsia="Arial" w:hAnsi="Arial"/>
                <w:color w:val="FFFFFF"/>
                <w:sz w:val="14"/>
                <w:szCs w:val="14"/>
              </w:rPr>
              <w:t xml:space="preserve">Investor domestik mendanai tonggak capaian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Escrow</w:t>
            </w:r>
          </w:p>
          <w:p>
            <w:pPr>
              <w:spacing w:after="0" w:line="236"/>
            </w:pPr>
            <w:r>
              <w:rPr>
                <w:rFonts w:ascii="Arial" w:cs="Arial" w:eastAsia="Arial" w:hAnsi="Arial"/>
                <w:color w:val="FFFFFF"/>
                <w:sz w:val="14"/>
                <w:szCs w:val="14"/>
              </w:rPr>
              <w:t xml:space="preserve">Membayar pemasok DOCK-UP yang terverifikasi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Bank</w:t>
            </w:r>
          </w:p>
          <w:p>
            <w:pPr>
              <w:spacing w:after="0" w:line="236"/>
            </w:pPr>
            <w:r>
              <w:rPr>
                <w:rFonts w:ascii="Arial" w:cs="Arial" w:eastAsia="Arial" w:hAnsi="Arial"/>
                <w:color w:val="FFFFFF"/>
                <w:sz w:val="14"/>
                <w:szCs w:val="14"/>
              </w:rPr>
              <w:t xml:space="preserve">KUR dan pembiayaan rantai pasok berbasis gerbang</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10.3 Penentuan skala: apa yang dapat dan tidak dapat didanai kedua kanal</w:t>
      </w:r>
    </w:p>
    <w:p>
      <w:pPr>
        <w:keepNext/>
        <w:spacing w:after="80" w:before="120"/>
      </w:pPr>
      <w:r>
        <w:rPr>
          <w:rFonts w:ascii="Arial" w:cs="Arial" w:eastAsia="Arial" w:hAnsi="Arial"/>
          <w:b/>
          <w:bCs/>
          <w:color w:val="00338D"/>
          <w:sz w:val="18"/>
          <w:szCs w:val="18"/>
        </w:rPr>
        <w:t xml:space="preserve">Tabel 13: </w:t>
      </w:r>
      <w:r>
        <w:rPr>
          <w:rFonts w:ascii="Arial" w:cs="Arial" w:eastAsia="Arial" w:hAnsi="Arial"/>
          <w:b/>
          <w:bCs/>
          <w:color w:val="00338D"/>
          <w:sz w:val="18"/>
          <w:szCs w:val="18"/>
        </w:rPr>
        <w:t xml:space="preserve">Ilustrasi sumber dan penggunaan dana</w:t>
      </w:r>
    </w:p>
    <w:p>
      <w:pPr>
        <w:spacing w:after="100" w:before="0" w:line="258"/>
        <w:jc w:val="left"/>
      </w:pPr>
      <w:r>
        <w:rPr>
          <w:rFonts w:ascii="Arial" w:cs="Arial" w:eastAsia="Arial" w:hAnsi="Arial"/>
          <w:color w:val="000000"/>
          <w:sz w:val="19"/>
          <w:szCs w:val="19"/>
        </w:rPr>
        <w:t xml:space="preserve">Kerangka acuan menanyakan bagaimana seluruh proyek akan didanai. Portofolio yang dinyatakan bernilai Rp2.091 triliun (kelas C, belum direkonsiliasi). Tabel berikut membandingkannya dengan kapasitas ilustratif dari setiap sumber yang dapat diidentifikasi selama lima tahun. Seluruh angka kapasitas adalah </w:t>
      </w:r>
      <w:r>
        <w:rPr>
          <w:rFonts w:ascii="Arial" w:cs="Arial" w:eastAsia="Arial" w:hAnsi="Arial"/>
          <w:b/>
          <w:bCs/>
          <w:color w:val="000000"/>
          <w:sz w:val="19"/>
          <w:szCs w:val="19"/>
        </w:rPr>
        <w:t xml:space="preserve">ilustrasi kelas D</w:t>
      </w:r>
      <w:r>
        <w:rPr>
          <w:rFonts w:ascii="Arial" w:cs="Arial" w:eastAsia="Arial" w:hAnsi="Arial"/>
          <w:color w:val="000000"/>
          <w:sz w:val="19"/>
          <w:szCs w:val="19"/>
        </w:rPr>
        <w:t xml:space="preserve"> dengan asumsi yang dinyatakan, sehingga dapat diganti dengan angka yang disetujui.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313"/>
        <w:gridCol w:w="4626"/>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Kapasitas lima tahun (ilustratif)</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Dasar dan asumsi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Alokasi strategis Danantara</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Rp578 triliun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2026 hingga US$14 miliar dengan ~50% untuk proyek strategis [D3 hlm. 1], dipertahankan US$7 miliar per tahun selama lima tahun; Rp16.500/US$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utang terkait penerimaan NRF Tahap 1</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Rp118 triliun (≈ Rp83 triliun jika harga batu bara turun 30%)</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 royalti batu bara 2024 (~Rp126,4 triliun [D5]) = Rp25,3 triliun per tahun dipisahkan selama 10 tahun; NK pada 7% = Rp178 triliun; cakupan 1,5×. Penerimaan ini dilepaskan oleh anggaran masa depan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tagihan proyek berdaulat (teridentifikasi)</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Rp24 triliun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Peta jalan PALCapital US$150 juta + US$300 juta + US$1 miliar [D6]; sektor lain belum teridentifikasi</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Subtotal: dua kanal baru (NRF + surat utang proyek)</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 Rp142 triliun (6,8%)</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Alokasi Danantara menambah ≈ 27,6%</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Sisa yang harus didanai</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 Rp1.371 triliun (65,6%)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Utang tingkat proyek (bank, obligasi, kredit ekspor), neraca BUMN, co-investor swasta dan asing, serta APBN</w:t>
            </w:r>
          </w:p>
        </w:tc>
      </w:tr>
    </w:tbl>
    <w:p>
      <w:pPr>
        <w:keepNext w:val="false"/>
        <w:spacing w:after="140"/>
      </w:pPr>
    </w:p>
    <w:p>
      <w:pPr>
        <w:spacing w:after="160"/>
      </w:pPr>
      <w:r>
        <w:rPr>
          <w:rFonts w:ascii="Arial" w:cs="Arial" w:eastAsia="Arial" w:hAnsi="Arial"/>
          <w:i/>
          <w:iCs/>
          <w:color w:val="000000"/>
          <w:sz w:val="15"/>
          <w:szCs w:val="15"/>
        </w:rPr>
        <w:t xml:space="preserve">Ilustrasi kelas D. Persentase dihitung terhadap Rp2.091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pPr>
        <w:spacing w:after="100" w:before="0" w:line="258"/>
        <w:jc w:val="left"/>
      </w:pPr>
      <w:r>
        <w:rPr>
          <w:rFonts w:ascii="Arial" w:cs="Arial" w:eastAsia="Arial" w:hAnsi="Arial"/>
          <w:color w:val="000000"/>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rFonts w:ascii="Arial" w:cs="Arial" w:eastAsia="Arial" w:hAnsi="Arial"/>
          <w:b/>
          <w:bCs/>
          <w:color w:val="000000"/>
          <w:sz w:val="19"/>
          <w:szCs w:val="19"/>
        </w:rPr>
        <w:t xml:space="preserve">mobilisasi</w:t>
      </w:r>
      <w:r>
        <w:rPr>
          <w:rFonts w:ascii="Arial" w:cs="Arial" w:eastAsia="Arial" w:hAnsi="Arial"/>
          <w:color w:val="000000"/>
          <w:sz w:val="19"/>
          <w:szCs w:val="19"/>
        </w:rPr>
        <w:t xml:space="preserve">. Jika portofolio dibiayai dengan 30% ekuitas dan 70% utang, ekuitas yang diperlukan sekitar Rp627 triliun. Angka ini secara umum setara dengan besaran alokasi strategis ilustratif Danantara ditambah jendela industri NRF. Sekitar Rp1.464 triliun kemudian diperlukan dalam bentuk utang, dari bank, pasar obligasi, lembaga kredit ekspor, dan surat utang proyek. Ada tiga kesimpulan:</w:t>
      </w:r>
    </w:p>
    <w:p>
      <w:pPr>
        <w:pStyle w:val="ListParagraph"/>
        <w:numPr>
          <w:ilvl w:val="0"/>
          <w:numId w:val="6"/>
        </w:numPr>
        <w:spacing w:after="60" w:line="264"/>
      </w:pPr>
      <w:r>
        <w:rPr>
          <w:rFonts w:ascii="Arial" w:cs="Arial" w:eastAsia="Arial" w:hAnsi="Arial"/>
          <w:sz w:val="19"/>
          <w:szCs w:val="19"/>
        </w:rPr>
        <w:t xml:space="preserve">Modal Danantara sebaiknya digunakan terutama sebagai ekuitas dan modal kerugian pertama yang membuka akses utang dan co-investment, bukan untuk mendanai proyek secara penuh.</w:t>
      </w:r>
    </w:p>
    <w:p>
      <w:pPr>
        <w:pStyle w:val="ListParagraph"/>
        <w:numPr>
          <w:ilvl w:val="0"/>
          <w:numId w:val="6"/>
        </w:numPr>
        <w:spacing w:after="60" w:line="264"/>
      </w:pPr>
      <w:r>
        <w:rPr>
          <w:rFonts w:ascii="Arial" w:cs="Arial" w:eastAsia="Arial" w:hAnsi="Arial"/>
          <w:sz w:val="19"/>
          <w:szCs w:val="19"/>
        </w:rPr>
        <w:t xml:space="preserve">Mobilisasi sebaiknya diukur dengan metrik mobilisasi yang dapat diatribusikan (I10).</w:t>
      </w:r>
    </w:p>
    <w:p>
      <w:pPr>
        <w:pStyle w:val="ListParagraph"/>
        <w:numPr>
          <w:ilvl w:val="0"/>
          <w:numId w:val="6"/>
        </w:numPr>
        <w:spacing w:after="60" w:line="264"/>
      </w:pPr>
      <w:r>
        <w:rPr>
          <w:rFonts w:ascii="Arial" w:cs="Arial" w:eastAsia="Arial" w:hAnsi="Arial"/>
          <w:sz w:val="19"/>
          <w:szCs w:val="19"/>
        </w:rPr>
        <w:t xml:space="preserve">Rekonsiliasi daftar proyek (Bagian 4.6) harus menetapkan waktu kebutuhan modal per tahun, karena perbandingan lima tahun menyembunyikan puncak kebutuhan.</w:t>
      </w:r>
    </w:p>
    <w:p>
      <w:pPr>
        <w:spacing w:after="100" w:before="0" w:line="258"/>
        <w:jc w:val="left"/>
      </w:pPr>
      <w:r>
        <w:rPr>
          <w:rFonts w:ascii="Arial" w:cs="Arial" w:eastAsia="Arial" w:hAnsi="Arial"/>
          <w:color w:val="000000"/>
          <w:sz w:val="19"/>
          <w:szCs w:val="19"/>
        </w:rPr>
        <w:t xml:space="preserve">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pPr>
        <w:pStyle w:val="Heading2"/>
        <w:keepNext/>
        <w:keepLines/>
        <w:spacing w:after="120" w:before="280"/>
      </w:pPr>
      <w:r>
        <w:rPr>
          <w:rFonts w:ascii="Arial" w:cs="Arial" w:eastAsia="Arial" w:hAnsi="Arial"/>
          <w:b/>
          <w:bCs/>
          <w:color w:val="00338D"/>
          <w:sz w:val="28"/>
          <w:szCs w:val="28"/>
        </w:rPr>
        <w:t xml:space="preserve">10.4 Pembiayaan yang disesuaikan dengan gerbang</w:t>
      </w:r>
    </w:p>
    <w:p>
      <w:pPr>
        <w:spacing w:after="100" w:before="0" w:line="258"/>
        <w:jc w:val="left"/>
      </w:pPr>
      <w:r>
        <w:rPr>
          <w:rFonts w:ascii="Arial" w:cs="Arial" w:eastAsia="Arial" w:hAnsi="Arial"/>
          <w:color w:val="000000"/>
          <w:sz w:val="19"/>
          <w:szCs w:val="19"/>
        </w:rPr>
        <w:t xml:space="preserve">Proyek dan pemasok melewati gerbangnya masing-masing dengan jadwal yang terpisah. Pasokan serial (G3), misalnya, biasanya diperlukan selama konstruksi (P4), bukan pada saat commissioning. Karena itu, kedua tangga ditampilkan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proyek</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proyek</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Persiapan (P0–P2)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penyiapan proyek DDMF dan hibah untuk kajian (dibatasi, dibebankan)</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Keputusan modal (P3)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Danantara; jendela industri NRF; dukungan kelayakan (viability gap) bila dibenarkan secara ekonomi</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Konstruksi (P4)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tagihan proyek berdaulat; utang bank; kredit ekspor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Commissioning (P5)</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kembali ke obligasi jangka panjang</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Operasi (P6)</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Daur ulang aset (asset recycling) kepada investor swasta</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pemasok</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pemasok (DOCK-UP)</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Masuk</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Insinyur pendamping dan pelatihan; hibah riset bagi penjelajah (explorer)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G1</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Hibah pendamping (matching grant); fasilitas bersama</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rantai pasok; KUR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Kredit investasi dengan penjaminan kerugian pertama (first-loss) (penyedia penjaminan; jendela pemasok NRF setelah dibuka)</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Modal ventura korporasi; super-deduction R&amp;D (PP 45/2019); pembiayaan ekspor LPEI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10.5 Imbal hasil finansial versus imbal hasil ekonomi</w:t>
      </w:r>
    </w:p>
    <w:p>
      <w:pPr>
        <w:keepNext/>
        <w:spacing w:after="80" w:before="120"/>
      </w:pPr>
      <w:r>
        <w:rPr>
          <w:rFonts w:ascii="Arial" w:cs="Arial" w:eastAsia="Arial" w:hAnsi="Arial"/>
          <w:b/>
          <w:bCs/>
          <w:color w:val="00338D"/>
          <w:sz w:val="18"/>
          <w:szCs w:val="18"/>
        </w:rPr>
        <w:t xml:space="preserve">Tabel 14: </w:t>
      </w:r>
      <w:r>
        <w:rPr>
          <w:rFonts w:ascii="Arial" w:cs="Arial" w:eastAsia="Arial" w:hAnsi="Arial"/>
          <w:b/>
          <w:bCs/>
          <w:color w:val="00338D"/>
          <w:sz w:val="18"/>
          <w:szCs w:val="18"/>
        </w:rPr>
        <w:t xml:space="preserve">Business case finansial versus ekonomi (contoh perhitungan D1)</w:t>
      </w:r>
    </w:p>
    <w:p>
      <w:pPr>
        <w:spacing w:after="100" w:before="0" w:line="258"/>
        <w:jc w:val="left"/>
      </w:pPr>
      <w:r>
        <w:rPr>
          <w:rFonts w:ascii="Arial" w:cs="Arial" w:eastAsia="Arial" w:hAnsi="Arial"/>
          <w:color w:val="000000"/>
          <w:sz w:val="19"/>
          <w:szCs w:val="19"/>
        </w:rPr>
        <w:t xml:space="preserve">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4819"/>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Interpretasi</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NPV finansial pada 12%</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−Rp15,25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ambang komersial</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IRR finansial proyek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8,14%</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Bukan IRR ekuitas; arus kas pembiayaan dikecualikan</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NPV ekonomi pada 9%</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Rp34,77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Positif hanya jika manfaat eksternal dapat dipertanggungjawabkan</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IRR ekonomi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16,40%</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Mencakup manfaat yang tidak dapat dinikmati investor</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Hibah kesenjangan kelayakan (viability gap)</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Rp15,25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Membuat NPV investor nol; merupakan biaya publik dan transfer</w:t>
            </w:r>
          </w:p>
        </w:tc>
      </w:tr>
    </w:tbl>
    <w:p>
      <w:pPr>
        <w:keepNext w:val="false"/>
        <w:spacing w:after="140"/>
      </w:pPr>
    </w:p>
    <w:p>
      <w:pPr>
        <w:spacing w:after="100" w:before="0" w:line="258"/>
        <w:jc w:val="left"/>
      </w:pPr>
      <w:r>
        <w:rPr>
          <w:rFonts w:ascii="Arial" w:cs="Arial" w:eastAsia="Arial" w:hAnsi="Arial"/>
          <w:color w:val="000000"/>
          <w:sz w:val="19"/>
          <w:szCs w:val="19"/>
        </w:rPr>
        <w:t xml:space="preserve">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pPr>
        <w:pStyle w:val="Heading2"/>
        <w:keepNext/>
        <w:keepLines/>
        <w:spacing w:after="120" w:before="280"/>
      </w:pPr>
      <w:r>
        <w:rPr>
          <w:rFonts w:ascii="Arial" w:cs="Arial" w:eastAsia="Arial" w:hAnsi="Arial"/>
          <w:b/>
          <w:bCs/>
          <w:color w:val="00338D"/>
          <w:sz w:val="28"/>
          <w:szCs w:val="28"/>
        </w:rPr>
        <w:t xml:space="preserve">10.6 Uji stres</w:t>
      </w:r>
    </w:p>
    <w:p>
      <w:pPr>
        <w:spacing w:after="100" w:before="0" w:line="258"/>
        <w:jc w:val="left"/>
      </w:pPr>
      <w:r>
        <w:rPr>
          <w:rFonts w:ascii="Arial" w:cs="Arial" w:eastAsia="Arial" w:hAnsi="Arial"/>
          <w:color w:val="000000"/>
          <w:sz w:val="19"/>
          <w:szCs w:val="19"/>
        </w:rPr>
        <w:t xml:space="preserve">Seluruh guncangan di bawah ini merupakan asumsi awal yang bersifat ilustratif, untuk dikalibrasi terhadap setiap instrumen dan selera risiko yang disetujui. Tujuh yang pertama berasal dari D1; empat yang terakhir merupakan tambahan kami untuk kedua kanal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048"/>
        <w:gridCol w:w="3662"/>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Risiko</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yang diusulkan</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Respons keputusan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Mata uang / pembiayaan kembali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IDR −15%; spread pembiayaan kembali +200 bps atas utang yang benar-benar mengalami penyesuaian harga</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Ubah ukuran atau lakukan lindung nilai; jaga likuiditas; revisi kebijakan distribusi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Siklus industri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produk −20%; bahan baku/listrik +15%; utilisasi di bawah rencana</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ulang margin, covenant, offtake; lakukan capex secara bertahap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Konstruksi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Capex +20%; keterlambatan 12 bulan; kegagalan kontraktor; keterlambatan lahan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Danai kontinjensi; insinyur independen; desain ulang atau hentikan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Fiskal / layanan publik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Kompensasi dibayar terlambat 180 hari; penjaminan ditagih; subsidi dipangkas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Ungkapkan dukungan kontinjensi; kontrak layanan yang didanai; penyangga likuiditas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Kredit bank</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Migrasi kredit; biaya risiko lebih tinggi; eksposur BUMN yang berkorelasi</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CET1 dan likuiditas setelah kerugian; batasi pinjaman yang terkonsentrasi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Teknologi / pasar</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percontohan tidak dapat direplikasi; kualifikasi tertunda; HKI tidak memadai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Kaitkan pendanaan berikutnya dengan tonggak capaian kapabilitas yang telah diterima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Lingkungan / sosial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Emisi baseline dilebih-lebihkan; kegagalan izin atau keselamatan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Estimasi ulang manfaat; tangguhkan bila syarat mengikat tidak terpenuhi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Komoditas NRF</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batu bara −30% selama tiga tahun; produksi −20%</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rasio cakupan; tarik dari rekening cadangan; hentikan penerbitan baru</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Hukum NRF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Gugatan atas hak terhadap penerimaan yang dijaminkan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 hukum sebelum penerbitan; penerbitan hanya atas aset yang tidak disengketakan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Pembayaran surat utang proyek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Kemhan/negara terlambat 180 hari; satu tonggak capaian mundur 9 bulan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Fasilitas likuiditas; komunikasi dengan investor; tidak ada pencairan lebih awal</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Insiden platform</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Kunci terkompromi atau kesalahan smart contract</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Bekukan melalui tata kelola ber-timelock; kembali ke buku besar escrow fiat</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Pengungkapan</w:t>
            </w:r>
          </w:p>
          <w:p>
            <w:pPr>
              <w:spacing w:after="80" w:line="264"/>
            </w:pPr>
            <w:r>
              <w:rPr>
                <w:rFonts w:ascii="Arial" w:cs="Arial" w:eastAsia="Arial" w:hAnsi="Arial"/>
                <w:color w:val="000000"/>
                <w:sz w:val="19"/>
                <w:szCs w:val="19"/>
              </w:rPr>
              <w:t xml:space="preserve">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11</w:t>
            </w:r>
          </w:p>
          <w:p>
            <w:pPr>
              <w:pStyle w:val="Heading1"/>
              <w:spacing w:after="100"/>
            </w:pPr>
            <w:r>
              <w:rPr>
                <w:rFonts w:ascii="Arial" w:cs="Arial" w:eastAsia="Arial" w:hAnsi="Arial"/>
                <w:b/>
                <w:bCs/>
                <w:color w:val="FFFFFF"/>
                <w:sz w:val="40"/>
                <w:szCs w:val="40"/>
              </w:rPr>
              <w:t xml:space="preserve">Kajian BUMN Karya</w:t>
            </w:r>
          </w:p>
          <w:p>
            <w:pPr>
              <w:spacing w:after="0" w:line="276"/>
            </w:pPr>
            <w:r>
              <w:rPr>
                <w:rFonts w:ascii="Arial" w:cs="Arial" w:eastAsia="Arial" w:hAnsi="Arial"/>
                <w:color w:val="FFFFFF"/>
                <w:sz w:val="20"/>
                <w:szCs w:val="20"/>
              </w:rPr>
              <w:t xml:space="preserve">BUMN konstruksi (BUMN Karya) bergeser dari usaha kontraktor ke investasi infrastruktur yang dibiayai dengan utang. Bab ini menguraikan kondisi mereka dan jalan kembali menuju model kontraktor yang disiplin dan sehat.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11.1 Kondisi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w:t>
            </w:r>
          </w:p>
          <w:p>
            <w:pPr>
              <w:spacing w:after="0" w:line="240"/>
            </w:pPr>
            <w:r>
              <w:rPr>
                <w:rFonts w:ascii="Arial" w:cs="Arial" w:eastAsia="Arial" w:hAnsi="Arial"/>
                <w:color w:val="FFFFFF"/>
                <w:sz w:val="16"/>
                <w:szCs w:val="16"/>
              </w:rPr>
              <w:t xml:space="preserve">Estimasi gabungan kerugian 2025 WIKA, PP, Adhi Karya, dan Waskita</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−45%</w:t>
            </w:r>
          </w:p>
          <w:p>
            <w:pPr>
              <w:spacing w:after="0" w:line="240"/>
            </w:pPr>
            <w:r>
              <w:rPr>
                <w:rFonts w:ascii="Arial" w:cs="Arial" w:eastAsia="Arial" w:hAnsi="Arial"/>
                <w:color w:val="FFFFFF"/>
                <w:sz w:val="16"/>
                <w:szCs w:val="16"/>
              </w:rPr>
              <w:t xml:space="preserve">Anggaran infrastruktur yang dikutip dalam D3: Rp110,95 triliun pada tahun sebelumnya → Rp61,38 triliun pada 2025 (−44,7%)</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Rp10,14 T</w:t>
            </w:r>
          </w:p>
          <w:p>
            <w:pPr>
              <w:spacing w:after="0" w:line="240"/>
            </w:pPr>
            <w:r>
              <w:rPr>
                <w:rFonts w:ascii="Arial" w:cs="Arial" w:eastAsia="Arial" w:hAnsi="Arial"/>
                <w:color w:val="FFFFFF"/>
                <w:sz w:val="16"/>
                <w:szCs w:val="16"/>
              </w:rPr>
              <w:t xml:space="preserve">Estimasi kerugian tunggal terbesar (WIKA)</w:t>
            </w:r>
          </w:p>
        </w:tc>
      </w:tr>
    </w:tbl>
    <w:p>
      <w:pPr>
        <w:spacing w:after="160"/>
      </w:pPr>
    </w:p>
    <w:p>
      <w:pPr>
        <w:keepNext/>
        <w:spacing w:after="60" w:before="120"/>
      </w:pPr>
      <w:r>
        <w:rPr>
          <w:rFonts w:ascii="Arial" w:cs="Arial" w:eastAsia="Arial" w:hAnsi="Arial"/>
          <w:b/>
          <w:bCs/>
          <w:color w:val="00338D"/>
          <w:sz w:val="18"/>
          <w:szCs w:val="18"/>
        </w:rPr>
        <w:t xml:space="preserve">Gambar 5: </w:t>
      </w:r>
      <w:r>
        <w:rPr>
          <w:rFonts w:ascii="Arial" w:cs="Arial" w:eastAsia="Arial" w:hAnsi="Arial"/>
          <w:b/>
          <w:bCs/>
          <w:color w:val="00338D"/>
          <w:sz w:val="18"/>
          <w:szCs w:val="18"/>
        </w:rPr>
        <w:t xml:space="preserve">Estimasi kerugian 2025 empat BUMN Karya</w:t>
      </w:r>
    </w:p>
    <w:p>
      <w:pPr>
        <w:keepNext/>
        <w:spacing w:after="40"/>
      </w:pPr>
      <w:r>
        <w:drawing>
          <wp:inline distT="0" distB="0" distL="0" distR="0">
            <wp:extent cx="3657600" cy="2380929"/>
            <wp:effectExtent t="0" r="0" b="0" l="0"/>
            <wp:docPr id="5"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380929"/>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D3 hlm. 3. Kelas bukti C (estimasi); perlu dikonfirmasi dengan laporan keuangan TB2025 yang telah diaudit. Jumlah keempat nilai adalah Rp28,02 triliun.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Angka audit harus menggantikan estimasi</w:t>
            </w:r>
          </w:p>
          <w:p>
            <w:pPr>
              <w:spacing w:after="80" w:line="264"/>
            </w:pPr>
            <w:r>
              <w:rPr>
                <w:rFonts w:ascii="Arial" w:cs="Arial" w:eastAsia="Arial" w:hAnsi="Arial"/>
                <w:color w:val="000000"/>
                <w:sz w:val="19"/>
                <w:szCs w:val="19"/>
              </w:rPr>
              <w:t xml:space="preserve">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dan mengisi templat di bawah untuk setiap perusahaan, termasuk Hutama Karya dan BUMN Karya yang lebih kecil apabila termasuk dalam cakupan. Setiap rencana konsolidasi BUMN Karya harus diuji dengan data yang sama.</w:t>
            </w:r>
          </w:p>
        </w:tc>
      </w:tr>
    </w:tbl>
    <w:p>
      <w:pPr>
        <w:spacing w:after="160"/>
      </w:pPr>
    </w:p>
    <w:p>
      <w:pPr>
        <w:keepNext/>
        <w:spacing w:after="80" w:before="120"/>
      </w:pPr>
      <w:r>
        <w:rPr>
          <w:rFonts w:ascii="Arial" w:cs="Arial" w:eastAsia="Arial" w:hAnsi="Arial"/>
          <w:b/>
          <w:bCs/>
          <w:color w:val="00338D"/>
          <w:sz w:val="18"/>
          <w:szCs w:val="18"/>
        </w:rPr>
        <w:t xml:space="preserve">Tabel 15: </w:t>
      </w:r>
      <w:r>
        <w:rPr>
          <w:rFonts w:ascii="Arial" w:cs="Arial" w:eastAsia="Arial" w:hAnsi="Arial"/>
          <w:b/>
          <w:bCs/>
          <w:color w:val="00338D"/>
          <w:sz w:val="18"/>
          <w:szCs w:val="18"/>
        </w:rPr>
        <w:t xml:space="preserve">Templat data diagnostik per BUMN Karya (untuk diisi)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Data yang diperlukan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Hasil usaha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Pendapatan, EBITDA, dan laba atau rugi bersih TB2023–TB2025 yang telah diaudit; penyajian kembali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Utang dan likuiditas</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Total utang dan utang berbunga; utang bersih/ekuitas; rasio cakupan bunga; ketahanan kas (cash runway); konsentrasi jatuh tempo; kovenan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Piutang</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Days sales outstanding (DSO); jumlah terutang oleh Pemerintah, oleh BUMN pemilik proyek, dan oleh pihak lain; umur piutang; jumlah yang disengketakan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Buku pesanan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 baru dan backlog menurut jenis pemilik proyek dan sektor; margin saat penawaran; porsi kontrak yang merugi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warisan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Konsesi, properti, dan aset nonusaha inti lainnya pada nilai buku dan nilai wajar; pembebanan; kebutuhan pendanaan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Riwayat dukungan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Restrukturisasi, PKPU, penyertaan modal negara (PMN) beserta persyaratannya</w:t>
            </w:r>
          </w:p>
        </w:tc>
      </w:tr>
    </w:tbl>
    <w:p>
      <w:pPr>
        <w:keepNext w:val="false"/>
        <w:spacing w:after="140"/>
      </w:pPr>
    </w:p>
    <w:p>
      <w:pPr>
        <w:keepNext/>
        <w:spacing w:after="60" w:before="120"/>
      </w:pPr>
      <w:r>
        <w:rPr>
          <w:rFonts w:ascii="Arial" w:cs="Arial" w:eastAsia="Arial" w:hAnsi="Arial"/>
          <w:b/>
          <w:bCs/>
          <w:color w:val="00338D"/>
          <w:sz w:val="18"/>
          <w:szCs w:val="18"/>
        </w:rPr>
        <w:t xml:space="preserve">Gambar 6: </w:t>
      </w:r>
      <w:r>
        <w:rPr>
          <w:rFonts w:ascii="Arial" w:cs="Arial" w:eastAsia="Arial" w:hAnsi="Arial"/>
          <w:b/>
          <w:bCs/>
          <w:color w:val="00338D"/>
          <w:sz w:val="18"/>
          <w:szCs w:val="18"/>
        </w:rPr>
        <w:t xml:space="preserve">Anggaran infrastruktur sebelum dan pada 2025</w:t>
      </w:r>
    </w:p>
    <w:p>
      <w:pPr>
        <w:keepNext/>
        <w:spacing w:after="40"/>
      </w:pPr>
      <w:r>
        <w:drawing>
          <wp:inline distT="0" distB="0" distL="0" distR="0">
            <wp:extent cx="2926080" cy="2259077"/>
            <wp:effectExtent t="0" r="0" b="0" l="0"/>
            <wp:docPr id="6"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6080" cy="2259077"/>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D3 hlm. 3. Dokumen tersebut membulatkan penurunan menjadi 45%.</w:t>
      </w:r>
    </w:p>
    <w:p>
      <w:pPr>
        <w:pStyle w:val="Heading3"/>
        <w:keepNext/>
        <w:keepLines/>
        <w:spacing w:after="80" w:before="200"/>
      </w:pPr>
      <w:r>
        <w:rPr>
          <w:rFonts w:ascii="Arial" w:cs="Arial" w:eastAsia="Arial" w:hAnsi="Arial"/>
          <w:b/>
          <w:bCs/>
          <w:color w:val="005EB8"/>
          <w:sz w:val="22"/>
          <w:szCs w:val="22"/>
        </w:rPr>
        <w:t xml:space="preserve">Masalah utama</w:t>
      </w:r>
    </w:p>
    <w:p>
      <w:pPr>
        <w:pStyle w:val="ListParagraph"/>
        <w:numPr>
          <w:ilvl w:val="0"/>
          <w:numId w:val="2"/>
        </w:numPr>
        <w:spacing w:after="60" w:line="264"/>
      </w:pPr>
      <w:r>
        <w:rPr>
          <w:rFonts w:ascii="Arial" w:cs="Arial" w:eastAsia="Arial" w:hAnsi="Arial"/>
          <w:sz w:val="19"/>
          <w:szCs w:val="19"/>
        </w:rPr>
        <w:t xml:space="preserve">Banyak proyek bermargin rendah, atau ditugaskan untuk tujuan kebijakan tanpa kompensasi komersial atau pendanaan penuh.</w:t>
      </w:r>
    </w:p>
    <w:p>
      <w:pPr>
        <w:pStyle w:val="ListParagraph"/>
        <w:numPr>
          <w:ilvl w:val="0"/>
          <w:numId w:val="2"/>
        </w:numPr>
        <w:spacing w:after="60" w:line="264"/>
      </w:pPr>
      <w:r>
        <w:rPr>
          <w:rFonts w:ascii="Arial" w:cs="Arial" w:eastAsia="Arial" w:hAnsi="Arial"/>
          <w:sz w:val="19"/>
          <w:szCs w:val="19"/>
        </w:rPr>
        <w:t xml:space="preserve">Jalan tol dan infrastruktur lain dibiayai dengan utang korporasi.</w:t>
      </w:r>
    </w:p>
    <w:p>
      <w:pPr>
        <w:pStyle w:val="ListParagraph"/>
        <w:numPr>
          <w:ilvl w:val="0"/>
          <w:numId w:val="2"/>
        </w:numPr>
        <w:spacing w:after="60" w:line="264"/>
      </w:pPr>
      <w:r>
        <w:rPr>
          <w:rFonts w:ascii="Arial" w:cs="Arial" w:eastAsia="Arial" w:hAnsi="Arial"/>
          <w:sz w:val="19"/>
          <w:szCs w:val="19"/>
        </w:rPr>
        <w:t xml:space="preserve">Piutang tertunda dan pembayaran lambat dari Pemerintah dan pemilik proyek.</w:t>
      </w:r>
    </w:p>
    <w:p>
      <w:pPr>
        <w:pStyle w:val="ListParagraph"/>
        <w:numPr>
          <w:ilvl w:val="0"/>
          <w:numId w:val="2"/>
        </w:numPr>
        <w:spacing w:after="60" w:line="264"/>
      </w:pPr>
      <w:r>
        <w:rPr>
          <w:rFonts w:ascii="Arial" w:cs="Arial" w:eastAsia="Arial" w:hAnsi="Arial"/>
          <w:sz w:val="19"/>
          <w:szCs w:val="19"/>
        </w:rPr>
        <w:t xml:space="preserve">Pembengkakan biaya dan keterlambatan proyek.</w:t>
      </w:r>
    </w:p>
    <w:p>
      <w:pPr>
        <w:pStyle w:val="ListParagraph"/>
        <w:numPr>
          <w:ilvl w:val="0"/>
          <w:numId w:val="2"/>
        </w:numPr>
        <w:spacing w:after="60" w:line="264"/>
      </w:pPr>
      <w:r>
        <w:rPr>
          <w:rFonts w:ascii="Arial" w:cs="Arial" w:eastAsia="Arial" w:hAnsi="Arial"/>
          <w:sz w:val="19"/>
          <w:szCs w:val="19"/>
        </w:rPr>
        <w:t xml:space="preserve">Leverage tinggi, kualitas aset rendah, dan arus kas negatif.</w:t>
      </w:r>
    </w:p>
    <w:p>
      <w:pPr>
        <w:pStyle w:val="ListParagraph"/>
        <w:numPr>
          <w:ilvl w:val="0"/>
          <w:numId w:val="2"/>
        </w:numPr>
        <w:spacing w:after="60" w:line="264"/>
      </w:pPr>
      <w:r>
        <w:rPr>
          <w:rFonts w:ascii="Arial" w:cs="Arial" w:eastAsia="Arial" w:hAnsi="Arial"/>
          <w:sz w:val="19"/>
          <w:szCs w:val="19"/>
        </w:rPr>
        <w:t xml:space="preserve">Tata kelola yang tidak cukup melindungi disiplin komersial.</w:t>
      </w:r>
    </w:p>
    <w:p>
      <w:pPr>
        <w:spacing w:after="160"/>
      </w:pPr>
      <w:r>
        <w:rPr>
          <w:rFonts w:ascii="Arial" w:cs="Arial" w:eastAsia="Arial" w:hAnsi="Arial"/>
          <w:i/>
          <w:iCs/>
          <w:color w:val="000000"/>
          <w:sz w:val="15"/>
          <w:szCs w:val="15"/>
        </w:rPr>
        <w:t xml:space="preserve">Sumber: D3 hlm. 3 dan 5. D3 tidak menyebutkan pos anggaran maupun tahun sebelumnya; angka tersebut perlu dikonfirmasi dengan dokumen APBN.</w:t>
      </w:r>
    </w:p>
    <w:p>
      <w:pPr>
        <w:pStyle w:val="Heading3"/>
        <w:keepNext/>
        <w:keepLines/>
        <w:spacing w:after="80" w:before="200"/>
      </w:pPr>
      <w:r>
        <w:rPr>
          <w:rFonts w:ascii="Arial" w:cs="Arial" w:eastAsia="Arial" w:hAnsi="Arial"/>
          <w:b/>
          <w:bCs/>
          <w:color w:val="005EB8"/>
          <w:sz w:val="22"/>
          <w:szCs w:val="22"/>
        </w:rPr>
        <w:t xml:space="preserve">Akar masalah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Penyebab</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Mekanisme</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Ekspansi infrastruktur yang agresif</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Banyak proyek jalan tol, kereta api, bandara, bendungan, dan pelabuhan diambil dalam waktu singkat</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Margin konstruksi rendah</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Persaingan ketat dan proyek penugasan kebijakan tanpa kompensasi penuh</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Keterlambatan pembayaran oleh Pemerintah dan BUMN pemilik proyek</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Piutang menjadi masalah pendanaan</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turnkey dan EPC</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Kontraktor menanggung risiko desain, pengadaan, konstruksi, dan commissioning</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Tata kelola dan insentif</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Keberhasilan diukur dari penyelesaian proyek, bukan profitabilitas</w:t>
            </w:r>
          </w:p>
        </w:tc>
      </w:tr>
    </w:tbl>
    <w:p>
      <w:pPr>
        <w:keepNext w:val="false"/>
        <w:spacing w:after="140"/>
      </w:pPr>
    </w:p>
    <w:p>
      <w:pPr>
        <w:spacing w:after="100" w:before="0" w:line="258"/>
        <w:jc w:val="left"/>
      </w:pPr>
      <w:r>
        <w:rPr>
          <w:rFonts w:ascii="Arial" w:cs="Arial" w:eastAsia="Arial" w:hAnsi="Arial"/>
          <w:color w:val="000000"/>
          <w:sz w:val="19"/>
          <w:szCs w:val="19"/>
        </w:rPr>
        <w:t xml:space="preserve">Akibatnya adalah arus kas negatif, leverage tinggi, kualitas aset buruk, menurunnya kapasitas untuk mengambil proyek, dan risiko terhadap keberlangsungan perusahaan [D3 hlm. 3].</w:t>
      </w:r>
    </w:p>
    <w:p>
      <w:pPr>
        <w:pStyle w:val="Heading2"/>
        <w:keepNext/>
        <w:keepLines/>
        <w:spacing w:after="120" w:before="280"/>
      </w:pPr>
      <w:r>
        <w:rPr>
          <w:rFonts w:ascii="Arial" w:cs="Arial" w:eastAsia="Arial" w:hAnsi="Arial"/>
          <w:b/>
          <w:bCs/>
          <w:color w:val="00338D"/>
          <w:sz w:val="28"/>
          <w:szCs w:val="28"/>
        </w:rPr>
        <w:t xml:space="preserve">11.2 Model saat ini dibandingkan dengan model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saat ini: konglomerasi investasi infrastruktur</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sasaran: perusahaan konstruksi yang disiplin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Kontraktor utama dan kontraktor EPC</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Fokus pada bisnis inti konstruksi</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Pengembang proyek</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Selektif: hanya proyek dengan margin sehat</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Investor jalan tol dan pengembang properti</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Tidak memiliki aset jangka panjang secara berlebihan</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Pemilik aset infrastruktur</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Pendanaan proyek dari pemilik proyek, bukan dari utang perusahaan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Pemasok melalui anak perusahaan</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Manajemen risiko proyek yang kuat</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Pembiaya proyek Pemerintah</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Tata kelola yang profesional dan independen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Instrumen percepatan infrastruktur nasional</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Kapabilitas operasional dan produktivitas tinggi; pertumbuhan dan profitabilitas berkelanjutan</w:t>
            </w:r>
          </w:p>
        </w:tc>
      </w:tr>
    </w:tbl>
    <w:p>
      <w:pPr>
        <w:keepNext w:val="false"/>
        <w:spacing w:after="140"/>
      </w:pPr>
    </w:p>
    <w:p>
      <w:pPr>
        <w:spacing w:after="160"/>
      </w:pPr>
      <w:r>
        <w:rPr>
          <w:rFonts w:ascii="Arial" w:cs="Arial" w:eastAsia="Arial" w:hAnsi="Arial"/>
          <w:i/>
          <w:iCs/>
          <w:color w:val="000000"/>
          <w:sz w:val="15"/>
          <w:szCs w:val="15"/>
        </w:rPr>
        <w:t xml:space="preserve">Sumber: D3 hlm. 3.</w:t>
      </w:r>
    </w:p>
    <w:p>
      <w:pPr>
        <w:pStyle w:val="Heading3"/>
        <w:keepNext/>
        <w:keepLines/>
        <w:spacing w:after="80" w:before="200"/>
      </w:pPr>
      <w:r>
        <w:rPr>
          <w:rFonts w:ascii="Arial" w:cs="Arial" w:eastAsia="Arial" w:hAnsi="Arial"/>
          <w:b/>
          <w:bCs/>
          <w:color w:val="005EB8"/>
          <w:sz w:val="22"/>
          <w:szCs w:val="22"/>
        </w:rPr>
        <w:t xml:space="preserve">Aset yang menjadi beban</w:t>
      </w:r>
    </w:p>
    <w:p>
      <w:pPr>
        <w:spacing w:after="100" w:before="0" w:line="258"/>
        <w:jc w:val="left"/>
      </w:pPr>
      <w:r>
        <w:rPr>
          <w:rFonts w:ascii="Arial" w:cs="Arial" w:eastAsia="Arial" w:hAnsi="Arial"/>
          <w:color w:val="000000"/>
          <w:sz w:val="19"/>
          <w:szCs w:val="19"/>
        </w:rPr>
        <w:t xml:space="preserve">Jalan tol, properti hunian, bandara, pembangkit listrik, pelabuhan, konsesi tambang, hotel, kawasan industri, dan pabrik. D3 merekomendasikan agar aset-aset tersebut ditempatkan dalam </w:t>
      </w:r>
      <w:r>
        <w:rPr>
          <w:rFonts w:ascii="Arial" w:cs="Arial" w:eastAsia="Arial" w:hAnsi="Arial"/>
          <w:b/>
          <w:bCs/>
          <w:color w:val="000000"/>
          <w:sz w:val="19"/>
          <w:szCs w:val="19"/>
        </w:rPr>
        <w:t xml:space="preserve">perusahaan investasi terpisah dengan pendanaan dan tata kelola tersendiri</w:t>
      </w:r>
      <w:r>
        <w:rPr>
          <w:rFonts w:ascii="Arial" w:cs="Arial" w:eastAsia="Arial" w:hAnsi="Arial"/>
          <w:color w:val="000000"/>
          <w:sz w:val="19"/>
          <w:szCs w:val="19"/>
        </w:rPr>
        <w:t xml:space="preserve"> [D3 hlm. 3].</w:t>
      </w:r>
    </w:p>
    <w:p>
      <w:pPr>
        <w:pStyle w:val="Heading2"/>
        <w:keepNext/>
        <w:keepLines/>
        <w:spacing w:after="120" w:before="280"/>
      </w:pPr>
      <w:r>
        <w:rPr>
          <w:rFonts w:ascii="Arial" w:cs="Arial" w:eastAsia="Arial" w:hAnsi="Arial"/>
          <w:b/>
          <w:bCs/>
          <w:color w:val="00338D"/>
          <w:sz w:val="28"/>
          <w:szCs w:val="28"/>
        </w:rPr>
        <w:t xml:space="preserve">11.3 Arah transformasi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Fokus</w:t>
            </w:r>
          </w:p>
          <w:p>
            <w:pPr>
              <w:spacing w:after="0" w:line="236"/>
            </w:pPr>
            <w:r>
              <w:rPr>
                <w:rFonts w:ascii="Arial" w:cs="Arial" w:eastAsia="Arial" w:hAnsi="Arial"/>
                <w:color w:val="FFFFFF"/>
                <w:sz w:val="15"/>
                <w:szCs w:val="15"/>
              </w:rPr>
              <w:t xml:space="preserve">Pada bisnis inti konstruksi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Seleksi</w:t>
            </w:r>
          </w:p>
          <w:p>
            <w:pPr>
              <w:spacing w:after="0" w:line="236"/>
            </w:pPr>
            <w:r>
              <w:rPr>
                <w:rFonts w:ascii="Arial" w:cs="Arial" w:eastAsia="Arial" w:hAnsi="Arial"/>
                <w:color w:val="FFFFFF"/>
                <w:sz w:val="15"/>
                <w:szCs w:val="15"/>
              </w:rPr>
              <w:t xml:space="preserve">Proyek dengan margin sehat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Kendali</w:t>
            </w:r>
          </w:p>
          <w:p>
            <w:pPr>
              <w:spacing w:after="0" w:line="236"/>
            </w:pPr>
            <w:r>
              <w:rPr>
                <w:rFonts w:ascii="Arial" w:cs="Arial" w:eastAsia="Arial" w:hAnsi="Arial"/>
                <w:color w:val="FFFFFF"/>
                <w:sz w:val="15"/>
                <w:szCs w:val="15"/>
              </w:rPr>
              <w:t xml:space="preserve">Manajemen proyek dan risiko</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Tata kelola</w:t>
            </w:r>
          </w:p>
          <w:p>
            <w:pPr>
              <w:spacing w:after="0" w:line="236"/>
            </w:pPr>
            <w:r>
              <w:rPr>
                <w:rFonts w:ascii="Arial" w:cs="Arial" w:eastAsia="Arial" w:hAnsi="Arial"/>
                <w:color w:val="FFFFFF"/>
                <w:sz w:val="15"/>
                <w:szCs w:val="15"/>
              </w:rPr>
              <w:t xml:space="preserve">Profesional dan transparan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5 Tumbuh</w:t>
            </w:r>
          </w:p>
          <w:p>
            <w:pPr>
              <w:spacing w:after="0" w:line="236"/>
            </w:pPr>
            <w:r>
              <w:rPr>
                <w:rFonts w:ascii="Arial" w:cs="Arial" w:eastAsia="Arial" w:hAnsi="Arial"/>
                <w:color w:val="FFFFFF"/>
                <w:sz w:val="15"/>
                <w:szCs w:val="15"/>
              </w:rPr>
              <w:t xml:space="preserve">Secara berkelanjutan</w:t>
            </w:r>
          </w:p>
        </w:tc>
      </w:tr>
    </w:tbl>
    <w:p>
      <w:pPr>
        <w:spacing w:after="160"/>
      </w:pPr>
    </w:p>
    <w:p>
      <w:pPr>
        <w:pStyle w:val="Heading3"/>
        <w:keepNext/>
        <w:keepLines/>
        <w:spacing w:after="80" w:before="200"/>
      </w:pPr>
      <w:r>
        <w:rPr>
          <w:rFonts w:ascii="Arial" w:cs="Arial" w:eastAsia="Arial" w:hAnsi="Arial"/>
          <w:b/>
          <w:bCs/>
          <w:color w:val="005EB8"/>
          <w:sz w:val="22"/>
          <w:szCs w:val="22"/>
        </w:rPr>
        <w:t xml:space="preserve">Siklus kas kontraktor yang sehat</w:t>
      </w:r>
    </w:p>
    <w:p>
      <w:pPr>
        <w:spacing w:after="100" w:before="0" w:line="258"/>
        <w:jc w:val="left"/>
      </w:pPr>
      <w:r>
        <w:rPr>
          <w:rFonts w:ascii="Arial" w:cs="Arial" w:eastAsia="Arial" w:hAnsi="Arial"/>
          <w:color w:val="000000"/>
          <w:sz w:val="19"/>
          <w:szCs w:val="19"/>
        </w:rPr>
        <w:t xml:space="preserve">Perusahaan konstruksi yang sehat menerima pembayaran sebelum mengeluarkan biaya dan menagih seiring pekerjaan berjalan. Enam prinsip dari D3 membentuk siklus yang harus menjadi alat uji bagi setiap penawaran dan setiap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Terima</w:t>
            </w:r>
          </w:p>
          <w:p>
            <w:pPr>
              <w:spacing w:after="0" w:line="236"/>
            </w:pPr>
            <w:r>
              <w:rPr>
                <w:rFonts w:ascii="Arial" w:cs="Arial" w:eastAsia="Arial" w:hAnsi="Arial"/>
                <w:color w:val="FFFFFF"/>
                <w:sz w:val="14"/>
                <w:szCs w:val="14"/>
              </w:rPr>
              <w:t xml:space="preserve">Uang muka / pembayaran mobilisasi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Laksanakan</w:t>
            </w:r>
          </w:p>
          <w:p>
            <w:pPr>
              <w:spacing w:after="0" w:line="236"/>
            </w:pPr>
            <w:r>
              <w:rPr>
                <w:rFonts w:ascii="Arial" w:cs="Arial" w:eastAsia="Arial" w:hAnsi="Arial"/>
                <w:color w:val="FFFFFF"/>
                <w:sz w:val="14"/>
                <w:szCs w:val="14"/>
              </w:rPr>
              <w:t xml:space="preserve">Pekerjaan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Sertifikasi</w:t>
            </w:r>
          </w:p>
          <w:p>
            <w:pPr>
              <w:spacing w:after="0" w:line="236"/>
            </w:pPr>
            <w:r>
              <w:rPr>
                <w:rFonts w:ascii="Arial" w:cs="Arial" w:eastAsia="Arial" w:hAnsi="Arial"/>
                <w:color w:val="FFFFFF"/>
                <w:sz w:val="14"/>
                <w:szCs w:val="14"/>
              </w:rPr>
              <w:t xml:space="preserve">Kemajuan pekerjaan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Tagih</w:t>
            </w:r>
          </w:p>
          <w:p>
            <w:pPr>
              <w:spacing w:after="0" w:line="236"/>
            </w:pPr>
            <w:r>
              <w:rPr>
                <w:rFonts w:ascii="Arial" w:cs="Arial" w:eastAsia="Arial" w:hAnsi="Arial"/>
                <w:color w:val="FFFFFF"/>
                <w:sz w:val="14"/>
                <w:szCs w:val="14"/>
              </w:rPr>
              <w:t xml:space="preserve">Dan kumpulkan piutang</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Bayar</w:t>
            </w:r>
          </w:p>
          <w:p>
            <w:pPr>
              <w:spacing w:after="0" w:line="236"/>
            </w:pPr>
            <w:r>
              <w:rPr>
                <w:rFonts w:ascii="Arial" w:cs="Arial" w:eastAsia="Arial" w:hAnsi="Arial"/>
                <w:color w:val="FFFFFF"/>
                <w:sz w:val="14"/>
                <w:szCs w:val="14"/>
              </w:rPr>
              <w:t xml:space="preserve">Subkontraktor dan pemasok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Peroleh</w:t>
            </w:r>
          </w:p>
          <w:p>
            <w:pPr>
              <w:spacing w:after="0" w:line="236"/>
            </w:pPr>
            <w:r>
              <w:rPr>
                <w:rFonts w:ascii="Arial" w:cs="Arial" w:eastAsia="Arial" w:hAnsi="Arial"/>
                <w:color w:val="FFFFFF"/>
                <w:sz w:val="14"/>
                <w:szCs w:val="14"/>
              </w:rPr>
              <w:t xml:space="preserve">Margin yang wajar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11.4 Rekomendasi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99"/>
        <w:gridCol w:w="6553"/>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Rekomendasi</w:t>
            </w:r>
          </w:p>
        </w:tc>
        <w:tc>
          <w:tcPr>
            <w:tcW w:type="dxa" w:w="65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Diagnostik per perusahaan (Hari ke-30–90)</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Pisahkan aset warisan setelah diagnostik</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Alihkan konsesi dan aset nonusaha inti ke wahana aset dengan pendanaan dan tata kelola tersendiri; nilai pada saat pengalihan dengan liabilitas warisan dipisahkan [D1]; jangan membukukan pengalihan sebagai imbal hasil</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Disiplin penawaran</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Gerbang (gate) bid/no-bid dengan margin minimum yang disesuaikan dengan risiko, jaminan pembayaran (pendanaan dari pemilik proyek, uang muka, jaminan pembayaran), dan uji modal kerja; tidak ada pembiayaan proyek milik pemilik proyek dengan utang korporasi</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Perlindungan kas</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Eskalasi piutang yang telah jatuh tempo dari Pemerintah dan BUMN pemilik proyek; kontrak layanan publik yang didanai apabila BUMN bertindak atas penugasan [D1]; mekanisme rekening penampungan penerimaan (collection account) dan tonggak capaian bila sesuai (Bab 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Tulang punggung pengendalian proyek</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WBS dan kode biaya yang seragam; pelacakan komitmen; pemeriksaan anggaran, kuantitas, dan waktu pada permintaan pembelian; three-way match (pencocokan tiga arah); pelaporan earned value; diterapkan melalui sistem operasi AI (Bab 12)</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Peran dalam proyek jangkar (anchor project)</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Bertindak sebagai kontraktor EPC yang disiplin dan sebagai integrator untuk paket DOCK-UP di bidang perumahan dan infrastruktur pesisir, dengan pendanaan dari pemilik proyek</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7</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Struktur diputuskan berdasarkan bukti</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Putuskan konsolidasi atau spesialisasi hanya setelah diagnostik; jumlah badan hukum yang lebih sedikit bukanlah manfaat dengan sendirinya [D1]</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Cara mengukur pemulihan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cantSplit/>
          <w:tblHeader/>
        </w:trPr>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Mengapa penting</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ekonomi inkremental (O02)</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penciptaan nilai di atas biaya modal dibandingkan dengan jalur tanpa intervensi</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Konversi kas operasional (O04) dan days sales outstanding</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Menunjukkan apakah margin berubah menjadi kas; tidak memberi insentif untuk menunda pembayaran kepada pemasok</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Utang bersih / EBITDA (O08); rasio cakupan bunga; utang bersih / ekuitas; ketahanan likuiditas</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Solvabilitas dan ruang pembiayaan kembali. Apabila EBITDA negatif, rasio berbasis EBITDA tidak bermakna, sehingga gunakan rasio cakupan bunga, utang bersih terhadap ekuitas, dan jumlah bulan likuiditas</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Margin backlog saat penawaran dibandingkan saat penyelesaian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disiplin penawaran dan kualitas estimasi</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Indeks kinerja biaya dan jadwal (CPI, SPI)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Peringatan dini atas pembengkakan di tingkat proyek</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Klaim dan perubahan yang dipulihkan / diajukan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Kapabilitas manajemen komersial</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Manfaat transformasi bersih yang terverifikasi (O09)</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Manfaat kas yang terealisasi setelah dikurangi biaya implementasi</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12</w:t>
            </w:r>
          </w:p>
          <w:p>
            <w:pPr>
              <w:pStyle w:val="Heading1"/>
              <w:spacing w:after="100"/>
            </w:pPr>
            <w:r>
              <w:rPr>
                <w:rFonts w:ascii="Arial" w:cs="Arial" w:eastAsia="Arial" w:hAnsi="Arial"/>
                <w:b/>
                <w:bCs/>
                <w:color w:val="FFFFFF"/>
                <w:sz w:val="40"/>
                <w:szCs w:val="40"/>
              </w:rPr>
              <w:t xml:space="preserve">Meningkatkan manajemen bisnis dengan AI multi-agen</w:t>
            </w:r>
          </w:p>
          <w:p>
            <w:pPr>
              <w:spacing w:after="0" w:line="276"/>
            </w:pPr>
            <w:r>
              <w:rPr>
                <w:rFonts w:ascii="Arial" w:cs="Arial" w:eastAsia="Arial" w:hAnsi="Arial"/>
                <w:color w:val="FFFFFF"/>
                <w:sz w:val="20"/>
                <w:szCs w:val="20"/>
              </w:rPr>
              <w:t xml:space="preserve">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12.1 Apa yang diusulkan</w:t>
      </w:r>
    </w:p>
    <w:p>
      <w:pPr>
        <w:spacing w:after="100" w:before="0" w:line="258"/>
        <w:jc w:val="left"/>
      </w:pPr>
      <w:r>
        <w:rPr>
          <w:rFonts w:ascii="Arial" w:cs="Arial" w:eastAsia="Arial" w:hAnsi="Arial"/>
          <w:color w:val="000000"/>
          <w:sz w:val="19"/>
          <w:szCs w:val="19"/>
        </w:rPr>
        <w:t xml:space="preserve">D3 mengusulkan </w:t>
      </w:r>
      <w:r>
        <w:rPr>
          <w:rFonts w:ascii="Arial" w:cs="Arial" w:eastAsia="Arial" w:hAnsi="Arial"/>
          <w:b/>
          <w:bCs/>
          <w:color w:val="000000"/>
          <w:sz w:val="19"/>
          <w:szCs w:val="19"/>
        </w:rPr>
        <w:t xml:space="preserve">bukan chatbot, melainkan sistem operasi berbasis AI untuk proyek</w:t>
      </w:r>
      <w:r>
        <w:rPr>
          <w:rFonts w:ascii="Arial" w:cs="Arial" w:eastAsia="Arial" w:hAnsi="Arial"/>
          <w:color w:val="000000"/>
          <w:sz w:val="19"/>
          <w:szCs w:val="19"/>
        </w:rPr>
        <w:t xml:space="preserve"> yang mengawasi pekerjaan dari tingkat proyek individual hingga portofolio. Agen AI spesialis menganalisis data dari sistem yang ada, memprediksi risiko, dan merekomendasikan tindakan; agen orchestrator mengoordinasikan mereka, menyelesaikan keluaran yang saling bertentangan, dan mengeskalasi keputusan berisiko tinggi kepada manusia [D3 hlm.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9"/>
        <w:gridCol w:w="160"/>
        <w:gridCol w:w="2289"/>
        <w:gridCol w:w="160"/>
        <w:gridCol w:w="2289"/>
        <w:gridCol w:w="160"/>
        <w:gridCol w:w="2291"/>
      </w:tblGrid>
      <w:tr>
        <w:trPr>
          <w:cantSplit/>
        </w:trPr>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1</w:t>
            </w:r>
          </w:p>
          <w:p>
            <w:pPr>
              <w:spacing w:after="70" w:line="250"/>
            </w:pPr>
            <w:r>
              <w:rPr>
                <w:rFonts w:ascii="Arial" w:cs="Arial" w:eastAsia="Arial" w:hAnsi="Arial"/>
                <w:b/>
                <w:bCs/>
                <w:color w:val="00338D"/>
                <w:sz w:val="19"/>
                <w:szCs w:val="19"/>
              </w:rPr>
              <w:t xml:space="preserve">Data terintegrasi</w:t>
            </w:r>
          </w:p>
          <w:p>
            <w:pPr>
              <w:spacing w:after="50" w:line="252"/>
            </w:pPr>
            <w:r>
              <w:rPr>
                <w:rFonts w:ascii="Arial" w:cs="Arial" w:eastAsia="Arial" w:hAnsi="Arial"/>
                <w:sz w:val="17"/>
                <w:szCs w:val="17"/>
              </w:rPr>
              <w:t xml:space="preserve">Satu sumber kebenaran lintas ERP, BIM, pengadaan, kontrak, keuangan, dan data lapangan.</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2</w:t>
            </w:r>
          </w:p>
          <w:p>
            <w:pPr>
              <w:spacing w:after="70" w:line="250"/>
            </w:pPr>
            <w:r>
              <w:rPr>
                <w:rFonts w:ascii="Arial" w:cs="Arial" w:eastAsia="Arial" w:hAnsi="Arial"/>
                <w:b/>
                <w:bCs/>
                <w:color w:val="00338D"/>
                <w:sz w:val="19"/>
                <w:szCs w:val="19"/>
              </w:rPr>
              <w:t xml:space="preserve">Agen AI</w:t>
            </w:r>
          </w:p>
          <w:p>
            <w:pPr>
              <w:spacing w:after="50" w:line="252"/>
            </w:pPr>
            <w:r>
              <w:rPr>
                <w:rFonts w:ascii="Arial" w:cs="Arial" w:eastAsia="Arial" w:hAnsi="Arial"/>
                <w:sz w:val="17"/>
                <w:szCs w:val="17"/>
              </w:rPr>
              <w:t xml:space="preserve">Analisis dan rekomendasi cerdas oleh agen spesialis.</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3</w:t>
            </w:r>
          </w:p>
          <w:p>
            <w:pPr>
              <w:spacing w:after="70" w:line="250"/>
            </w:pPr>
            <w:r>
              <w:rPr>
                <w:rFonts w:ascii="Arial" w:cs="Arial" w:eastAsia="Arial" w:hAnsi="Arial"/>
                <w:b/>
                <w:bCs/>
                <w:color w:val="00338D"/>
                <w:sz w:val="19"/>
                <w:szCs w:val="19"/>
              </w:rPr>
              <w:t xml:space="preserve">Kolaborasi</w:t>
            </w:r>
          </w:p>
          <w:p>
            <w:pPr>
              <w:spacing w:after="50" w:line="252"/>
            </w:pPr>
            <w:r>
              <w:rPr>
                <w:rFonts w:ascii="Arial" w:cs="Arial" w:eastAsia="Arial" w:hAnsi="Arial"/>
                <w:sz w:val="17"/>
                <w:szCs w:val="17"/>
              </w:rPr>
              <w:t xml:space="preserve">Lintas BUMN dan pemangku kepentingan, dari manajer proyek hingga Danantara.</w:t>
            </w:r>
          </w:p>
        </w:tc>
        <w:tc>
          <w:tcPr>
            <w:tcW w:type="dxa" w:w="160"/>
            <w:tcBorders>
              <w:top w:val="none" w:color="FFFFFF" w:sz="0"/>
              <w:left w:val="none" w:color="FFFFFF" w:sz="0"/>
              <w:bottom w:val="none" w:color="FFFFFF" w:sz="0"/>
              <w:right w:val="none" w:color="FFFFFF" w:sz="0"/>
            </w:tcBorders>
          </w:tcPr>
          <w:p/>
        </w:tc>
        <w:tc>
          <w:tcPr>
            <w:tcW w:type="dxa" w:w="2291"/>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4</w:t>
            </w:r>
          </w:p>
          <w:p>
            <w:pPr>
              <w:spacing w:after="70" w:line="250"/>
            </w:pPr>
            <w:r>
              <w:rPr>
                <w:rFonts w:ascii="Arial" w:cs="Arial" w:eastAsia="Arial" w:hAnsi="Arial"/>
                <w:b/>
                <w:bCs/>
                <w:color w:val="00338D"/>
                <w:sz w:val="19"/>
                <w:szCs w:val="19"/>
              </w:rPr>
              <w:t xml:space="preserve">Dampak nyata</w:t>
            </w:r>
          </w:p>
          <w:p>
            <w:pPr>
              <w:spacing w:after="50" w:line="252"/>
            </w:pPr>
            <w:r>
              <w:rPr>
                <w:rFonts w:ascii="Arial" w:cs="Arial" w:eastAsia="Arial" w:hAnsi="Arial"/>
                <w:sz w:val="17"/>
                <w:szCs w:val="17"/>
              </w:rPr>
              <w:t xml:space="preserve">Produktivitas, ketahanan industri, dan nilai nasional.</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12.2 Arsitektur sasaran</w:t>
      </w:r>
    </w:p>
    <w:p>
      <w:pPr>
        <w:keepNext/>
        <w:spacing w:after="80" w:before="120"/>
      </w:pPr>
      <w:r>
        <w:rPr>
          <w:rFonts w:ascii="Arial" w:cs="Arial" w:eastAsia="Arial" w:hAnsi="Arial"/>
          <w:b/>
          <w:bCs/>
          <w:color w:val="00338D"/>
          <w:sz w:val="18"/>
          <w:szCs w:val="18"/>
        </w:rPr>
        <w:t xml:space="preserve">Tabel 16: </w:t>
      </w:r>
      <w:r>
        <w:rPr>
          <w:rFonts w:ascii="Arial" w:cs="Arial" w:eastAsia="Arial" w:hAnsi="Arial"/>
          <w:b/>
          <w:bCs/>
          <w:color w:val="00338D"/>
          <w:sz w:val="18"/>
          <w:szCs w:val="18"/>
        </w:rPr>
        <w:t xml:space="preserve">Arsitektur berlapis sistem operasi proyek berbasis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602"/>
        <w:gridCol w:w="472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Lapisan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472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Danantara Portfolio Control Tower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Pemantauan berbasis data secara waktu nyata dan arahan strategis atas portofolio BUMN Karya</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SOE Enterprise Orchestrator</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Koordinasi lintas proyek untuk sumber daya, keuangan, dan pelaksanaan</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Kokpit CEO, CFO, dan COO serta Risiko &amp; Kepatuhan; fungsi strategi dan pengembangan bisnis, keuangan dan treasuri, operasi dan proyek, risiko dan kepatuhan, SDM dan kapabilitas, konsolidasi dan pelaporan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Kelompok agen AI korporat</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Agen spesialis menurut fungsi bisnis</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Komersial</w:t>
            </w:r>
            <w:r>
              <w:rPr>
                <w:rFonts w:ascii="Arial" w:cs="Arial" w:eastAsia="Arial" w:hAnsi="Arial"/>
                <w:color w:val="000000"/>
                <w:sz w:val="16"/>
                <w:szCs w:val="16"/>
              </w:rPr>
              <w:t xml:space="preserve">: bid/no-bid, estimasi tender, risiko kontrak, klaim, pembayaran klien, pengembangan bisnis. </w:t>
            </w:r>
            <w:r>
              <w:rPr>
                <w:rFonts w:ascii="Arial" w:cs="Arial" w:eastAsia="Arial" w:hAnsi="Arial"/>
                <w:b/>
                <w:bCs/>
                <w:color w:val="000000"/>
                <w:sz w:val="16"/>
                <w:szCs w:val="16"/>
              </w:rPr>
              <w:t xml:space="preserve">Keuangan</w:t>
            </w:r>
            <w:r>
              <w:rPr>
                <w:rFonts w:ascii="Arial" w:cs="Arial" w:eastAsia="Arial" w:hAnsi="Arial"/>
                <w:color w:val="000000"/>
                <w:sz w:val="16"/>
                <w:szCs w:val="16"/>
              </w:rPr>
              <w:t xml:space="preserve">: kas dan likuiditas, piutang dan penagihan, utang usaha, treasuri dan pendanaan, profitabilitas proyek, konsolidasi. </w:t>
            </w:r>
            <w:r>
              <w:rPr>
                <w:rFonts w:ascii="Arial" w:cs="Arial" w:eastAsia="Arial" w:hAnsi="Arial"/>
                <w:b/>
                <w:bCs/>
                <w:color w:val="000000"/>
                <w:sz w:val="16"/>
                <w:szCs w:val="16"/>
              </w:rPr>
              <w:t xml:space="preserve">Pelaksanaan</w:t>
            </w:r>
            <w:r>
              <w:rPr>
                <w:rFonts w:ascii="Arial" w:cs="Arial" w:eastAsia="Arial" w:hAnsi="Arial"/>
                <w:color w:val="000000"/>
                <w:sz w:val="16"/>
                <w:szCs w:val="16"/>
              </w:rPr>
              <w:t xml:space="preserve">: pengendalian proyek, biaya, jadwal, pengadaan, manajemen pemasok, peralatan dan tenaga kerja, mutu, K3L (HSE)</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Project Control Tower</w:t>
            </w:r>
            <w:r>
              <w:rPr>
                <w:rFonts w:ascii="Arial" w:cs="Arial" w:eastAsia="Arial" w:hAnsi="Arial"/>
                <w:color w:val="000000"/>
                <w:sz w:val="16"/>
                <w:szCs w:val="16"/>
              </w:rPr>
              <w:t xml:space="preserve"> (per proyek)</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Koordinasi agen di tingkat proyek untuk biaya, jadwal, dan mutu</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Agen manajer proyek, biaya, jadwal, klaim, pengadaan, risiko pemasok, peralatan, tenaga kerja, mutu, keselamatan, keberlanjutan, dan BIM</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Intelijen lapangan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Data berbasis bukti dari lokasi secara waktu nyata</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Aplikasi lapangan seluler, drone, CCTV, sensor IoT, survei digital, BIM/digital twin, SCADA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Platform data perusahaan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Lapisan data terpusat dengan master data yang konsisten untuk semua agen, terintegrasi dengan sistem yang ada</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ERP (keuangan, proyek, pengadaan), e-procurement, manajemen kontrak, BIM/CDE, penjadwalan (Primavera P6), SDM, keuangan, hukum, keselamatan dan mutu, peralatan, IoT, data eksternal (harga pasar)</w:t>
            </w:r>
          </w:p>
        </w:tc>
      </w:tr>
    </w:tbl>
    <w:p>
      <w:pPr>
        <w:keepNext w:val="false"/>
        <w:spacing w:after="140"/>
      </w:pPr>
    </w:p>
    <w:p>
      <w:pPr>
        <w:spacing w:after="160"/>
      </w:pPr>
      <w:r>
        <w:rPr>
          <w:rFonts w:ascii="Arial" w:cs="Arial" w:eastAsia="Arial" w:hAnsi="Arial"/>
          <w:i/>
          <w:iCs/>
          <w:color w:val="000000"/>
          <w:sz w:val="15"/>
          <w:szCs w:val="15"/>
        </w:rPr>
        <w:t xml:space="preserve">Sumber: D3 hlm. 5–6.</w:t>
      </w:r>
    </w:p>
    <w:p>
      <w:pPr>
        <w:pStyle w:val="Heading3"/>
        <w:keepNext/>
        <w:keepLines/>
        <w:spacing w:after="80" w:before="200"/>
      </w:pPr>
      <w:r>
        <w:rPr>
          <w:rFonts w:ascii="Arial" w:cs="Arial" w:eastAsia="Arial" w:hAnsi="Arial"/>
          <w:b/>
          <w:bCs/>
          <w:color w:val="005EB8"/>
          <w:sz w:val="22"/>
          <w:szCs w:val="22"/>
        </w:rPr>
        <w:t xml:space="preserve">Master data: fondasinya</w:t>
      </w:r>
    </w:p>
    <w:p>
      <w:pPr>
        <w:spacing w:after="100" w:before="0" w:line="258"/>
        <w:jc w:val="left"/>
      </w:pPr>
      <w:r>
        <w:rPr>
          <w:rFonts w:ascii="Arial" w:cs="Arial" w:eastAsia="Arial" w:hAnsi="Arial"/>
          <w:color w:val="000000"/>
          <w:sz w:val="19"/>
          <w:szCs w:val="19"/>
        </w:rPr>
        <w:t xml:space="preserve">Semua agen menggunakan satu set pengenal yang sama: </w:t>
      </w:r>
      <w:r>
        <w:rPr>
          <w:rFonts w:ascii="Arial" w:cs="Arial" w:eastAsia="Arial" w:hAnsi="Arial"/>
          <w:b/>
          <w:bCs/>
          <w:color w:val="000000"/>
          <w:sz w:val="19"/>
          <w:szCs w:val="19"/>
        </w:rPr>
        <w:t xml:space="preserve">ID proyek, WBS, kode biaya, kode aktivitas, kode material, ID pemasok, ID kontrak, ID perintah perubahan, ID sertifikat pembayaran, dan ID aset</w:t>
      </w:r>
      <w:r>
        <w:rPr>
          <w:rFonts w:ascii="Arial" w:cs="Arial" w:eastAsia="Arial" w:hAnsi="Arial"/>
          <w:color w:val="000000"/>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pPr>
        <w:pStyle w:val="Heading3"/>
        <w:keepNext/>
        <w:keepLines/>
        <w:spacing w:after="80" w:before="200"/>
      </w:pPr>
      <w:r>
        <w:rPr>
          <w:rFonts w:ascii="Arial" w:cs="Arial" w:eastAsia="Arial" w:hAnsi="Arial"/>
          <w:b/>
          <w:bCs/>
          <w:color w:val="005EB8"/>
          <w:sz w:val="22"/>
          <w:szCs w:val="22"/>
        </w:rPr>
        <w:t xml:space="preserve">Alur data dan interaksi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Sistem yang ada</w:t>
            </w:r>
          </w:p>
          <w:p>
            <w:pPr>
              <w:spacing w:after="0" w:line="236"/>
            </w:pPr>
            <w:r>
              <w:rPr>
                <w:rFonts w:ascii="Arial" w:cs="Arial" w:eastAsia="Arial" w:hAnsi="Arial"/>
                <w:color w:val="FFFFFF"/>
                <w:sz w:val="15"/>
                <w:szCs w:val="15"/>
              </w:rPr>
              <w:t xml:space="preserve">ERP, BIM, pengadaan, kontrak, keuangan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Lapisan data terintegrasi</w:t>
            </w:r>
          </w:p>
          <w:p>
            <w:pPr>
              <w:spacing w:after="0" w:line="236"/>
            </w:pPr>
            <w:r>
              <w:rPr>
                <w:rFonts w:ascii="Arial" w:cs="Arial" w:eastAsia="Arial" w:hAnsi="Arial"/>
                <w:color w:val="FFFFFF"/>
                <w:sz w:val="15"/>
                <w:szCs w:val="15"/>
              </w:rPr>
              <w:t xml:space="preserve">Terstandardisasi, dibersihkan, master data, kendali akses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Agen AI</w:t>
            </w:r>
          </w:p>
          <w:p>
            <w:pPr>
              <w:spacing w:after="0" w:line="236"/>
            </w:pPr>
            <w:r>
              <w:rPr>
                <w:rFonts w:ascii="Arial" w:cs="Arial" w:eastAsia="Arial" w:hAnsi="Arial"/>
                <w:color w:val="FFFFFF"/>
                <w:sz w:val="15"/>
                <w:szCs w:val="15"/>
              </w:rPr>
              <w:t xml:space="preserve">Analisis, prediksi, rekomendasi, koordinasi antaragen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Dashboard</w:t>
            </w:r>
          </w:p>
          <w:p>
            <w:pPr>
              <w:spacing w:after="0" w:line="236"/>
            </w:pPr>
            <w:r>
              <w:rPr>
                <w:rFonts w:ascii="Arial" w:cs="Arial" w:eastAsia="Arial" w:hAnsi="Arial"/>
                <w:color w:val="FFFFFF"/>
                <w:sz w:val="15"/>
                <w:szCs w:val="15"/>
              </w:rPr>
              <w:t xml:space="preserve">CEO, CFO, COO, manajer proyek, Danantara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Tindakan dan persetujuan</w:t>
            </w:r>
          </w:p>
          <w:p>
            <w:pPr>
              <w:spacing w:after="0" w:line="236"/>
            </w:pPr>
            <w:r>
              <w:rPr>
                <w:rFonts w:ascii="Arial" w:cs="Arial" w:eastAsia="Arial" w:hAnsi="Arial"/>
                <w:color w:val="FFFFFF"/>
                <w:sz w:val="15"/>
                <w:szCs w:val="15"/>
              </w:rPr>
              <w:t xml:space="preserve">Keputusan oleh manusia; pelaksanaan melalui sistem yang terhubung</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12.3 Agen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risiko portofolio</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Memeringkat proyek dan anak perusahaan berdasarkan risiko (biaya, jadwal, pembayaran, piutang); deteksi dini potensi kerugian; klasifikasi Hijau / Kuning / Merah / Hitam; merekomendasikan rencana pemulihan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bid / no-bid</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Mengevaluasi kelayakan tender; menganalisis margin historis, risiko kontrak, dan kebutuhan modal kerja; menyimulasikan skenario dasar, penurunan, dan penurunan berat; merekomendasikan go / no-go</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estimasi biaya</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Estimasi independen dari data historis dan harga pasar; memperhitungkan produktivitas, logistik, kondisi tanah, dan cuaca; membandingkan dengan kontrak dan perubahannya; mendeteksi risiko biaya</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piutang dan pembayaran</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Memantau setiap faktur dan sertifikat pembayaran; mendeteksi keterlambatan dan dokumen yang kurang; merekonsiliasi dengan sertifikasi; memprediksi gagal bayar; merekomendasikan percepatan penagihan dan pengamanan kas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jadwal dan kemajuan</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Memantau kemajuan fisik terhadap rencana; menganalisis keterlambatan dan penyebabnya; menilai dampak terhadap biaya dan margin; mengintegrasikan data lapangan (foto, drone, IoT); merekomendasikan percepatan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Agen pengadaan dan pemasok</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Menganalisis pemasok dan harga pasar; mendeteksi risiko pemasok; mengoptimalkan strategi pengadaan; memantau kontrak dan pengiriman; merekomendasikan substitusi dan efisiensi biaya</w:t>
            </w:r>
          </w:p>
        </w:tc>
      </w:tr>
    </w:tbl>
    <w:p>
      <w:pPr>
        <w:keepNext w:val="false"/>
        <w:spacing w:after="140"/>
      </w:pPr>
    </w:p>
    <w:p>
      <w:pPr>
        <w:spacing w:after="160"/>
      </w:pPr>
      <w:r>
        <w:rPr>
          <w:rFonts w:ascii="Arial" w:cs="Arial" w:eastAsia="Arial" w:hAnsi="Arial"/>
          <w:i/>
          <w:iCs/>
          <w:color w:val="000000"/>
          <w:sz w:val="15"/>
          <w:szCs w:val="15"/>
        </w:rPr>
        <w:t xml:space="preserve">Sumber: D3 hlm. 5.</w:t>
      </w:r>
    </w:p>
    <w:p>
      <w:pPr>
        <w:pStyle w:val="Heading2"/>
        <w:keepNext/>
        <w:keepLines/>
        <w:spacing w:after="120" w:before="280"/>
      </w:pPr>
      <w:r>
        <w:rPr>
          <w:rFonts w:ascii="Arial" w:cs="Arial" w:eastAsia="Arial" w:hAnsi="Arial"/>
          <w:b/>
          <w:bCs/>
          <w:color w:val="00338D"/>
          <w:sz w:val="28"/>
          <w:szCs w:val="28"/>
        </w:rPr>
        <w:t xml:space="preserve">12.4 Menanamkan disiplin pengendalian proyek</w:t>
      </w:r>
    </w:p>
    <w:p>
      <w:pPr>
        <w:spacing w:after="100" w:before="0" w:line="258"/>
        <w:jc w:val="left"/>
      </w:pPr>
      <w:r>
        <w:rPr>
          <w:rFonts w:ascii="Arial" w:cs="Arial" w:eastAsia="Arial" w:hAnsi="Arial"/>
          <w:color w:val="000000"/>
          <w:sz w:val="19"/>
          <w:szCs w:val="19"/>
        </w:rPr>
        <w:t xml:space="preserve">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590"/>
        <w:gridCol w:w="192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Pengendalian</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Apa yang diperiksa agen</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Satu tulang punggung kode biaya</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pos anggaran, PR, PO, penerimaan barang, dan faktur membawa kode WBS × PBS × elemen biaya yang sama</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Pelacakan komitmen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dibandingkan dengan komitmen, realisasi, dan estimasi pada saat penyelesaian per akun pengendalian, setiap minggu</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 Risiko portofolio</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Tiga pemeriksaan pada permintaan pembelian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(sisa dana pada akun WBS), kuantitas (dalam saldo perhitungan kebutuhan material item PBS), dan waktu (tiba sebelum tanggal yang dibutuhkan di lokasi)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Pengadaan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Three-way match</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 = penerimaan barang atau sertifikat = faktur sebelum pembayaran; menandai PO yang diterbitkan setelah pekerjaan dimulai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Piutang &amp; pembayaran / Pengadaan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Earned value</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CPI dan SPI per akun pengendalian; EAC dari prakiraan bottom-up dibandingkan dengan AC + (BAC − EV)/CPI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Jadwal &amp; kemajuan / Biaya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Perlindungan pendapatan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Pekerjaan yang belum ditagih, perintah perubahan yang belum disetujui, retensi, dan pengembalian uang muka; umur piutang menurut pemilik proyek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Piutang &amp; pembayaran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12.5 Human in the loop</w:t>
      </w:r>
    </w:p>
    <w:p>
      <w:pPr>
        <w:spacing w:after="100" w:before="0" w:line="258"/>
        <w:jc w:val="left"/>
      </w:pPr>
      <w:r>
        <w:rPr>
          <w:rFonts w:ascii="Arial" w:cs="Arial" w:eastAsia="Arial" w:hAnsi="Arial"/>
          <w:color w:val="000000"/>
          <w:sz w:val="19"/>
          <w:szCs w:val="19"/>
        </w:rPr>
        <w:t xml:space="preserve">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602"/>
        <w:gridCol w:w="3084"/>
        <w:gridCol w:w="231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Tingkat</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 boleh</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Tidak pernah diizinkan</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L0 Menginformasikan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Melaporkan dan memberi peringatan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Peringatan piutang jatuh tempo; CPI di bawah ambang batas</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L1 Merekomendasikan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Mengusulkan tindakan beserta bukti dan alternatif</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Rekomendasi bid/no-bid; rencana pemulihan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L2 Menyiapkan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Menyusun draf transaksi atau dokumen untuk disetujui manusia</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Draf surat penagihan; draf penilaian perintah perubahan</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Mengajukan tanpa persetujuan</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L3 Melaksanakan dalam batas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Melakukan tindakan berisiko rendah dan dapat dibatalkan dalam batas yang ditetapkan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Mengirim pengingat; memperbarui dashboard; membuka tiket</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Menyetujui pembayaran, penawaran, kontrak, anggaran, atau keputusan kepegawaian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12.6 MVP tiga bulan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24"/>
        <w:gridCol w:w="2824"/>
        <w:gridCol w:w="2833"/>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 fondasi dan integrasi data</w:t>
            </w: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ke-2: enam agen prioritas</w:t>
            </w:r>
          </w:p>
        </w:tc>
        <w:tc>
          <w:tcPr>
            <w:tcW w:type="dxa" w:w="28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ke-3: integrasi, percontohan, dan go-live</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Pekerjaan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Finalisasi cakupan dan kasus penggunaan; integrasi baca-saja (read-only) dengan ERP yang ada; lapisan data perusahaan dan master data; infrastruktur, keamanan, dan akses; kerangka multi-agen dan tool gateway; rekrutmen dan orientasi tim; desain awal dashboard</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Mengembangkan dan menguji enam agen. D3 mencantumkan: (1) dokumen proyek, (2) biaya, (3) kas dan piutang, (4) pengadaan, (5) jadwal, (6) orchestrator manajer proyek. Kami merekomendasikan penggantian agen dokumen proyek dengan </w:t>
            </w:r>
            <w:r>
              <w:rPr>
                <w:rFonts w:ascii="Arial" w:cs="Arial" w:eastAsia="Arial" w:hAnsi="Arial"/>
                <w:b/>
                <w:bCs/>
                <w:color w:val="000000"/>
                <w:sz w:val="16"/>
                <w:szCs w:val="16"/>
              </w:rPr>
              <w:t xml:space="preserve">agen bid/no-bid</w:t>
            </w:r>
            <w:r>
              <w:rPr>
                <w:rFonts w:ascii="Arial" w:cs="Arial" w:eastAsia="Arial" w:hAnsi="Arial"/>
                <w:b w:val="false"/>
                <w:bCs w:val="false"/>
                <w:color w:val="000000"/>
                <w:sz w:val="16"/>
                <w:szCs w:val="16"/>
              </w:rPr>
              <w:t xml:space="preserve">, karena Bab 11 menelusuri kerugian hingga ke proses penawaran. Integrasi dengan data ERP; uji dan validasi bersama pengguna utama; iterasi</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Integrasi penuh antaragen; dashboard eksekutif (Danantara, CEO, CFO, manajer proyek); percontohan pada 2–3 proyek prioritas; uji penerimaan pengguna (UAT); pelatihan; dokumentasi, SOP, dan serah terima; evaluasi dan perencanaan fase berikutnya</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Tonggak capaian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Tim telah menjalani orientasi; lapisan data ERP siap; arsitektur agen dipilih; dashboard awal; data sampel dari 1–2 proyek</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Enam agen selesai dibangun; integrasi internal telah diuji; wawasan pertama dari data proyek nyata; iterasi berdasarkan masukan pengguna</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Percontohan pada 2–3 proyek berjalan; dashboard eksekutif siap; UAT dan pelatihan selesai; SOP terdokumentasi; rencana fase berikutnya dievaluasi</w:t>
            </w:r>
          </w:p>
        </w:tc>
      </w:tr>
    </w:tbl>
    <w:p>
      <w:pPr>
        <w:keepNext w:val="false"/>
        <w:spacing w:after="140"/>
      </w:pPr>
    </w:p>
    <w:p>
      <w:pPr>
        <w:spacing w:after="160"/>
      </w:pPr>
      <w:r>
        <w:rPr>
          <w:rFonts w:ascii="Arial" w:cs="Arial" w:eastAsia="Arial" w:hAnsi="Arial"/>
          <w:i/>
          <w:iCs/>
          <w:color w:val="000000"/>
          <w:sz w:val="15"/>
          <w:szCs w:val="15"/>
        </w:rPr>
        <w:t xml:space="preserve">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pPr>
        <w:keepNext/>
        <w:spacing w:after="80" w:before="120"/>
      </w:pPr>
      <w:r>
        <w:rPr>
          <w:rFonts w:ascii="Arial" w:cs="Arial" w:eastAsia="Arial" w:hAnsi="Arial"/>
          <w:b/>
          <w:bCs/>
          <w:color w:val="00338D"/>
          <w:sz w:val="18"/>
          <w:szCs w:val="18"/>
        </w:rPr>
        <w:t xml:space="preserve">Tabel 17: </w:t>
      </w:r>
      <w:r>
        <w:rPr>
          <w:rFonts w:ascii="Arial" w:cs="Arial" w:eastAsia="Arial" w:hAnsi="Arial"/>
          <w:b/>
          <w:bCs/>
          <w:color w:val="00338D"/>
          <w:sz w:val="18"/>
          <w:szCs w:val="18"/>
        </w:rPr>
        <w:t xml:space="preserve">Tim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1157"/>
        <w:gridCol w:w="4144"/>
        <w:gridCol w:w="1156"/>
      </w:tblGrid>
      <w:tr>
        <w:trPr>
          <w:cantSplit/>
          <w:tblHeader/>
        </w:trPr>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 teknis (14)</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 bisnis dan domain (6–8)</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proyek</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pengendalian proyek (WBS, biaya, jadwal, risiko)</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AI / agen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keuangan / CFO (kas, piutang, utang usaha, pendanaan)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backend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pengadaan</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data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kontrak / klaim</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AI/ML</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Spesialis fungsional ERP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frontend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Analis bisnis / product owner</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DevOps / keamanan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Spesialis tata kelola data</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Engineer QA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r>
    </w:tbl>
    <w:p>
      <w:pPr>
        <w:keepNext w:val="false"/>
        <w:spacing w:after="140"/>
      </w:pPr>
    </w:p>
    <w:p>
      <w:pPr>
        <w:spacing w:after="80" w:before="0" w:line="258"/>
        <w:jc w:val="left"/>
      </w:pPr>
      <w:r>
        <w:rPr>
          <w:rFonts w:ascii="Arial" w:cs="Arial" w:eastAsia="Arial" w:hAnsi="Arial"/>
          <w:color w:val="000000"/>
          <w:sz w:val="16"/>
          <w:szCs w:val="16"/>
        </w:rPr>
        <w:t xml:space="preserve">Sumber: D3 hlm. 7–8. D3 hlm. 7 menghitung pimpinan proyek dalam jumlah 14 orang; D3 hlm. 8 mencantumkan 13 peran spesialis ditambah seorang engineer keamanan/IAM terpisah tanpa pimpinan proyek. Pembagian ini perlu dikonfirmasi; jumlah total tetap 14.</w:t>
      </w:r>
    </w:p>
    <w:p>
      <w:pPr>
        <w:pStyle w:val="Heading2"/>
        <w:keepNext/>
        <w:keepLines/>
        <w:spacing w:after="120" w:before="280"/>
      </w:pPr>
      <w:r>
        <w:rPr>
          <w:rFonts w:ascii="Arial" w:cs="Arial" w:eastAsia="Arial" w:hAnsi="Arial"/>
          <w:b/>
          <w:bCs/>
          <w:color w:val="00338D"/>
          <w:sz w:val="28"/>
          <w:szCs w:val="28"/>
        </w:rPr>
        <w:t xml:space="preserve">12.7 Sumber daya komputasi dan peningkatan skala</w:t>
      </w:r>
    </w:p>
    <w:p>
      <w:pPr>
        <w:keepNext/>
        <w:spacing w:after="80" w:before="120"/>
      </w:pPr>
      <w:r>
        <w:rPr>
          <w:rFonts w:ascii="Arial" w:cs="Arial" w:eastAsia="Arial" w:hAnsi="Arial"/>
          <w:b/>
          <w:bCs/>
          <w:color w:val="00338D"/>
          <w:sz w:val="18"/>
          <w:szCs w:val="18"/>
        </w:rPr>
        <w:t xml:space="preserve">Tabel 18: </w:t>
      </w:r>
      <w:r>
        <w:rPr>
          <w:rFonts w:ascii="Arial" w:cs="Arial" w:eastAsia="Arial" w:hAnsi="Arial"/>
          <w:b/>
          <w:bCs/>
          <w:color w:val="00338D"/>
          <w:sz w:val="18"/>
          <w:szCs w:val="18"/>
        </w:rPr>
        <w:t xml:space="preserve">Jalur peningkatan skala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1446"/>
        <w:gridCol w:w="5012"/>
        <w:gridCol w:w="1927"/>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Fase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 (sejak MVP dimulai)</w:t>
            </w:r>
          </w:p>
        </w:tc>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GPU</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Percontohan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bulan</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BUMN, 2–3 proyek, 6 agen utama, pengguna terbatas, validasi arsitektur dan model data</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GPU (1 lokasi)</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6–12 bulan</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 BUMN, 20–50 proyek, lebih banyak agen dan pengguna, ketersediaan tinggi</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GPU (2 lokasi / HA)</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bulan</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BUMN Karya, 100+ proyek, agen portofolio Danantara, computer vision skala besar, pengguna internal dan eksternal terpilih</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 GPU (klaster)</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4 Nasional</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bulan</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Seluruh BUMN Karya, ratusan proyek, analitik BUMN menyeluruh, integrasi ekosistem industri, pemulihan bencana (disaster recovery), layanan bagi pemangku kepentingan nasional</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16–24+ GPU (klaster multilokasi)</w:t>
            </w:r>
          </w:p>
        </w:tc>
      </w:tr>
    </w:tbl>
    <w:p>
      <w:pPr>
        <w:keepNext w:val="false"/>
        <w:spacing w:after="140"/>
      </w:pPr>
    </w:p>
    <w:p>
      <w:pPr>
        <w:keepNext/>
        <w:spacing w:after="80" w:before="120"/>
      </w:pPr>
      <w:r>
        <w:rPr>
          <w:rFonts w:ascii="Arial" w:cs="Arial" w:eastAsia="Arial" w:hAnsi="Arial"/>
          <w:b/>
          <w:bCs/>
          <w:color w:val="00338D"/>
          <w:sz w:val="18"/>
          <w:szCs w:val="18"/>
        </w:rPr>
        <w:t xml:space="preserve">Tabel 19: </w:t>
      </w:r>
      <w:r>
        <w:rPr>
          <w:rFonts w:ascii="Arial" w:cs="Arial" w:eastAsia="Arial" w:hAnsi="Arial"/>
          <w:b/>
          <w:bCs/>
          <w:color w:val="00338D"/>
          <w:sz w:val="18"/>
          <w:szCs w:val="18"/>
        </w:rPr>
        <w:t xml:space="preserve">Infrastruktur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675"/>
        <w:gridCol w:w="3662"/>
        <w:gridCol w:w="3181"/>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 (Fase 1)</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Spesifikasi</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GPU (inferensi LLM)</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 NVIDIA L40S 48 GB per server; 32–64 inti CPU; RAM 256–512 GB; NVMe 4–8 TB; 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Penyajian LLM (model 30–40B dan 7–14B), inferensi agen, embedding, pemantauan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platform data</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32–64 inti; RAM 256 GB; NVMe 8–16 TB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Basis data, lakehouse, vector DB, ETL, master data, knowledge graph, API gateway, alur kerja, log audit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pemrosesan dokumen</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16–32 inti; RAM 64–128 GB; opsional 1 GPU (L4/L40S)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OCR kontrak, gambar teknik, dan laporan; computer vision untuk kemajuan pekerjaan; klasifikasi dokumen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Penyimpanan / cadangan</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NAS / object storage 20–50 TB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Dokumen, BIM, gambar, video; pencadangan dan pemulihan bencana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Jaringan</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Interkoneksi server dan akses internal</w:t>
            </w:r>
          </w:p>
        </w:tc>
      </w:tr>
    </w:tbl>
    <w:p>
      <w:pPr>
        <w:keepNext w:val="false"/>
        <w:spacing w:after="140"/>
      </w:pPr>
    </w:p>
    <w:p>
      <w:pPr>
        <w:keepNext/>
        <w:spacing w:after="80" w:before="120"/>
      </w:pPr>
      <w:r>
        <w:rPr>
          <w:rFonts w:ascii="Arial" w:cs="Arial" w:eastAsia="Arial" w:hAnsi="Arial"/>
          <w:b/>
          <w:bCs/>
          <w:color w:val="00338D"/>
          <w:sz w:val="18"/>
          <w:szCs w:val="18"/>
        </w:rPr>
        <w:t xml:space="preserve">Tabel 20: </w:t>
      </w:r>
      <w:r>
        <w:rPr>
          <w:rFonts w:ascii="Arial" w:cs="Arial" w:eastAsia="Arial" w:hAnsi="Arial"/>
          <w:b/>
          <w:bCs/>
          <w:color w:val="00338D"/>
          <w:sz w:val="18"/>
          <w:szCs w:val="18"/>
        </w:rPr>
        <w:t xml:space="preserve">Kelas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446"/>
        <w:gridCol w:w="3083"/>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Jenis model</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 yang disebut dalam D3</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Estimasi GPU</w:t>
            </w:r>
          </w:p>
        </w:tc>
        <w:tc>
          <w:tcPr>
            <w:tcW w:type="dxa" w:w="308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Kegunaan utama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LLM utama (30–40B)</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70B (4-bit), Qwen 2.5 32B, Mistral 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Penalaran agen, analisis dokumen, ringkasan eksekutif, rekomendasi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LLM kecil (7–14B)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8B, Qwen 2.5 7B</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Klasifikasi, routing, ekstraksi informasi, tugas ringan antaragen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Model embedding</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bge-large, E5-large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Pencarian vektor, RAG dokumen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Computer vision (opsional)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YOLO, SAM, VideoMAE</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Analisis kemajuan pekerjaan; deteksi objek dan aktivitas</w:t>
            </w:r>
          </w:p>
        </w:tc>
      </w:tr>
    </w:tbl>
    <w:p>
      <w:pPr>
        <w:keepNext w:val="false"/>
        <w:spacing w:after="140"/>
      </w:pPr>
    </w:p>
    <w:p>
      <w:pPr>
        <w:spacing w:after="160"/>
      </w:pPr>
      <w:r>
        <w:rPr>
          <w:rFonts w:ascii="Arial" w:cs="Arial" w:eastAsia="Arial" w:hAnsi="Arial"/>
          <w:i/>
          <w:iCs/>
          <w:color w:val="000000"/>
          <w:sz w:val="15"/>
          <w:szCs w:val="15"/>
        </w:rPr>
        <w:t xml:space="preserve">Sumber: D3 hlm. 8. D3 mengelompokkan Llama 3.1 70B (4-bit) ke dalam kelas 30–40B; model ini adalah model 70B yang dikuantisasi agar muat dan perlu diuji bebannya. Pilihan model cepat usang: pilih model open-weight terkini dengan lisensi komersial yang sesuai pada saat pengadaan.</w:t>
      </w:r>
    </w:p>
    <w:p>
      <w:pPr>
        <w:spacing w:after="100" w:before="0" w:line="258"/>
        <w:jc w:val="left"/>
      </w:pPr>
      <w:r>
        <w:rPr>
          <w:rFonts w:ascii="Arial" w:cs="Arial" w:eastAsia="Arial" w:hAnsi="Arial"/>
          <w:color w:val="000000"/>
          <w:sz w:val="19"/>
          <w:szCs w:val="19"/>
        </w:rPr>
        <w:t xml:space="preserve">Kondisi akhirnya adalah desain </w:t>
      </w:r>
      <w:r>
        <w:rPr>
          <w:rFonts w:ascii="Arial" w:cs="Arial" w:eastAsia="Arial" w:hAnsi="Arial"/>
          <w:b/>
          <w:bCs/>
          <w:color w:val="000000"/>
          <w:sz w:val="19"/>
          <w:szCs w:val="19"/>
        </w:rPr>
        <w:t xml:space="preserve">hub-and-spoke</w:t>
      </w:r>
      <w:r>
        <w:rPr>
          <w:rFonts w:ascii="Arial" w:cs="Arial" w:eastAsia="Arial" w:hAnsi="Arial"/>
          <w:color w:val="000000"/>
          <w:sz w:val="19"/>
          <w:szCs w:val="19"/>
        </w:rPr>
        <w:t xml:space="preserv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pPr>
        <w:pStyle w:val="Heading3"/>
        <w:keepNext/>
        <w:keepLines/>
        <w:spacing w:after="80" w:before="200"/>
      </w:pPr>
      <w:r>
        <w:rPr>
          <w:rFonts w:ascii="Arial" w:cs="Arial" w:eastAsia="Arial" w:hAnsi="Arial"/>
          <w:b/>
          <w:bCs/>
          <w:color w:val="005EB8"/>
          <w:sz w:val="22"/>
          <w:szCs w:val="22"/>
        </w:rPr>
        <w:t xml:space="preserve">Di luar sektor konstruksi</w:t>
      </w:r>
    </w:p>
    <w:p>
      <w:pPr>
        <w:spacing w:after="100" w:before="0" w:line="258"/>
        <w:jc w:val="left"/>
      </w:pPr>
      <w:r>
        <w:rPr>
          <w:rFonts w:ascii="Arial" w:cs="Arial" w:eastAsia="Arial" w:hAnsi="Arial"/>
          <w:color w:val="000000"/>
          <w:sz w:val="19"/>
          <w:szCs w:val="19"/>
        </w:rPr>
        <w:t xml:space="preserve">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pPr>
        <w:pStyle w:val="Heading2"/>
        <w:keepNext/>
        <w:keepLines/>
        <w:spacing w:after="120" w:before="280"/>
      </w:pPr>
      <w:r>
        <w:rPr>
          <w:rFonts w:ascii="Arial" w:cs="Arial" w:eastAsia="Arial" w:hAnsi="Arial"/>
          <w:b/>
          <w:bCs/>
          <w:color w:val="00338D"/>
          <w:sz w:val="28"/>
          <w:szCs w:val="28"/>
        </w:rPr>
        <w:t xml:space="preserve">12.8 Tata kelola sistem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Kedaulatan data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lokal dan model open-weight, sebagaimana diusulkan D3; data rahasia atau sensitif tidak pernah keluar dari lingkungan yang terkendali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Keamanan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berbasis peran, isolasi multi-tenant antar-BUMN, log audit atas setiap tindakan agen, kendali yang selaras dengan BSSN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model</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 evaluasi per agen; guardrail; setiap rekomendasi mengutip catatan sumber yang digunakan; tinjauan akurasi berkala terhadap hasil aktual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Baca-saja terlebih dahulu</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Integrasi Fase 1 dengan ERP bersifat baca-saja; penulisan balik (write-back) hanya setelah pengendalian terbukti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Akuntabilitas</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agen memiliki pemilik bisnis yang ditunjuk; persetujuan manusia untuk semua keputusan material (Bagian 12.5)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Manfaat</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Diukur sebagai manfaat bersih terverifikasi setelah biaya implementasi dan operasional (O09), bukan sebagai jam yang dihemat atau laporan yang dihasilkan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Independensi vendor</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Antarmuka terbuka dan model yang portabel untuk menghindari ketergantungan pada vendor (lock-in)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Hasil yang diharapkan dan cara mengukurnya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 yang diharapkan (D3)</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 indikator terukur</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banyak kontrak dengan margin sehat</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nilai kontrak baru yang ditawar pada atau di atas margin minimum yang disesuaikan dengan risiko; margin saat penyelesaian dibandingkan saat penawaran</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Penagihan piutang yang lebih cepat</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Days sales outstanding; piutang jatuh tempo menurut pemilik proyek; pekerjaan yang belum ditagih</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sedikit proyek bermasalah dan kerugian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proyek berstatus Merah/Hitam; waktu dari peringatan pertama hingga rencana pemulihan; pencadangan kerugian</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Arus kas dan kesehatan neraca yang lebih baik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Konversi kas operasional; utang bersih/EBITDA</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Adopsi (usulan)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Pengguna aktif mingguan menurut peran; porsi keputusan yang diambil dengan melampirkan bukti dari agen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Business case, kelayakan, dan manajemen perubahan</w:t>
      </w:r>
    </w:p>
    <w:p>
      <w:pPr>
        <w:spacing w:after="100" w:before="0" w:line="258"/>
        <w:jc w:val="left"/>
      </w:pPr>
      <w:r>
        <w:rPr>
          <w:rFonts w:ascii="Arial" w:cs="Arial" w:eastAsia="Arial" w:hAnsi="Arial"/>
          <w:color w:val="000000"/>
          <w:sz w:val="19"/>
          <w:szCs w:val="19"/>
        </w:rPr>
        <w:t xml:space="preserve">D3 tidak menghitung biaya program. Business case perlu disusun sebelum Fase 2. Sisi manfaatnya dapat diukur secara sederhana. Untuk BUMN Karya ilustratif dengan pendapatan tahunan Rp20 triliun, pengurangan days sales outstanding sebesar 10 hari membebaskan kas sekitar Rp0,55 triliun, yang menghemat sekitar Rp55 miliar per tahun pada biaya utang 10%. Menghindari satu kontrak merugi senilai Rp1 triliun yang ditawar dengan margin −10% berarti menghindari kerugian sekitar Rp100 miliar. Ini adalah ilustrasi kelas D. Dengan besaran seperti ini, MVP dengan ukuran sebagaimana diuraikan kemungkinan besar akan cepat balik modal apabila satu saja efek tersebut terealisasi dan terverifikasi; hal ini perlu dikonfirmasi saat biaya MVP dihitung.</w:t>
      </w:r>
    </w:p>
    <w:p>
      <w:pPr>
        <w:pStyle w:val="ListParagraph"/>
        <w:numPr>
          <w:ilvl w:val="0"/>
          <w:numId w:val="2"/>
        </w:numPr>
        <w:spacing w:after="60" w:line="264"/>
      </w:pPr>
      <w:r>
        <w:rPr>
          <w:rFonts w:ascii="Arial" w:cs="Arial" w:eastAsia="Arial" w:hAnsi="Arial"/>
          <w:b/>
          <w:bCs/>
          <w:sz w:val="19"/>
          <w:szCs w:val="19"/>
        </w:rPr>
        <w:t xml:space="preserve">Kelayakan.</w:t>
      </w:r>
      <w:r>
        <w:rPr>
          <w:rFonts w:ascii="Arial" w:cs="Arial" w:eastAsia="Arial" w:hAnsi="Arial"/>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pPr>
        <w:pStyle w:val="ListParagraph"/>
        <w:numPr>
          <w:ilvl w:val="0"/>
          <w:numId w:val="2"/>
        </w:numPr>
        <w:spacing w:after="60" w:line="264"/>
      </w:pPr>
      <w:r>
        <w:rPr>
          <w:rFonts w:ascii="Arial" w:cs="Arial" w:eastAsia="Arial" w:hAnsi="Arial"/>
          <w:b/>
          <w:bCs/>
          <w:sz w:val="19"/>
          <w:szCs w:val="19"/>
        </w:rPr>
        <w:t xml:space="preserve">Manajemen perubahan.</w:t>
      </w:r>
      <w:r>
        <w:rPr>
          <w:rFonts w:ascii="Arial" w:cs="Arial" w:eastAsia="Arial" w:hAnsi="Arial"/>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13</w:t>
            </w:r>
          </w:p>
          <w:p>
            <w:pPr>
              <w:pStyle w:val="Heading1"/>
              <w:spacing w:after="100"/>
            </w:pPr>
            <w:r>
              <w:rPr>
                <w:rFonts w:ascii="Arial" w:cs="Arial" w:eastAsia="Arial" w:hAnsi="Arial"/>
                <w:b/>
                <w:bCs/>
                <w:color w:val="FFFFFF"/>
                <w:sz w:val="40"/>
                <w:szCs w:val="40"/>
              </w:rPr>
              <w:t xml:space="preserve">Tata kelola, organisasi, dan hak keputusan</w:t>
            </w:r>
          </w:p>
          <w:p>
            <w:pPr>
              <w:spacing w:after="0" w:line="276"/>
            </w:pPr>
            <w:r>
              <w:rPr>
                <w:rFonts w:ascii="Arial" w:cs="Arial" w:eastAsia="Arial" w:hAnsi="Arial"/>
                <w:color w:val="FFFFFF"/>
                <w:sz w:val="20"/>
                <w:szCs w:val="20"/>
              </w:rPr>
              <w:t xml:space="preserve">Siapa yang mengintegrasikan portofolio, siapa yang memutuskan, dan bagaimana independensi fungsi risiko, hukum, dan audit dilindungi sementara proyek dipercepat.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13.1 Empat opsi organisasi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2602"/>
        <w:gridCol w:w="2891"/>
        <w:gridCol w:w="2121"/>
      </w:tblGrid>
      <w:tr>
        <w:trPr>
          <w:cantSplit/>
          <w:tblHeader/>
        </w:trPr>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Opsi</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Kekuatan</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Keterbatasan</w:t>
            </w:r>
          </w:p>
        </w:tc>
        <w:tc>
          <w:tcPr>
            <w:tcW w:type="dxa" w:w="212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 Memperkuat CTO dan DDMF</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Cepat; memanfaatkan fungsi yang ada; sesuai untuk proyek pengembangan dan teknologi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Mandat lintas DAM dan DIM serta hasil korporasi memerlukan piagam yang jelas</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Layak apabila hampir seluruh portofolio berada dalam mandat DDMF</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 Unit Industri Strategis di tingkat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Mengintegrasikan 40 proyek lintas lini; satu pemilik pengelolaan portofolio</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Risiko menjadi lapisan rapat tambahan tanpa akses data dan kewenangan penyelesaian hambatan</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Opsi awal yang direkomendasikan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 Wakil Kepala formal memimpin lini</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Kedudukan eksekutif senior dapat memperkuat koordinasi dan kesinambungan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Memerlukan kepastian hukum atas jabatan, hierarki, dan kewenangan; risiko sentralisasi atau konflik dengan COO/CIO/CTO</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Opsi pengembangan setelah kebutuhan kewenangan terbukti</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 Holding industri atau badan baru di luar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Dapat sesuai untuk kepemilikan platform tertentu atau mandat lintas sektor yang khusus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Pengalihan aset, pendanaan, kepemilikan saham, dan regulasi yang kompleks; dapat memecah portofolio</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Hanya apabila kebutuhan akan badan hukum terpisah terbukti</w:t>
            </w:r>
          </w:p>
        </w:tc>
      </w:tr>
    </w:tbl>
    <w:p>
      <w:pPr>
        <w:keepNext w:val="false"/>
        <w:spacing w:after="140"/>
      </w:pPr>
    </w:p>
    <w:p>
      <w:pPr>
        <w:spacing w:after="160"/>
      </w:pPr>
      <w:r>
        <w:rPr>
          <w:rFonts w:ascii="Arial" w:cs="Arial" w:eastAsia="Arial" w:hAnsi="Arial"/>
          <w:i/>
          <w:iCs/>
          <w:color w:val="000000"/>
          <w:sz w:val="15"/>
          <w:szCs w:val="15"/>
        </w:rPr>
        <w:t xml:space="preserve">Sumber: D2 §6.</w:t>
      </w:r>
    </w:p>
    <w:p>
      <w:pPr>
        <w:spacing w:after="100" w:before="0" w:line="258"/>
        <w:jc w:val="left"/>
      </w:pPr>
      <w:r>
        <w:rPr>
          <w:rFonts w:ascii="Arial" w:cs="Arial" w:eastAsia="Arial" w:hAnsi="Arial"/>
          <w:color w:val="000000"/>
          <w:sz w:val="19"/>
          <w:szCs w:val="19"/>
        </w:rPr>
        <w:t xml:space="preserve">Opsi B didahulukan karena kesenjangannya terletak pada </w:t>
      </w:r>
      <w:r>
        <w:rPr>
          <w:rFonts w:ascii="Arial" w:cs="Arial" w:eastAsia="Arial" w:hAnsi="Arial"/>
          <w:b/>
          <w:bCs/>
          <w:color w:val="000000"/>
          <w:sz w:val="19"/>
          <w:szCs w:val="19"/>
        </w:rPr>
        <w:t xml:space="preserve">integrasi portofolio dan penyelesaian hambatan</w:t>
      </w:r>
      <w:r>
        <w:rPr>
          <w:rFonts w:ascii="Arial" w:cs="Arial" w:eastAsia="Arial" w:hAnsi="Arial"/>
          <w:color w:val="000000"/>
          <w:sz w:val="19"/>
          <w:szCs w:val="19"/>
        </w:rPr>
        <w:t xml:space="preserve">;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pPr>
        <w:pStyle w:val="Heading2"/>
        <w:keepNext/>
        <w:keepLines/>
        <w:spacing w:after="120" w:before="280"/>
      </w:pPr>
      <w:r>
        <w:rPr>
          <w:rFonts w:ascii="Arial" w:cs="Arial" w:eastAsia="Arial" w:hAnsi="Arial"/>
          <w:b/>
          <w:bCs/>
          <w:color w:val="00338D"/>
          <w:sz w:val="28"/>
          <w:szCs w:val="28"/>
        </w:rPr>
        <w:t xml:space="preserve">13.2 NITO: menerapkan National Industrial Transformation Office sebagai unit</w:t>
      </w:r>
    </w:p>
    <w:p>
      <w:pPr>
        <w:spacing w:after="100" w:before="0" w:line="258"/>
        <w:jc w:val="left"/>
      </w:pPr>
      <w:r>
        <w:rPr>
          <w:rFonts w:ascii="Arial" w:cs="Arial" w:eastAsia="Arial" w:hAnsi="Arial"/>
          <w:color w:val="000000"/>
          <w:sz w:val="19"/>
          <w:szCs w:val="19"/>
        </w:rPr>
        <w:t xml:space="preserve">D3 mengusulkan </w:t>
      </w:r>
      <w:r>
        <w:rPr>
          <w:rFonts w:ascii="Arial" w:cs="Arial" w:eastAsia="Arial" w:hAnsi="Arial"/>
          <w:b/>
          <w:bCs/>
          <w:color w:val="000000"/>
          <w:sz w:val="19"/>
          <w:szCs w:val="19"/>
        </w:rPr>
        <w:t xml:space="preserve">Danantara National Industrial Transformation Office (NITO)</w:t>
      </w:r>
      <w:r>
        <w:rPr>
          <w:rFonts w:ascii="Arial" w:cs="Arial" w:eastAsia="Arial" w:hAnsi="Arial"/>
          <w:color w:val="000000"/>
          <w:sz w:val="19"/>
          <w:szCs w:val="19"/>
        </w:rPr>
        <w:t xml:space="preserve"> dengan delapan fungsi. Kami merekomendasikan agar NITO diterapkan sebagai unit Opsi B di dalam BPI, bukan sebagai holding atau badan hukum baru, dan agar fungsinya dipetakan ke struktur yang diusulkan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277"/>
        <w:gridCol w:w="3662"/>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 NITO (D3)</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Penempatan dalam unit (struktur D2)</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Catatan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 dan peta jalan industri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Pengembangan Industri Strategis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Industrialisasi, Kepala Ekonom, Pemangku Kepentingan, dan Hubungan Global</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proyek (pra-FEED, FEED, FID)</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dan Pelaksanaan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Memanfaatkan Technology Advancement dan Strategic Technology Initiatives; setiap proyek tetap memiliki pimpinan rekayasa sendiri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Teknologi dan HKI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dan Pelaksanaan bersama 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 memberikan kajian teknis independen atas klaim vendor</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rantai pasok (DOCK-UP)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Pengembangan Industri Strategis; pimpinan klaster</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Menjalankan kantor DOCK-UP dan register kesiapan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Integrasi permintaan BUMN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Portofolio dan Pelaksanaan Proyek; pimpinan klaster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Menghimpun permintaan proyek jangkar (anchor project) ke dalam rencana lokalisasi</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Pembiayaan industri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Disiapkan oleh unit; diputuskan oleh CIO/DIM dan 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menyiapkan paket; unit tidak menyetujui modal</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Kantor kinerja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Portofolio dan Pelaksanaan Proyek</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Memelihara register, scorecard, dan pelacakan manfaat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Asurans independen (D3: “asuransi independen”)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Di luar unit</w:t>
            </w:r>
            <w:r>
              <w:rPr>
                <w:rFonts w:ascii="Arial" w:cs="Arial" w:eastAsia="Arial" w:hAnsi="Arial"/>
                <w:b w:val="false"/>
                <w:bCs w:val="false"/>
                <w:color w:val="000000"/>
                <w:sz w:val="16"/>
                <w:szCs w:val="16"/>
              </w:rPr>
              <w:t xml:space="preserve">: Audit Internal dan evaluasi independen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Suatu unit tidak dapat memberikan asurans atas pekerjaannya sendiri; fungsi ini harus melapor secara independen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13.3 Struktur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Tanggung jawab utama</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Hubungan dengan fungsi yang ada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Kepala Industri Strategis dan Pelaksanaan Proyek</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Prioritas terintegrasi, penyelesaian ketergantungan, mutu paket keputusan, kapasitas tim, pelaporan hasil</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Melapor kepada Kepala Badan Pelaksana; tidak memiliki kewenangan persetujuan umum</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Portofolio dan Pelaksanaan Proyek</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40 proyek, jadwal terintegrasi, hambatan, mutu data, laporan keputusan, dan manfaat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Office of the Board, Digital Solutions, dan Keuangan mendukung sistem dan jejak keputusan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Pengembangan Industri Strategis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Arsitektur rantai nilai, pasar, offtake, mitra, substitusi impor, kapasitas pemasok, manfaat nasional</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Industrialisasi, Kepala Ekonom, Pemangku Kepentingan, dan Hubungan Global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Rekayasa dan Pelaksanaan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Kesiapan kajian, rekayasa, strategi kontrak, konstruktabilitas, biaya, commissioning, dan evaluasi teknis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Memanfaatkan Technology Advancement dan Strategic Technology Initiatives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Empat pimpinan klaster</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Menyelesaikan ketergantungan dalam klaster; memetakan bahan baku, pasar, teknologi, dan fasilitas bersama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Tim matriks dari BUMN, holding, dan fungsi BPI berdasarkan penugasan</w:t>
            </w:r>
          </w:p>
        </w:tc>
      </w:tr>
    </w:tbl>
    <w:p>
      <w:pPr>
        <w:keepNext w:val="false"/>
        <w:spacing w:after="140"/>
      </w:pPr>
    </w:p>
    <w:p>
      <w:pPr>
        <w:spacing w:after="100" w:before="0" w:line="258"/>
        <w:jc w:val="left"/>
      </w:pPr>
      <w:r>
        <w:rPr>
          <w:rFonts w:ascii="Arial" w:cs="Arial" w:eastAsia="Arial" w:hAnsi="Arial"/>
          <w:color w:val="000000"/>
          <w:sz w:val="19"/>
          <w:szCs w:val="19"/>
        </w:rPr>
        <w:t xml:space="preserve">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pPr>
        <w:pStyle w:val="Heading2"/>
        <w:keepNext/>
        <w:keepLines/>
        <w:spacing w:after="120" w:before="280"/>
      </w:pPr>
      <w:r>
        <w:rPr>
          <w:rFonts w:ascii="Arial" w:cs="Arial" w:eastAsia="Arial" w:hAnsi="Arial"/>
          <w:b/>
          <w:bCs/>
          <w:color w:val="00338D"/>
          <w:sz w:val="28"/>
          <w:szCs w:val="28"/>
        </w:rPr>
        <w:t xml:space="preserve">13.4 Hubungan kerja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662"/>
        <w:gridCol w:w="424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Tetap bertanggung jawab atas</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Hubungan dengan unit</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COO dan DAM</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dan transformasi operasi portofolio</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Menunjuk sponsor dan kapabilitas operasional BUMN; menyepakati batas aset dan kesiapan operasional</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CIO dan DIM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Pengujian investasi komersial, alokasi modal, kemitraan investasi</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Mengkaji business case finansial dan struktur pendanaan dalam paket keputusan yang sama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Arsitektur teknologi, kesiapan skala, HKI, strategi kapabilitas industri</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teknis independen atas klaim vendor; masukan pemilihan teknologi</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Penyiapan, penstrukturan, mobilisasi modal, dan pelaksanaan proyek pengembangan</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mengelola ketergantungan lintas portofolio; DDMF melaksanakan proyek yang ditugaskan kepadanya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Keuangan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Likuiditas, biaya modal, akuntansi, eksposur, konsolidasi</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sumber modal dan pembiayaan; mendukung pemantauan biaya proyek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dan Hukum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Opini risiko, kepatuhan, dan kewenangan, dengan kebebasan untuk menyatakan keberatan</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melapor secara substantif kepada pengusul proyek; opini dicatat dalam risalah keputusan</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Audit Internal</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Asurans atas pengendalian dan tindak lanjut temuan</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Mengakses informasi dan melapor melalui jalur audit yang sah; tidak pernah menjadi pemberi persetujuan investasi</w:t>
            </w:r>
          </w:p>
        </w:tc>
      </w:tr>
    </w:tbl>
    <w:p>
      <w:pPr>
        <w:keepNext w:val="false"/>
        <w:spacing w:after="140"/>
      </w:pPr>
    </w:p>
    <w:p>
      <w:pPr>
        <w:spacing w:after="100" w:before="0" w:line="258"/>
        <w:jc w:val="left"/>
      </w:pPr>
      <w:r>
        <w:rPr>
          <w:rFonts w:ascii="Arial" w:cs="Arial" w:eastAsia="Arial" w:hAnsi="Arial"/>
          <w:color w:val="000000"/>
          <w:sz w:val="19"/>
          <w:szCs w:val="19"/>
        </w:rPr>
        <w:t xml:space="preserve">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pPr>
        <w:pStyle w:val="Heading2"/>
        <w:keepNext/>
        <w:keepLines/>
        <w:spacing w:after="120" w:before="280"/>
      </w:pPr>
      <w:r>
        <w:rPr>
          <w:rFonts w:ascii="Arial" w:cs="Arial" w:eastAsia="Arial" w:hAnsi="Arial"/>
          <w:b/>
          <w:bCs/>
          <w:color w:val="00338D"/>
          <w:sz w:val="28"/>
          <w:szCs w:val="28"/>
        </w:rPr>
        <w:t xml:space="preserve">13.5 Hak keputusan untuk keputusan utama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Objek keputusan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Pemutus</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 unit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Prioritas portofolio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unit menyusun rancangan; ditetapkan Badan Pelaksana oleh Kepala sesuai kewenangan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usulan dan menunjukkan konflik sumber daya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Rencana dan perubahan Badan Pelaksana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mengusulkan; Dewan Pengawas dan Presiden menyetujui sebagaimana diatur dalam peraturan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Menyiapkan proyek dan anggaran untuk rencana; tidak menggantikan persetujuan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oleh perusahaan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Direksi, RUPS, atau organ lain sesuai anggaran dasar, batas kewenangan, dan regulasi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kesiapan dan ketergantungan; bukan persetujuan atas seluruh investasi grup</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Pinjaman atau agunan oleh Badan Pelaksana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Presiden dan kewenangan Dewan Pengawas berdasarkan PP; dilaksanakan oleh Badan setelah lengkap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Menyiapkan kebutuhan dan alternatif; Keuangan dan Hukum menetapkan struktur yang telah diuji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Penjaminan oleh Badan Pelaksana kepada holding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Dewan Pengawas dan persetujuan Presiden terkait diperiksa berdasarkan PP</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pernah menerbitkan komitmen penjaminan atas nama Badan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Kontrak konstruksi dan perubahannya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Organ atau pejabat yang berwenang pada perusahaan pelaksana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mengkaji; direktur proyek mengendalikan pelaksanaan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Hak HKI dan standar</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Perjanjian dan organ perusahaan memutuskan hak HKI; otoritas negara menetapkan standar wajib (termasuk TKDN)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Merundingkan strategi HKI dan persyaratan teknis; tidak menetapkan standar nasional</w:t>
            </w:r>
          </w:p>
        </w:tc>
      </w:tr>
    </w:tbl>
    <w:p>
      <w:pPr>
        <w:keepNext w:val="false"/>
        <w:spacing w:after="140"/>
      </w:pPr>
    </w:p>
    <w:p>
      <w:pPr>
        <w:spacing w:after="160"/>
      </w:pPr>
      <w:r>
        <w:rPr>
          <w:rFonts w:ascii="Arial" w:cs="Arial" w:eastAsia="Arial" w:hAnsi="Arial"/>
          <w:i/>
          <w:iCs/>
          <w:color w:val="000000"/>
          <w:sz w:val="15"/>
          <w:szCs w:val="15"/>
        </w:rPr>
        <w:t xml:space="preserve">Sumber: D2 §12.</w:t>
      </w:r>
    </w:p>
    <w:p>
      <w:pPr>
        <w:pStyle w:val="Heading2"/>
        <w:keepNext/>
        <w:keepLines/>
        <w:spacing w:after="120" w:before="280"/>
      </w:pPr>
      <w:r>
        <w:rPr>
          <w:rFonts w:ascii="Arial" w:cs="Arial" w:eastAsia="Arial" w:hAnsi="Arial"/>
          <w:b/>
          <w:bCs/>
          <w:color w:val="00338D"/>
          <w:sz w:val="28"/>
          <w:szCs w:val="28"/>
        </w:rPr>
        <w:t xml:space="preserve">13.6 RASCI untuk 24 kegiatan inti</w:t>
      </w:r>
    </w:p>
    <w:p>
      <w:pPr>
        <w:spacing w:after="100" w:before="0" w:line="258"/>
        <w:jc w:val="left"/>
      </w:pPr>
      <w:r>
        <w:rPr>
          <w:rFonts w:ascii="Arial" w:cs="Arial" w:eastAsia="Arial" w:hAnsi="Arial"/>
          <w:color w:val="000000"/>
          <w:sz w:val="19"/>
          <w:szCs w:val="19"/>
        </w:rPr>
        <w:t xml:space="preserve">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964"/>
        <w:gridCol w:w="3855"/>
      </w:tblGrid>
      <w:tr>
        <w:trPr>
          <w:cantSplit/>
          <w:tblHeader/>
        </w:trPr>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CIO atau fungsi DIM yang ditugaskan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Industri Strategis di tingkat BPI</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CTO atau fungsi teknologi yang ditugaskan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Portofolio dan Pelaksanaan Proyek</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DDMF atau MD Investasi Pengembangan yang ditugaskan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ID</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Pengembangan Industri Strategis</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Fungsi risiko independen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Rekayasa dan Pelaksanaan</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LC</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Hukum dan Kepatuhan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Sponsor korporasi atau perusahaan proyek yang ditugaskan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Keuangan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PJ</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Direktur proyek pada perusahaan pelaksana</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Audit Internal</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atau fungsi DAM yang ditugaskan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DW / PR</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Dewan Pengawas / Presiden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OG</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Organ perusahaan yang berwenang secara hukum atas objek keputusan</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578"/>
        <w:gridCol w:w="1157"/>
        <w:gridCol w:w="1157"/>
        <w:gridCol w:w="2120"/>
        <w:gridCol w:w="1156"/>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Kegiatan</w:t>
            </w:r>
          </w:p>
        </w:tc>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S</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S01 Merekonsiliasi register 40 proyek</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CO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S02 Menyusun peta dan prioritas industri</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PD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S03 Menetapkan prioritas Badan Pelaksana sesuai mandat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S04 Paket kelayakan dan kesiapan proyek</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ID 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CT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S05 Opini teknologi dan HKI</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CI DD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S06 Opini risiko independen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CT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S07 Opini hukum dan jalur otorisasi</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FI SP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S08 Rancangan struktur pembiayaan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FI DD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S09 Paket rekomendasi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S10 Keputusan Badan Pelaksana sesuai kewenangan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S11 Persetujuan Presiden apabila diwajibkan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S12 Persetujuan Dewan Pengawas apabila diwajibkan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 SI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S13 Keputusan investasi perusahaan sesuai anggaran dasar</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 SI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S14 Efektivitas kontrak dan financial close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CI DD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EN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S15 Konstruksi sesuai penugasan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S16 Perubahan material kontrak atau biaya</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S17 Menyelesaikan isu internal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EN 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S18 Mengeskalasi isu lintas instansi ke forum yang sah</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SP CO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S19 Penerimaan commissioning oleh perusahaan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CT</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S20 Operasi dan kinerja aset</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PJ</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RS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S21 Mengonsolidasikan manfaat dan hasil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RS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 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S22 Audit proses independen dan temuan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S23 Mengkaji usulan penundaan, penghentian, atau exit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OG</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S24 Keputusan penghentian oleh perusahaan sesuai anggaran dasar</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LC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RS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KP PD</w:t>
            </w:r>
          </w:p>
        </w:tc>
      </w:tr>
    </w:tbl>
    <w:p>
      <w:pPr>
        <w:keepNext w:val="false"/>
        <w:spacing w:after="140"/>
      </w:pPr>
    </w:p>
    <w:p>
      <w:pPr>
        <w:spacing w:after="80" w:before="0" w:line="258"/>
        <w:jc w:val="left"/>
      </w:pPr>
      <w:r>
        <w:rPr>
          <w:rFonts w:ascii="Arial" w:cs="Arial" w:eastAsia="Arial" w:hAnsi="Arial"/>
          <w:color w:val="000000"/>
          <w:sz w:val="16"/>
          <w:szCs w:val="16"/>
        </w:rPr>
        <w:t xml:space="preserve">Baris S11 dan S12 hanya berlaku apabila peraturan mewajibkan persetujuan tersebut. Peran Presiden dan Dewan Pengawas adalah sebagaimana ditetapkan oleh peraturan; peran tersebut ditampilkan demi kelengkapan dan tidak ditetapkan oleh kajian ini.</w:t>
      </w:r>
    </w:p>
    <w:p>
      <w:pPr>
        <w:pStyle w:val="Heading2"/>
        <w:keepNext/>
        <w:keepLines/>
        <w:spacing w:after="120" w:before="280"/>
      </w:pPr>
      <w:r>
        <w:rPr>
          <w:rFonts w:ascii="Arial" w:cs="Arial" w:eastAsia="Arial" w:hAnsi="Arial"/>
          <w:b/>
          <w:bCs/>
          <w:color w:val="00338D"/>
          <w:sz w:val="28"/>
          <w:szCs w:val="28"/>
        </w:rPr>
        <w:t xml:space="preserve">13.7 Penyelesaian hambatan dan eskalasi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Triase</w:t>
            </w:r>
          </w:p>
          <w:p>
            <w:pPr>
              <w:spacing w:after="0" w:line="236"/>
            </w:pPr>
            <w:r>
              <w:rPr>
                <w:rFonts w:ascii="Arial" w:cs="Arial" w:eastAsia="Arial" w:hAnsi="Arial"/>
                <w:color w:val="FFFFFF"/>
                <w:sz w:val="15"/>
                <w:szCs w:val="15"/>
              </w:rPr>
              <w:t xml:space="preserve">Dalam 2 hari kerja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Rencana penanganan</w:t>
            </w:r>
          </w:p>
          <w:p>
            <w:pPr>
              <w:spacing w:after="0" w:line="236"/>
            </w:pPr>
            <w:r>
              <w:rPr>
                <w:rFonts w:ascii="Arial" w:cs="Arial" w:eastAsia="Arial" w:hAnsi="Arial"/>
                <w:color w:val="FFFFFF"/>
                <w:sz w:val="15"/>
                <w:szCs w:val="15"/>
              </w:rPr>
              <w:t xml:space="preserve">Dalam 5 hari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Kajian lengkap</w:t>
            </w:r>
          </w:p>
          <w:p>
            <w:pPr>
              <w:spacing w:after="0" w:line="236"/>
            </w:pPr>
            <w:r>
              <w:rPr>
                <w:rFonts w:ascii="Arial" w:cs="Arial" w:eastAsia="Arial" w:hAnsi="Arial"/>
                <w:color w:val="FFFFFF"/>
                <w:sz w:val="15"/>
                <w:szCs w:val="15"/>
              </w:rPr>
              <w:t xml:space="preserve">Dalam 15 hari sejak dokumen lengkap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Eskalasi ke Kepala</w:t>
            </w:r>
          </w:p>
          <w:p>
            <w:pPr>
              <w:spacing w:after="0" w:line="236"/>
            </w:pPr>
            <w:r>
              <w:rPr>
                <w:rFonts w:ascii="Arial" w:cs="Arial" w:eastAsia="Arial" w:hAnsi="Arial"/>
                <w:color w:val="FFFFFF"/>
                <w:sz w:val="15"/>
                <w:szCs w:val="15"/>
              </w:rPr>
              <w:t xml:space="preserve">Isu lintas lini belum terselesaikan setelah 10 hari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Forum yang sah</w:t>
            </w:r>
          </w:p>
          <w:p>
            <w:pPr>
              <w:spacing w:after="0" w:line="236"/>
            </w:pPr>
            <w:r>
              <w:rPr>
                <w:rFonts w:ascii="Arial" w:cs="Arial" w:eastAsia="Arial" w:hAnsi="Arial"/>
                <w:color w:val="FFFFFF"/>
                <w:sz w:val="15"/>
                <w:szCs w:val="15"/>
              </w:rPr>
              <w:t xml:space="preserve">Isu kebijakan eksternal melalui forum pemerintah</w:t>
            </w:r>
          </w:p>
        </w:tc>
      </w:tr>
    </w:tbl>
    <w:p>
      <w:pPr>
        <w:spacing w:after="160"/>
      </w:pPr>
    </w:p>
    <w:p>
      <w:pPr>
        <w:spacing w:after="100" w:before="0" w:line="258"/>
        <w:jc w:val="left"/>
      </w:pPr>
      <w:r>
        <w:rPr>
          <w:rFonts w:ascii="Arial" w:cs="Arial" w:eastAsia="Arial" w:hAnsi="Arial"/>
          <w:color w:val="000000"/>
          <w:sz w:val="19"/>
          <w:szCs w:val="19"/>
        </w:rPr>
        <w:t xml:space="preserve">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pPr>
        <w:pStyle w:val="Heading2"/>
        <w:keepNext/>
        <w:keepLines/>
        <w:spacing w:after="120" w:before="280"/>
      </w:pPr>
      <w:r>
        <w:rPr>
          <w:rFonts w:ascii="Arial" w:cs="Arial" w:eastAsia="Arial" w:hAnsi="Arial"/>
          <w:b/>
          <w:bCs/>
          <w:color w:val="00338D"/>
          <w:sz w:val="28"/>
          <w:szCs w:val="28"/>
        </w:rPr>
        <w:t xml:space="preserve">13.8 Persoalan Wakil Kepala</w:t>
      </w:r>
    </w:p>
    <w:p>
      <w:pPr>
        <w:spacing w:after="100" w:before="0" w:line="258"/>
        <w:jc w:val="left"/>
      </w:pPr>
      <w:r>
        <w:rPr>
          <w:rFonts w:ascii="Arial" w:cs="Arial" w:eastAsia="Arial" w:hAnsi="Arial"/>
          <w:color w:val="000000"/>
          <w:sz w:val="19"/>
          <w:szCs w:val="19"/>
        </w:rPr>
        <w:t xml:space="preserve">PP 19/2026 tidak secara eksplisit membentuk jabatan Wakil Kepala Badan Pelaksana. Kepala mengambil keputusan Badan Pelaksana; anggota diangkat oleh Presiden; Pasal 14 memungkinkan anggota “sesuai kebutuhan” untuk portofolio lain [D2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048"/>
        <w:gridCol w:w="3084"/>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Desain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yang perlu dikaji</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Batas kewenangan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Unit Industri Strategis dengan pimpinan profesional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Peraturan Kepala, piagam unit, anggaran, board manual, ketentuan kepegawaian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unit tidak menjadi anggota organ hanya karena menyandang jabatan senior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Anggota Badan Pelaksana bidang Industri Strategis</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Kebutuhan berdasarkan Pasal 14; pengangkatan oleh Presiden; instrumen portofolio dan kerja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Dapat memimpin koordinasi; keanggotaan tidak mengalihkan keputusan Kepala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Wakil Kepala formal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Harmonisasi Pasal 12–18 dan ketentuan terkait dalam UU BUMN; perubahan PP apabila jabatan tersebut mengubah pengaturan itu</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Keputusan Presiden, Peraturan Presiden, atau ketentuan internal tidak dapat mengesampingkan peraturan yang lebih tinggi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Holding Industri Strategis baru</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Persetujuan Presiden; maksud dan tujuan, anggaran dasar, saham, modal, dan pengalihan aset sebagaimana diwajibkan (Pasal 29B)</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Holding tidak secara otomatis memberikan kewenangan kepada seorang pejabat atas seluruh proyek</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Nomenklatur dan kriteria eskalasi</w:t>
            </w:r>
          </w:p>
          <w:p>
            <w:pPr>
              <w:spacing w:after="80" w:line="264"/>
            </w:pPr>
            <w:r>
              <w:rPr>
                <w:rFonts w:ascii="Arial" w:cs="Arial" w:eastAsia="Arial" w:hAnsi="Arial"/>
                <w:color w:val="000000"/>
                <w:sz w:val="19"/>
                <w:szCs w:val="19"/>
              </w:rPr>
              <w:t xml:space="preserve">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pPr>
              <w:spacing w:after="80" w:line="264"/>
            </w:pPr>
            <w:r>
              <w:rPr>
                <w:rFonts w:ascii="Arial" w:cs="Arial" w:eastAsia="Arial" w:hAnsi="Arial"/>
                <w:color w:val="000000"/>
                <w:sz w:val="19"/>
                <w:szCs w:val="19"/>
              </w:rPr>
              <w:t xml:space="preserve">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13.9 Pelajaran dari negara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Negara / lembaga</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Praktik</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Adaptasi untuk Danantara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Tiongkok: SASAC, SDIC</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menjadi subjek keputusan investasi dan akuntabilitas; rencana investasi, daftar larangan dan daftar pengawasan khusus, studi kelayakan, evaluasi pascainvestasi; SDIC membangun ekosistem industri melalui investasi langsung dan dana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Kepemilikan keputusan yang jelas per entitas; kriteria masuk yang transparan; platform rantai nilai. Tidak dapat dialihkan secara utuh; Danantara tetap memerlukan uji pasar dan disiplin penghentian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Vietnam: CMSC, SCIC</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CMSC (2018, 19 perusahaan) dibubarkan efektif 21 Mar 2025 dan perusahaan dikembalikan ke kementerian; arahan Jun 2026 menuju dana investasi nasional berbasis SCIC</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reorganisasi memerlukan daftar pengalihan kewenangan, berkas proyek, kontrak, aset, pegawai, dan kewajiban. Pembubaran CMSC bukan bukti bahwa kepemilikan terpusat gagal</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India: PRAGATI, NIIF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Pemantauan berbasis teknologi dengan kepemimpinan tingkat tertinggi untuk mengatasi hambatan; NIIF sebagai platform yang dijangkarkan pemerintah untuk menarik modal institusional dengan uji tuntas sebelum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forum penyelesaian hambatan dari pengujian investasi; rapat tidak menggantikan izin atau keputusan perusahaan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Malaysia: Khazanah, NIMP 2030</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Piagam dewan, daftar kewenangan (schedule of matters), batas kewenangan, kerangka risiko; mandat yang dibedakan (Investments Portfolio, Dana Impak, Developmental Assets, Special Situation Assets); Delivery Management Unit di MITI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Kontrak mandat per lini; target dampak nasional berdampingan dengan target finansial dan batas risiko</w:t>
            </w:r>
          </w:p>
        </w:tc>
      </w:tr>
    </w:tbl>
    <w:p>
      <w:pPr>
        <w:keepNext w:val="false"/>
        <w:spacing w:after="140"/>
      </w:pPr>
    </w:p>
    <w:p>
      <w:pPr>
        <w:spacing w:after="160"/>
      </w:pPr>
      <w:r>
        <w:rPr>
          <w:rFonts w:ascii="Arial" w:cs="Arial" w:eastAsia="Arial" w:hAnsi="Arial"/>
          <w:i/>
          <w:iCs/>
          <w:color w:val="000000"/>
          <w:sz w:val="15"/>
          <w:szCs w:val="15"/>
        </w:rPr>
        <w:t xml:space="preserve">Sumber: D2 §4–5 dan referensi R10–R19 di dalamnya.</w:t>
      </w:r>
    </w:p>
    <w:p>
      <w:pPr>
        <w:pStyle w:val="Heading2"/>
        <w:keepNext/>
        <w:keepLines/>
        <w:spacing w:after="120" w:before="280"/>
      </w:pPr>
      <w:r>
        <w:rPr>
          <w:rFonts w:ascii="Arial" w:cs="Arial" w:eastAsia="Arial" w:hAnsi="Arial"/>
          <w:b/>
          <w:bCs/>
          <w:color w:val="00338D"/>
          <w:sz w:val="28"/>
          <w:szCs w:val="28"/>
        </w:rPr>
        <w:t xml:space="preserve">13.10 Insentif</w:t>
      </w:r>
    </w:p>
    <w:p>
      <w:pPr>
        <w:spacing w:after="100" w:before="0" w:line="258"/>
        <w:jc w:val="left"/>
      </w:pPr>
      <w:r>
        <w:rPr>
          <w:rFonts w:ascii="Arial" w:cs="Arial" w:eastAsia="Arial" w:hAnsi="Arial"/>
          <w:color w:val="000000"/>
          <w:sz w:val="19"/>
          <w:szCs w:val="19"/>
        </w:rPr>
        <w:t xml:space="preserve">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14</w:t>
            </w:r>
          </w:p>
          <w:p>
            <w:pPr>
              <w:pStyle w:val="Heading1"/>
              <w:spacing w:after="100"/>
            </w:pPr>
            <w:r>
              <w:rPr>
                <w:rFonts w:ascii="Arial" w:cs="Arial" w:eastAsia="Arial" w:hAnsi="Arial"/>
                <w:b/>
                <w:bCs/>
                <w:color w:val="FFFFFF"/>
                <w:sz w:val="40"/>
                <w:szCs w:val="40"/>
              </w:rPr>
              <w:t xml:space="preserve">Manajemen dan pengukuran kinerja</w:t>
            </w:r>
          </w:p>
          <w:p>
            <w:pPr>
              <w:spacing w:after="0" w:line="276"/>
            </w:pPr>
            <w:r>
              <w:rPr>
                <w:rFonts w:ascii="Arial" w:cs="Arial" w:eastAsia="Arial" w:hAnsi="Arial"/>
                <w:color w:val="FFFFFF"/>
                <w:sz w:val="20"/>
                <w:szCs w:val="20"/>
              </w:rPr>
              <w:t xml:space="preserve">Tiga scorecard yang saling terkait, indikator kapabilitas platform, sistem pemeringkatan yang adil, dan pengendalian terhadap penghitungan ganda.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14.1 Tiga scorecard yang saling terkait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446"/>
        <w:gridCol w:w="481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Scorecard</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Bobot usulan</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I01–I12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bersih di atas tolok ukur; IRR bersih di atas hurdle; PME; DPI; NPV finansial; cakupan likuiditas; mobilisasi swasta yang dapat diatribusikan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 BUMN</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O01–O15</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35%</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ROIC dikurangi WACC; laba ekonomi inkremental; konversi kas; biaya unit riil; ROE bank dikurangi biaya ekuitas; biaya PSO yang tidak didanai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Pembangunan ekonomi dan industri</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D01–D12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ekonomi di atas hurdle sosial; nilai tambah tambahan; lapangan kerja berkelanjutan; devisa bersih; tonggak capaian teknologi; dukungan publik per hasil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Gerbang tata kelola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6 pengendalian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Lulus / gagal</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Gerbang, bukan poin bonus; gerbang material yang belum terselesaikan mencegah skor keseluruhan tanpa kualifikasi</w:t>
            </w:r>
          </w:p>
        </w:tc>
      </w:tr>
    </w:tbl>
    <w:p>
      <w:pPr>
        <w:keepNext w:val="false"/>
        <w:spacing w:after="140"/>
      </w:pPr>
    </w:p>
    <w:p>
      <w:pPr>
        <w:spacing w:after="160"/>
      </w:pPr>
      <w:r>
        <w:rPr>
          <w:rFonts w:ascii="Arial" w:cs="Arial" w:eastAsia="Arial" w:hAnsi="Arial"/>
          <w:i/>
          <w:iCs/>
          <w:color w:val="000000"/>
          <w:sz w:val="15"/>
          <w:szCs w:val="15"/>
        </w:rPr>
        <w:t xml:space="preserve">Sumber: D1. Bobot hanya merupakan titik awal tata kelola. Kamus metrik lengkap terdapat di Lampiran A.</w:t>
      </w:r>
    </w:p>
    <w:p>
      <w:pPr>
        <w:spacing w:after="100" w:before="0" w:line="258"/>
        <w:jc w:val="left"/>
      </w:pPr>
      <w:r>
        <w:rPr>
          <w:rFonts w:ascii="Arial" w:cs="Arial" w:eastAsia="Arial" w:hAnsi="Arial"/>
          <w:color w:val="000000"/>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rFonts w:ascii="Arial" w:cs="Arial" w:eastAsia="Arial" w:hAnsi="Arial"/>
          <w:b/>
          <w:bCs/>
          <w:color w:val="000000"/>
          <w:sz w:val="19"/>
          <w:szCs w:val="19"/>
        </w:rPr>
        <w:t xml:space="preserve">30/30/40</w:t>
      </w:r>
      <w:r>
        <w:rPr>
          <w:rFonts w:ascii="Arial" w:cs="Arial" w:eastAsia="Arial" w:hAnsi="Arial"/>
          <w:color w:val="000000"/>
          <w:sz w:val="19"/>
          <w:szCs w:val="19"/>
        </w:rPr>
        <w:t xml:space="preserve"> pada 2028, seiring data pembangunan dan kapabilitas menjadi dapat dinilai, dan memasukkan indikator kapabilitas platform (Bagian 14.2) ke dalam aliran pembangunan apabila buktinya memenuhi ketentuan kelayakan.</w:t>
      </w:r>
    </w:p>
    <w:p>
      <w:pPr>
        <w:pStyle w:val="Heading3"/>
        <w:keepNext/>
        <w:keepLines/>
        <w:spacing w:after="80" w:before="200"/>
      </w:pPr>
      <w:r>
        <w:rPr>
          <w:rFonts w:ascii="Arial" w:cs="Arial" w:eastAsia="Arial" w:hAnsi="Arial"/>
          <w:b/>
          <w:bCs/>
          <w:color w:val="005EB8"/>
          <w:sz w:val="22"/>
          <w:szCs w:val="22"/>
        </w:rPr>
        <w:t xml:space="preserve">Ketentuan penilaian</w:t>
      </w:r>
    </w:p>
    <w:p>
      <w:pPr>
        <w:pStyle w:val="ListParagraph"/>
        <w:numPr>
          <w:ilvl w:val="0"/>
          <w:numId w:val="2"/>
        </w:numPr>
        <w:spacing w:after="60" w:line="264"/>
      </w:pPr>
      <w:r>
        <w:rPr>
          <w:rFonts w:ascii="Arial" w:cs="Arial" w:eastAsia="Arial" w:hAnsi="Arial"/>
          <w:sz w:val="19"/>
          <w:szCs w:val="19"/>
        </w:rPr>
        <w:t xml:space="preserve">Setiap metrik memiliki jangkar buruk, target, dan target lanjutan (stretch) yang disetujui, dengan skor </w:t>
      </w:r>
      <w:r>
        <w:rPr>
          <w:rFonts w:ascii="Arial" w:cs="Arial" w:eastAsia="Arial" w:hAnsi="Arial"/>
          <w:b/>
          <w:bCs/>
          <w:sz w:val="19"/>
          <w:szCs w:val="19"/>
        </w:rPr>
        <w:t xml:space="preserve">0, 80, dan 100</w:t>
      </w:r>
      <w:r>
        <w:rPr>
          <w:rFonts w:ascii="Arial" w:cs="Arial" w:eastAsia="Arial" w:hAnsi="Arial"/>
          <w:sz w:val="19"/>
          <w:szCs w:val="19"/>
        </w:rPr>
        <w:t xml:space="preserve">, menggunakan interpolasi linear yang dibatasi pada 0–100; metrik yang makin rendah makin baik dibalik.</w:t>
      </w:r>
    </w:p>
    <w:p>
      <w:pPr>
        <w:pStyle w:val="ListParagraph"/>
        <w:numPr>
          <w:ilvl w:val="0"/>
          <w:numId w:val="2"/>
        </w:numPr>
        <w:spacing w:after="60" w:line="264"/>
      </w:pPr>
      <w:r>
        <w:rPr>
          <w:rFonts w:ascii="Arial" w:cs="Arial" w:eastAsia="Arial" w:hAnsi="Arial"/>
          <w:sz w:val="19"/>
          <w:szCs w:val="19"/>
        </w:rPr>
        <w:t xml:space="preserve">Paling sedikit </w:t>
      </w:r>
      <w:r>
        <w:rPr>
          <w:rFonts w:ascii="Arial" w:cs="Arial" w:eastAsia="Arial" w:hAnsi="Arial"/>
          <w:b/>
          <w:bCs/>
          <w:sz w:val="19"/>
          <w:szCs w:val="19"/>
        </w:rPr>
        <w:t xml:space="preserve">80% bobot metrik yang berlaku</w:t>
      </w:r>
      <w:r>
        <w:rPr>
          <w:rFonts w:ascii="Arial" w:cs="Arial" w:eastAsia="Arial" w:hAnsi="Arial"/>
          <w:sz w:val="19"/>
          <w:szCs w:val="19"/>
        </w:rPr>
        <w:t xml:space="preserve"> harus dapat dinilai pada setiap aliran; seluruh metrik kritis dan gerbang harus lulus sebelum skor komposit diterbitkan.</w:t>
      </w:r>
    </w:p>
    <w:p>
      <w:pPr>
        <w:pStyle w:val="ListParagraph"/>
        <w:numPr>
          <w:ilvl w:val="0"/>
          <w:numId w:val="2"/>
        </w:numPr>
        <w:spacing w:after="60" w:line="264"/>
      </w:pPr>
      <w:r>
        <w:rPr>
          <w:rFonts w:ascii="Arial" w:cs="Arial" w:eastAsia="Arial" w:hAnsi="Arial"/>
          <w:b/>
          <w:bCs/>
          <w:sz w:val="19"/>
          <w:szCs w:val="19"/>
        </w:rPr>
        <w:t xml:space="preserve">Metrik yang tidak tersedia tetap NR, tidak pernah nol.</w:t>
      </w:r>
      <w:r>
        <w:rPr>
          <w:rFonts w:ascii="Arial" w:cs="Arial" w:eastAsia="Arial" w:hAnsi="Arial"/>
          <w:sz w:val="19"/>
          <w:szCs w:val="19"/>
        </w:rPr>
        <w:t xml:space="preserve"> Pengecualian memerlukan alasan dan persetujuan; bobot tidak boleh dihapus karena hasilnya buruk.</w:t>
      </w:r>
    </w:p>
    <w:p>
      <w:pPr>
        <w:pStyle w:val="ListParagraph"/>
        <w:numPr>
          <w:ilvl w:val="0"/>
          <w:numId w:val="2"/>
        </w:numPr>
        <w:spacing w:after="60" w:line="264"/>
      </w:pPr>
      <w:r>
        <w:rPr>
          <w:rFonts w:ascii="Arial" w:cs="Arial" w:eastAsia="Arial" w:hAnsi="Arial"/>
          <w:sz w:val="19"/>
          <w:szCs w:val="19"/>
        </w:rPr>
        <w:t xml:space="preserve">Hanya bukti kelas A atau B dengan cakupan yang sebanding, tolok ukur yang disetujui, dan sumber yang layak untuk dinilai.</w:t>
      </w:r>
    </w:p>
    <w:p>
      <w:pPr>
        <w:pStyle w:val="ListParagraph"/>
        <w:numPr>
          <w:ilvl w:val="0"/>
          <w:numId w:val="2"/>
        </w:numPr>
        <w:spacing w:after="60" w:line="264"/>
      </w:pPr>
      <w:r>
        <w:rPr>
          <w:rFonts w:ascii="Arial" w:cs="Arial" w:eastAsia="Arial" w:hAnsi="Arial"/>
          <w:b/>
          <w:bCs/>
          <w:sz w:val="19"/>
          <w:szCs w:val="19"/>
        </w:rPr>
        <w:t xml:space="preserve">Belum ada skor agregat yang ditetapkan saat ini</w:t>
      </w:r>
      <w:r>
        <w:rPr>
          <w:rFonts w:ascii="Arial" w:cs="Arial" w:eastAsia="Arial" w:hAnsi="Arial"/>
          <w:sz w:val="19"/>
          <w:szCs w:val="19"/>
        </w:rPr>
        <w:t xml:space="preserve">: sistem telah siap menerima data manajemen, tetapi observasi portofolio yang lengkap dan tolok ukur yang disetujui belum tersedia [D1].</w:t>
      </w:r>
    </w:p>
    <w:p>
      <w:pPr>
        <w:pStyle w:val="Heading2"/>
        <w:keepNext/>
        <w:keepLines/>
        <w:spacing w:after="120" w:before="280"/>
      </w:pPr>
      <w:r>
        <w:rPr>
          <w:rFonts w:ascii="Arial" w:cs="Arial" w:eastAsia="Arial" w:hAnsi="Arial"/>
          <w:b/>
          <w:bCs/>
          <w:color w:val="00338D"/>
          <w:sz w:val="28"/>
          <w:szCs w:val="28"/>
        </w:rPr>
        <w:t xml:space="preserve">14.2 Indikator kapabilitas platform</w:t>
      </w:r>
    </w:p>
    <w:p>
      <w:pPr>
        <w:spacing w:after="100" w:before="0" w:line="258"/>
        <w:jc w:val="left"/>
      </w:pPr>
      <w:r>
        <w:rPr>
          <w:rFonts w:ascii="Arial" w:cs="Arial" w:eastAsia="Arial" w:hAnsi="Arial"/>
          <w:color w:val="000000"/>
          <w:sz w:val="19"/>
          <w:szCs w:val="19"/>
        </w:rPr>
        <w:t xml:space="preserve">Scorecard D1 mengukur tiga mandat. Model platform menambahkan sudut pandang keempat: apakah DOCK-UP sedang membangun pemasok. Kami mengusulkan lima indikator kapabilitas yang dilaporkan bersama scorecard pembangunan: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530"/>
        <w:gridCol w:w="269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Definisi</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Pemasok per gerbang</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Jumlah UKM pada tahap Masuk, G1, G2, G3, G4, dan perpindahannya per tahun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Catatan asesor independen dalam register bersama</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nilai tambah dalam negeri pada paket proyek jangkar</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dalam negeri terverifikasi / nilai paket, per proyek jangkar (konsisten dengan D05)</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lokalisasi, faktur, dan verifikasi nilai tambah</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Produktivitas pemasok</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riil per FTE pemasok DOCK-UP dibandingkan kelompok pembanding (konsisten dengan D09)</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keuangan pemasok; perbandingan kohort</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Paritas biaya</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unit pemasok / harga impor sampai di tujuan (landed) untuk spesifikasi yang sama</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Catatan pembelian; pelacakan kurva pembelajaran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Pesanan ulang dan ekspor</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pesanan di luar program proyek jangkar semula</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Kontrak dan dokumen ekspor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14.3 Lima tahap modal yang dilaporkan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Dihimpun</w:t>
            </w:r>
          </w:p>
          <w:p>
            <w:pPr>
              <w:spacing w:after="0" w:line="236"/>
            </w:pPr>
            <w:r>
              <w:rPr>
                <w:rFonts w:ascii="Arial" w:cs="Arial" w:eastAsia="Arial" w:hAnsi="Arial"/>
                <w:color w:val="FFFFFF"/>
                <w:sz w:val="15"/>
                <w:szCs w:val="15"/>
              </w:rPr>
              <w:t xml:space="preserve">Dana yang diperoleh (arus masuk pembiayaan, bukan laba)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Dikomitmenkan</w:t>
            </w:r>
          </w:p>
          <w:p>
            <w:pPr>
              <w:spacing w:after="0" w:line="236"/>
            </w:pPr>
            <w:r>
              <w:rPr>
                <w:rFonts w:ascii="Arial" w:cs="Arial" w:eastAsia="Arial" w:hAnsi="Arial"/>
                <w:color w:val="FFFFFF"/>
                <w:sz w:val="15"/>
                <w:szCs w:val="15"/>
              </w:rPr>
              <w:t xml:space="preserve">Komitmen mengikat dengan persyaratan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Dicairkan</w:t>
            </w:r>
          </w:p>
          <w:p>
            <w:pPr>
              <w:spacing w:after="0" w:line="236"/>
            </w:pPr>
            <w:r>
              <w:rPr>
                <w:rFonts w:ascii="Arial" w:cs="Arial" w:eastAsia="Arial" w:hAnsi="Arial"/>
                <w:color w:val="FFFFFF"/>
                <w:sz w:val="15"/>
                <w:szCs w:val="15"/>
              </w:rPr>
              <w:t xml:space="preserve">Kas yang benar-benar dibayarkan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Terbangun</w:t>
            </w:r>
          </w:p>
          <w:p>
            <w:pPr>
              <w:spacing w:after="0" w:line="236"/>
            </w:pPr>
            <w:r>
              <w:rPr>
                <w:rFonts w:ascii="Arial" w:cs="Arial" w:eastAsia="Arial" w:hAnsi="Arial"/>
                <w:color w:val="FFFFFF"/>
                <w:sz w:val="15"/>
                <w:szCs w:val="15"/>
              </w:rPr>
              <w:t xml:space="preserve">Penyelesaian fisik yang tersertifikasi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Manfaat</w:t>
            </w:r>
          </w:p>
          <w:p>
            <w:pPr>
              <w:spacing w:after="0" w:line="236"/>
            </w:pPr>
            <w:r>
              <w:rPr>
                <w:rFonts w:ascii="Arial" w:cs="Arial" w:eastAsia="Arial" w:hAnsi="Arial"/>
                <w:color w:val="FFFFFF"/>
                <w:sz w:val="15"/>
                <w:szCs w:val="15"/>
              </w:rPr>
              <w:t xml:space="preserve">Hasil terverifikasi setelah commissioning</w:t>
            </w:r>
          </w:p>
        </w:tc>
      </w:tr>
    </w:tbl>
    <w:p>
      <w:pPr>
        <w:spacing w:after="160"/>
      </w:pPr>
    </w:p>
    <w:p>
      <w:pPr>
        <w:spacing w:after="100" w:before="0" w:line="258"/>
        <w:jc w:val="left"/>
      </w:pPr>
      <w:r>
        <w:rPr>
          <w:rFonts w:ascii="Arial" w:cs="Arial" w:eastAsia="Arial" w:hAnsi="Arial"/>
          <w:color w:val="000000"/>
          <w:sz w:val="19"/>
          <w:szCs w:val="19"/>
        </w:rPr>
        <w:t xml:space="preserve">Penghimpunan dana dan belanja investasi bukan laba. Setiap tahap memerlukan buktinya sendiri, dan tahap yang lebih lanjut tidak pernah dapat disimpulkan dari tahap sebelumnya [D1].</w:t>
      </w:r>
    </w:p>
    <w:p>
      <w:pPr>
        <w:pStyle w:val="Heading2"/>
        <w:keepNext/>
        <w:keepLines/>
        <w:spacing w:after="120" w:before="280"/>
      </w:pPr>
      <w:r>
        <w:rPr>
          <w:rFonts w:ascii="Arial" w:cs="Arial" w:eastAsia="Arial" w:hAnsi="Arial"/>
          <w:b/>
          <w:bCs/>
          <w:color w:val="00338D"/>
          <w:sz w:val="28"/>
          <w:szCs w:val="28"/>
        </w:rPr>
        <w:t xml:space="preserve">14.4 Pengendalian terhadap penghitungan ganda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Potensi salah saji</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Pengendalian yang diwajibkan</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Pengalihan aset disebut sebagai imbal hasil investasi</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Rekonsiliasi: NAV awal + modal eksternal + hasil investasi − distribusi = NAV akhir; jelaskan perubahan kurs dan perimeter secara terpisah</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BUMN dan dividennya sama-sama ditambahkan sebagai pendapatan grup</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Terapkan eliminasi konsolidasi; laporkan setoran kas sebagai ukuran kapasitas pembiayaan tersendiri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biaya proyek disebut sebagai investasi Danantara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 total belanja modal, ekuitas/utang Danantara, modal publik lainnya, dan pendanaan swasta secara terpisah</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yang sama diklaim oleh beberapa pemberi pembiayaan bersama</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Atribusi yang selaras dengan MDB; bedakan mobilisasi langsung, pembiayaan bersama tidak langsung, dan total pembiayaan</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Penjualan proyek, penjualan pemasok, dan manfaat PDB dijumlahkan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nilai tambah dan kerangka input–output yang direkonsiliasi; kurangkan impor dan transaksi antara</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Hitungan bruto lapangan kerja di sepanjang rantai pasok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FTE langsung, orang-tahun sementara, dan lapangan kerja tidak langsung hasil pemodelan; identifikasi tumpang tindih dan pergeseran (displacement)</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Perubahan PDB nasional disebut sebagai dampak Danantara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Tentukan skenario tanpa proyek; laporkan rentang kontribusi, bukan estimasi titik yang tidak didukung</w:t>
            </w:r>
          </w:p>
        </w:tc>
      </w:tr>
    </w:tbl>
    <w:p>
      <w:pPr>
        <w:keepNext w:val="false"/>
        <w:spacing w:after="140"/>
      </w:pPr>
    </w:p>
    <w:p>
      <w:pPr>
        <w:spacing w:after="160"/>
      </w:pPr>
      <w:r>
        <w:rPr>
          <w:rFonts w:ascii="Arial" w:cs="Arial" w:eastAsia="Arial" w:hAnsi="Arial"/>
          <w:i/>
          <w:iCs/>
          <w:color w:val="000000"/>
          <w:sz w:val="15"/>
          <w:szCs w:val="15"/>
        </w:rPr>
        <w:t xml:space="preserve">Sumber: D1.</w:t>
      </w:r>
    </w:p>
    <w:p>
      <w:pPr>
        <w:pStyle w:val="Heading2"/>
        <w:keepNext/>
        <w:keepLines/>
        <w:spacing w:after="120" w:before="280"/>
      </w:pPr>
      <w:r>
        <w:rPr>
          <w:rFonts w:ascii="Arial" w:cs="Arial" w:eastAsia="Arial" w:hAnsi="Arial"/>
          <w:b/>
          <w:bCs/>
          <w:color w:val="00338D"/>
          <w:sz w:val="28"/>
          <w:szCs w:val="28"/>
        </w:rPr>
        <w:t xml:space="preserve">14.5 Lima belas KPI kepemimpinan</w:t>
      </w:r>
    </w:p>
    <w:p>
      <w:pPr>
        <w:spacing w:after="100" w:before="0" w:line="258"/>
        <w:jc w:val="left"/>
      </w:pPr>
      <w:r>
        <w:rPr>
          <w:rFonts w:ascii="Arial" w:cs="Arial" w:eastAsia="Arial" w:hAnsi="Arial"/>
          <w:color w:val="000000"/>
          <w:sz w:val="19"/>
          <w:szCs w:val="19"/>
        </w:rPr>
        <w:t xml:space="preserve">Untuk Kepala Badan Pelaksana dan Dewan Pengawas, kami mengusulkan lima belas KPI yang menghubungkan data, keputusan, investasi, BUMN, pembangunan, pemasok, dan pembiayaan. Target sebaiknya ditetapkan setelah baseline terbentuk.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602"/>
        <w:gridCol w:w="655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KPI</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 sumber / definisi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Mutu register</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proyek dengan sponsor, cakupan, tahap, biaya, pendanaan, dan jadwal yang terkonfirmasi (100% identitas terpetakan dalam 30 hari)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Waktu keputusan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Median dan persentil ke-90 sejak dokumen lengkap hingga keputusan; waktu tunggu dipisahkan (usulan −30% median dalam enam bulan, setelah baseline) [D2]</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Penyelesaian hambatan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Isu yang diselesaikan secara sah / isu yang jatuh tempo, beserta umurnya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Cakupan bukti</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bobot metrik yang berlaku yang dapat dinilai, per aliran (≥ 80%)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investasi</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I01 dan I02: imbal hasil bersih di atas tolok ukur; IRR bersih di atas hurdle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Penciptaan nilai BUMN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O02: laba ekonomi inkremental</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7</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Kesehatan kas BUMN Karya</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O04 konversi kas operasional, days sales outstanding (DSO), rasio cakupan bunga, dan ketahanan likuiditas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8</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Pelaksanaan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D08: commissioning tepat waktu dan sesuai anggaran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tambahan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D02: nilai tambah dalam negeri tambahan, riil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10</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Kemajuan pemasok</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Pemasok DOCK-UP yang mencapai G2 atau lebih tinggi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Lokalisasi</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D05: porsi nilai tambah dalam negeri pada paket proyek jangkar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Teknologi</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D06: tonggak capaian kapabilitas teknologi yang terverifikasi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Lapangan kerja</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D03: lapangan kerja tambahan yang berkelanjutan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Disiplin pembiayaan berbasis sumber daya</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Rasio cakupan (coverage ratio) instrumen NRF; nilai kini pendapatan yang dilepaskan, diungkapkan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15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pembiayaan domestik</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pembiayaan program strategis yang dihimpun di dalam negeri dibandingkan pinjaman luar negeri baru (uji substitusi)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14.6 Frekuensi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Frekuensi</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Likuiditas, kemajuan konstruksi, pengecualian operasional, risiko kritis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Triwulanan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investasi, transformasi BUMN, biaya dan jadwal proyek, cakupan bukti, perpindahan gerbang DOCK-UP</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Tahunan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Laporan keuangan teraudit, evaluasi hasil, tinjauan sejawat, realokasi modal, laporan portofolio publik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Saat commissioning dan 12–24 bulan sesudahnya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Kinerja teknis, peningkatan komersial, dan realisasi manfaat</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15</w:t>
            </w:r>
          </w:p>
          <w:p>
            <w:pPr>
              <w:pStyle w:val="Heading1"/>
              <w:spacing w:after="100"/>
            </w:pPr>
            <w:r>
              <w:rPr>
                <w:rFonts w:ascii="Arial" w:cs="Arial" w:eastAsia="Arial" w:hAnsi="Arial"/>
                <w:b/>
                <w:bCs/>
                <w:color w:val="FFFFFF"/>
                <w:sz w:val="40"/>
                <w:szCs w:val="40"/>
              </w:rPr>
              <w:t xml:space="preserve">Risiko utama dan mitigasinya</w:t>
            </w:r>
          </w:p>
          <w:p>
            <w:pPr>
              <w:spacing w:after="0" w:line="276"/>
            </w:pPr>
            <w:r>
              <w:rPr>
                <w:rFonts w:ascii="Arial" w:cs="Arial" w:eastAsia="Arial" w:hAnsi="Arial"/>
                <w:color w:val="FFFFFF"/>
                <w:sz w:val="20"/>
                <w:szCs w:val="20"/>
              </w:rPr>
              <w:t xml:space="preserve">Risiko yang dapat menggagalkan transformasi, beserta pengendalian yang diusulkan dalam kajian ini.</w:t>
            </w:r>
          </w:p>
        </w:tc>
      </w:tr>
    </w:tbl>
    <w:p>
      <w:pPr>
        <w:spacing w:after="200"/>
      </w:pPr>
    </w:p>
    <w:p>
      <w:pPr>
        <w:keepNext/>
        <w:spacing w:after="80" w:before="120"/>
      </w:pPr>
      <w:r>
        <w:rPr>
          <w:rFonts w:ascii="Arial" w:cs="Arial" w:eastAsia="Arial" w:hAnsi="Arial"/>
          <w:b/>
          <w:bCs/>
          <w:color w:val="00338D"/>
          <w:sz w:val="18"/>
          <w:szCs w:val="18"/>
        </w:rPr>
        <w:t xml:space="preserve">Tabel 21: </w:t>
      </w:r>
      <w:r>
        <w:rPr>
          <w:rFonts w:ascii="Arial" w:cs="Arial" w:eastAsia="Arial" w:hAnsi="Arial"/>
          <w:b/>
          <w:bCs/>
          <w:color w:val="00338D"/>
          <w:sz w:val="18"/>
          <w:szCs w:val="18"/>
        </w:rPr>
        <w:t xml:space="preserve">Register risiko</w:t>
      </w:r>
    </w:p>
    <w:p>
      <w:pPr>
        <w:spacing w:after="100" w:before="0" w:line="258"/>
        <w:jc w:val="left"/>
      </w:pPr>
      <w:r>
        <w:rPr>
          <w:rFonts w:ascii="Arial" w:cs="Arial" w:eastAsia="Arial" w:hAnsi="Arial"/>
          <w:color w:val="000000"/>
          <w:sz w:val="19"/>
          <w:szCs w:val="19"/>
        </w:rPr>
        <w:t xml:space="preserve">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446"/>
        <w:gridCol w:w="2217"/>
        <w:gridCol w:w="2988"/>
        <w:gridCol w:w="771"/>
        <w:gridCol w:w="173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Risiko</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Bagaimana risiko terwujud</w:t>
            </w:r>
          </w:p>
        </w:tc>
        <w:tc>
          <w:tcPr>
            <w:tcW w:type="dxa" w:w="29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Mitigasi</w:t>
            </w:r>
          </w:p>
        </w:tc>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 / D</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Pemilik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Kuota alih-alih gerbang</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Pesanan diberikan sebelum kesiapan terverifikasi; kegagalan mutu pada kapal perang atau infrastruktur</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Ketentuan gerbang dalam kontrak; asesor independen; sumber cadangan yang telah disetujui sebelumnya</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(bersama integrator)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Duplikasi mandat</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menjadi lapisan rapat tambahan; lini saling memperebutkan kepemilikan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Piagam per fungsi; paket keputusan tunggal; menghentikan rapat berulang</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Dominasi pengusul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Pendukung proyek mengesampingkan keberatan risiko dan hukum</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Lini risiko dan hukum yang independen; perbedaan pendapat dicatat dalam risalah</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Risiko; Hukum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Kewajiban fiskal tersembunyi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Surat utang NRF atau proyek diperlakukan sebagai bukan utang; klaim kontinjensi muncul kemudian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Klasifikasi berbasis substansi; register pendapatan yang dijaminkan; pengungkapan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 bersama Kementerian Keuangan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Gugatan hukum atas hak sumber daya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Pemegang izin atau investor menggugat penjaminan atau peninjauan izin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Kajian hukum sebelum penerbitan; proses hukum yang semestinya; terbitkan hanya atas aset yang tidak disengketakan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Hukum, bersama Pemerintah</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Valuasi yang dilebih-lebihkan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Nilai cadangan utama dibaca sebagai kapasitas pembiayaan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Hanya terbukti dan terkira menurut KCMI/CRIRSCO; penilai independen; batas cakupan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 (bersama dewan NRF apabila dibentuk)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Keterlambatan program atau pembayaran negara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Tonggak atau pembayaran negara mundur; investor surat utang proyek tidak terbayar</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Fasilitas likuiditas; uji stres; penetapan ukuran tranche yang konservatif</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 (bersama penerbit)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Teknologi dan siber</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Kesalahan smart contract, kunci yang disusupi, kebocoran data</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Audit independen; pengelolaan kunci HSM; pengendalian BSSN; buku besar cadangan dalam mata uang fiat</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 (bersama penerbit)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Penularan risiko BUMN Karya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Kerugian menurunkan kualitas aset bank BUMN dan dividen BUMN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Uji stres grup; pemisahan aset warisan (legacy); batas konsentrasi</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Risiko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10</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Risiko model AI dan data</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Agen bertindak berdasarkan master data yang buruk atau menghasilkan jawaban yang tidak didukung</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Dimulai dengan akses baca saja; kutipan sumber; set evaluasi; persetujuan manusia</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Pemilik platform AI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Kegagalan adopsi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Dasbor dibangun tetapi tidak digunakan untuk keputusan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Tim bisnis terlibat dalam pembangunan; keputusan dicatat dengan bukti dari agen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(bersama CEO BUMN)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Penyalahgunaan label strategis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Proyek lemah masuk ke portofolio untuk memperoleh dukungan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Kriteria masuk; evaluasi ulang; disiplin penghentian dan exit</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Dewan Pengawas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Ketergantungan pada vendor dan teknologi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Mitra asing mempertahankan HKI; kapabilitas lokal tidak terbangun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Strategi HKI pada P2/P3; tonggak capaian teknologi yang diterima secara independen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Klaim tanpa bukti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Pengumuman dilaporkan sebagai hasil</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Kelas bukti; perlakuan NR; pelaporan per tahap modal</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Kantor kinerja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Peringkat negara dan ruang fiskal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Lembaga pemeringkat memperlakukan surat utang NRF atau proyek sebagai utang pemerintah</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Dialog dini dengan Kementerian Keuangan; penerbitan yang konservatif; pengungkapan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Tumpang tindih mandat kelembagaan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NRF, Danantara, dan kementerian saling memperebutkan peran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Surat mandat; pemisahan pemilik–pengelola; forum koordinasi yang disepakati</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Transisi kepemimpinan dan personel kunci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Program kehilangan sponsor atau tenaga spesialis yang langka</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Mandat terdokumentasi; rencana suksesi; kepemilikan kelembagaan, bukan perorangan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 SDM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Pengadaan dan integritas dalam DOCK-UP</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Hasil gerbang atau pesanan dipengaruhi secara tidak semestinya</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Asesor independen; rotasi; jejak audit dalam register; deklarasi konflik kepentingan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Audit Internal; unit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19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Konsentrasi kredit UKM</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Gagal bayar UKM terkonsentrasi pada bank yang memberikan pinjaman berbasis gerbang</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Batas kredit per program; penetapan ukuran penjaminan kerugian pertama (first-loss); pemantauan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Risiko, bersama bank pemberi pinjaman</w:t>
            </w:r>
          </w:p>
        </w:tc>
      </w:tr>
    </w:tbl>
    <w:p>
      <w:pPr>
        <w:keepNext w:val="false"/>
        <w:spacing w:after="140"/>
      </w:pPr>
    </w:p>
    <w:p>
      <w:pPr>
        <w:keepNext/>
        <w:spacing w:after="80" w:before="120"/>
      </w:pPr>
      <w:r>
        <w:rPr>
          <w:rFonts w:ascii="Arial" w:cs="Arial" w:eastAsia="Arial" w:hAnsi="Arial"/>
          <w:b/>
          <w:bCs/>
          <w:color w:val="00338D"/>
          <w:sz w:val="18"/>
          <w:szCs w:val="18"/>
        </w:rPr>
        <w:t xml:space="preserve">Tabel 22: </w:t>
      </w:r>
      <w:r>
        <w:rPr>
          <w:rFonts w:ascii="Arial" w:cs="Arial" w:eastAsia="Arial" w:hAnsi="Arial"/>
          <w:b/>
          <w:bCs/>
          <w:color w:val="00338D"/>
          <w:sz w:val="18"/>
          <w:szCs w:val="18"/>
        </w:rPr>
        <w:t xml:space="preserve">Peta risiko (nomor risiko menurut kemungkinan dan dampak)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0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Kemungkinan \ Dampak</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rendah</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sedang</w:t>
            </w:r>
          </w:p>
        </w:tc>
        <w:tc>
          <w:tcPr>
            <w:tcW w:type="dxa" w:w="24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tinggi</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tinggi</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13, 14</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6, 9</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sedang</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2, 7, 10, 11, 17, 19</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1, 3, 4, 5, 12, 15, 16, 18</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rendah</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8</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16</w:t>
            </w:r>
          </w:p>
          <w:p>
            <w:pPr>
              <w:pStyle w:val="Heading1"/>
              <w:spacing w:after="100"/>
            </w:pPr>
            <w:r>
              <w:rPr>
                <w:rFonts w:ascii="Arial" w:cs="Arial" w:eastAsia="Arial" w:hAnsi="Arial"/>
                <w:b/>
                <w:bCs/>
                <w:color w:val="FFFFFF"/>
                <w:sz w:val="40"/>
                <w:szCs w:val="40"/>
              </w:rPr>
              <w:t xml:space="preserve">Peta jalan terintegrasi</w:t>
            </w:r>
          </w:p>
          <w:p>
            <w:pPr>
              <w:spacing w:after="0" w:line="276"/>
            </w:pPr>
            <w:r>
              <w:rPr>
                <w:rFonts w:ascii="Arial" w:cs="Arial" w:eastAsia="Arial" w:hAnsi="Arial"/>
                <w:color w:val="FFFFFF"/>
                <w:sz w:val="20"/>
                <w:szCs w:val="20"/>
              </w:rPr>
              <w:t xml:space="preserve">Delapan alur kerja dalam empat fase selama 24 bulan dan seterusnya, dengan titik keputusan yang menjadikan setiap perluasan bersyarat pada bukti.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16.1 Alur kerja dan fase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024"/>
        <w:gridCol w:w="2024"/>
        <w:gridCol w:w="2024"/>
        <w:gridCol w:w="2024"/>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Alur kerja</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0–90 hari</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4–12 bulan</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12–24 bulan</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&gt; 24 bulan</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1 Tata kelola dan unit</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Persetujuan prinsip (Hari ke-0); piagam; pimpinan; penugasan staf; peta otorisasi; kelompok proyek percontohan; desain dikonfirmasi pada Hari ke-90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Perluasan unit ke seluruh portofolio; kajian asurans; kajian atas jabatan formal paling cepat pada bulan ke-12</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Memutuskan struktur permanen berdasarkan bukti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Mengkaji opsi holding hanya apabila kriteria terpenuhi</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2 Register dan scorecard</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Register terekonsiliasi; rekonsiliasi modal/perimeter; kamus data; kebijakan tolok ukur</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Dasbor terekonsiliasi pertama; scorecard triwulanan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Laporan portofolio tahunan yang dipublikasikan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Evaluasi proyek yang telah selesai</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3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Gerbang dan desain percontohan ditetapkan (Hari ke-60); kumpulan asesor; asesmen masuk</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Percontohan dimulai bulan ke-4: 1 integrator, 20–30 UKM, 3–5 kelompok komponen; pesanan G1 pertama sekitar bulan ke-10–11</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atas integrator kedua dan proyek jangkar sipil (Bulan ke-12–15); pemasok G2–G3 pertama</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Model standar di seluruh DEFEND ID dan proyek jangkar</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4 Proyek jangkar</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Mengidentifikasi proyek jangkar; daftar panjang paket yang dapat dilokalisasi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Rencana lokalisasi pada P2 untuk proyek jangkar prioritas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Kontrak kerangka pada P3/P4</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Pelaporan nilai tambah terverifikasi pada P6</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5 NRF</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Usulan untuk pertimbangan Pemerintah (Hari ke-90)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Apabila Pemerintah melanjutkan: Tahap 0 (hak, cadangan, valuasi, perlakuan fiskal), kemudian percontohan Tahap 1 apabila gerbang terpenuhi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Tahap 2: mineral strategis; jendela industri dan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Tahap 3: dana yang matang</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6 Tokenisasi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Penyelesaian enam prasyarat; term sheet yang dikoreksi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Percontohan Fase 1 (US$150 juta) dalam sandbox OJK setelah prasyarat tersertifikasi (paling cepat Triwulan I 2027); perbandingan dengan escrow (rekening penampungan) konvensional</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Fase 2 berdasarkan bukti sementara; surat tagihan dalam rupiah untuk sektor lain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Fase 3 hanya setelah izin dan percontohan matang</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7 BUMN Karya</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Diagnostik teraudit (Hari ke-30–90); ketentuan disiplin penawaran</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Pemisahan aset warisan (legacy); perlindungan kas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struktur berdasarkan bukti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ekonomi yang berkelanjutan</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8 Platform AI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MVP dimulai Hari ke-30; 6 agen; percontohan pada 2–3 proyek beroperasi sekitar Hari ke-120</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2 (6–12 bulan setelah MVP dimulai): 2–3 BUMN; 20–50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3: seluruh BUMN Karya; 100+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4: platform nasional; perluasan ke DOCK-UP, NRF, scorecard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16.2 Titik keputusan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048"/>
        <w:gridCol w:w="4241"/>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Keputusan</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yang diperlukan</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ke-90</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Mengonfirmasi, menyesuaikan, atau menghentikan desain unit</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waktu keputusan; hambatan yang terselesaikan dan belum terselesaikan; paket keputusan dengan opini risiko dan hukum</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Sekitar bulan ke-6 (setelah evaluasi MVP)</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Memperluas AI ke Fase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MVP; manfaat bersih yang terukur</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 ke-12 atau sesudahnya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Mengkaji apakah diperlukan jabatan formal di Badan Pelaksana</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Kriteria dalam Bagian 13.8, diukur sekurang-kurangnya selama dua triwulan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 ke-12–15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Memperluas DOCK-UP ke integrator kedua dan proyek jangkar sipil</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gerbang pemasok percontohan; catatan mutu; umpan balik integrator</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Setelah Tahap 0 selesai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Melanjutkan dari Tahap 0 NRF ke instrumen percontohan (keputusan Pemerintah)</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Hak hukum terkonfirmasi; valuasi independen; klasifikasi fiskal</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Sementara, selama percontohan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PALCapital Fase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Pengendalian pencairan dan perbandingan biaya terbukti; kinerja kredit secara penuh baru diketahui pada jatuh tempo percontohan 720 hari</w:t>
            </w:r>
          </w:p>
        </w:tc>
      </w:tr>
    </w:tbl>
    <w:p>
      <w:pPr>
        <w:keepNext w:val="false"/>
        <w:spacing w:after="140"/>
      </w:pPr>
    </w:p>
    <w:p>
      <w:pPr>
        <w:spacing w:after="100" w:before="0" w:line="258"/>
        <w:jc w:val="left"/>
      </w:pPr>
      <w:r>
        <w:rPr>
          <w:rFonts w:ascii="Arial" w:cs="Arial" w:eastAsia="Arial" w:hAnsi="Arial"/>
          <w:color w:val="000000"/>
          <w:sz w:val="19"/>
          <w:szCs w:val="19"/>
        </w:rPr>
        <w:t xml:space="preserve">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pPr>
        <w:pStyle w:val="Heading2"/>
        <w:keepNext/>
        <w:keepLines/>
        <w:spacing w:after="120" w:before="280"/>
      </w:pPr>
      <w:r>
        <w:rPr>
          <w:rFonts w:ascii="Arial" w:cs="Arial" w:eastAsia="Arial" w:hAnsi="Arial"/>
          <w:b/>
          <w:bCs/>
          <w:color w:val="00338D"/>
          <w:sz w:val="28"/>
          <w:szCs w:val="28"/>
        </w:rPr>
        <w:t xml:space="preserve">16.3 Rincian 90 hari pertama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5301"/>
        <w:gridCol w:w="3084"/>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Periode</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Keluaran</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 penerimaan</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ke-1–45</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Rancangan (Hari ke-30) dan register kepemilikan dan proyek yang disetujui (Hari ke-45); rekonsiliasi modal dan perimeter; kamus data; tiga pernyataan mandat; piagam unit; kelompok proyek percontohan terpilih</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CFO sebagai pemilik sementara bersama DAM, DIM, dan DDMF, kemudian diserahterimakan kepada MD Portofolio dan Pelaksanaan Proyek setelah diangkat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ke-1–30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Metodologi imbal hasil investor dan kebijakan tolok ukur; gerbang risiko kritis dan asurans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Komite investasi dan komite risiko</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Mengisi data BUMN dengan eksposur tinggi dan seluruh proyek strategis aktif; merekonsiliasi kas, komitmen, dan tonggak capaian fisik; kajian paralel, dasbor, dan daftar hambatan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lini dan CFO proyek: realisasi yang didukung sumber dan entri NR yang eksplisit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independen atas risiko fiskal dan teknologi terbesar; kasus dukungan publik dan adisionalitas; usulan NRF untuk Pemerintah disiapkan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Ekonom DDMF dan Risiko; Hukum</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Hari ke-61–90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Dasbor terekonsiliasi pertama; kajian asurans independen; evaluasi proyek percontohan; laporan diagnostik BUMN Karya; MVP AI dalam pembangunan (percontohan beroperasi sekitar Hari ke-120)</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CFO bersama Audit: pernyataan cakupan dan kualifikasi ditandatangani; laporan evaluasi unit</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17</w:t>
            </w:r>
          </w:p>
          <w:p>
            <w:pPr>
              <w:pStyle w:val="Heading1"/>
              <w:spacing w:after="100"/>
            </w:pPr>
            <w:r>
              <w:rPr>
                <w:rFonts w:ascii="Arial" w:cs="Arial" w:eastAsia="Arial" w:hAnsi="Arial"/>
                <w:b/>
                <w:bCs/>
                <w:color w:val="FFFFFF"/>
                <w:sz w:val="40"/>
                <w:szCs w:val="40"/>
              </w:rPr>
              <w:t xml:space="preserve">Rekomendasi per pemangku kepentingan</w:t>
            </w:r>
          </w:p>
          <w:p>
            <w:pPr>
              <w:spacing w:after="0" w:line="276"/>
            </w:pPr>
            <w:r>
              <w:rPr>
                <w:rFonts w:ascii="Arial" w:cs="Arial" w:eastAsia="Arial" w:hAnsi="Arial"/>
                <w:color w:val="FFFFFF"/>
                <w:sz w:val="20"/>
                <w:szCs w:val="20"/>
              </w:rPr>
              <w:t xml:space="preserve">Apa yang diminta dari setiap pemangku kepentingan.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Pemangku kepentingan</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 yang direkomendasikan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Pemerintah</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Platform Kapabilitas Industri Nasional sebagai model industrialisasi Danantara.</w:t>
            </w:r>
          </w:p>
          <w:p>
            <w:pPr>
              <w:keepNext w:val="false"/>
              <w:spacing w:after="40" w:line="252"/>
            </w:pPr>
            <w:r>
              <w:rPr>
                <w:rFonts w:ascii="Arial" w:cs="Arial" w:eastAsia="Arial" w:hAnsi="Arial"/>
                <w:b w:val="false"/>
                <w:bCs w:val="false"/>
                <w:color w:val="000000"/>
                <w:sz w:val="16"/>
                <w:szCs w:val="16"/>
              </w:rPr>
              <w:t xml:space="preserve">Mempertimbangkan kajian hukum, valuasi, dan fiskal sebelum membentuk NRF, dengan pemisahan peran pemilik dan pengelola.</w:t>
            </w:r>
          </w:p>
          <w:p>
            <w:pPr>
              <w:keepNext w:val="false"/>
              <w:spacing w:after="40" w:line="252"/>
            </w:pPr>
            <w:r>
              <w:rPr>
                <w:rFonts w:ascii="Arial" w:cs="Arial" w:eastAsia="Arial" w:hAnsi="Arial"/>
                <w:b w:val="false"/>
                <w:bCs w:val="false"/>
                <w:color w:val="000000"/>
                <w:sz w:val="16"/>
                <w:szCs w:val="16"/>
              </w:rPr>
              <w:t xml:space="preserve">Mempertimbangkan uji substitusi pembiayaan domestik sebelum pinjaman luar negeri baru untuk program strategis.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Kementerian Keuangan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klasifikasi instrumen berbasis sumber daya dan berbasis tagihan menurut substansinya dalam pernyataan risiko fiskal.</w:t>
            </w:r>
          </w:p>
          <w:p>
            <w:pPr>
              <w:keepNext w:val="false"/>
              <w:spacing w:after="40" w:line="252"/>
            </w:pPr>
            <w:r>
              <w:rPr>
                <w:rFonts w:ascii="Arial" w:cs="Arial" w:eastAsia="Arial" w:hAnsi="Arial"/>
                <w:b w:val="false"/>
                <w:bCs w:val="false"/>
                <w:color w:val="000000"/>
                <w:sz w:val="16"/>
                <w:szCs w:val="16"/>
              </w:rPr>
              <w:t xml:space="preserve">Mempertimbangkan penetapan proses persetujuan untuk pengalihan tagihan kontrak negara ke rekening penampungan penerimaan (collection account).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Dewan Pengawas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Menyetujui kerangka tiga scorecard, perlakuan NR, dan gerbang tata kelola.</w:t>
            </w:r>
          </w:p>
          <w:p>
            <w:pPr>
              <w:keepNext w:val="false"/>
              <w:spacing w:after="40" w:line="252"/>
            </w:pPr>
            <w:r>
              <w:rPr>
                <w:rFonts w:ascii="Arial" w:cs="Arial" w:eastAsia="Arial" w:hAnsi="Arial"/>
                <w:b w:val="false"/>
                <w:bCs w:val="false"/>
                <w:color w:val="000000"/>
                <w:sz w:val="16"/>
                <w:szCs w:val="16"/>
              </w:rPr>
              <w:t xml:space="preserve">Mewajibkan rekonsiliasi saldo awal yang teraudit dan laporan portofolio tahunan yang dipublikasikan.</w:t>
            </w:r>
          </w:p>
          <w:p>
            <w:pPr>
              <w:keepNext w:val="false"/>
              <w:spacing w:after="40" w:line="252"/>
            </w:pPr>
            <w:r>
              <w:rPr>
                <w:rFonts w:ascii="Arial" w:cs="Arial" w:eastAsia="Arial" w:hAnsi="Arial"/>
                <w:b w:val="false"/>
                <w:bCs w:val="false"/>
                <w:color w:val="000000"/>
                <w:sz w:val="16"/>
                <w:szCs w:val="16"/>
              </w:rPr>
              <w:t xml:space="preserve">Mengawasi uji unit 90 hari dan bukti untuk setiap usulan Wakil Kepala.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Kepala Badan Pelaksana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Membentuk unit Industri Strategis dan Pelaksanaan Proyek (menerapkan NITO) dengan piagam terbatas.</w:t>
            </w:r>
          </w:p>
          <w:p>
            <w:pPr>
              <w:keepNext w:val="false"/>
              <w:spacing w:after="40" w:line="252"/>
            </w:pPr>
            <w:r>
              <w:rPr>
                <w:rFonts w:ascii="Arial" w:cs="Arial" w:eastAsia="Arial" w:hAnsi="Arial"/>
                <w:b w:val="false"/>
                <w:bCs w:val="false"/>
                <w:color w:val="000000"/>
                <w:sz w:val="16"/>
                <w:szCs w:val="16"/>
              </w:rPr>
              <w:t xml:space="preserve">Menyetujui register 40 proyek yang telah direkonsiliasi sebagai penyebut tunggal.</w:t>
            </w:r>
          </w:p>
          <w:p>
            <w:pPr>
              <w:keepNext w:val="false"/>
              <w:spacing w:after="40" w:line="252"/>
            </w:pPr>
            <w:r>
              <w:rPr>
                <w:rFonts w:ascii="Arial" w:cs="Arial" w:eastAsia="Arial" w:hAnsi="Arial"/>
                <w:b w:val="false"/>
                <w:bCs w:val="false"/>
                <w:color w:val="000000"/>
                <w:sz w:val="16"/>
                <w:szCs w:val="16"/>
              </w:rPr>
              <w:t xml:space="preserve">Memimpin eskalasi lintas lini; menjaga independensi fungsi risiko, hukum, dan audit.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 COO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Meluncurkan diagnostik BUMN Karya dan pemisahan aset warisan (legacy).</w:t>
            </w:r>
          </w:p>
          <w:p>
            <w:pPr>
              <w:keepNext w:val="false"/>
              <w:spacing w:after="40" w:line="252"/>
            </w:pPr>
            <w:r>
              <w:rPr>
                <w:rFonts w:ascii="Arial" w:cs="Arial" w:eastAsia="Arial" w:hAnsi="Arial"/>
                <w:b w:val="false"/>
                <w:bCs w:val="false"/>
                <w:color w:val="000000"/>
                <w:sz w:val="16"/>
                <w:szCs w:val="16"/>
              </w:rPr>
              <w:t xml:space="preserve">Mensponsori MVP AI dan peluncuran Fase 2.</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 CIO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Menerbitkan metodologi imbal hasil per kelompok modal; menerapkan disiplin investasi pada surat utang proyek dan jendela NRF.</w:t>
            </w:r>
          </w:p>
          <w:p>
            <w:pPr>
              <w:keepNext w:val="false"/>
              <w:spacing w:after="40" w:line="252"/>
            </w:pPr>
            <w:r>
              <w:rPr>
                <w:rFonts w:ascii="Arial" w:cs="Arial" w:eastAsia="Arial" w:hAnsi="Arial"/>
                <w:b w:val="false"/>
                <w:bCs w:val="false"/>
                <w:color w:val="000000"/>
                <w:sz w:val="16"/>
                <w:szCs w:val="16"/>
              </w:rPr>
              <w:t xml:space="preserve">Menjalankan percontohan PALCapital hanya setelah enam prasyarat terpenuhi.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Mewajibkan business case finansial dan ekonomi dengan dukungan publik yang eksplisit untuk proyek pengembangan.</w:t>
            </w:r>
          </w:p>
          <w:p>
            <w:pPr>
              <w:keepNext w:val="false"/>
              <w:spacing w:after="40" w:line="252"/>
            </w:pPr>
            <w:r>
              <w:rPr>
                <w:rFonts w:ascii="Arial" w:cs="Arial" w:eastAsia="Arial" w:hAnsi="Arial"/>
                <w:b w:val="false"/>
                <w:bCs w:val="false"/>
                <w:color w:val="000000"/>
                <w:sz w:val="16"/>
                <w:szCs w:val="16"/>
              </w:rPr>
              <w:t xml:space="preserve">Memberikan kajian teknis independen dan memegang penerimaan tonggak capaian teknologi bersama panel independen.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Kementerian Pertahanan dan 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DOCK-UP sebagai model standar partisipasi UKM, dengan paket berbasis gerbang dalam kontrak kerangka dan kontrak offset.</w:t>
            </w:r>
          </w:p>
          <w:p>
            <w:pPr>
              <w:keepNext w:val="false"/>
              <w:spacing w:after="40" w:line="252"/>
            </w:pPr>
            <w:r>
              <w:rPr>
                <w:rFonts w:ascii="Arial" w:cs="Arial" w:eastAsia="Arial" w:hAnsi="Arial"/>
                <w:b w:val="false"/>
                <w:bCs w:val="false"/>
                <w:color w:val="000000"/>
                <w:sz w:val="16"/>
                <w:szCs w:val="16"/>
              </w:rPr>
              <w:t xml:space="preserve">Mempertimbangkan dukungan atas pengalihan tagihan kontrak ke escrow berbasis tonggak capaian.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OJK dan Bank Indonesia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percontohan PALCapital dalam sandbox IKD dengan node regulator.</w:t>
            </w:r>
          </w:p>
          <w:p>
            <w:pPr>
              <w:keepNext w:val="false"/>
              <w:spacing w:after="40" w:line="252"/>
            </w:pPr>
            <w:r>
              <w:rPr>
                <w:rFonts w:ascii="Arial" w:cs="Arial" w:eastAsia="Arial" w:hAnsi="Arial"/>
                <w:b w:val="false"/>
                <w:bCs w:val="false"/>
                <w:color w:val="000000"/>
                <w:sz w:val="16"/>
                <w:szCs w:val="16"/>
              </w:rPr>
              <w:t xml:space="preserve">Mempertimbangkan perlakuan atas surat tagihan yang ditokenisasi bagi investor institusional.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Integrator (PT PAL, anggota 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Menerbitkan rencana lokalisasi; memberikan pesanan hanya berdasarkan gerbang yang terverifikasi.</w:t>
            </w:r>
          </w:p>
          <w:p>
            <w:pPr>
              <w:keepNext w:val="false"/>
              <w:spacing w:after="40" w:line="252"/>
            </w:pPr>
            <w:r>
              <w:rPr>
                <w:rFonts w:ascii="Arial" w:cs="Arial" w:eastAsia="Arial" w:hAnsi="Arial"/>
                <w:b w:val="false"/>
                <w:bCs w:val="false"/>
                <w:color w:val="000000"/>
                <w:sz w:val="16"/>
                <w:szCs w:val="16"/>
              </w:rPr>
              <w:t xml:space="preserve">Membuka portal pemasok yang terhubung dengan ERP; berbagi gambar teknik dan catatan gerbang.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Menerapkan ketentuan disiplin penawaran dan perlindungan kas; menerapkan tulang punggung kode biaya dan percontohan AI.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Bank, LPEI, dan penyedia penjaminan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Mengaitkan KUR, pembiayaan rantai pasok, kredit investasi, dan pembiayaan ekspor dengan gerbang DOCK-UP; merancang bersama penjaminan kerugian pertama (first-loss).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Masuk ke register kesiapan; mengikuti rencana pengembangan menuju G1–G4; memprioritaskan investasi pada mutu proses.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BKI, laboratorium uji, perguruan tinggi, dan BRIN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Membentuk kumpulan asesor independen; mendukung pematangan TRL dan sertifikasi.</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Penutup</w:t>
            </w:r>
          </w:p>
          <w:p>
            <w:pPr>
              <w:spacing w:after="80" w:line="264"/>
            </w:pPr>
            <w:r>
              <w:rPr>
                <w:rFonts w:ascii="Arial" w:cs="Arial" w:eastAsia="Arial" w:hAnsi="Arial"/>
                <w:color w:val="FFFFFF"/>
                <w:sz w:val="19"/>
                <w:szCs w:val="19"/>
              </w:rPr>
              <w:t xml:space="preserve">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A</w:t>
            </w:r>
          </w:p>
          <w:p>
            <w:pPr>
              <w:pStyle w:val="Heading1"/>
              <w:spacing w:after="100"/>
            </w:pPr>
            <w:r>
              <w:rPr>
                <w:rFonts w:ascii="Arial" w:cs="Arial" w:eastAsia="Arial" w:hAnsi="Arial"/>
                <w:b/>
                <w:bCs/>
                <w:color w:val="FFFFFF"/>
                <w:sz w:val="40"/>
                <w:szCs w:val="40"/>
              </w:rPr>
              <w:t xml:space="preserve">Lampiran A: Kamus metrik</w:t>
            </w:r>
          </w:p>
          <w:p>
            <w:pPr>
              <w:spacing w:after="0" w:line="276"/>
            </w:pPr>
            <w:r>
              <w:rPr>
                <w:rFonts w:ascii="Arial" w:cs="Arial" w:eastAsia="Arial" w:hAnsi="Arial"/>
                <w:color w:val="FFFFFF"/>
                <w:sz w:val="20"/>
                <w:szCs w:val="20"/>
              </w:rPr>
              <w:t xml:space="preserve">Ke-39 metrik hasil yang diusulkan dalam D1, dalam tiga scorecard. Semua ambang batas memerlukan cakupan pelaporan yang terdefinisi dan persetujuan; imbal hasil entitas sejawat atau rasio sektor generik tidak otomatis menjadi hurdle Danantara.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A.1 Metrik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bersih pasar publik di atas tolok ukur kebijakan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TWR yang ditautkan secara geometris, setelah dikurangi seluruh biaya investasi, dikurangi imbal hasil indeks kebijakan yang sepadan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Tanggal, mata uang, basis total return, dan komposisi yang sama; sejak awal dan bergulir 3/5 tahun; tanpa klaim imbal hasil yang disetahunkan untuk riwayat pendek</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IRR bersih investasi privat di atas hurdle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XIRR atas arus kas investor bertanggal, termasuk NAV residual yang ditelaah secara independen, dikurangi hurdle ekuitas yang disetujui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Vintage, sektor, geografi, dan leverage yang sepadan; jangan merata-ratakan IRR; gabungkan arus kas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investasi privat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Kaplan–Schoar menggunakan kontribusi, distribusi, dan NAV yang disesuaikan dengan indeks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&gt; 1 terhadap indeks total return yang ditetapkan sebelumnya; PME bukan IRR</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terhadap modal disetor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kumulatif / modal disetor; tampilkan TVPI dan RVPI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Spesifik per vintage; DPI greenfield pada tahap awal dapat bernilai nol tanpa berarti gagal</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NPV finansial / modal yang diinvestasikan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NPV seumur penuh atas FCF proyek pada WACC yang disetujui / PV pengeluaran investasi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Pisahkan penilaian prakiraan dari hasil ex-post; keluarkan sunk cost untuk keputusan inkremental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kerugian kredit dan investasi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Penurunan nilai kredit setelah pemulihan dan pembalikan / rata-rata eksposur bruto</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Peringkat, tenor, dan produk yang sepadan; penurunan nilai ekuitas dipisahkan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Eksposur di atas batas konsentrasi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Eksposur yang melampaui batas per nama/sektor yang disetujui / NAV portofolio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Nol kelebihan tanpa otorisasi; uji stres eksposur pihak berelasi dan eksposur yang berkorelasi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Cakupan likuiditas dalam kondisi stres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Kas bebas + aset likuid dalam kondisi stres + fasilitas komitmen yang dapat digunakan / kebutuhan 12 bulan dalam kondisi stres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Batas bawah yang disetujui Dewan; keluarkan kas yang dibatasi dan fasilitas bersyarat</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total biaya investasi (bps)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manajemen, manajer eksternal, transaksi, dan pendukung / rata-rata NAV × 10.000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Kelas aset dan model yang sama; biaya rendah saja tidak membuktikan kinerja bersih yang lebih baik</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swasta yang dapat diatribusikan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langsung swasta yang memenuhi syarat dan dapat diatribusikan kepada Danantara / modal komitmen sendiri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Atribusi selaras dengan MDB; MoU dan total nilai proyek tidak dihitung</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Pencapaian tonggak capaian investasi strategis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tertimbang modal yang diterima secara independen / tonggak capaian yang jatuh tempo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Baseline dibekukan; penandatanganan atau peresmian tidak membuktikan financial close atau kemajuan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I12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Selisih biaya pendanaan di atas kurva sovereign yang sepadan (bps)</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Selisih imbal hasil penerbitan terhadap kurva sovereign dengan mata uang dan durasi yang sama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Metrik akses pendanaan; tidak dapat menggantikan imbal hasil aset atau WACC</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A.2 Metrik BUMN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ROIC dikurangi WACC BUMN nonkeuangan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operasi setelah pajak yang dinormalisasi / rata-rata modal yang diinvestasikan − WACC</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Spesifik per sektor dan mata uang; bank dikecualikan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ekonomi inkremental (Rp miliar)</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NOPAT − WACC × rata-rata modal yang diinvestasikan, dikurangi laba ekonomi kontrafaktual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Pengalihan kepemilikan dan penyertaan modal bukan penciptaan nilai</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Marjin EBITDA yang dapat diperbandingkan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EBITDA yang dapat diperbandingkan / pendapatan, direkonsiliasi ke laba operasi statutori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Tampilkan angka yang dilaporkan dan yang dinormalisasi; bank dikecualikan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Konversi kas operasi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Arus kas operasi / EBITDA, dengan rekonsiliasi pajak, modal kerja, dan belanja modal pemeliharaan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Jangan memberi insentif atas utang pemasok yang menunggak atau kompensasi yang belum ditagih</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operasi riil per unit (indeks)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terkendali pada harga konstan / output yang disesuaikan dengan kualitas; baseline 100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Penghematan tidak boleh berasal dari penundaan pemeliharaan atau penurunan keselamatan maupun kualitas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riil per karyawan (Rp juta/FTE)</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bruto riil / rata-rata FTE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Pendapatan per karyawan dapat menggelembung karena harga atau alih daya</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Pertumbuhan pendapatan riil organik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Pertumbuhan like-for-like pada harga konstan, di luar M&amp;A dan perubahan akuntansi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Pisahkan efek harga, volume, kurs, konsolidasi, dan subsidi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Utang bersih / EBITDA nonkeuangan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Utang berbunga dikurangi kas tidak dibatasi / EBITDA yang dapat diperbandingkan 12 bulan terakhir</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bermakna untuk bank atau EBITDA negatif</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Manfaat transformasi bersih yang terverifikasi (Rp miliar)</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Manfaat kas yang terealisasi dikurangi biaya implementasi, pesangon, integrasi, dan biaya berulang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Pengurangan jumlah entitas bukan manfaat</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Pencapaian keandalan / kualitas layanan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Hasil layanan sektor yang diterima / target yang dikontrakkan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Rata-rata sederhana tidak boleh menyembunyikan kegagalan kritis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ROE bank dikurangi biaya ekuitas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bagi pemegang ekuitas biasa / rata-rata ekuitas biasa − biaya ekuitas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Jangan menaikkan leverage semata-mata untuk menaikkan ROE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biaya terhadap pendapatan bank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Beban operasional / pendapatan operasional dengan definisi yang konsisten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Bedakan CIR dari BOPO</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NPL bruto bank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NPL bruto / kredit bruto; tampilkan cost of risk dan rasio cakupan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Penjualan kredit, hapus buku, dan pertumbuhan cepat dapat menutupi kemerosotan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Ruang modal bank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CET1 dikurangi CET1 minimum yang berlaku, termasuk buffer</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Total CAR dan Tier 1 tidak dapat dipertukarkan dengan CET1</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O15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Biaya penugasan layanan publik yang tidak didanai (Rp miliar)</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Biaya PSO efisien yang terverifikasi dikurangi kompensasi yang didanai; umur tunggakan ditampilkan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Subsidi bukan peningkatan efisiensi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A.3 Metrik ekonomi dan industri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ekonomi di atas hurdle sosial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EIRR atas arus ekonomi inkremental dikurangi tingkat diskonto sosial yang disetujui; ungkapkan ENPV</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ADB 2017: acuan 9%, pengecualian 6%; memerlukan persetujuan kebijakan di dalam negeri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nilai tambah dalam negeri (Rp miliar riil)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dengan proyek dikurangi jalur tanpa proyek yang kredibel, setelah dikurangi efek pengalihan (displacement)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Penjualan bruto dan belanja investasi bukan tambahan PDB</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lapangan kerja berkelanjutan (FTE)</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FTE langsung yang berkelanjutan di atas kontrafaktual, setelah dikurangi efek pengalihan; orang-tahun konstruksi dipisahkan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Hindari menghitung satu pekerja dalam total kontraktor, proyek, dan pemasok sekaligus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Kontribusi devisa bersih (US$ juta)</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Ekspor + impor yang dihindari − input/belanja modal impor − biaya dan remitansi ke luar negeri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Sajikan kontribusi transaksi berjalan dan arus pembiayaan secara terpisah</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Porsi nilai tambah dalam negeri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dalam negeri yang terverifikasi / nilai produksi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identik dengan sertifikasi TKDN atau nilai faktur lokal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kapabilitas teknologi yang terverifikasi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tertimbang yang diterima / yang jatuh tempo: hak desain, kendali proses, pasokan lokal bersertifikat, penjualan berulang</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Pelatihan, paten, dan MoU saja tidak menunjukkan penguasaan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Utilisasi kapasitas komersial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Output yang diterima dan dapat dijual / kapasitas praktis setelah commissioning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ada pengakuan output sebelum operasi komersial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Commissioning tepat waktu / tepat anggaran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Kapasitas tertimbang modal baseline yang memenuhi biaya dan tanggal semula / kapasitas yang jatuh tempo</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Penetapan ulang baseline tidak dapat menghapus pembengkakan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Peningkatan produktivitas pemasok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Perubahan nilai tambah riil per FTE pemasok yang dipasangkan dikurangi perubahan kelompok pembanding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Efek seleksi dapat menyerupai peningkatan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Pengurangan bersih emisi GRK siklus hidup (tCO2e/tahun)</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Emisi siklus hidup baseline dikurangi emisi siklus hidup proyek</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Penghindaran yang dirancang bukan pengurangan yang terealisasi</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Layanan andal dan terjangkau yang diberikan (unit)</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pengguna atau unit yang memenuhi ambang kualitas, keterjangkauan, dan akses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Sambungan atau aset terpasang saja tidak cukup</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D12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Dukungan publik per tambahan hasil (Rp/hasil)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PV hibah, konsesionalitas, dan perkiraan biaya penjaminan / tambahan hasil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Alternatif dengan biaya terendah; satu penyebut hasil</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A.4 Gerbang tata kelola (usulan)</w:t>
      </w:r>
    </w:p>
    <w:p>
      <w:pPr>
        <w:spacing w:after="100" w:before="0" w:line="258"/>
        <w:jc w:val="left"/>
      </w:pPr>
      <w:r>
        <w:rPr>
          <w:rFonts w:ascii="Arial" w:cs="Arial" w:eastAsia="Arial" w:hAnsi="Arial"/>
          <w:color w:val="000000"/>
          <w:sz w:val="19"/>
          <w:szCs w:val="19"/>
        </w:rPr>
        <w:t xml:space="preserve">D1 menetapkan enam kendali tata kelola yang berfungsi sebagai gerbang (gate), tetapi tidak menamainya dalam materi yang ditelaah. Kami mengusulkan enam gerbang berikut, untuk dikonfirmasi:</w:t>
      </w:r>
    </w:p>
    <w:p>
      <w:pPr>
        <w:pStyle w:val="ListParagraph"/>
        <w:numPr>
          <w:ilvl w:val="0"/>
          <w:numId w:val="7"/>
        </w:numPr>
        <w:spacing w:after="60" w:line="264"/>
      </w:pPr>
      <w:r>
        <w:rPr>
          <w:rFonts w:ascii="Arial" w:cs="Arial" w:eastAsia="Arial" w:hAnsi="Arial"/>
          <w:sz w:val="19"/>
          <w:szCs w:val="19"/>
        </w:rPr>
        <w:t xml:space="preserve">Register proyek dan kepemilikan yang telah disetujui dan direkonsiliasi.</w:t>
      </w:r>
    </w:p>
    <w:p>
      <w:pPr>
        <w:pStyle w:val="ListParagraph"/>
        <w:numPr>
          <w:ilvl w:val="0"/>
          <w:numId w:val="7"/>
        </w:numPr>
        <w:spacing w:after="60" w:line="264"/>
      </w:pPr>
      <w:r>
        <w:rPr>
          <w:rFonts w:ascii="Arial" w:cs="Arial" w:eastAsia="Arial" w:hAnsi="Arial"/>
          <w:sz w:val="19"/>
          <w:szCs w:val="19"/>
        </w:rPr>
        <w:t xml:space="preserve">Laporan keuangan teraudit dan rekonsiliasi saldo awal untuk perimeter pelaporan.</w:t>
      </w:r>
    </w:p>
    <w:p>
      <w:pPr>
        <w:pStyle w:val="ListParagraph"/>
        <w:numPr>
          <w:ilvl w:val="0"/>
          <w:numId w:val="7"/>
        </w:numPr>
        <w:spacing w:after="60" w:line="264"/>
      </w:pPr>
      <w:r>
        <w:rPr>
          <w:rFonts w:ascii="Arial" w:cs="Arial" w:eastAsia="Arial" w:hAnsi="Arial"/>
          <w:sz w:val="19"/>
          <w:szCs w:val="19"/>
        </w:rPr>
        <w:t xml:space="preserve">Penilaian independen atas kepemilikan privat dan strategis yang material.</w:t>
      </w:r>
    </w:p>
    <w:p>
      <w:pPr>
        <w:pStyle w:val="ListParagraph"/>
        <w:numPr>
          <w:ilvl w:val="0"/>
          <w:numId w:val="7"/>
        </w:numPr>
        <w:spacing w:after="60" w:line="264"/>
      </w:pPr>
      <w:r>
        <w:rPr>
          <w:rFonts w:ascii="Arial" w:cs="Arial" w:eastAsia="Arial" w:hAnsi="Arial"/>
          <w:sz w:val="19"/>
          <w:szCs w:val="19"/>
        </w:rPr>
        <w:t xml:space="preserve">Register benturan kepentingan beserta catatan pengunduran diri dari pengambilan keputusan (recusal) untuk semua keputusan material.</w:t>
      </w:r>
    </w:p>
    <w:p>
      <w:pPr>
        <w:pStyle w:val="ListParagraph"/>
        <w:numPr>
          <w:ilvl w:val="0"/>
          <w:numId w:val="7"/>
        </w:numPr>
        <w:spacing w:after="60" w:line="264"/>
      </w:pPr>
      <w:r>
        <w:rPr>
          <w:rFonts w:ascii="Arial" w:cs="Arial" w:eastAsia="Arial" w:hAnsi="Arial"/>
          <w:sz w:val="19"/>
          <w:szCs w:val="19"/>
        </w:rPr>
        <w:t xml:space="preserve">Pendapat risiko dan hukum independen yang dicatat untuk semua keputusan di atas ambang batas.</w:t>
      </w:r>
    </w:p>
    <w:p>
      <w:pPr>
        <w:pStyle w:val="ListParagraph"/>
        <w:numPr>
          <w:ilvl w:val="0"/>
          <w:numId w:val="7"/>
        </w:numPr>
        <w:spacing w:after="60" w:line="264"/>
      </w:pPr>
      <w:r>
        <w:rPr>
          <w:rFonts w:ascii="Arial" w:cs="Arial" w:eastAsia="Arial" w:hAnsi="Arial"/>
          <w:sz w:val="19"/>
          <w:szCs w:val="19"/>
        </w:rPr>
        <w:t xml:space="preserve">Pernyataan penjaminan data mengenai cakupan bukti dan kualifikasinya.</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B</w:t>
            </w:r>
          </w:p>
          <w:p>
            <w:pPr>
              <w:pStyle w:val="Heading1"/>
              <w:spacing w:after="100"/>
            </w:pPr>
            <w:r>
              <w:rPr>
                <w:rFonts w:ascii="Arial" w:cs="Arial" w:eastAsia="Arial" w:hAnsi="Arial"/>
                <w:b/>
                <w:bCs/>
                <w:color w:val="FFFFFF"/>
                <w:sz w:val="40"/>
                <w:szCs w:val="40"/>
              </w:rPr>
              <w:t xml:space="preserve">Lampiran B: Ketidaksesuaian dalam dokumen sumber</w:t>
            </w:r>
          </w:p>
          <w:p>
            <w:pPr>
              <w:spacing w:after="0" w:line="276"/>
            </w:pPr>
            <w:r>
              <w:rPr>
                <w:rFonts w:ascii="Arial" w:cs="Arial" w:eastAsia="Arial" w:hAnsi="Arial"/>
                <w:color w:val="FFFFFF"/>
                <w:sz w:val="20"/>
                <w:szCs w:val="20"/>
              </w:rPr>
              <w:t xml:space="preserve">Inkonsistensi yang ditemukan selama penelaahan ini. Tidak satu pun diselesaikan dengan asumsi; masing-masing harus dikoreksi oleh pemiliknya sebelum angka tersebut digunakan untuk pengambilan keputusan.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157"/>
        <w:gridCol w:w="5108"/>
        <w:gridCol w:w="289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Ketidaksesuaian</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D2 / U1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Total 40 proyek: ringkasan Rp2.091,46 triliun versus rincian Rp2.072,53 triliun (−Rp18,93 triliun); alokasi klaster berbeda (Lainnya +Rp291,44 triliun; Mineral −Rp196,98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Pemilik data mengonfirmasi satuan, cakupan, dan alokasi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Porsi sumber daya alam 2026: label grafik 10,86% versus teks 10,68%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Koreksi salah satu nilai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Rp100 triliun / Rp1.000 triliun disebut sebagai “manfaat fiskal langsung” dalam teks, tetapi dalam grafik ditampilkan sebagai “nilai kapitalisasi batu bara dengan NRF” di samping “Coal Reserve Capitalization” Rp10.000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stok (kapitalisasi) dari arus (manfaat fiskal)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“Valuasi minimum Rp10.000 triliun” tidak disertai metode atau kategori cadangan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Publikasikan metode berdasarkan KCMI/CRIRSCO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“Bukan hibah, bukan utang” versus “surat utang berimbal hasil” dan “kreditur berjaminan”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Klasifikasikan sebagai utang berdasarkan substansinya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“Tanpa agunan” versus “agunan PO Kementerian Pertahanan”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Perjelas paket jaminan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“Imbal hasil tetap 6–7%” versus “700 bps”; “+200 bps” tanpa penjelasan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Term sheet yang dikoreksi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Go-live “45 hari” versus “90 hari”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Satu rencana tunggal</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ZK proof atas “nilai US$500 juta” versus penerbitan US$150 juta</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Jelaskan hubungannya (nilai kontrak versus ukuran penerbitan)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Danantara “AUM US$900 miliar+”, “US$20 miliar awal”, “1.000+ BUMN”; “telah mendapat persetujuan awal BSSN dan OJK”</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Sediakan sumber dan konfirmasi tertulis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7 / hlm. 8</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Tim teknis 14 orang: hlm. 7 mencakup pimpinan proyek dan menggabungkan DevOps dengan keamanan; hlm. 8 tidak memuat pimpinan proyek dan memisahkan keamanan/IAM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peran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7</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Gantt chart menampilkan M1–M12 dalam rencana tiga bulan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Beri label sebagai minggu</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5 / hlm. 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Enam agen sasaran (risiko portofolio, bid/no-bid, estimasi biaya, piutang, jadwal, pengadaan) berbeda dari enam agen MVP (dokumen proyek, biaya, kas dan piutang, pengadaan, jadwal, orkestrator PM)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pentahapan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Llama 3.1 70B (4-bit) dicantumkan dalam kelompok model 30–40B</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Lakukan uji beban atau klasifikasikan ulang</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“Kawasan industri” tercantum dua kali di antara aset yang membebani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Editorial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3</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Penurunan anggaran infrastruktur ditampilkan −45%; hasil perhitungan −44,7%</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Pembulatan; dapat diterima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D4 hlm. 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Label “Lingkaran = bulan”, sementara jalur TRL menggunakan nomor langkah</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Perjelas linimasa jalur TRL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1 berukuran “4 GPU (1 lokasi)”, tetapi tabel spesifikasi menyebut 1–2 server masing-masing 4 × L40S (4–8 GPU)</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jumlah GPU Tahap 1</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Seri porsi pendapatan disajikan tanpa sumber yang disebutkan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Rekonsiliasikan dengan data anggaran sebelum digunakan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20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D3 hlm. 7–8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Tim bisnis disebut 6–8 orang, tetapi peran yang dicantumkan berjumlah 7–8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Konfirmasi ukuran tim</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C</w:t>
            </w:r>
          </w:p>
          <w:p>
            <w:pPr>
              <w:pStyle w:val="Heading1"/>
              <w:spacing w:after="100"/>
            </w:pPr>
            <w:r>
              <w:rPr>
                <w:rFonts w:ascii="Arial" w:cs="Arial" w:eastAsia="Arial" w:hAnsi="Arial"/>
                <w:b/>
                <w:bCs/>
                <w:color w:val="FFFFFF"/>
                <w:sz w:val="40"/>
                <w:szCs w:val="40"/>
              </w:rPr>
              <w:t xml:space="preserve">Lampiran C: Perhitungan</w:t>
            </w:r>
          </w:p>
          <w:p>
            <w:pPr>
              <w:spacing w:after="0" w:line="276"/>
            </w:pPr>
            <w:r>
              <w:rPr>
                <w:rFonts w:ascii="Arial" w:cs="Arial" w:eastAsia="Arial" w:hAnsi="Arial"/>
                <w:color w:val="FFFFFF"/>
                <w:sz w:val="20"/>
                <w:szCs w:val="20"/>
              </w:rPr>
              <w:t xml:space="preserve">Perhitungan yang dilakukan untuk kajian ini. Input berasal dari sumber, kecuali yang ditandai sebagai ilustratif (kelas D).</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Butir</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Perhitungan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tertimbang surat utang DIM</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(750 × 5,35% + 750 × 5,95%) / 1.500</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5,65%</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Rata-rata spread surat utang DIM</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 + 34) / 2</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 bps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Kelebihan permintaan (cover) surat utang DIM</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4,6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3,07×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bersama CA–EDC</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 / 800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Selisih 40 proyek</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2.091,46 − 2.072,53</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Rp18,93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Kerugian BUMN Karya</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10,14 + 8,0 + 5,4 + 4,48</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Rp28,02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Perubahan anggaran infrastruktur</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(61,38 − 110,95) / 110,95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−44,7%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Rata-rata periode NRF</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Rata-rata porsi tahunan 2004–2014; rata-rata 2015–2024</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19,3%; 7,7% (rekonsiliasikan dengan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Implikasi pendapatan negara 2026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336 / 10,68%</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Rp3.146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Royalti versus potensi (perbandingan D5; arus terhadap stok)</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126,4 / 10.000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 (D5: “&lt; 2%”); bukan ukuran tingkat penangkapan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Ilustrasi NRF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50 Mt × US$80 × 15% = US$0,6 miliar/tahun; × faktor anuitas 20 tahun pada 8% (9,818) = US$5,89 miliar;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US$3,93 miliar; 4,9% dari US$80 miliar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PAL-SUB-1</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US$20,7 juta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Contoh urutan pembayaran (waterfall) PAL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5,17 / (150 × 7%) × 365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180 hari akrual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Pemeriksaan penghematan PAL</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(10,5%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US$10,4 juta (dalam rentang klaim US$8–12 juta)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Total tranche PAL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 + 45 + 40 + 25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juta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Kurva pembelajaran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unit = 0,85 pangkat n; paritas ketika 1,4 × 0,85 pangkat n = 1</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 ≈ 2,07 kali penggandaan ≈ 4,2× volume lot pertama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dan penggunaan dana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 5 × 16.500 = Rp578 triliun; 20% × 126,4 = 25,3 × anuitas(10 th; 7%) 7,024 = 178 ÷ 1,5 = 118; 1,45 miliar × 16.500 = 24</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Kanal baru Rp142 triliun (6,8%); sisa Rp1.371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Pembagian ekuitas dan utang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 × 2.091,46; 70% × 2.091,46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Rp627 triliun; utang Rp1.464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Skenario lokalisasi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100 × 45% × 60% = 27 impor; × 10/20/30% dialihkan; × 40% nilai tambah; × 0,7 devisa bersih; ÷ Rp0,25 miliar per orang-tahun kerja</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 Rp100 triliun: nilai tambah 1,1 / 2,2 / 3,2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Ilustrasi piutang dengan AI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20.000 × 10 / 365; × 10%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Rp0,55 triliun dilepaskan; Rp55 miliar per tahun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Contoh finansial vs ekonomi (D1)</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−100 + 15 × anuitas(10 th; 12%) ; −100 + 21 × anuitas(10 th; 9%)</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FNPV −Rp15,25 miliar; ENPV Rp34,77 miliar</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D</w:t>
            </w:r>
          </w:p>
          <w:p>
            <w:pPr>
              <w:pStyle w:val="Heading1"/>
              <w:spacing w:after="0"/>
            </w:pPr>
            <w:r>
              <w:rPr>
                <w:rFonts w:ascii="Arial" w:cs="Arial" w:eastAsia="Arial" w:hAnsi="Arial"/>
                <w:b/>
                <w:bCs/>
                <w:color w:val="FFFFFF"/>
                <w:sz w:val="40"/>
                <w:szCs w:val="40"/>
              </w:rPr>
              <w:t xml:space="preserve">Lampiran D: Glosarium</w:t>
            </w:r>
          </w:p>
        </w:tc>
      </w:tr>
    </w:tbl>
    <w:p>
      <w:pPr>
        <w:spacing w:after="200"/>
      </w:pPr>
    </w:p>
    <w:p>
      <w:pPr>
        <w:spacing w:after="100" w:before="0" w:line="258"/>
        <w:jc w:val="left"/>
      </w:pPr>
      <w:r>
        <w:rPr>
          <w:rFonts w:ascii="Arial" w:cs="Arial" w:eastAsia="Arial" w:hAnsi="Arial"/>
          <w:color w:val="000000"/>
          <w:sz w:val="19"/>
          <w:szCs w:val="19"/>
        </w:rPr>
        <w:t xml:space="preserve">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Istilah</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Arti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ADB / IFC / MDB</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Asian Development Bank / International Finance Corporation / bank pembangunan multilateral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APBN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Anggaran Pendapatan dan Belanja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AUM / NAV</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Aset kelolaan / nilai aset bersih</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BIM / CDE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Pemodelan informasi bangunan (building information modelling) / lingkungan data bersama (common data environment)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BKI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Biro Klasifikasi Indonesia, badan klasifikasi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 BUMN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pengatur BUMN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Pengelola Investasi Daya Anagata Nusantara (Danantara); badan eksekutifnya adalah Badan Pelaksana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Pusat Statistik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BRIN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Riset dan Inovasi Nasional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BSSN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Siber dan Sandi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BUMN konstruksi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CA–EDC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Proyek kimia klor-alkali dan etilena diklorida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CEO / CFO / COO / CIO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Pimpinan eksekutif / keuangan / operasional / investasi / teknologi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CET1 / CAR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Modal inti utama (common equity tier 1) / rasio kecukupan modal (bank)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CIR / BOPO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biaya terhadap pendapatan / beban operasional terhadap pendapatan operasional (rasio perbankan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CMSC / SCIC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Bekas Komisi Pengelolaan Modal Negara Vietnam / State Capital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CPI / SPI / EAC / BAC / EV / AC</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Indeks kinerja biaya dan jadwal; estimasi dan anggaran pada saat penyelesaian; earned value; biaya aktual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CRIRSCO / KCMI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Templat internasional pelaporan cadangan dan kode Indonesia untuk pelaporan sumber daya dan cadangan mineral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DAM / DIM / DDMF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Danantara Asset Management / Investment Management / Development Management Fund</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Holding BUMN industri pertahanan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DOCK-UP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Kerangka pengembangan pemasok Develop, Off-taker, Certification, Upgrading</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DPI / TVPI / RVPI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nilai total, dan nilai residual terhadap modal disetor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EBITDA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sebelum bunga, pajak, depresiasi, dan amortisasi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EIRR / 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pengembalian internal ekonomi / nilai kini bersih ekonomi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EMC / IRST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Kompatibilitas elektromagnetik / pencarian dan pelacakan inframerah (infrared search and track)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EPC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Rekayasa, pengadaan, dan konstruksi (engineering, procurement and construction)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ERC-3643 / IBFT / FIPS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Standar security token berizin (permissioned) / konsensus Istanbul Byzantine fault-tolerant / standar modul kriptografi federal AS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Sistem perencanaan sumber daya perusahaan (enterprise resource planning)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FEED / FID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Desain rekayasa awal (front-end engineering design) / keputusan investasi final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Setara pegawai penuh waktu (full-time equivalent)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FX</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Valuta asing</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GHG / tCO2e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Gas rumah kaca (GRK) / ton setara karbon dioksida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GMS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Rapat Umum Pemegang Saham (RUPS)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GPU / LLM / RAG / OCR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Prosesor grafis / model bahasa besar / retrieval-augmented generation / pengenalan karakter optik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Kesehatan, keselamatan, dan lingkungan (K3L)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HSM / IAM</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Modul keamanan perangkat keras (hardware security module) / manajemen identitas dan akses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IKD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Kerangka dan sandbox Inovasi Keuangan Digital OJK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IMF / IFSWF / GIPS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 Moneter Internasional / International Forum of Sovereign Wealth Funds / Global Investment Performance Standards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INA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 Investment Authority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IoT / SCADA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Internet of things / sistem kendali pengawasan dan akuisisi data (supervisory control and data acquisition)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Kekayaan intelektual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IRR / XIRR / TWR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pengembalian internal / IRR atas arus kas bertanggal / imbal hasil tertimbang waktu (time-weighted return)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IUP / HGU</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Izin Usaha Pertambangan / Hak Guna Usaha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Komite Kebijakan Industri Pertahanan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KUR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Usaha Rakyat, kredit usaha bersubsidi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KYB / AML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Kenali bisnis Anda (know your business) / anti pencucian uang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Landing platform dock (kapal)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LPEI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Lembaga Pembiayaan Ekspor Indonesia (Indonesia Eximbank)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Managing Director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MIND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Holding BUMN pertambangan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MoD / MoF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Kementerian Pertahanan / Kementerian Keuangan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MoU</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Nota kesepahaman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MRL / TRL (TKT)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kesiapan manufaktur / teknologi (TKT adalah padanan TRL di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Pemeliharaan, perbaikan, dan overhaul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MSME / SME (UMKM / UKM)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Usaha mikro, kecil, dan menengah / usaha kecil dan menengah</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MVP / UAT / SOP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Produk layak minimum (minimum viable product) / uji penerimaan pengguna / prosedur operasi standar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NIIF / PRAGATI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Investment and Infrastructure Fund India / platform pemantauan proyek India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NIMP / MITI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New Industrial Master Plan 2030 Malaysia / Kementerian Investasi, Perdagangan, dan Industri Malaysia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Industrial Transformation Office Danantara (usulan)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NOPAT / ROIC / WACC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operasi bersih setelah pajak / imbal hasil atas modal yang diinvestasikan / biaya modal rata-rata tertimbang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NPL</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bermasalah (non-performing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kini bersih (net present value)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dapat dinilai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NRF</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Natural Resource Fund / Dana Sumber Daya Alam</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OJK</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Otoritas Jasa Keuangan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PBS / WBS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Struktur rincian produk (product breakdown structure) / struktur rincian kerja (work breakdown structure)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Pinjaman luar negeri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Pinjaman dari kreditur luar negeri (foreign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PKPU</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Penundaan Kewajiban Pembayaran Utang, restrukturisasi utang di bawah pengawasan pengadilan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Manajemen siklus hidup produk (product lifecycle management)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PLN (Persero), perusahaan listrik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Ekuivalen pasar publik (public-market equivalent)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Penyertaan Modal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PNBP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Penerimaan Negara Bukan Pajak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Peraturan Pemerintah</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PPA / PPP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Perjanjian jual beli tenaga listrik (power-purchase agreement) / kerja sama pemerintah dan badan usaha (KPBU)</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PSEL / WtE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Pengolahan Sampah menjadi Energi Listrik / waste-to-energy</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Kewajiban pelayanan publik (public-service obligation)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RASCI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Responsible, Accountable, Supporting, Consulted, Informed (penanggung jawab pelaksana, penanggung jawab akhir, pendukung, pihak yang dikonsultasikan, pihak yang diinformasikan)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ROE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atas ekuitas (return on equity)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SASAC / SDIC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Regulator aset negara Tiongkok / State Development and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Surat Berharga Negara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Kendaraan bertujuan khusus (special-purpose vehicle)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TKDN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Komponen Dalam Negeri (sertifikasi kandungan lokal)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TNI AL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Tentara Nasional Indonesia Angkatan Laut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ZK proof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Zero-knowledge proof: membuktikan suatu fakta tanpa mengungkapkan data yang mendasarinya</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E</w:t>
            </w:r>
          </w:p>
          <w:p>
            <w:pPr>
              <w:pStyle w:val="Heading1"/>
              <w:spacing w:after="100"/>
            </w:pPr>
            <w:r>
              <w:rPr>
                <w:rFonts w:ascii="Arial" w:cs="Arial" w:eastAsia="Arial" w:hAnsi="Arial"/>
                <w:b/>
                <w:bCs/>
                <w:color w:val="FFFFFF"/>
                <w:sz w:val="40"/>
                <w:szCs w:val="40"/>
              </w:rPr>
              <w:t xml:space="preserve">Lampiran E: Referensi</w:t>
            </w:r>
          </w:p>
          <w:p>
            <w:pPr>
              <w:spacing w:after="0" w:line="276"/>
            </w:pPr>
            <w:r>
              <w:rPr>
                <w:rFonts w:ascii="Arial" w:cs="Arial" w:eastAsia="Arial" w:hAnsi="Arial"/>
                <w:color w:val="FFFFFF"/>
                <w:sz w:val="20"/>
                <w:szCs w:val="20"/>
              </w:rPr>
              <w:t xml:space="preserve">Referensi dasar yang dikutip oleh dokumen sumber dan digunakan dalam kajian ini.</w:t>
            </w:r>
          </w:p>
        </w:tc>
      </w:tr>
    </w:tbl>
    <w:p>
      <w:pPr>
        <w:spacing w:after="200"/>
      </w:pPr>
    </w:p>
    <w:p>
      <w:pPr>
        <w:spacing w:after="100" w:before="0" w:line="258"/>
        <w:jc w:val="left"/>
      </w:pPr>
      <w:r>
        <w:rPr>
          <w:rFonts w:ascii="Arial" w:cs="Arial" w:eastAsia="Arial" w:hAnsi="Arial"/>
          <w:color w:val="000000"/>
          <w:sz w:val="19"/>
          <w:szCs w:val="19"/>
        </w:rPr>
        <w:t xml:space="preserve">D3 hingga D6 tidak mengutip referensi eksternal sendiri, sehingga hanya referensi D1 dan D2 yang dicantumkan. UU 1/2025 (Bagian 3.1) dikutip dari sumber hukum publik dan perlu diverifikasi oleh unit Hukum Danantara.</w:t>
      </w:r>
    </w:p>
    <w:p>
      <w:pPr>
        <w:pStyle w:val="Heading2"/>
        <w:keepNext/>
        <w:keepLines/>
        <w:spacing w:after="120" w:before="280"/>
      </w:pPr>
      <w:r>
        <w:rPr>
          <w:rFonts w:ascii="Arial" w:cs="Arial" w:eastAsia="Arial" w:hAnsi="Arial"/>
          <w:b/>
          <w:bCs/>
          <w:color w:val="00338D"/>
          <w:sz w:val="28"/>
          <w:szCs w:val="28"/>
        </w:rPr>
        <w:t xml:space="preserve">E.1 Dikutip melalui D1 (kajian kinerja)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Referensi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S01</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situs web resmi dan halaman laporan (diakses 6 Okt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S02</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SOEs complete FY2025 statements; consolidation continues (2 Jul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2026 work plan and budget (1 Des 2025)</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S04</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governance reset and strengthening SOE fundamentals (5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S05</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US$1.5 billion international bond issuance (12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Danantara and INA sign CA–EDC investment agreement (3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S07</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construction of PSEL Bogor Raya 1 begins (17 Sep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MIND ID: six Phase-I downstream projects, up to US$7 billion (acara 6 Feb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DDMF mandate and approach</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S10–S13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Keterbukaan informasi keuangan BRI, Bank Mandiri, Telkom, dan PLN (2025–2026)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S14</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BPS: Indonesia economic growth in 2025 (5 Feb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S15–S16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CFA Institute GIPS Standards for Asset Owners; IFSWF Santiago Principles</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S17–S19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Temasek investment approach dan Temasek Review 2026; Khazanah Annual Review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S20–S23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SOE Guidelines 2024; IMF SOE Health Check Tool dan panduan risiko fiskal IMF</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S24–S29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IFC AIMM; ADB Guidelines for the Economic Analysis of Projects (2017); IDB Invest DELTA; MDB mobilisation reference guide; indikator industri UNIDO</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S30–S31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Danantara Indonesia: Batch II WtE conditional awards (21 Jul 2026); direktori hubungan investor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E.2 Dikutip melalui D2 (evaluasi tata kelola)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Referensi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R1–R3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10/2025; PP 19/2026; UU 16/2025 tentang perubahan UU BUMN</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R4–R8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Struktur BPI, DAM, DIM, dan DDMF Danantara; pernyataan resmi 12 Mei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Guidelines on Corporate Governance of State-Owned Enterprises 2024</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R10–R11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Ketentuan SASAC tentang investasi perusahaan pusat; dana transformasi teknologi SDIC</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R12–R13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Vietnam: pembubaran CMSC; Kementerian Keuangan Vietnam tentang restrukturisasi SCIC (18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R14–R16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India: rapat PRAGATI ke-50 (31 Des 2025); NIIF; penilaian AIIB atas NIIF PMF II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R17–R19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Kerangka tata kelola dan kebijakan investasi Khazanah; Delivery Management Unit NIMP 2030 Malaysia</w:t>
            </w:r>
          </w:p>
        </w:tc>
      </w:tr>
    </w:tbl>
    <w:p>
      <w:pPr>
        <w:keepNext w:val="false"/>
        <w:spacing w:after="140"/>
      </w:pPr>
    </w:p>
    <w:sectPr>
      <w:headerReference w:type="default" r:id="rId6"/>
      <w:footerReference w:type="default" r:id="rId7"/>
      <w:pgSz w:w="11906" w:h="16838" w:orient="portrait"/>
      <w:pgMar w:top="1250" w:right="1134" w:bottom="1150"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000000"/>
        <w:sz w:val="15"/>
        <w:szCs w:val="15"/>
      </w:rPr>
      <w:t xml:space="preserve">Kajian Komite Pengarah · Draf untuk diskusi · Oktober 2026</w:t>
    </w:r>
    <w:r>
      <w:rPr>
        <w:rFonts w:ascii="Arial" w:cs="Arial" w:eastAsia="Arial" w:hAnsi="Arial"/>
        <w:b/>
        <w:bCs/>
        <w:color w:val="00338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C7EF" w:sz="4" w:space="4"/>
      </w:pBdr>
      <w:jc w:val="right"/>
    </w:pPr>
    <w:r>
      <w:rPr>
        <w:rFonts w:ascii="Arial" w:cs="Arial" w:eastAsia="Arial" w:hAnsi="Arial"/>
        <w:color w:val="005EB8"/>
        <w:sz w:val="15"/>
        <w:szCs w:val="15"/>
      </w:rPr>
      <w:t xml:space="preserve">Danantara: platform kapabilitas industri nasional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005EB8"/>
        <w:sz w:val="14"/>
        <w:szCs w:val="14"/>
      </w:rPr>
    </w:lvl>
    <w:lvl w:ilvl="1" w:tentative="1">
      <w:start w:val="1"/>
      <w:numFmt w:val="bullet"/>
      <w:lvlText w:val="–"/>
      <w:lvlJc w:val="left"/>
      <w:pPr>
        <w:ind w:left="720" w:hanging="260"/>
      </w:pPr>
      <w:rPr>
        <w:color w:val="005EB8"/>
        <w:sz w:val="18"/>
        <w:szCs w:val="18"/>
      </w:rPr>
    </w:lvl>
    <w:lvl w:ilvl="2" w:tentative="1">
      <w:start w:val="1"/>
      <w:numFmt w:val="bullet"/>
      <w:lvlText w:val="·"/>
      <w:lvlJc w:val="left"/>
      <w:pPr>
        <w:ind w:left="1080" w:hanging="260"/>
      </w:pPr>
      <w:rPr>
        <w:color w:val="005EB8"/>
        <w:sz w:val="18"/>
        <w:szCs w:val="18"/>
      </w:rPr>
    </w:lvl>
  </w:abstractNum>
  <w:abstractNum w:abstractNumId="3" w15:restartNumberingAfterBreak="0">
    <w:multiLevelType w:val="hybridMultilevel"/>
    <w:lvl w:ilvl="0" w:tentative="1">
      <w:start w:val="1"/>
      <w:numFmt w:val="bullet"/>
      <w:lvlText w:val="■"/>
      <w:lvlJc w:val="left"/>
      <w:pPr>
        <w:ind w:left="360" w:hanging="260"/>
      </w:pPr>
      <w:rPr>
        <w:color w:val="9CC7EF"/>
        <w:sz w:val="14"/>
        <w:szCs w:val="14"/>
      </w:rPr>
    </w:lvl>
  </w:abstractNum>
  <w:abstractNum w:abstractNumId="4" w15:restartNumberingAfterBreak="0">
    <w:multiLevelType w:val="hybridMultilevel"/>
    <w:lvl w:ilvl="0" w:tentative="1">
      <w:start w:val="1"/>
      <w:numFmt w:val="decimal"/>
      <w:lvlText w:val="%1."/>
      <w:lvlJc w:val="left"/>
      <w:pPr>
        <w:ind w:left="400" w:hanging="340"/>
      </w:pPr>
      <w:rPr>
        <w:b/>
        <w:bCs/>
        <w:color w:val="00338D"/>
      </w:rPr>
    </w:lvl>
    <w:lvl w:ilvl="1" w: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40"/>
      <w:szCs w:val="40"/>
    </w:rPr>
  </w:style>
  <w:style w:type="paragraph" w:styleId="Heading2">
    <w:name w:val="Heading 2"/>
    <w:basedOn w:val="Normal"/>
    <w:next w:val="Normal"/>
    <w:qFormat/>
    <w:pPr>
      <w:outlineLvl w:val="1"/>
    </w:pPr>
    <w:rPr>
      <w:rFonts w:ascii="Arial" w:cs="Arial" w:eastAsia="Arial" w:hAnsi="Arial"/>
      <w:b/>
      <w:bCs/>
      <w:color w:val="00338D"/>
      <w:sz w:val="28"/>
      <w:szCs w:val="28"/>
    </w:rPr>
  </w:style>
  <w:style w:type="paragraph" w:styleId="Heading3">
    <w:name w:val="Heading 3"/>
    <w:basedOn w:val="Normal"/>
    <w:next w:val="Normal"/>
    <w:qFormat/>
    <w:pPr>
      <w:outlineLvl w:val="2"/>
    </w:pPr>
    <w:rPr>
      <w:rFonts w:ascii="Arial" w:cs="Arial" w:eastAsia="Arial" w:hAnsi="Arial"/>
      <w:b/>
      <w:bCs/>
      <w:color w:val="005EB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7b5ec4c892f0d5f94171a0e1992fe8e60481c5b.png"/><Relationship Id="rId10" Type="http://schemas.openxmlformats.org/officeDocument/2006/relationships/image" Target="media/d778edde025a77d1b4766e2ac7164e946184655c.png"/><Relationship Id="rId11" Type="http://schemas.openxmlformats.org/officeDocument/2006/relationships/image" Target="media/268a00ec9e88a577107e0f4600300bcfcf801ebb.png"/><Relationship Id="rId12" Type="http://schemas.openxmlformats.org/officeDocument/2006/relationships/image" Target="media/1f319b960fb26c96c8306eea7c6a8dda5d7c861f.png"/><Relationship Id="rId13" Type="http://schemas.openxmlformats.org/officeDocument/2006/relationships/image" Target="media/0b25a54c717503bc7c69b0bb5c5b29fa6600c0e8.png"/><Relationship Id="rId14" Type="http://schemas.openxmlformats.org/officeDocument/2006/relationships/image" Target="media/70e7ccbd2a5508171333b427eae4718b7f564ef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Un-named</cp:lastModifiedBy>
  <cp:revision>1</cp:revision>
  <dcterms:created xsi:type="dcterms:W3CDTF">2026-10-07T13:30:27.273Z</dcterms:created>
  <dcterms:modified xsi:type="dcterms:W3CDTF">2026-10-07T13:30:27.273Z</dcterms:modified>
</cp:coreProperties>
</file>

<file path=docProps/custom.xml><?xml version="1.0" encoding="utf-8"?>
<Properties xmlns="http://schemas.openxmlformats.org/officeDocument/2006/custom-properties" xmlns:vt="http://schemas.openxmlformats.org/officeDocument/2006/docPropsVTypes"/>
</file>