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6FD1"/>
          <w:spacing w:val="30"/>
          <w:sz w:val="18"/>
          <w:szCs w:val="18"/>
        </w:rPr>
        <w:t xml:space="preserve">NATURAL RESOURCE FUND · DRAF KOMITE PENGARAH</w:t>
      </w:r>
    </w:p>
    <w:p>
      <w:pPr>
        <w:pStyle w:val="Title"/>
      </w:pPr>
      <w:r>
        <w:t xml:space="preserve">Pemantau Inflasi NRF</w:t>
      </w:r>
    </w:p>
    <w:p>
      <w:pPr>
        <w:spacing w:after="160"/>
      </w:pPr>
      <w:r>
        <w:rPr>
          <w:color w:val="55607A"/>
          <w:sz w:val="26"/>
          <w:szCs w:val="26"/>
        </w:rPr>
        <w:t xml:space="preserve">Cara memantau dan mengevaluasi dampak inflasi Natural Resource Fund (NRF), serta rancangan platform untuk melakukannya</w:t>
      </w:r>
    </w:p>
    <w:p>
      <w:pPr>
        <w:pBdr>
          <w:bottom w:val="single" w:color="0B2A63" w:sz="12" w:space="6"/>
        </w:pBdr>
        <w:spacing w:after="240"/>
      </w:pPr>
      <w:r>
        <w:rPr>
          <w:sz w:val="20"/>
          <w:szCs w:val="20"/>
        </w:rPr>
        <w:t xml:space="preserve">Oktober 2026 · Draf untuk diskusi komite pengarah · Pendamping </w:t>
      </w:r>
      <w:r>
        <w:rPr>
          <w:i/>
          <w:iCs/>
          <w:sz w:val="20"/>
          <w:szCs w:val="20"/>
        </w:rPr>
        <w:t xml:space="preserve">Kajian Danantara, NRF dan Tokenisasi (Oktober 2026)</w:t>
      </w:r>
    </w:p>
    <w:p>
      <w:pPr>
        <w:pBdr>
          <w:left w:val="single" w:color="0B2A63" w:sz="24" w:space="8"/>
        </w:pBdr>
        <w:shd w:fill="EDF1F7" w:color="auto" w:val="clear"/>
        <w:spacing w:after="200" w:before="120"/>
        <w:ind w:left="200" w:right="200"/>
      </w:pPr>
      <w:r>
        <w:rPr>
          <w:i/>
          <w:iCs/>
        </w:rPr>
        <w:t xml:space="preserve">Dokumen ini adalah catatan rancangan, bukan proyeksi makroekonomi. Angka pada Bagian 2.3 bersifat ilustratif dan memakai parameter asumsi. Angka tersebut harus diganti dengan hasil estimasi model pada Bagian 4 sebelum dikutip.</w:t>
      </w:r>
    </w:p>
    <w:p>
      <w:pPr>
        <w:pStyle w:val="Heading1"/>
        <w:keepNext/>
      </w:pPr>
      <w:r>
        <w:t xml:space="preserve">1. Mengapa NRF memerlukan pemantau inflasi</w:t>
      </w:r>
    </w:p>
    <w:p>
      <w:r>
        <w:t xml:space="preserve">Ringkasan Eksekutif NRF (25 September 2025) menetapkan target manfaat fiskal langsung </w:t>
      </w:r>
      <w:r>
        <w:rPr>
          <w:b/>
          <w:bCs/>
        </w:rPr>
        <w:t xml:space="preserve">Rp100 T pada tahun pertama dan Rp1.000 T dalam tiga tahun</w:t>
      </w:r>
      <w:r>
        <w:t xml:space="preserve">. Dokumen itu memproyeksikan manfaat SDA 2026 sebesar Rp336 T (10,68% pendapatan negara) dan nilai kapitalisasi batubara minimal Rp10.000 T. Pendanaannya berasal dari sekuritisasi cadangan milik negara (Sovereign ABS, Sovereign Note berbasis mineral, Royalty-Backed Financing, Mineral Reserve Trust). Manfaatnya disalurkan melalui reprofiling utang APBN, penerimaan pajak dan Koperasi Merah Putih.</w:t>
      </w:r>
    </w:p>
    <w:p>
      <w:r>
        <w:t xml:space="preserve">Dokumen tersebut tidak membahas inflasi. Kesenjangan ini penting karena tiga alasan:</w:t>
      </w:r>
    </w:p>
    <w:p>
      <w:pPr>
        <w:pStyle w:val="ListParagraph"/>
        <w:numPr>
          <w:ilvl w:val="0"/>
          <w:numId w:val="2"/>
        </w:numPr>
        <w:spacing w:after="80"/>
      </w:pPr>
      <w:r>
        <w:rPr>
          <w:b/>
          <w:bCs/>
        </w:rPr>
        <w:t xml:space="preserve">Skala.</w:t>
      </w:r>
      <w:r>
        <w:t xml:space="preserve"> Rp1.000 T setara sekitar 4% PDB nominal (sekitar Rp24.000 T). Injeksi sebesar itu, bila dibelanjakan di dalam negeri dengan cepat, akan mengubah permintaan secara nyata.</w:t>
      </w:r>
    </w:p>
    <w:p>
      <w:pPr>
        <w:pStyle w:val="ListParagraph"/>
        <w:numPr>
          <w:ilvl w:val="0"/>
          <w:numId w:val="2"/>
        </w:numPr>
        <w:spacing w:after="80"/>
      </w:pPr>
      <w:r>
        <w:rPr>
          <w:b/>
          <w:bCs/>
        </w:rPr>
        <w:t xml:space="preserve">Tuas pembentukan harga.</w:t>
      </w:r>
      <w:r>
        <w:t xml:space="preserve"> Batubara adalah aset utama NRF sekaligus bahan bakar utama listrik PLN. Setiap perubahan harga batubara demi </w:t>
      </w:r>
      <w:r>
        <w:rPr>
          <w:i/>
          <w:iCs/>
        </w:rPr>
        <w:t xml:space="preserve">fiscal capture</w:t>
      </w:r>
      <w:r>
        <w:t xml:space="preserve"> akan merambat ke harga yang diatur pemerintah (</w:t>
      </w:r>
      <w:r>
        <w:rPr>
          <w:i/>
          <w:iCs/>
        </w:rPr>
        <w:t xml:space="preserve">administered prices</w:t>
      </w:r>
      <w:r>
        <w:t xml:space="preserve">).</w:t>
      </w:r>
    </w:p>
    <w:p>
      <w:pPr>
        <w:pStyle w:val="ListParagraph"/>
        <w:numPr>
          <w:ilvl w:val="0"/>
          <w:numId w:val="2"/>
        </w:numPr>
        <w:spacing w:after="80"/>
      </w:pPr>
      <w:r>
        <w:rPr>
          <w:b/>
          <w:bCs/>
        </w:rPr>
        <w:t xml:space="preserve">Kredibilitas.</w:t>
      </w:r>
      <w:r>
        <w:t xml:space="preserve"> Sasaran inflasi Bank Indonesia adalah </w:t>
      </w:r>
      <w:r>
        <w:rPr>
          <w:b/>
          <w:bCs/>
        </w:rPr>
        <w:t xml:space="preserve">2,5% ± 1% (2025–2027)</w:t>
      </w:r>
      <w:r>
        <w:t xml:space="preserve">. Pasar akan menilai apakah pembiayaan berbasis cadangan diam-diam dimonetisasi. Persepsi "mencetak uang dengan jaminan batubara" dapat menaikkan ekspektasi inflasi dan premi risiko Rupiah, bahkan sebelum satu rupiah pun dibelanjakan.</w:t>
      </w:r>
    </w:p>
    <w:p>
      <w:r>
        <w:t xml:space="preserve">Pemantau inflasi memiliki dua tugas:</w:t>
      </w:r>
    </w:p>
    <w:p>
      <w:pPr>
        <w:pStyle w:val="ListParagraph"/>
        <w:numPr>
          <w:ilvl w:val="0"/>
          <w:numId w:val="3"/>
        </w:numPr>
        <w:spacing w:after="80"/>
      </w:pPr>
      <w:r>
        <w:rPr>
          <w:b/>
          <w:bCs/>
        </w:rPr>
        <w:t xml:space="preserve">Memantau:</w:t>
      </w:r>
      <w:r>
        <w:t xml:space="preserve"> mendeteksi sejak dini, di tingkat nasional dan daerah, apakah kegiatan NRF menambah tekanan harga.</w:t>
      </w:r>
    </w:p>
    <w:p>
      <w:pPr>
        <w:pStyle w:val="ListParagraph"/>
        <w:numPr>
          <w:ilvl w:val="0"/>
          <w:numId w:val="3"/>
        </w:numPr>
        <w:spacing w:after="80"/>
      </w:pPr>
      <w:r>
        <w:rPr>
          <w:b/>
          <w:bCs/>
        </w:rPr>
        <w:t xml:space="preserve">Mengevaluasi:</w:t>
      </w:r>
      <w:r>
        <w:t xml:space="preserve"> setelah kejadian, mengestimasi berapa bagian inflasi yang disebabkan NRF. Manfaat bersih NRF kemudian dilaporkan setelah dikurangi biaya tersebut.</w:t>
      </w:r>
    </w:p>
    <w:p>
      <w:pPr>
        <w:pStyle w:val="Heading1"/>
        <w:keepNext/>
      </w:pPr>
      <w:r>
        <w:t xml:space="preserve">2. Bagaimana NRF dapat memengaruhi inflasi: jalur transmisi</w:t>
      </w:r>
    </w:p>
    <w:p>
      <w:pPr>
        <w:pStyle w:val="Heading2"/>
        <w:keepNext/>
      </w:pPr>
      <w:r>
        <w:t xml:space="preserve">2.1 Peta jalur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12"/>
        <w:gridCol w:w="1029"/>
        <w:gridCol w:w="2896"/>
        <w:gridCol w:w="804"/>
        <w:gridCol w:w="1223"/>
        <w:gridCol w:w="2642"/>
      </w:tblGrid>
      <w:tr>
        <w:trPr>
          <w:tblHeader/>
        </w:trPr>
        <w:tc>
          <w:tcPr>
            <w:tcW w:type="dxa" w:w="71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w:t>
            </w:r>
          </w:p>
        </w:tc>
        <w:tc>
          <w:tcPr>
            <w:tcW w:type="dxa" w:w="102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Jalur</w:t>
            </w:r>
          </w:p>
        </w:tc>
        <w:tc>
          <w:tcPr>
            <w:tcW w:type="dxa" w:w="289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Mekanisme</w:t>
            </w:r>
          </w:p>
        </w:tc>
        <w:tc>
          <w:tcPr>
            <w:tcW w:type="dxa" w:w="80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Arah</w:t>
            </w:r>
          </w:p>
        </w:tc>
        <w:tc>
          <w:tcPr>
            <w:tcW w:type="dxa" w:w="122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Kecepatan</w:t>
            </w:r>
          </w:p>
        </w:tc>
        <w:tc>
          <w:tcPr>
            <w:tcW w:type="dxa" w:w="264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Yang dipantau</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C1</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Permintaan fiskal</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Dana yang dibelanjakan untuk proyek, transfer atau penyaluran melalui koperasi menaikkan permintaan agregat</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inflasi</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2–6 triwulan</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Laju penyaluran vs output gap; inflasi inti; penjualan eceran</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C2</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Pembiayaan moneter</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Bila BI atau perbankan menyerap efek NRF, uang primer atau kredit bertambah</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(kuat bila BI membeli)</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1–4 triwulan</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Komposisi pembeli tiap seri; M0/M2; likuiditas bank; pembelian BI di pasar perdana</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C3</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Nilai tukar</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Pembeli asing efek NRF → Rupiah menguat (menekan inflasi). Hilangnya kredibilitas → depresiasi dan inflasi impor</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0–3 bulan ke kurs, 1–3 triwulan ke IHK</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USD/IDR (JISDOR), CDS, imbal hasil SBN, kepemilikan asing</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C4</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Energi dan harga yang diatur</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Penetapan ulang harga batubara (harga DMO untuk PLN, royalti terkait HBA) menaikkan biaya PLN → tekanan tarif atau kompensasi</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(administered)</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Mengikuti keputusan tarif (triwulanan)</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Harga batubara DMO, BPP PLN, penyesuaian tarif, anggaran kompensasi</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C5</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Gangguan pasokan</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Penertiban tambang ilegal dan peninjauan IUP/HGU dapat mengganggu produksi batubara, nikel atau perkebunan (misalnya sawit → minyak goreng)</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(volatile food, energi)</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1–6 bulan</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Volume produksi; harga minyak goreng dan beras di provinsi terdampak</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C6</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Pemanasan ekonomi daerah</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Hilirisasi dan proyek anchor memusatkan belanja di daerah tambang (Kalimantan, Sulawesi, Maluku) sehingga upah, sewa dan harga pangan lokal naik</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 daerah</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2–8 triwulan</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IHK daerah vs nasional; upah lokal; sewa hunian</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C7</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Ekspektasi</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Pasar membaca NRF sebagai dominasi fiskal atau "mata uang sumber daya"</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Seketika</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Indeks ekspektasi harga BI; proyeksi survei; kurva imbal hasil</w:t>
            </w:r>
          </w:p>
        </w:tc>
      </w:tr>
      <w:tr>
        <w:trPr>
          <w:cantSplit/>
        </w:trPr>
        <w:tc>
          <w:tcPr>
            <w:tcW w:type="dxa" w:w="7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C8</w:t>
            </w:r>
          </w:p>
        </w:tc>
        <w:tc>
          <w:tcPr>
            <w:tcW w:type="dxa" w:w="102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Kapasitas pasokan (positif)</w:t>
            </w:r>
          </w:p>
        </w:tc>
        <w:tc>
          <w:tcPr>
            <w:tcW w:type="dxa" w:w="289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Reprofiling utang menurunkan beban bunga; investasi produktif (logistik, rantai pangan, distribusi koperasi) memperluas pasokan dari waktu ke waktu</w:t>
            </w:r>
          </w:p>
        </w:tc>
        <w:tc>
          <w:tcPr>
            <w:tcW w:type="dxa" w:w="8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t>
            </w:r>
          </w:p>
        </w:tc>
        <w:tc>
          <w:tcPr>
            <w:tcW w:type="dxa" w:w="122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2–5 tahun</w:t>
            </w:r>
          </w:p>
        </w:tc>
        <w:tc>
          <w:tcPr>
            <w:tcW w:type="dxa" w:w="264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Biaya logistik; disparitas harga antardaerah; produktivitas</w:t>
            </w:r>
          </w:p>
        </w:tc>
      </w:tr>
    </w:tbl>
    <w:p>
      <w:pPr>
        <w:spacing w:after="120"/>
      </w:pPr>
    </w:p>
    <w:p>
      <w:pPr>
        <w:pStyle w:val="Heading2"/>
        <w:keepNext/>
      </w:pPr>
      <w:r>
        <w:t xml:space="preserve">2.2 Jalur yang paling penting</w:t>
      </w:r>
    </w:p>
    <w:p>
      <w:r>
        <w:t xml:space="preserve">Berdasarkan tingkat risiko untuk rancangan NRF sebagaimana tertulis:</w:t>
      </w:r>
    </w:p>
    <w:p>
      <w:pPr>
        <w:pStyle w:val="ListParagraph"/>
        <w:numPr>
          <w:ilvl w:val="0"/>
          <w:numId w:val="4"/>
        </w:numPr>
        <w:spacing w:after="80"/>
      </w:pPr>
      <w:r>
        <w:rPr>
          <w:b/>
          <w:bCs/>
        </w:rPr>
        <w:t xml:space="preserve">C2 pembiayaan moneter.</w:t>
      </w:r>
      <w:r>
        <w:t xml:space="preserve"> Jalur paling berbahaya sekaligus paling mudah dicegah. Ini pilihan desain, bukan hasil pasar.</w:t>
      </w:r>
    </w:p>
    <w:p>
      <w:pPr>
        <w:pStyle w:val="ListParagraph"/>
        <w:numPr>
          <w:ilvl w:val="0"/>
          <w:numId w:val="4"/>
        </w:numPr>
        <w:spacing w:after="80"/>
      </w:pPr>
      <w:r>
        <w:rPr>
          <w:b/>
          <w:bCs/>
        </w:rPr>
        <w:t xml:space="preserve">C4 energi/harga yang diatur.</w:t>
      </w:r>
      <w:r>
        <w:t xml:space="preserve"> Batubara adalah </w:t>
      </w:r>
      <w:r>
        <w:rPr>
          <w:i/>
          <w:iCs/>
        </w:rPr>
        <w:t xml:space="preserve">quick win</w:t>
      </w:r>
      <w:r>
        <w:t xml:space="preserve"> sekaligus input listrik. Keputusan harga batubara adalah keputusan inflasi.</w:t>
      </w:r>
    </w:p>
    <w:p>
      <w:pPr>
        <w:pStyle w:val="ListParagraph"/>
        <w:numPr>
          <w:ilvl w:val="0"/>
          <w:numId w:val="4"/>
        </w:numPr>
        <w:spacing w:after="80"/>
      </w:pPr>
      <w:r>
        <w:rPr>
          <w:b/>
          <w:bCs/>
        </w:rPr>
        <w:t xml:space="preserve">C1 permintaan fiskal.</w:t>
      </w:r>
      <w:r>
        <w:t xml:space="preserve"> Bergantung pada seberapa cepat dana dibelanjakan dan berapa bagian yang ditabung atau diinvestasikan di luar negeri.</w:t>
      </w:r>
    </w:p>
    <w:p>
      <w:pPr>
        <w:pStyle w:val="ListParagraph"/>
        <w:numPr>
          <w:ilvl w:val="0"/>
          <w:numId w:val="4"/>
        </w:numPr>
        <w:spacing w:after="80"/>
      </w:pPr>
      <w:r>
        <w:rPr>
          <w:b/>
          <w:bCs/>
        </w:rPr>
        <w:t xml:space="preserve">C7 ekspektasi.</w:t>
      </w:r>
      <w:r>
        <w:t xml:space="preserve"> Kecil dalam kondisi normal, besar bila komunikasi gagal.</w:t>
      </w:r>
    </w:p>
    <w:p>
      <w:r>
        <w:t xml:space="preserve">C8 adalah alasan NRF layak dijalankan. Dalam jangka panjang, investasi yang dialokasikan dengan baik menurunkan biaya. Platform juga harus mengukurnya agar evaluasi tidak berat sebelah.</w:t>
      </w:r>
    </w:p>
    <w:p>
      <w:pPr>
        <w:pStyle w:val="Heading2"/>
        <w:keepNext/>
      </w:pPr>
      <w:r>
        <w:t xml:space="preserve">2.3 Ilustrasi besaran jalur permintaan fiskal (C1)</w:t>
      </w:r>
    </w:p>
    <w:p>
      <w:r>
        <w:t xml:space="preserve">Asumsi (untuk diganti dengan hasil estimasi): pengganda fiskal 0,3–0,8; respons inflasi 0,1–0,3 pp per 1% PDB tambahan permintaan; PDB nominal sekitar Rp24.000 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93"/>
        <w:gridCol w:w="1277"/>
        <w:gridCol w:w="1004"/>
        <w:gridCol w:w="2098"/>
        <w:gridCol w:w="1734"/>
      </w:tblGrid>
      <w:tr>
        <w:trPr>
          <w:tblHeader/>
        </w:trPr>
        <w:tc>
          <w:tcPr>
            <w:tcW w:type="dxa" w:w="319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Skenario</w:t>
            </w:r>
          </w:p>
        </w:tc>
        <w:tc>
          <w:tcPr>
            <w:tcW w:type="dxa" w:w="127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Injeksi</w:t>
            </w:r>
          </w:p>
        </w:tc>
        <w:tc>
          <w:tcPr>
            <w:tcW w:type="dxa" w:w="100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 PDB</w:t>
            </w:r>
          </w:p>
        </w:tc>
        <w:tc>
          <w:tcPr>
            <w:tcW w:type="dxa" w:w="2098"/>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Efek permintaan (% PDB)</w:t>
            </w:r>
          </w:p>
        </w:tc>
        <w:tc>
          <w:tcPr>
            <w:tcW w:type="dxa" w:w="173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Efek inflasi (pp)</w:t>
            </w:r>
          </w:p>
        </w:tc>
      </w:tr>
      <w:tr>
        <w:trPr>
          <w:cantSplit/>
        </w:trPr>
        <w:tc>
          <w:tcPr>
            <w:tcW w:type="dxa" w:w="31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Target tahun 1</w:t>
            </w:r>
          </w:p>
        </w:tc>
        <w:tc>
          <w:tcPr>
            <w:tcW w:type="dxa" w:w="12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Rp100 T</w:t>
            </w:r>
          </w:p>
        </w:tc>
        <w:tc>
          <w:tcPr>
            <w:tcW w:type="dxa" w:w="10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~0,4%</w:t>
            </w:r>
          </w:p>
        </w:tc>
        <w:tc>
          <w:tcPr>
            <w:tcW w:type="dxa" w:w="209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0,1–0,3%</w:t>
            </w:r>
          </w:p>
        </w:tc>
        <w:tc>
          <w:tcPr>
            <w:tcW w:type="dxa" w:w="173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~0,01–0,1</w:t>
            </w:r>
          </w:p>
        </w:tc>
      </w:tr>
      <w:tr>
        <w:trPr>
          <w:cantSplit/>
        </w:trPr>
        <w:tc>
          <w:tcPr>
            <w:tcW w:type="dxa" w:w="31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Rp1.000 T tersebar dalam 3 tahun</w:t>
            </w:r>
          </w:p>
        </w:tc>
        <w:tc>
          <w:tcPr>
            <w:tcW w:type="dxa" w:w="12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~Rp333 T/tahun</w:t>
            </w:r>
          </w:p>
        </w:tc>
        <w:tc>
          <w:tcPr>
            <w:tcW w:type="dxa" w:w="10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~1,4%/tahun</w:t>
            </w:r>
          </w:p>
        </w:tc>
        <w:tc>
          <w:tcPr>
            <w:tcW w:type="dxa" w:w="209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0,4–1,1%</w:t>
            </w:r>
          </w:p>
        </w:tc>
        <w:tc>
          <w:tcPr>
            <w:tcW w:type="dxa" w:w="173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~0,04–0,3 per tahun</w:t>
            </w:r>
          </w:p>
        </w:tc>
      </w:tr>
      <w:tr>
        <w:trPr>
          <w:cantSplit/>
        </w:trPr>
        <w:tc>
          <w:tcPr>
            <w:tcW w:type="dxa" w:w="31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Rp1.000 T dibelanjakan pada tahun 3</w:t>
            </w:r>
          </w:p>
        </w:tc>
        <w:tc>
          <w:tcPr>
            <w:tcW w:type="dxa" w:w="127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Rp1.000 T</w:t>
            </w:r>
          </w:p>
        </w:tc>
        <w:tc>
          <w:tcPr>
            <w:tcW w:type="dxa" w:w="100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~4%</w:t>
            </w:r>
          </w:p>
        </w:tc>
        <w:tc>
          <w:tcPr>
            <w:tcW w:type="dxa" w:w="209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1,2–3,2%</w:t>
            </w:r>
          </w:p>
        </w:tc>
        <w:tc>
          <w:tcPr>
            <w:tcW w:type="dxa" w:w="173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~0,1–1,0</w:t>
            </w:r>
          </w:p>
        </w:tc>
      </w:tr>
    </w:tbl>
    <w:p>
      <w:pPr>
        <w:spacing w:after="120"/>
      </w:pPr>
    </w:p>
    <w:p>
      <w:r>
        <w:rPr>
          <w:b/>
          <w:bCs/>
        </w:rPr>
        <w:t xml:space="preserve">Cara membaca:</w:t>
      </w:r>
      <w:r>
        <w:t xml:space="preserve"> target tahun pertama kecil bagi inflasi nasional. Aliran Rp1.000 T pada tahun ketiga dapat menghabiskan hingga seluruh rentang toleransi ±1 pp, sebelum memperhitungkan C2, C4 atau C7. Karena itu laju penyaluran dan porsi tabungan adalah tuas inflasi utama yang berada dalam kendali NRF sendiri.</w:t>
      </w:r>
    </w:p>
    <w:p>
      <w:pPr>
        <w:pStyle w:val="Heading1"/>
        <w:keepNext/>
      </w:pPr>
      <w:r>
        <w:t xml:space="preserve">3. Apa yang diukur: kerangka indikator</w:t>
      </w:r>
    </w:p>
    <w:p>
      <w:r>
        <w:t xml:space="preserve">Indikator disusun dalam lima lapis, dari hasil ke penyebab. Setiap indikator memiliki pemilik, sumber, frekuensi, ambang dan kelas bukti (A = statistik resmi, B = data administratif resmi, C = klaim dokumen sumber, D = estimasi model).</w:t>
      </w:r>
    </w:p>
    <w:p>
      <w:pPr>
        <w:pStyle w:val="Heading2"/>
        <w:keepNext/>
      </w:pPr>
      <w:r>
        <w:t xml:space="preserve">Lapis 1: Hasil inflasi (BPS)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15"/>
        <w:gridCol w:w="2153"/>
        <w:gridCol w:w="769"/>
        <w:gridCol w:w="3769"/>
      </w:tblGrid>
      <w:tr>
        <w:trPr>
          <w:tblHeader/>
        </w:trPr>
        <w:tc>
          <w:tcPr>
            <w:tcW w:type="dxa" w:w="261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Indikator</w:t>
            </w:r>
          </w:p>
        </w:tc>
        <w:tc>
          <w:tcPr>
            <w:tcW w:type="dxa" w:w="215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Frekuensi</w:t>
            </w:r>
          </w:p>
        </w:tc>
        <w:tc>
          <w:tcPr>
            <w:tcW w:type="dxa" w:w="76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Sumber</w:t>
            </w:r>
          </w:p>
        </w:tc>
        <w:tc>
          <w:tcPr>
            <w:tcW w:type="dxa" w:w="376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Catatan</w:t>
            </w:r>
          </w:p>
        </w:tc>
      </w:tr>
      <w:tr>
        <w:trPr>
          <w:cantSplit/>
        </w:trPr>
        <w:tc>
          <w:tcPr>
            <w:tcW w:type="dxa" w:w="26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Inflasi umum IHK, yoy dan mtm</w:t>
            </w:r>
          </w:p>
        </w:tc>
        <w:tc>
          <w:tcPr>
            <w:tcW w:type="dxa" w:w="215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 (hari kerja pertama)</w:t>
            </w:r>
          </w:p>
        </w:tc>
        <w:tc>
          <w:tcPr>
            <w:tcW w:type="dxa" w:w="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Tahun dasar 2022=100, 150 kabupaten/kota</w:t>
            </w:r>
          </w:p>
        </w:tc>
      </w:tr>
      <w:tr>
        <w:trPr>
          <w:cantSplit/>
        </w:trPr>
        <w:tc>
          <w:tcPr>
            <w:tcW w:type="dxa" w:w="26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Inflasi inti</w:t>
            </w:r>
          </w:p>
        </w:tc>
        <w:tc>
          <w:tcPr>
            <w:tcW w:type="dxa" w:w="215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Sinyal terbaik tekanan permintaan (C1)</w:t>
            </w:r>
          </w:p>
        </w:tc>
      </w:tr>
      <w:tr>
        <w:trPr>
          <w:cantSplit/>
        </w:trPr>
        <w:tc>
          <w:tcPr>
            <w:tcW w:type="dxa" w:w="26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Harga yang diatur pemerintah</w:t>
            </w:r>
          </w:p>
        </w:tc>
        <w:tc>
          <w:tcPr>
            <w:tcW w:type="dxa" w:w="215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Listrik, BBM, transportasi (C4)</w:t>
            </w:r>
          </w:p>
        </w:tc>
      </w:tr>
      <w:tr>
        <w:trPr>
          <w:cantSplit/>
        </w:trPr>
        <w:tc>
          <w:tcPr>
            <w:tcW w:type="dxa" w:w="26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Harga bergejolak (volatile food)</w:t>
            </w:r>
          </w:p>
        </w:tc>
        <w:tc>
          <w:tcPr>
            <w:tcW w:type="dxa" w:w="215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Guncangan pasokan (C5); panduan TPIP sekitar 3–5%</w:t>
            </w:r>
          </w:p>
        </w:tc>
      </w:tr>
      <w:tr>
        <w:trPr>
          <w:cantSplit/>
        </w:trPr>
        <w:tc>
          <w:tcPr>
            <w:tcW w:type="dxa" w:w="26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IHK daerah (provinsi dan kota)</w:t>
            </w:r>
          </w:p>
        </w:tc>
        <w:tc>
          <w:tcPr>
            <w:tcW w:type="dxa" w:w="215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c>
          <w:tcPr>
            <w:tcW w:type="dxa" w:w="3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Diperlukan untuk C6 dan evaluasi daerah</w:t>
            </w:r>
          </w:p>
        </w:tc>
      </w:tr>
      <w:tr>
        <w:trPr>
          <w:cantSplit/>
        </w:trPr>
        <w:tc>
          <w:tcPr>
            <w:tcW w:type="dxa" w:w="26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Momentum inti 3 bulan disetahunkan</w:t>
            </w:r>
          </w:p>
        </w:tc>
        <w:tc>
          <w:tcPr>
            <w:tcW w:type="dxa" w:w="215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 turunan</w:t>
            </w:r>
          </w:p>
        </w:tc>
        <w:tc>
          <w:tcPr>
            <w:tcW w:type="dxa" w:w="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Platform</w:t>
            </w:r>
          </w:p>
        </w:tc>
        <w:tc>
          <w:tcPr>
            <w:tcW w:type="dxa" w:w="376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Menangkap titik balik lebih awal daripada yoy</w:t>
            </w:r>
          </w:p>
        </w:tc>
      </w:tr>
    </w:tbl>
    <w:p>
      <w:pPr>
        <w:spacing w:after="120"/>
      </w:pPr>
    </w:p>
    <w:p>
      <w:pPr>
        <w:pStyle w:val="Heading2"/>
        <w:keepNext/>
      </w:pPr>
      <w:r>
        <w:t xml:space="preserve">Lapis 2: Harga frekuensi tinggi (nowcasting)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759"/>
        <w:gridCol w:w="1586"/>
        <w:gridCol w:w="2961"/>
      </w:tblGrid>
      <w:tr>
        <w:trPr>
          <w:tblHeader/>
        </w:trPr>
        <w:tc>
          <w:tcPr>
            <w:tcW w:type="dxa" w:w="475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Indikator</w:t>
            </w:r>
          </w:p>
        </w:tc>
        <w:tc>
          <w:tcPr>
            <w:tcW w:type="dxa" w:w="158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Frekuensi</w:t>
            </w:r>
          </w:p>
        </w:tc>
        <w:tc>
          <w:tcPr>
            <w:tcW w:type="dxa" w:w="296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Sumber</w:t>
            </w:r>
          </w:p>
        </w:tc>
      </w:tr>
      <w:tr>
        <w:trPr>
          <w:cantSplit/>
        </w:trPr>
        <w:tc>
          <w:tcPr>
            <w:tcW w:type="dxa" w:w="47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Harga pangan strategis per provinsi dan pasar</w:t>
            </w:r>
          </w:p>
        </w:tc>
        <w:tc>
          <w:tcPr>
            <w:tcW w:type="dxa" w:w="158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Harian</w:t>
            </w:r>
          </w:p>
        </w:tc>
        <w:tc>
          <w:tcPr>
            <w:tcW w:type="dxa" w:w="29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PIHPS Nasional (BI)</w:t>
            </w:r>
          </w:p>
        </w:tc>
      </w:tr>
      <w:tr>
        <w:trPr>
          <w:cantSplit/>
        </w:trPr>
        <w:tc>
          <w:tcPr>
            <w:tcW w:type="dxa" w:w="47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Panel harga pangan</w:t>
            </w:r>
          </w:p>
        </w:tc>
        <w:tc>
          <w:tcPr>
            <w:tcW w:type="dxa" w:w="158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Harian</w:t>
            </w:r>
          </w:p>
        </w:tc>
        <w:tc>
          <w:tcPr>
            <w:tcW w:type="dxa" w:w="29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Panel Harga Pangan (Bapanas)</w:t>
            </w:r>
          </w:p>
        </w:tc>
      </w:tr>
      <w:tr>
        <w:trPr>
          <w:cantSplit/>
        </w:trPr>
        <w:tc>
          <w:tcPr>
            <w:tcW w:type="dxa" w:w="47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Pemantauan harga bahan pokok</w:t>
            </w:r>
          </w:p>
        </w:tc>
        <w:tc>
          <w:tcPr>
            <w:tcW w:type="dxa" w:w="158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Harian/mingguan</w:t>
            </w:r>
          </w:p>
        </w:tc>
        <w:tc>
          <w:tcPr>
            <w:tcW w:type="dxa" w:w="29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SP2KP (Kemendag)</w:t>
            </w:r>
          </w:p>
        </w:tc>
      </w:tr>
      <w:tr>
        <w:trPr>
          <w:cantSplit/>
        </w:trPr>
        <w:tc>
          <w:tcPr>
            <w:tcW w:type="dxa" w:w="47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Harga BBM (bersubsidi dan nonsubsidi)</w:t>
            </w:r>
          </w:p>
        </w:tc>
        <w:tc>
          <w:tcPr>
            <w:tcW w:type="dxa" w:w="158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Saat berubah</w:t>
            </w:r>
          </w:p>
        </w:tc>
        <w:tc>
          <w:tcPr>
            <w:tcW w:type="dxa" w:w="29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Pertamina / ESDM</w:t>
            </w:r>
          </w:p>
        </w:tc>
      </w:tr>
      <w:tr>
        <w:trPr>
          <w:cantSplit/>
        </w:trPr>
        <w:tc>
          <w:tcPr>
            <w:tcW w:type="dxa" w:w="475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Penyesuaian tarif listrik</w:t>
            </w:r>
          </w:p>
        </w:tc>
        <w:tc>
          <w:tcPr>
            <w:tcW w:type="dxa" w:w="158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Triwulanan</w:t>
            </w:r>
          </w:p>
        </w:tc>
        <w:tc>
          <w:tcPr>
            <w:tcW w:type="dxa" w:w="296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 / PLN</w:t>
            </w:r>
          </w:p>
        </w:tc>
      </w:tr>
    </w:tbl>
    <w:p>
      <w:pPr>
        <w:spacing w:after="120"/>
      </w:pPr>
    </w:p>
    <w:p>
      <w:pPr>
        <w:pStyle w:val="Heading2"/>
        <w:keepNext/>
      </w:pPr>
      <w:r>
        <w:t xml:space="preserve">Lapis 3: Biaya hulu dan eksternal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976"/>
        <w:gridCol w:w="1692"/>
        <w:gridCol w:w="3638"/>
      </w:tblGrid>
      <w:tr>
        <w:trPr>
          <w:tblHeader/>
        </w:trPr>
        <w:tc>
          <w:tcPr>
            <w:tcW w:type="dxa" w:w="397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Indikator</w:t>
            </w:r>
          </w:p>
        </w:tc>
        <w:tc>
          <w:tcPr>
            <w:tcW w:type="dxa" w:w="169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Frekuensi</w:t>
            </w:r>
          </w:p>
        </w:tc>
        <w:tc>
          <w:tcPr>
            <w:tcW w:type="dxa" w:w="3638"/>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Sumber</w:t>
            </w:r>
          </w:p>
        </w:tc>
      </w:tr>
      <w:tr>
        <w:trPr>
          <w:cantSplit/>
        </w:trPr>
        <w:tc>
          <w:tcPr>
            <w:tcW w:type="dxa" w:w="39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Indeks harga produsen dan perdagangan besar</w:t>
            </w:r>
          </w:p>
        </w:tc>
        <w:tc>
          <w:tcPr>
            <w:tcW w:type="dxa" w:w="169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 / triwulanan</w:t>
            </w:r>
          </w:p>
        </w:tc>
        <w:tc>
          <w:tcPr>
            <w:tcW w:type="dxa" w:w="36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BPS</w:t>
            </w:r>
          </w:p>
        </w:tc>
      </w:tr>
      <w:tr>
        <w:trPr>
          <w:cantSplit/>
        </w:trPr>
        <w:tc>
          <w:tcPr>
            <w:tcW w:type="dxa" w:w="39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USD/IDR (JISDOR), proksi harga impor</w:t>
            </w:r>
          </w:p>
        </w:tc>
        <w:tc>
          <w:tcPr>
            <w:tcW w:type="dxa" w:w="169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Harian</w:t>
            </w:r>
          </w:p>
        </w:tc>
        <w:tc>
          <w:tcPr>
            <w:tcW w:type="dxa" w:w="36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w:t>
            </w:r>
          </w:p>
        </w:tc>
      </w:tr>
      <w:tr>
        <w:trPr>
          <w:cantSplit/>
        </w:trPr>
        <w:tc>
          <w:tcPr>
            <w:tcW w:type="dxa" w:w="39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Harga Batubara Acuan (HBA), harga DMO untuk PLN</w:t>
            </w:r>
          </w:p>
        </w:tc>
        <w:tc>
          <w:tcPr>
            <w:tcW w:type="dxa" w:w="169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Berkala</w:t>
            </w:r>
          </w:p>
        </w:tc>
        <w:tc>
          <w:tcPr>
            <w:tcW w:type="dxa" w:w="36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w:t>
            </w:r>
          </w:p>
        </w:tc>
      </w:tr>
      <w:tr>
        <w:trPr>
          <w:cantSplit/>
        </w:trPr>
        <w:tc>
          <w:tcPr>
            <w:tcW w:type="dxa" w:w="39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Harga komoditas global (energi, pangan, pupuk)</w:t>
            </w:r>
          </w:p>
        </w:tc>
        <w:tc>
          <w:tcPr>
            <w:tcW w:type="dxa" w:w="169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36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World Bank Pink Sheet, FAO Food Price Index</w:t>
            </w:r>
          </w:p>
        </w:tc>
      </w:tr>
    </w:tbl>
    <w:p>
      <w:pPr>
        <w:spacing w:after="120"/>
      </w:pPr>
    </w:p>
    <w:p>
      <w:pPr>
        <w:pStyle w:val="Heading2"/>
        <w:keepNext/>
      </w:pPr>
      <w:r>
        <w:t xml:space="preserve">Lapis 4: Moneter, keuangan dan ekspektasi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273"/>
        <w:gridCol w:w="950"/>
        <w:gridCol w:w="4083"/>
      </w:tblGrid>
      <w:tr>
        <w:trPr>
          <w:tblHeader/>
        </w:trPr>
        <w:tc>
          <w:tcPr>
            <w:tcW w:type="dxa" w:w="427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Indikator</w:t>
            </w:r>
          </w:p>
        </w:tc>
        <w:tc>
          <w:tcPr>
            <w:tcW w:type="dxa" w:w="950"/>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Frekuensi</w:t>
            </w:r>
          </w:p>
        </w:tc>
        <w:tc>
          <w:tcPr>
            <w:tcW w:type="dxa" w:w="408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Sumber</w:t>
            </w:r>
          </w:p>
        </w:tc>
      </w:tr>
      <w:tr>
        <w:trPr>
          <w:cantSplit/>
        </w:trPr>
        <w:tc>
          <w:tcPr>
            <w:tcW w:type="dxa" w:w="42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BI-Rate, M0, M2, pertumbuhan kredit</w:t>
            </w:r>
          </w:p>
        </w:tc>
        <w:tc>
          <w:tcPr>
            <w:tcW w:type="dxa" w:w="95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408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BI (SEKI)</w:t>
            </w:r>
          </w:p>
        </w:tc>
      </w:tr>
      <w:tr>
        <w:trPr>
          <w:cantSplit/>
        </w:trPr>
        <w:tc>
          <w:tcPr>
            <w:tcW w:type="dxa" w:w="42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Kurva imbal hasil SBN, kepemilikan asing SBN</w:t>
            </w:r>
          </w:p>
        </w:tc>
        <w:tc>
          <w:tcPr>
            <w:tcW w:type="dxa" w:w="95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Harian</w:t>
            </w:r>
          </w:p>
        </w:tc>
        <w:tc>
          <w:tcPr>
            <w:tcW w:type="dxa" w:w="408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Kemenkeu DJPPR, data pasar</w:t>
            </w:r>
          </w:p>
        </w:tc>
      </w:tr>
      <w:tr>
        <w:trPr>
          <w:cantSplit/>
        </w:trPr>
        <w:tc>
          <w:tcPr>
            <w:tcW w:type="dxa" w:w="42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CDS negara (5 tahun)</w:t>
            </w:r>
          </w:p>
        </w:tc>
        <w:tc>
          <w:tcPr>
            <w:tcW w:type="dxa" w:w="95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Harian</w:t>
            </w:r>
          </w:p>
        </w:tc>
        <w:tc>
          <w:tcPr>
            <w:tcW w:type="dxa" w:w="408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Data pasar</w:t>
            </w:r>
          </w:p>
        </w:tc>
      </w:tr>
      <w:tr>
        <w:trPr>
          <w:cantSplit/>
        </w:trPr>
        <w:tc>
          <w:tcPr>
            <w:tcW w:type="dxa" w:w="42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Ekspektasi harga konsumen dan pedagang eceran</w:t>
            </w:r>
          </w:p>
        </w:tc>
        <w:tc>
          <w:tcPr>
            <w:tcW w:type="dxa" w:w="95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408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Survei Konsumen BI, Survei Penjualan Eceran</w:t>
            </w:r>
          </w:p>
        </w:tc>
      </w:tr>
      <w:tr>
        <w:trPr>
          <w:cantSplit/>
        </w:trPr>
        <w:tc>
          <w:tcPr>
            <w:tcW w:type="dxa" w:w="427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Konsensus proyeksi inflasi</w:t>
            </w:r>
          </w:p>
        </w:tc>
        <w:tc>
          <w:tcPr>
            <w:tcW w:type="dxa" w:w="950"/>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408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Survei pasar</w:t>
            </w:r>
          </w:p>
        </w:tc>
      </w:tr>
    </w:tbl>
    <w:p>
      <w:pPr>
        <w:spacing w:after="120"/>
      </w:pPr>
    </w:p>
    <w:p>
      <w:pPr>
        <w:pStyle w:val="Heading2"/>
        <w:keepNext/>
      </w:pPr>
      <w:r>
        <w:t xml:space="preserve">Lapis 5: Kegiatan NRF (internal; lapis yang tidak tersedia di tempat lain)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671"/>
        <w:gridCol w:w="881"/>
        <w:gridCol w:w="2016"/>
        <w:gridCol w:w="738"/>
      </w:tblGrid>
      <w:tr>
        <w:trPr>
          <w:tblHeader/>
        </w:trPr>
        <w:tc>
          <w:tcPr>
            <w:tcW w:type="dxa" w:w="567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Indikator</w:t>
            </w:r>
          </w:p>
        </w:tc>
        <w:tc>
          <w:tcPr>
            <w:tcW w:type="dxa" w:w="88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Frekuensi</w:t>
            </w:r>
          </w:p>
        </w:tc>
        <w:tc>
          <w:tcPr>
            <w:tcW w:type="dxa" w:w="201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Sumber</w:t>
            </w:r>
          </w:p>
        </w:tc>
        <w:tc>
          <w:tcPr>
            <w:tcW w:type="dxa" w:w="738"/>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Jalur</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Efek yang diterbitkan per seri dan jenis instrumen</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 penerbitan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Register NRF (buku besar TEPSDA)</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C2, C3</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Komposisi pembeli</w:t>
            </w:r>
            <w:r>
              <w:rPr>
                <w:b/>
                <w:bCs/>
                <w:sz w:val="18"/>
                <w:szCs w:val="18"/>
              </w:rPr>
              <w:t xml:space="preserve"> (BI, bank, domestik nonbank, asing, ritel)</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 penerbitan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Registrar / KSEI</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C2, C3</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Penggunaan dana: tabungan, stabilisasi, investasi domestik, pengembangan pemasok, distribusi</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Buku besar NRF</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C1</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Penyaluran per provinsi dan sektor</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Register proyek NRF / Danantara</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C1, C6</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Penyaluran Koperasi Merah Putih (tunai vs natura vs produktif)</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Data program koperasi</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C1</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Keputusan harga batubara yang memengaruhi PLN; kompensasi PLN</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Saat keputusan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 Kemenkeu</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C4</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Produksi di IUP/HGU yang ditinjau atau dinasionalisasi</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Bulanan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ESDM MODI/MOMS, Kementan</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C5</w:t>
            </w:r>
          </w:p>
        </w:tc>
      </w:tr>
      <w:tr>
        <w:trPr>
          <w:cantSplit/>
        </w:trPr>
        <w:tc>
          <w:tcPr>
            <w:tcW w:type="dxa" w:w="567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Utang yang di-reprofiling dan bunga yang dihemat</w:t>
            </w:r>
          </w:p>
        </w:tc>
        <w:tc>
          <w:tcPr>
            <w:tcW w:type="dxa" w:w="88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Triwulanan</w:t>
            </w:r>
          </w:p>
        </w:tc>
        <w:tc>
          <w:tcPr>
            <w:tcW w:type="dxa" w:w="201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Kemenkeu</w:t>
            </w:r>
          </w:p>
        </w:tc>
        <w:tc>
          <w:tcPr>
            <w:tcW w:type="dxa" w:w="738"/>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C8</w:t>
            </w:r>
          </w:p>
        </w:tc>
      </w:tr>
    </w:tbl>
    <w:p>
      <w:pPr>
        <w:spacing w:after="120"/>
      </w:pPr>
    </w:p>
    <w:p>
      <w:r>
        <w:rPr>
          <w:b/>
          <w:bCs/>
        </w:rPr>
        <w:t xml:space="preserve">Indikator turunan NRF</w:t>
      </w:r>
    </w:p>
    <w:p>
      <w:pPr>
        <w:pStyle w:val="ListParagraph"/>
        <w:numPr>
          <w:ilvl w:val="0"/>
          <w:numId w:val="5"/>
        </w:numPr>
        <w:spacing w:after="80"/>
      </w:pPr>
      <w:r>
        <w:rPr>
          <w:b/>
          <w:bCs/>
        </w:rPr>
        <w:t xml:space="preserve">Impuls fiskal NRF</w:t>
      </w:r>
      <w:r>
        <w:t xml:space="preserve"> = perubahan belanja domestik yang dibiayai NRF, dalam % PDB, per triwulan.</w:t>
      </w:r>
    </w:p>
    <w:p>
      <w:pPr>
        <w:pStyle w:val="ListParagraph"/>
        <w:numPr>
          <w:ilvl w:val="0"/>
          <w:numId w:val="5"/>
        </w:numPr>
        <w:spacing w:after="80"/>
      </w:pPr>
      <w:r>
        <w:rPr>
          <w:b/>
          <w:bCs/>
        </w:rPr>
        <w:t xml:space="preserve">Porsi monetisasi</w:t>
      </w:r>
      <w:r>
        <w:t xml:space="preserve"> = porsi efek NRF yang dipegang BI ditambah perubahan kepemilikan bank yang didanai likuiditas BI.</w:t>
      </w:r>
    </w:p>
    <w:p>
      <w:pPr>
        <w:pStyle w:val="ListParagraph"/>
        <w:numPr>
          <w:ilvl w:val="0"/>
          <w:numId w:val="5"/>
        </w:numPr>
        <w:spacing w:after="80"/>
      </w:pPr>
      <w:r>
        <w:rPr>
          <w:b/>
          <w:bCs/>
        </w:rPr>
        <w:t xml:space="preserve">Rasio serapan domestik</w:t>
      </w:r>
      <w:r>
        <w:t xml:space="preserve"> = dana yang dibelanjakan di dalam negeri ÷ total dana. Rasio lebih rendah berarti tekanan inflasi lebih kecil.</w:t>
      </w:r>
    </w:p>
    <w:p>
      <w:pPr>
        <w:pStyle w:val="ListParagraph"/>
        <w:numPr>
          <w:ilvl w:val="0"/>
          <w:numId w:val="5"/>
        </w:numPr>
        <w:spacing w:after="80"/>
      </w:pPr>
      <w:r>
        <w:rPr>
          <w:b/>
          <w:bCs/>
        </w:rPr>
        <w:t xml:space="preserve">Intensitas daerah</w:t>
      </w:r>
      <w:r>
        <w:t xml:space="preserve"> = penyaluran NRF per kapita per provinsi, dipakai untuk evaluasi daerah.</w:t>
      </w:r>
    </w:p>
    <w:p>
      <w:pPr>
        <w:pStyle w:val="Heading1"/>
        <w:keepNext/>
      </w:pPr>
      <w:r>
        <w:t xml:space="preserve">4. Cara mengevaluasi: metode</w:t>
      </w:r>
    </w:p>
    <w:p>
      <w:r>
        <w:t xml:space="preserve">Evaluasi menjawab dua pertanyaan. </w:t>
      </w:r>
      <w:r>
        <w:rPr>
          <w:b/>
          <w:bCs/>
        </w:rPr>
        <w:t xml:space="preserve">Apakah ada tekanan sekarang?</w:t>
      </w:r>
      <w:r>
        <w:t xml:space="preserve"> (pemantauan) dan </w:t>
      </w:r>
      <w:r>
        <w:rPr>
          <w:b/>
          <w:bCs/>
        </w:rPr>
        <w:t xml:space="preserve">Seberapa besar yang disebabkan NRF?</w:t>
      </w:r>
      <w:r>
        <w:t xml:space="preserve"> (atribusi).</w:t>
      </w:r>
    </w:p>
    <w:p>
      <w:pPr>
        <w:pStyle w:val="Heading2"/>
        <w:keepNext/>
      </w:pPr>
      <w:r>
        <w:t xml:space="preserve">4.1 Pemantauan: nowcast dan peringatan dini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14"/>
        <w:gridCol w:w="4146"/>
        <w:gridCol w:w="4146"/>
      </w:tblGrid>
      <w:tr>
        <w:trPr>
          <w:tblHeader/>
        </w:trPr>
        <w:tc>
          <w:tcPr>
            <w:tcW w:type="dxa" w:w="1014"/>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Alat</w:t>
            </w:r>
          </w:p>
        </w:tc>
        <w:tc>
          <w:tcPr>
            <w:tcW w:type="dxa" w:w="414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Fungsi</w:t>
            </w:r>
          </w:p>
        </w:tc>
        <w:tc>
          <w:tcPr>
            <w:tcW w:type="dxa" w:w="414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Metode</w:t>
            </w:r>
          </w:p>
        </w:tc>
      </w:tr>
      <w:tr>
        <w:trPr>
          <w:cantSplit/>
        </w:trPr>
        <w:tc>
          <w:tcPr>
            <w:tcW w:type="dxa" w:w="101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Nowcast IHK bulanan</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Memperkirakan IHK bulan berjalan sebelum rilis BPS</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Persamaan jembatan atau model faktor dinamis dari harga harian PIHPS/Bapanas, perubahan BBM dan tarif</w:t>
            </w:r>
          </w:p>
        </w:tc>
      </w:tr>
      <w:tr>
        <w:trPr>
          <w:cantSplit/>
        </w:trPr>
        <w:tc>
          <w:tcPr>
            <w:tcW w:type="dxa" w:w="101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Dekomposisi inflasi</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Memecah inflasi umum menjadi inti, harga yang diatur dan volatile food, lalu menjadi pendorong permintaan, pasokan dan impor</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Akuntansi komponen plus model dengan restriksi tanda</w:t>
            </w:r>
          </w:p>
        </w:tc>
      </w:tr>
      <w:tr>
        <w:trPr>
          <w:cantSplit/>
        </w:trPr>
        <w:tc>
          <w:tcPr>
            <w:tcW w:type="dxa" w:w="101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Dasbor peringatan dini</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Status lampu lalu lintas per indikator</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Ambang di bawah ini</w:t>
            </w:r>
          </w:p>
        </w:tc>
      </w:tr>
      <w:tr>
        <w:trPr>
          <w:cantSplit/>
        </w:trPr>
        <w:tc>
          <w:tcPr>
            <w:tcW w:type="dxa" w:w="1014"/>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Peta panas daerah</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Provinsi dengan inflasi di atas nasional melebihi batas tertentu, ditumpangkan dengan penyaluran NRF</w:t>
            </w:r>
          </w:p>
        </w:tc>
        <w:tc>
          <w:tcPr>
            <w:tcW w:type="dxa" w:w="41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IHK daerah, register NRF</w:t>
            </w:r>
          </w:p>
        </w:tc>
      </w:tr>
    </w:tbl>
    <w:p>
      <w:pPr>
        <w:spacing w:after="120"/>
      </w:pPr>
    </w:p>
    <w:p>
      <w:r>
        <w:rPr>
          <w:b/>
          <w:bCs/>
        </w:rPr>
        <w:t xml:space="preserve">Usulan ambang (dikalibrasi bersama BI dan TPIP)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5"/>
        <w:gridCol w:w="1220"/>
        <w:gridCol w:w="1322"/>
        <w:gridCol w:w="3509"/>
      </w:tblGrid>
      <w:tr>
        <w:trPr>
          <w:tblHeader/>
        </w:trPr>
        <w:tc>
          <w:tcPr>
            <w:tcW w:type="dxa" w:w="325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Sinyal</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bCs/>
                <w:sz w:val="18"/>
                <w:szCs w:val="18"/>
              </w:rPr>
              <w:t xml:space="preserve">Hijau</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bCs/>
                <w:sz w:val="18"/>
                <w:szCs w:val="18"/>
              </w:rPr>
              <w:t xml:space="preserve">Kuning</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bCs/>
                <w:sz w:val="18"/>
                <w:szCs w:val="18"/>
              </w:rPr>
              <w:t xml:space="preserve">Merah</w:t>
            </w:r>
          </w:p>
        </w:tc>
      </w:tr>
      <w:tr>
        <w:trPr>
          <w:cantSplit/>
        </w:trPr>
        <w:tc>
          <w:tcPr>
            <w:tcW w:type="dxa" w:w="32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Inflasi umum IHK yoy</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1,5–3,5%</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3,5–4,0% atau &lt; 1,5%</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4,0%</w:t>
            </w:r>
          </w:p>
        </w:tc>
      </w:tr>
      <w:tr>
        <w:trPr>
          <w:cantSplit/>
        </w:trPr>
        <w:tc>
          <w:tcPr>
            <w:tcW w:type="dxa" w:w="32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Inti 3 bulan disetahunkan</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3,0%</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3,0–4,0%</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4,0%</w:t>
            </w:r>
          </w:p>
        </w:tc>
      </w:tr>
      <w:tr>
        <w:trPr>
          <w:cantSplit/>
        </w:trPr>
        <w:tc>
          <w:tcPr>
            <w:tcW w:type="dxa" w:w="32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Volatile food yoy</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5%</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5–8%</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8%</w:t>
            </w:r>
          </w:p>
        </w:tc>
      </w:tr>
      <w:tr>
        <w:trPr>
          <w:cantSplit/>
        </w:trPr>
        <w:tc>
          <w:tcPr>
            <w:tcW w:type="dxa" w:w="32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Selisih IHK provinsi terhadap nasional, di provinsi intensif NRF</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1 pp</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1–2 pp</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2 pp</w:t>
            </w:r>
          </w:p>
        </w:tc>
      </w:tr>
      <w:tr>
        <w:trPr>
          <w:cantSplit/>
        </w:trPr>
        <w:tc>
          <w:tcPr>
            <w:tcW w:type="dxa" w:w="32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Porsi monetisasi efek NRF</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0%</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&gt; 0% dalam kerangka krisis</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Setiap pembelian BI di pasar perdana di luar kerangka krisis yang sah</w:t>
            </w:r>
          </w:p>
        </w:tc>
      </w:tr>
      <w:tr>
        <w:trPr>
          <w:cantSplit/>
        </w:trPr>
        <w:tc>
          <w:tcPr>
            <w:tcW w:type="dxa" w:w="32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Ekspektasi inflasi 1 tahun</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Di dalam rentang sasaran</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Di tepi rentang</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Di atas rentang selama 2 bulan</w:t>
            </w:r>
          </w:p>
        </w:tc>
      </w:tr>
      <w:tr>
        <w:trPr>
          <w:cantSplit/>
        </w:trPr>
        <w:tc>
          <w:tcPr>
            <w:tcW w:type="dxa" w:w="325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Perubahan USD/IDR 1 bulan</w:t>
            </w:r>
          </w:p>
        </w:tc>
        <w:tc>
          <w:tcPr>
            <w:tcW w:type="dxa" w:w="1220"/>
            <w:tcBorders>
              <w:top w:val="single" w:color="C9D1DE" w:sz="4"/>
              <w:left w:val="single" w:color="C9D1DE" w:sz="4"/>
              <w:bottom w:val="single" w:color="C9D1DE" w:sz="4"/>
              <w:right w:val="single" w:color="C9D1DE" w:sz="4"/>
            </w:tcBorders>
            <w:shd w:fill="E3F3EA" w:color="auto" w:val="clear"/>
            <w:tcMar>
              <w:top w:type="dxa" w:w="60"/>
              <w:left w:type="dxa" w:w="100"/>
              <w:bottom w:type="dxa" w:w="60"/>
              <w:right w:type="dxa" w:w="100"/>
            </w:tcMar>
          </w:tcPr>
          <w:p>
            <w:pPr>
              <w:spacing w:after="0"/>
            </w:pPr>
            <w:r>
              <w:rPr>
                <w:b w:val="false"/>
                <w:bCs w:val="false"/>
                <w:sz w:val="18"/>
                <w:szCs w:val="18"/>
              </w:rPr>
              <w:t xml:space="preserve">&lt; 3%</w:t>
            </w:r>
          </w:p>
        </w:tc>
        <w:tc>
          <w:tcPr>
            <w:tcW w:type="dxa" w:w="1322"/>
            <w:tcBorders>
              <w:top w:val="single" w:color="C9D1DE" w:sz="4"/>
              <w:left w:val="single" w:color="C9D1DE" w:sz="4"/>
              <w:bottom w:val="single" w:color="C9D1DE" w:sz="4"/>
              <w:right w:val="single" w:color="C9D1DE" w:sz="4"/>
            </w:tcBorders>
            <w:shd w:fill="FCF0D9" w:color="auto" w:val="clear"/>
            <w:tcMar>
              <w:top w:type="dxa" w:w="60"/>
              <w:left w:type="dxa" w:w="100"/>
              <w:bottom w:type="dxa" w:w="60"/>
              <w:right w:type="dxa" w:w="100"/>
            </w:tcMar>
          </w:tcPr>
          <w:p>
            <w:pPr>
              <w:spacing w:after="0"/>
            </w:pPr>
            <w:r>
              <w:rPr>
                <w:b w:val="false"/>
                <w:bCs w:val="false"/>
                <w:sz w:val="18"/>
                <w:szCs w:val="18"/>
              </w:rPr>
              <w:t xml:space="preserve">3–5%</w:t>
            </w:r>
          </w:p>
        </w:tc>
        <w:tc>
          <w:tcPr>
            <w:tcW w:type="dxa" w:w="3509"/>
            <w:tcBorders>
              <w:top w:val="single" w:color="C9D1DE" w:sz="4"/>
              <w:left w:val="single" w:color="C9D1DE" w:sz="4"/>
              <w:bottom w:val="single" w:color="C9D1DE" w:sz="4"/>
              <w:right w:val="single" w:color="C9D1DE" w:sz="4"/>
            </w:tcBorders>
            <w:shd w:fill="FBE4E2" w:color="auto" w:val="clear"/>
            <w:tcMar>
              <w:top w:type="dxa" w:w="60"/>
              <w:left w:type="dxa" w:w="100"/>
              <w:bottom w:type="dxa" w:w="60"/>
              <w:right w:type="dxa" w:w="100"/>
            </w:tcMar>
          </w:tcPr>
          <w:p>
            <w:pPr>
              <w:spacing w:after="0"/>
            </w:pPr>
            <w:r>
              <w:rPr>
                <w:b w:val="false"/>
                <w:bCs w:val="false"/>
                <w:sz w:val="18"/>
                <w:szCs w:val="18"/>
              </w:rPr>
              <w:t xml:space="preserve">&gt; 5%</w:t>
            </w:r>
          </w:p>
        </w:tc>
      </w:tr>
    </w:tbl>
    <w:p>
      <w:pPr>
        <w:spacing w:after="120"/>
      </w:pPr>
    </w:p>
    <w:p>
      <w:r>
        <w:t xml:space="preserve">Sinyal merah harus memicu respons yang telah ditetapkan (Bagian 5), bukan sekadar grafik.</w:t>
      </w:r>
    </w:p>
    <w:p>
      <w:pPr>
        <w:pStyle w:val="Heading2"/>
        <w:keepNext/>
      </w:pPr>
      <w:r>
        <w:t xml:space="preserve">4.2 Atribusi: seberapa besar andil NRF</w:t>
      </w:r>
    </w:p>
    <w:p>
      <w:r>
        <w:t xml:space="preserve">Gunakan lebih dari satu metode dan laporkan rentangnya.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67"/>
        <w:gridCol w:w="4046"/>
        <w:gridCol w:w="2293"/>
      </w:tblGrid>
      <w:tr>
        <w:trPr>
          <w:tblHeader/>
        </w:trPr>
        <w:tc>
          <w:tcPr>
            <w:tcW w:type="dxa" w:w="296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Metode</w:t>
            </w:r>
          </w:p>
        </w:tc>
        <w:tc>
          <w:tcPr>
            <w:tcW w:type="dxa" w:w="404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Pertanyaan yang dijawab</w:t>
            </w:r>
          </w:p>
        </w:tc>
        <w:tc>
          <w:tcPr>
            <w:tcW w:type="dxa" w:w="229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Kebutuhan data</w:t>
            </w:r>
          </w:p>
        </w:tc>
      </w:tr>
      <w:tr>
        <w:trPr>
          <w:cantSplit/>
        </w:trPr>
        <w:tc>
          <w:tcPr>
            <w:tcW w:type="dxa" w:w="29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VAR struktural / local projections dengan guncangan fiskal NRF</w:t>
            </w:r>
          </w:p>
        </w:tc>
        <w:tc>
          <w:tcPr>
            <w:tcW w:type="dxa" w:w="4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Respons inflasi nasional terhadap guncangan belanja atau penerbitan NRF</w:t>
            </w:r>
          </w:p>
        </w:tc>
        <w:tc>
          <w:tcPr>
            <w:tcW w:type="dxa" w:w="22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Seri makro triwulanan, impuls NRF</w:t>
            </w:r>
          </w:p>
        </w:tc>
      </w:tr>
      <w:tr>
        <w:trPr>
          <w:cantSplit/>
        </w:trPr>
        <w:tc>
          <w:tcPr>
            <w:tcW w:type="dxa" w:w="29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Difference-in-differences daerah</w:t>
            </w:r>
          </w:p>
        </w:tc>
        <w:tc>
          <w:tcPr>
            <w:tcW w:type="dxa" w:w="4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Apakah provinsi dengan intensitas NRF tinggi mengalami inflasi lebih tinggi daripada provinsi serupa dengan intensitas rendah?</w:t>
            </w:r>
          </w:p>
        </w:tc>
        <w:tc>
          <w:tcPr>
            <w:tcW w:type="dxa" w:w="22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IHK daerah, penyaluran per kapita, variabel kontrol</w:t>
            </w:r>
          </w:p>
        </w:tc>
      </w:tr>
      <w:tr>
        <w:trPr>
          <w:cantSplit/>
        </w:trPr>
        <w:tc>
          <w:tcPr>
            <w:tcW w:type="dxa" w:w="29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Synthetic control</w:t>
            </w:r>
          </w:p>
        </w:tc>
        <w:tc>
          <w:tcPr>
            <w:tcW w:type="dxa" w:w="4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IHK kontrafaktual untuk satu daerah yang sangat terdampak (misalnya pusat hilirisasi)</w:t>
            </w:r>
          </w:p>
        </w:tc>
        <w:tc>
          <w:tcPr>
            <w:tcW w:type="dxa" w:w="22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Panel daerah</w:t>
            </w:r>
          </w:p>
        </w:tc>
      </w:tr>
      <w:tr>
        <w:trPr>
          <w:cantSplit/>
        </w:trPr>
        <w:tc>
          <w:tcPr>
            <w:tcW w:type="dxa" w:w="29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Model pass-through</w:t>
            </w:r>
          </w:p>
        </w:tc>
        <w:tc>
          <w:tcPr>
            <w:tcW w:type="dxa" w:w="4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Efek keputusan batubara/DMO terhadap listrik dan IHK; pass-through nilai tukar</w:t>
            </w:r>
          </w:p>
        </w:tc>
        <w:tc>
          <w:tcPr>
            <w:tcW w:type="dxa" w:w="22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Riwayat tarif, tabel input-output</w:t>
            </w:r>
          </w:p>
        </w:tc>
      </w:tr>
      <w:tr>
        <w:trPr>
          <w:cantSplit/>
        </w:trPr>
        <w:tc>
          <w:tcPr>
            <w:tcW w:type="dxa" w:w="29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Tinjauan ex-ante vs ex-post</w:t>
            </w:r>
          </w:p>
        </w:tc>
        <w:tc>
          <w:tcPr>
            <w:tcW w:type="dxa" w:w="404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Apakah proyeksi dampak inflasi saat persetujuan sudah tepat?</w:t>
            </w:r>
          </w:p>
        </w:tc>
        <w:tc>
          <w:tcPr>
            <w:tcW w:type="dxa" w:w="229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Berkas persetujuan proyek, realisasi</w:t>
            </w:r>
          </w:p>
        </w:tc>
      </w:tr>
    </w:tbl>
    <w:p>
      <w:pPr>
        <w:spacing w:after="120"/>
      </w:pPr>
    </w:p>
    <w:p>
      <w:r>
        <w:rPr>
          <w:b/>
          <w:bCs/>
        </w:rPr>
        <w:t xml:space="preserve">Keluaran evaluasi untuk setiap tinjauan NRF (triwulanan atau semesteran):</w:t>
      </w:r>
    </w:p>
    <w:p>
      <w:pPr>
        <w:pStyle w:val="ListParagraph"/>
        <w:numPr>
          <w:ilvl w:val="0"/>
          <w:numId w:val="6"/>
        </w:numPr>
        <w:spacing w:after="80"/>
      </w:pPr>
      <w:r>
        <w:t xml:space="preserve">Estimasi andil NRF terhadap inflasi umum dan inti (pp, beserta rentangnya).</w:t>
      </w:r>
    </w:p>
    <w:p>
      <w:pPr>
        <w:pStyle w:val="ListParagraph"/>
        <w:numPr>
          <w:ilvl w:val="0"/>
          <w:numId w:val="6"/>
        </w:numPr>
        <w:spacing w:after="80"/>
      </w:pPr>
      <w:r>
        <w:t xml:space="preserve">Andil per jalur C1–C8.</w:t>
      </w:r>
    </w:p>
    <w:p>
      <w:pPr>
        <w:pStyle w:val="ListParagraph"/>
        <w:numPr>
          <w:ilvl w:val="0"/>
          <w:numId w:val="6"/>
        </w:numPr>
        <w:spacing w:after="80"/>
      </w:pPr>
      <w:r>
        <w:t xml:space="preserve">Titik panas daerah.</w:t>
      </w:r>
    </w:p>
    <w:p>
      <w:pPr>
        <w:pStyle w:val="ListParagraph"/>
        <w:numPr>
          <w:ilvl w:val="0"/>
          <w:numId w:val="6"/>
        </w:numPr>
        <w:spacing w:after="80"/>
      </w:pPr>
      <w:r>
        <w:rPr>
          <w:b/>
          <w:bCs/>
        </w:rPr>
        <w:t xml:space="preserve">Manfaat bersih riil</w:t>
      </w:r>
      <w:r>
        <w:t xml:space="preserve"> = manfaat nominal NRF dikurangi biaya kesejahteraan akibat tambahan inflasi. Biaya ini dilaporkan terpisah untuk 40% rumah tangga terbawah, karena inflasi pangan dan energi paling memukul mereka.</w:t>
      </w:r>
    </w:p>
    <w:p>
      <w:pPr>
        <w:pStyle w:val="ListParagraph"/>
        <w:numPr>
          <w:ilvl w:val="0"/>
          <w:numId w:val="6"/>
        </w:numPr>
        <w:spacing w:after="80"/>
      </w:pPr>
      <w:r>
        <w:t xml:space="preserve">Rekomendasi: pertahankan, perlambat atau alihkan penyaluran.</w:t>
      </w:r>
    </w:p>
    <w:p>
      <w:pPr>
        <w:pStyle w:val="Heading2"/>
        <w:keepNext/>
      </w:pPr>
      <w:r>
        <w:t xml:space="preserve">4.3 Disiplin data waktu nyata</w:t>
      </w:r>
    </w:p>
    <w:p>
      <w:r>
        <w:t xml:space="preserve">Evaluasi memakai data yang tersedia pada saat keputusan diambil ("vintage"), bukan hanya data yang sudah direvisi. Bila tidak, tinjauan akan menilai keputusan secara tidak adil. Platform wajib menyimpan setiap rilis beserta tanggal publikasinya.</w:t>
      </w:r>
    </w:p>
    <w:p>
      <w:pPr>
        <w:pStyle w:val="Heading1"/>
        <w:keepNext/>
      </w:pPr>
      <w:r>
        <w:t xml:space="preserve">5. Pengaman inflasi yang dibangun ke dalam NRF</w:t>
      </w:r>
    </w:p>
    <w:p>
      <w:r>
        <w:t xml:space="preserve">Pemantauan hanya berguna bila terhubung dengan tuas kebijakan. Usulan aturan untuk piagam NRF:</w:t>
      </w:r>
    </w:p>
    <w:p>
      <w:pPr>
        <w:pStyle w:val="ListParagraph"/>
        <w:numPr>
          <w:ilvl w:val="0"/>
          <w:numId w:val="7"/>
        </w:numPr>
        <w:spacing w:after="80"/>
      </w:pPr>
      <w:r>
        <w:rPr>
          <w:b/>
          <w:bCs/>
        </w:rPr>
        <w:t xml:space="preserve">Tanpa pembiayaan moneter.</w:t>
      </w:r>
      <w:r>
        <w:t xml:space="preserve"> BI tidak membeli efek NRF atau TEPSDA di pasar perdana, kecuali dalam kerangka krisis yang sah beserta batas waktunya. Komposisi pembeli diungkapkan per seri.</w:t>
      </w:r>
    </w:p>
    <w:p>
      <w:pPr>
        <w:pStyle w:val="ListParagraph"/>
        <w:numPr>
          <w:ilvl w:val="0"/>
          <w:numId w:val="7"/>
        </w:numPr>
        <w:spacing w:after="80"/>
      </w:pPr>
      <w:r>
        <w:rPr>
          <w:b/>
          <w:bCs/>
        </w:rPr>
        <w:t xml:space="preserve">Aturan tabungan dan serapan.</w:t>
      </w:r>
      <w:r>
        <w:t xml:space="preserve"> Porsi minimum dana yang ditetapkan undang-undang masuk ke tranche tabungan yang diinvestasikan di luar negeri (model Norwegia, Chile, Timor-Leste). Belanja domestik dibatasi oleh aturan serapan yang dikaitkan dengan output gap.</w:t>
      </w:r>
    </w:p>
    <w:p>
      <w:pPr>
        <w:pStyle w:val="ListParagraph"/>
        <w:numPr>
          <w:ilvl w:val="0"/>
          <w:numId w:val="7"/>
        </w:numPr>
        <w:spacing w:after="80"/>
      </w:pPr>
      <w:r>
        <w:rPr>
          <w:b/>
          <w:bCs/>
        </w:rPr>
        <w:t xml:space="preserve">Laju kontra-siklus.</w:t>
      </w:r>
      <w:r>
        <w:t xml:space="preserve"> Bila dasbor menunjukkan merah pada inflasi inti atau ekspektasi selama dua bulan berturut-turut, penyaluran domestik baru untuk pos yang tidak kritis diperlambat. Milestone proyek yang sudah disetujui tetap berjalan.</w:t>
      </w:r>
    </w:p>
    <w:p>
      <w:pPr>
        <w:pStyle w:val="ListParagraph"/>
        <w:numPr>
          <w:ilvl w:val="0"/>
          <w:numId w:val="7"/>
        </w:numPr>
        <w:spacing w:after="80"/>
      </w:pPr>
      <w:r>
        <w:rPr>
          <w:b/>
          <w:bCs/>
        </w:rPr>
        <w:t xml:space="preserve">Penetapan harga batubara adalah keputusan inflasi.</w:t>
      </w:r>
      <w:r>
        <w:t xml:space="preserve"> Setiap perubahan harga DMO atau ketentuan fiskal batubara yang memengaruhi PLN memerlukan catatan dampak inflasi serta konsultasi BI/Kemenkeu sebelum disetujui.</w:t>
      </w:r>
    </w:p>
    <w:p>
      <w:pPr>
        <w:pStyle w:val="ListParagraph"/>
        <w:numPr>
          <w:ilvl w:val="0"/>
          <w:numId w:val="7"/>
        </w:numPr>
        <w:spacing w:after="80"/>
      </w:pPr>
      <w:r>
        <w:rPr>
          <w:b/>
          <w:bCs/>
        </w:rPr>
        <w:t xml:space="preserve">Desain penyaluran.</w:t>
      </w:r>
      <w:r>
        <w:t xml:space="preserve"> Manfaat melalui Koperasi Merah Putih sebaiknya diarahkan ke penggunaan produktif dan sisi pasokan (gudang, distribusi, rantai dingin, sarana produksi petani). Penggunaan ini menurunkan harga pangan, sedangkan transfer tunai murni menambah permintaan.</w:t>
      </w:r>
    </w:p>
    <w:p>
      <w:pPr>
        <w:pStyle w:val="ListParagraph"/>
        <w:numPr>
          <w:ilvl w:val="0"/>
          <w:numId w:val="7"/>
        </w:numPr>
        <w:spacing w:after="80"/>
      </w:pPr>
      <w:r>
        <w:rPr>
          <w:b/>
          <w:bCs/>
        </w:rPr>
        <w:t xml:space="preserve">Rencana serapan daerah.</w:t>
      </w:r>
      <w:r>
        <w:t xml:space="preserve"> Proyek besar di daerah tambang wajib memiliki rencana pasokan lokal (pangan, hunian, tenaga kerja) yang disepakati dengan TPID provinsi.</w:t>
      </w:r>
    </w:p>
    <w:p>
      <w:pPr>
        <w:pStyle w:val="ListParagraph"/>
        <w:numPr>
          <w:ilvl w:val="0"/>
          <w:numId w:val="7"/>
        </w:numPr>
        <w:spacing w:after="80"/>
      </w:pPr>
      <w:r>
        <w:rPr>
          <w:b/>
          <w:bCs/>
        </w:rPr>
        <w:t xml:space="preserve">Komunikasi.</w:t>
      </w:r>
      <w:r>
        <w:t xml:space="preserve"> Instrumen NRF selalu disebut sebagai efek negara berdenominasi Rupiah, bukan mata uang (sejalan dengan Bab 6 kajian utama).</w:t>
      </w:r>
    </w:p>
    <w:p>
      <w:pPr>
        <w:pStyle w:val="Heading1"/>
        <w:keepNext/>
      </w:pPr>
      <w:r>
        <w:t xml:space="preserve">6. Platform: Pemantau Inflasi NRF</w:t>
      </w:r>
    </w:p>
    <w:p>
      <w:pPr>
        <w:pStyle w:val="Heading2"/>
        <w:keepNext/>
      </w:pPr>
      <w:r>
        <w:t xml:space="preserve">6.1 Pengguna dan keputusan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79"/>
        <w:gridCol w:w="4115"/>
        <w:gridCol w:w="2912"/>
      </w:tblGrid>
      <w:tr>
        <w:trPr>
          <w:tblHeader/>
        </w:trPr>
        <w:tc>
          <w:tcPr>
            <w:tcW w:type="dxa" w:w="227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Pengguna</w:t>
            </w:r>
          </w:p>
        </w:tc>
        <w:tc>
          <w:tcPr>
            <w:tcW w:type="dxa" w:w="411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Keputusan yang didukung</w:t>
            </w:r>
          </w:p>
        </w:tc>
        <w:tc>
          <w:tcPr>
            <w:tcW w:type="dxa" w:w="291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Tampilan</w:t>
            </w:r>
          </w:p>
        </w:tc>
      </w:tr>
      <w:tr>
        <w:trPr>
          <w:cantSplit/>
        </w:trPr>
        <w:tc>
          <w:tcPr>
            <w:tcW w:type="dxa" w:w="22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Komite pengarah NRF / Danantara</w:t>
            </w:r>
          </w:p>
        </w:tc>
        <w:tc>
          <w:tcPr>
            <w:tcW w:type="dxa" w:w="41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Laju dan alokasi penyaluran; persetujuan perubahan harga batubara</w:t>
            </w:r>
          </w:p>
        </w:tc>
        <w:tc>
          <w:tcPr>
            <w:tcW w:type="dxa" w:w="29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Ringkasan bulanan, monitor jalur, lab skenario</w:t>
            </w:r>
          </w:p>
        </w:tc>
      </w:tr>
      <w:tr>
        <w:trPr>
          <w:cantSplit/>
        </w:trPr>
        <w:tc>
          <w:tcPr>
            <w:tcW w:type="dxa" w:w="22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Kemenkeu (fiskal)</w:t>
            </w:r>
          </w:p>
        </w:tc>
        <w:tc>
          <w:tcPr>
            <w:tcW w:type="dxa" w:w="41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Koordinasi anggaran, kompensasi</w:t>
            </w:r>
          </w:p>
        </w:tc>
        <w:tc>
          <w:tcPr>
            <w:tcW w:type="dxa" w:w="29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Impuls fiskal, harga yang diatur</w:t>
            </w:r>
          </w:p>
        </w:tc>
      </w:tr>
      <w:tr>
        <w:trPr>
          <w:cantSplit/>
        </w:trPr>
        <w:tc>
          <w:tcPr>
            <w:tcW w:type="dxa" w:w="22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BI (sebagai mitra data dan pengamat)</w:t>
            </w:r>
          </w:p>
        </w:tc>
        <w:tc>
          <w:tcPr>
            <w:tcW w:type="dxa" w:w="41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Arah kebijakan moneter; tidak diarahkan oleh platform</w:t>
            </w:r>
          </w:p>
        </w:tc>
        <w:tc>
          <w:tcPr>
            <w:tcW w:type="dxa" w:w="29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Porsi monetisasi, ekspektasi</w:t>
            </w:r>
          </w:p>
        </w:tc>
      </w:tr>
      <w:tr>
        <w:trPr>
          <w:cantSplit/>
        </w:trPr>
        <w:tc>
          <w:tcPr>
            <w:tcW w:type="dxa" w:w="22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TPIP / TPID</w:t>
            </w:r>
          </w:p>
        </w:tc>
        <w:tc>
          <w:tcPr>
            <w:tcW w:type="dxa" w:w="41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Tindakan pasokan pangan di daerah</w:t>
            </w:r>
          </w:p>
        </w:tc>
        <w:tc>
          <w:tcPr>
            <w:tcW w:type="dxa" w:w="29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Peta panas daerah, harga pangan</w:t>
            </w:r>
          </w:p>
        </w:tc>
      </w:tr>
      <w:tr>
        <w:trPr>
          <w:cantSplit/>
        </w:trPr>
        <w:tc>
          <w:tcPr>
            <w:tcW w:type="dxa" w:w="227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Publik (sebagian)</w:t>
            </w:r>
          </w:p>
        </w:tc>
        <w:tc>
          <w:tcPr>
            <w:tcW w:type="dxa" w:w="411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Transparansi</w:t>
            </w:r>
          </w:p>
        </w:tc>
        <w:tc>
          <w:tcPr>
            <w:tcW w:type="dxa" w:w="291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Laporan inflasi NRF triwulanan</w:t>
            </w:r>
          </w:p>
        </w:tc>
      </w:tr>
    </w:tbl>
    <w:p>
      <w:pPr>
        <w:spacing w:after="120"/>
      </w:pPr>
    </w:p>
    <w:p>
      <w:r>
        <w:t xml:space="preserve">Platform ini harus </w:t>
      </w:r>
      <w:r>
        <w:rPr>
          <w:b/>
          <w:bCs/>
        </w:rPr>
        <w:t xml:space="preserve">melengkapi</w:t>
      </w:r>
      <w:r>
        <w:t xml:space="preserve"> sistem TPIP/TPID dan BI yang sudah ada, bukan menyainginya. Nilai uniknya adalah Lapis 5: menghubungkan aliran dana NRF dengan harga.</w:t>
      </w:r>
    </w:p>
    <w:p>
      <w:pPr>
        <w:pStyle w:val="Heading2"/>
        <w:keepNext/>
      </w:pPr>
      <w:r>
        <w:t xml:space="preserve">6.2 Arsitektur</w:t>
      </w:r>
    </w:p>
    <w:p>
      <w:pPr>
        <w:shd w:fill="F4F6FA" w:color="auto" w:val="clear"/>
        <w:spacing w:after="0" w:before="120" w:line="240"/>
      </w:pPr>
      <w:r>
        <w:rPr>
          <w:rFonts w:ascii="Consolas" w:cs="Consolas" w:eastAsia="Consolas" w:hAnsi="Consolas"/>
          <w:sz w:val="13"/>
          <w:szCs w:val="13"/>
        </w:rPr>
        <w:t xml:space="preserve"> SUMBER                       PIPELINE                   ANALITIK                  KELUARAN</w:t>
      </w:r>
    </w:p>
    <w:p>
      <w:pPr>
        <w:shd w:fill="F4F6FA" w:color="auto" w:val="clear"/>
        <w:spacing w:after="0" w:before="0" w:line="240"/>
      </w:pPr>
      <w:r>
        <w:rPr>
          <w:rFonts w:ascii="Consolas" w:cs="Consolas" w:eastAsia="Consolas" w:hAnsi="Consolas"/>
          <w:sz w:val="13"/>
          <w:szCs w:val="13"/>
        </w:rPr>
        <w:t xml:space="preserve"> ──────                       ────────                   ────────                  ────────</w:t>
      </w:r>
    </w:p>
    <w:p>
      <w:pPr>
        <w:shd w:fill="F4F6FA" w:color="auto" w:val="clear"/>
        <w:spacing w:after="0" w:before="0" w:line="240"/>
      </w:pPr>
      <w:r>
        <w:rPr>
          <w:rFonts w:ascii="Consolas" w:cs="Consolas" w:eastAsia="Consolas" w:hAnsi="Consolas"/>
          <w:sz w:val="13"/>
          <w:szCs w:val="13"/>
        </w:rPr>
        <w:t xml:space="preserve"> BPS WebAPI (IHK, IHP) ──┐</w:t>
      </w:r>
    </w:p>
    <w:p>
      <w:pPr>
        <w:shd w:fill="F4F6FA" w:color="auto" w:val="clear"/>
        <w:spacing w:after="0" w:before="0" w:line="240"/>
      </w:pPr>
      <w:r>
        <w:rPr>
          <w:rFonts w:ascii="Consolas" w:cs="Consolas" w:eastAsia="Consolas" w:hAnsi="Consolas"/>
          <w:sz w:val="13"/>
          <w:szCs w:val="13"/>
        </w:rPr>
        <w:t xml:space="preserve"> BI SEKI, PIHPS, JISDOR ─┤    Konektor ingesti           Model nowcast             Dasbor</w:t>
      </w:r>
    </w:p>
    <w:p>
      <w:pPr>
        <w:shd w:fill="F4F6FA" w:color="auto" w:val="clear"/>
        <w:spacing w:after="0" w:before="0" w:line="240"/>
      </w:pPr>
      <w:r>
        <w:rPr>
          <w:rFonts w:ascii="Consolas" w:cs="Consolas" w:eastAsia="Consolas" w:hAnsi="Consolas"/>
          <w:sz w:val="13"/>
          <w:szCs w:val="13"/>
        </w:rPr>
        <w:t xml:space="preserve"> Bapanas, Kemendag ──────┤ →  + validasi + penyimpanan → Dekomposisi          →    (nasional, daerah,</w:t>
      </w:r>
    </w:p>
    <w:p>
      <w:pPr>
        <w:shd w:fill="F4F6FA" w:color="auto" w:val="clear"/>
        <w:spacing w:after="0" w:before="0" w:line="240"/>
      </w:pPr>
      <w:r>
        <w:rPr>
          <w:rFonts w:ascii="Consolas" w:cs="Consolas" w:eastAsia="Consolas" w:hAnsi="Consolas"/>
          <w:sz w:val="13"/>
          <w:szCs w:val="13"/>
        </w:rPr>
        <w:t xml:space="preserve"> ESDM (HBA, DMO, prod.) ─┤    vintage (DB deret waktu)   Atribusi (VAR,             jalur NRF)</w:t>
      </w:r>
    </w:p>
    <w:p>
      <w:pPr>
        <w:shd w:fill="F4F6FA" w:color="auto" w:val="clear"/>
        <w:spacing w:after="0" w:before="0" w:line="240"/>
      </w:pPr>
      <w:r>
        <w:rPr>
          <w:rFonts w:ascii="Consolas" w:cs="Consolas" w:eastAsia="Consolas" w:hAnsi="Consolas"/>
          <w:sz w:val="13"/>
          <w:szCs w:val="13"/>
        </w:rPr>
        <w:t xml:space="preserve"> Kemenkeu (SBN, APBN) ───┤    + katalog data             DiD, synth. control)      Peringatan (email/WA)</w:t>
      </w:r>
    </w:p>
    <w:p>
      <w:pPr>
        <w:shd w:fill="F4F6FA" w:color="auto" w:val="clear"/>
        <w:spacing w:after="0" w:before="0" w:line="240"/>
      </w:pPr>
      <w:r>
        <w:rPr>
          <w:rFonts w:ascii="Consolas" w:cs="Consolas" w:eastAsia="Consolas" w:hAnsi="Consolas"/>
          <w:sz w:val="13"/>
          <w:szCs w:val="13"/>
        </w:rPr>
        <w:t xml:space="preserve"> Data pasar (CDS, kurs) ─┤    + lineage                  Mesin ambang              Ringkasan bulanan</w:t>
      </w:r>
    </w:p>
    <w:p>
      <w:pPr>
        <w:shd w:fill="F4F6FA" w:color="auto" w:val="clear"/>
        <w:spacing w:after="0" w:before="0" w:line="240"/>
      </w:pPr>
      <w:r>
        <w:rPr>
          <w:rFonts w:ascii="Consolas" w:cs="Consolas" w:eastAsia="Consolas" w:hAnsi="Consolas"/>
          <w:sz w:val="13"/>
          <w:szCs w:val="13"/>
        </w:rPr>
        <w:t xml:space="preserve"> World Bank, FAO ────────┤                               Simulator skenario        Laporan triwulanan</w:t>
      </w:r>
    </w:p>
    <w:p>
      <w:pPr>
        <w:shd w:fill="F4F6FA" w:color="auto" w:val="clear"/>
        <w:spacing w:after="0" w:before="0" w:line="240"/>
      </w:pPr>
      <w:r>
        <w:rPr>
          <w:rFonts w:ascii="Consolas" w:cs="Consolas" w:eastAsia="Consolas" w:hAnsi="Consolas"/>
          <w:sz w:val="13"/>
          <w:szCs w:val="13"/>
        </w:rPr>
        <w:t xml:space="preserve"> Buku besar / register ──┘    (zona terbatas)                                      API untuk mitra</w:t>
      </w:r>
    </w:p>
    <w:p>
      <w:pPr>
        <w:spacing w:after="160"/>
      </w:pPr>
    </w:p>
    <w:p>
      <w:r>
        <w:rPr>
          <w:b/>
          <w:bCs/>
        </w:rPr>
        <w:t xml:space="preserve">Komponen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36"/>
        <w:gridCol w:w="4203"/>
        <w:gridCol w:w="4367"/>
      </w:tblGrid>
      <w:tr>
        <w:trPr>
          <w:tblHeader/>
        </w:trPr>
        <w:tc>
          <w:tcPr>
            <w:tcW w:type="dxa" w:w="73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Komponen</w:t>
            </w:r>
          </w:p>
        </w:tc>
        <w:tc>
          <w:tcPr>
            <w:tcW w:type="dxa" w:w="4203"/>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Usulan teknologi</w:t>
            </w:r>
          </w:p>
        </w:tc>
        <w:tc>
          <w:tcPr>
            <w:tcW w:type="dxa" w:w="4367"/>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Catatan</w:t>
            </w:r>
          </w:p>
        </w:tc>
      </w:tr>
      <w:tr>
        <w:trPr>
          <w:cantSplit/>
        </w:trPr>
        <w:tc>
          <w:tcPr>
            <w:tcW w:type="dxa" w:w="73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Ingesti</w:t>
            </w:r>
          </w:p>
        </w:tc>
        <w:tc>
          <w:tcPr>
            <w:tcW w:type="dxa" w:w="420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Konektor Python terjadwal (Airflow atau Dagster)</w:t>
            </w:r>
          </w:p>
        </w:tc>
        <w:tc>
          <w:tcPr>
            <w:tcW w:type="dxa" w:w="43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Satu konektor per sumber; pemeriksaan skema; simpan setiap vintage</w:t>
            </w:r>
          </w:p>
        </w:tc>
      </w:tr>
      <w:tr>
        <w:trPr>
          <w:cantSplit/>
        </w:trPr>
        <w:tc>
          <w:tcPr>
            <w:tcW w:type="dxa" w:w="73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Penyimpanan</w:t>
            </w:r>
          </w:p>
        </w:tc>
        <w:tc>
          <w:tcPr>
            <w:tcW w:type="dxa" w:w="420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PostgreSQL + TimescaleDB; object storage untuk berkas mentah</w:t>
            </w:r>
          </w:p>
        </w:tc>
        <w:tc>
          <w:tcPr>
            <w:tcW w:type="dxa" w:w="43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Skema terbatas terpisah untuk data internal NRF</w:t>
            </w:r>
          </w:p>
        </w:tc>
      </w:tr>
      <w:tr>
        <w:trPr>
          <w:cantSplit/>
        </w:trPr>
        <w:tc>
          <w:tcPr>
            <w:tcW w:type="dxa" w:w="73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Katalog data</w:t>
            </w:r>
          </w:p>
        </w:tc>
        <w:tc>
          <w:tcPr>
            <w:tcW w:type="dxa" w:w="420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Registri indikator (nama, sumber, frekuensi, pemilik, kelas bukti, ambang)</w:t>
            </w:r>
          </w:p>
        </w:tc>
        <w:tc>
          <w:tcPr>
            <w:tcW w:type="dxa" w:w="43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Registri menggerakkan dasbor, sehingga menambah indikator cukup lewat konfigurasi</w:t>
            </w:r>
          </w:p>
        </w:tc>
      </w:tr>
      <w:tr>
        <w:trPr>
          <w:cantSplit/>
        </w:trPr>
        <w:tc>
          <w:tcPr>
            <w:tcW w:type="dxa" w:w="73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Model</w:t>
            </w:r>
          </w:p>
        </w:tc>
        <w:tc>
          <w:tcPr>
            <w:tcW w:type="dxa" w:w="420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Python (statsmodels, PyMC), estimasi ulang terjadwal</w:t>
            </w:r>
          </w:p>
        </w:tc>
        <w:tc>
          <w:tcPr>
            <w:tcW w:type="dxa" w:w="43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Dikendalikan versinya; setiap keluaran menyimpan versi model</w:t>
            </w:r>
          </w:p>
        </w:tc>
      </w:tr>
      <w:tr>
        <w:trPr>
          <w:cantSplit/>
        </w:trPr>
        <w:tc>
          <w:tcPr>
            <w:tcW w:type="dxa" w:w="73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Dasbor</w:t>
            </w:r>
          </w:p>
        </w:tc>
        <w:tc>
          <w:tcPr>
            <w:tcW w:type="dxa" w:w="420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Aplikasi web (misalnya Next.js, atau Streamlit untuk MVP) dengan komponen peta</w:t>
            </w:r>
          </w:p>
        </w:tc>
        <w:tc>
          <w:tcPr>
            <w:tcW w:type="dxa" w:w="43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Bahasa Indonesia dan Inggris</w:t>
            </w:r>
          </w:p>
        </w:tc>
      </w:tr>
      <w:tr>
        <w:trPr>
          <w:cantSplit/>
        </w:trPr>
        <w:tc>
          <w:tcPr>
            <w:tcW w:type="dxa" w:w="73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Peringatan</w:t>
            </w:r>
          </w:p>
        </w:tc>
        <w:tc>
          <w:tcPr>
            <w:tcW w:type="dxa" w:w="420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Mesin aturan berbasis tabel ambang</w:t>
            </w:r>
          </w:p>
        </w:tc>
        <w:tc>
          <w:tcPr>
            <w:tcW w:type="dxa" w:w="43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Matriks eskalasi pada Bagian 5</w:t>
            </w:r>
          </w:p>
        </w:tc>
      </w:tr>
      <w:tr>
        <w:trPr>
          <w:cantSplit/>
        </w:trPr>
        <w:tc>
          <w:tcPr>
            <w:tcW w:type="dxa" w:w="73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Keamanan</w:t>
            </w:r>
          </w:p>
        </w:tc>
        <w:tc>
          <w:tcPr>
            <w:tcW w:type="dxa" w:w="4203"/>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Akses berbasis peran; buku besar NRF dan data pra-rilis dibatasi</w:t>
            </w:r>
          </w:p>
        </w:tc>
        <w:tc>
          <w:tcPr>
            <w:tcW w:type="dxa" w:w="4367"/>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Hosting di cloud berdaulat nasional, sesuai ketentuan BSSN</w:t>
            </w:r>
          </w:p>
        </w:tc>
      </w:tr>
    </w:tbl>
    <w:p>
      <w:pPr>
        <w:spacing w:after="120"/>
      </w:pPr>
    </w:p>
    <w:p>
      <w:pPr>
        <w:pStyle w:val="Heading2"/>
        <w:keepNext/>
      </w:pPr>
      <w:r>
        <w:t xml:space="preserve">6.3 Layar</w:t>
      </w:r>
    </w:p>
    <w:p>
      <w:pPr>
        <w:pStyle w:val="ListParagraph"/>
        <w:numPr>
          <w:ilvl w:val="0"/>
          <w:numId w:val="8"/>
        </w:numPr>
        <w:spacing w:after="80"/>
      </w:pPr>
      <w:r>
        <w:rPr>
          <w:b/>
          <w:bCs/>
        </w:rPr>
        <w:t xml:space="preserve">Ikhtisar:</w:t>
      </w:r>
      <w:r>
        <w:t xml:space="preserve"> inflasi umum, inti, harga yang diatur dan volatile food; lampu lalu lintas; nowcast bulan berjalan; rentang sasaran BI.</w:t>
      </w:r>
    </w:p>
    <w:p>
      <w:pPr>
        <w:pStyle w:val="ListParagraph"/>
        <w:numPr>
          <w:ilvl w:val="0"/>
          <w:numId w:val="8"/>
        </w:numPr>
        <w:spacing w:after="80"/>
      </w:pPr>
      <w:r>
        <w:rPr>
          <w:b/>
          <w:bCs/>
        </w:rPr>
        <w:t xml:space="preserve">Monitor jalur NRF:</w:t>
      </w:r>
      <w:r>
        <w:t xml:space="preserve"> satu panel per jalur C1–C8 dengan indikator utama dan statusnya; penerbitan dan komposisi pembeli; impuls fiskal.</w:t>
      </w:r>
    </w:p>
    <w:p>
      <w:pPr>
        <w:pStyle w:val="ListParagraph"/>
        <w:numPr>
          <w:ilvl w:val="0"/>
          <w:numId w:val="8"/>
        </w:numPr>
        <w:spacing w:after="80"/>
      </w:pPr>
      <w:r>
        <w:rPr>
          <w:b/>
          <w:bCs/>
        </w:rPr>
        <w:t xml:space="preserve">Peta daerah:</w:t>
      </w:r>
      <w:r>
        <w:t xml:space="preserve"> selisih inflasi provinsi terhadap nasional, ditumpangkan dengan intensitas penyaluran NRF; telusur hingga kota dan komoditas.</w:t>
      </w:r>
    </w:p>
    <w:p>
      <w:pPr>
        <w:pStyle w:val="ListParagraph"/>
        <w:numPr>
          <w:ilvl w:val="0"/>
          <w:numId w:val="8"/>
        </w:numPr>
        <w:spacing w:after="80"/>
      </w:pPr>
      <w:r>
        <w:rPr>
          <w:b/>
          <w:bCs/>
        </w:rPr>
        <w:t xml:space="preserve">Pangan dan energi:</w:t>
      </w:r>
      <w:r>
        <w:t xml:space="preserve"> harga pangan strategis harian; BBM dan listrik; HBA dan DMO batubara.</w:t>
      </w:r>
    </w:p>
    <w:p>
      <w:pPr>
        <w:pStyle w:val="ListParagraph"/>
        <w:numPr>
          <w:ilvl w:val="0"/>
          <w:numId w:val="8"/>
        </w:numPr>
        <w:spacing w:after="80"/>
      </w:pPr>
      <w:r>
        <w:rPr>
          <w:b/>
          <w:bCs/>
        </w:rPr>
        <w:t xml:space="preserve">Lab skenario:</w:t>
      </w:r>
      <w:r>
        <w:t xml:space="preserve"> "Bila NRF menyalurkan Rp X T pada triwulan Q melalui jalur K, di daerah R, dengan porsi tabungan Y%", menampilkan rentang proyeksi inflasi. Juga "bila harga DMO batubara naik menjadi Z": biaya listrik → IHK.</w:t>
      </w:r>
    </w:p>
    <w:p>
      <w:pPr>
        <w:pStyle w:val="ListParagraph"/>
        <w:numPr>
          <w:ilvl w:val="0"/>
          <w:numId w:val="8"/>
        </w:numPr>
        <w:spacing w:after="80"/>
      </w:pPr>
      <w:r>
        <w:rPr>
          <w:b/>
          <w:bCs/>
        </w:rPr>
        <w:t xml:space="preserve">Evaluasi:</w:t>
      </w:r>
      <w:r>
        <w:t xml:space="preserve"> hasil atribusi terbaru, manfaat bersih riil, perbandingan ex-ante vs ex-post.</w:t>
      </w:r>
    </w:p>
    <w:p>
      <w:pPr>
        <w:pStyle w:val="Heading2"/>
        <w:keepNext/>
      </w:pPr>
      <w:r>
        <w:t xml:space="preserve">6.4 Peran agen AI</w:t>
      </w:r>
    </w:p>
    <w:p>
      <w:r>
        <w:t xml:space="preserve">Sejalan dengan pendekatan multi-agen dalam kajian Danantara, agen dapat mengurangi beban analis. Agen tidak mengambil keputusan.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19"/>
        <w:gridCol w:w="5776"/>
        <w:gridCol w:w="2311"/>
      </w:tblGrid>
      <w:tr>
        <w:trPr>
          <w:tblHeader/>
        </w:trPr>
        <w:tc>
          <w:tcPr>
            <w:tcW w:type="dxa" w:w="1219"/>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Agen</w:t>
            </w:r>
          </w:p>
        </w:tc>
        <w:tc>
          <w:tcPr>
            <w:tcW w:type="dxa" w:w="5776"/>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Tugas</w:t>
            </w:r>
          </w:p>
        </w:tc>
        <w:tc>
          <w:tcPr>
            <w:tcW w:type="dxa" w:w="231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Kendali manusia</w:t>
            </w:r>
          </w:p>
        </w:tc>
      </w:tr>
      <w:tr>
        <w:trPr>
          <w:cantSplit/>
        </w:trPr>
        <w:tc>
          <w:tcPr>
            <w:tcW w:type="dxa" w:w="121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Penjaga data</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Memantau konektor, menandai data hilang atau janggal, membandingkan dengan vintage sebelumnya</w:t>
            </w:r>
          </w:p>
        </w:tc>
        <w:tc>
          <w:tcPr>
            <w:tcW w:type="dxa" w:w="23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Analis mengonfirmasi koreksi</w:t>
            </w:r>
          </w:p>
        </w:tc>
      </w:tr>
      <w:tr>
        <w:trPr>
          <w:cantSplit/>
        </w:trPr>
        <w:tc>
          <w:tcPr>
            <w:tcW w:type="dxa" w:w="121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Analis sinyal harga</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Menjelaskan pergerakan ("harga cabai +18% di 3 provinsi, kemungkinan cuaca; bukan terkait NRF") dengan rujukan data</w:t>
            </w:r>
          </w:p>
        </w:tc>
        <w:tc>
          <w:tcPr>
            <w:tcW w:type="dxa" w:w="23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Analis meninjau</w:t>
            </w:r>
          </w:p>
        </w:tc>
      </w:tr>
      <w:tr>
        <w:trPr>
          <w:cantSplit/>
        </w:trPr>
        <w:tc>
          <w:tcPr>
            <w:tcW w:type="dxa" w:w="121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Penulis ringkasan</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Menyusun draf ringkasan inflasi NRF bulanan dari data dasbor</w:t>
            </w:r>
          </w:p>
        </w:tc>
        <w:tc>
          <w:tcPr>
            <w:tcW w:type="dxa" w:w="23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Ekonom menyunting dan menandatangani</w:t>
            </w:r>
          </w:p>
        </w:tc>
      </w:tr>
      <w:tr>
        <w:trPr>
          <w:cantSplit/>
        </w:trPr>
        <w:tc>
          <w:tcPr>
            <w:tcW w:type="dxa" w:w="1219"/>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Asisten skenario</w:t>
            </w:r>
          </w:p>
        </w:tc>
        <w:tc>
          <w:tcPr>
            <w:tcW w:type="dxa" w:w="5776"/>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Menjalankan simulator skenario dari pertanyaan bahasa alami dan menampilkan asumsinya</w:t>
            </w:r>
          </w:p>
        </w:tc>
        <w:tc>
          <w:tcPr>
            <w:tcW w:type="dxa" w:w="23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Hasil diberi label estimasi model</w:t>
            </w:r>
          </w:p>
        </w:tc>
      </w:tr>
    </w:tbl>
    <w:p>
      <w:pPr>
        <w:spacing w:after="120"/>
      </w:pPr>
    </w:p>
    <w:p>
      <w:r>
        <w:t xml:space="preserve">Aturan: setiap pernyataan AI menyebut indikator dan vintage yang dipakai, dan tidak ada keluaran AI yang diterbitkan tanpa peninjau manusia yang disebut namanya.</w:t>
      </w:r>
    </w:p>
    <w:p>
      <w:pPr>
        <w:pStyle w:val="Heading2"/>
        <w:keepNext/>
      </w:pPr>
      <w:r>
        <w:t xml:space="preserve">6.5 Peta jalan pelaksanaan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11"/>
        <w:gridCol w:w="721"/>
        <w:gridCol w:w="4002"/>
        <w:gridCol w:w="3472"/>
      </w:tblGrid>
      <w:tr>
        <w:trPr>
          <w:tblHeader/>
        </w:trPr>
        <w:tc>
          <w:tcPr>
            <w:tcW w:type="dxa" w:w="111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Fase</w:t>
            </w:r>
          </w:p>
        </w:tc>
        <w:tc>
          <w:tcPr>
            <w:tcW w:type="dxa" w:w="72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Durasi</w:t>
            </w:r>
          </w:p>
        </w:tc>
        <w:tc>
          <w:tcPr>
            <w:tcW w:type="dxa" w:w="400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Cakupan</w:t>
            </w:r>
          </w:p>
        </w:tc>
        <w:tc>
          <w:tcPr>
            <w:tcW w:type="dxa" w:w="3472"/>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Selesai bila</w:t>
            </w:r>
          </w:p>
        </w:tc>
      </w:tr>
      <w:tr>
        <w:trPr>
          <w:cantSplit/>
        </w:trPr>
        <w:tc>
          <w:tcPr>
            <w:tcW w:type="dxa" w:w="11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0. MVP dengan data publik</w:t>
            </w:r>
          </w:p>
        </w:tc>
        <w:tc>
          <w:tcPr>
            <w:tcW w:type="dxa" w:w="72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6–8 minggu</w:t>
            </w:r>
          </w:p>
        </w:tc>
        <w:tc>
          <w:tcPr>
            <w:tcW w:type="dxa" w:w="40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Lapis 1–4 dari sumber publik; layar ikhtisar, peta daerah dan pangan; peringatan berbasis ambang</w:t>
            </w:r>
          </w:p>
        </w:tc>
        <w:tc>
          <w:tcPr>
            <w:tcW w:type="dxa" w:w="347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Dasbor diperbarui otomatis setiap rilis BPS dan setiap hari untuk harga pangan</w:t>
            </w:r>
          </w:p>
        </w:tc>
      </w:tr>
      <w:tr>
        <w:trPr>
          <w:cantSplit/>
        </w:trPr>
        <w:tc>
          <w:tcPr>
            <w:tcW w:type="dxa" w:w="11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1. Integrasi data NRF</w:t>
            </w:r>
          </w:p>
        </w:tc>
        <w:tc>
          <w:tcPr>
            <w:tcW w:type="dxa" w:w="72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+2–3 bulan</w:t>
            </w:r>
          </w:p>
        </w:tc>
        <w:tc>
          <w:tcPr>
            <w:tcW w:type="dxa" w:w="40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Lapis 5 dari buku besar NRF dan register proyek; monitor jalur; akses terbatas</w:t>
            </w:r>
          </w:p>
        </w:tc>
        <w:tc>
          <w:tcPr>
            <w:tcW w:type="dxa" w:w="347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Komposisi pembeli dan penyaluran per provinsi terlihat</w:t>
            </w:r>
          </w:p>
        </w:tc>
      </w:tr>
      <w:tr>
        <w:trPr>
          <w:cantSplit/>
        </w:trPr>
        <w:tc>
          <w:tcPr>
            <w:tcW w:type="dxa" w:w="11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2. Model</w:t>
            </w:r>
          </w:p>
        </w:tc>
        <w:tc>
          <w:tcPr>
            <w:tcW w:type="dxa" w:w="72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+3 bulan</w:t>
            </w:r>
          </w:p>
        </w:tc>
        <w:tc>
          <w:tcPr>
            <w:tcW w:type="dxa" w:w="40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Nowcast, dekomposisi, lab skenario; studi atribusi pertama</w:t>
            </w:r>
          </w:p>
        </w:tc>
        <w:tc>
          <w:tcPr>
            <w:tcW w:type="dxa" w:w="347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Galat nowcast terlacak; laporan evaluasi triwulanan pertama</w:t>
            </w:r>
          </w:p>
        </w:tc>
      </w:tr>
      <w:tr>
        <w:trPr>
          <w:cantSplit/>
        </w:trPr>
        <w:tc>
          <w:tcPr>
            <w:tcW w:type="dxa" w:w="111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3. Pelembagaan</w:t>
            </w:r>
          </w:p>
        </w:tc>
        <w:tc>
          <w:tcPr>
            <w:tcW w:type="dxa" w:w="72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+3 bulan</w:t>
            </w:r>
          </w:p>
        </w:tc>
        <w:tc>
          <w:tcPr>
            <w:tcW w:type="dxa" w:w="400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Nota kesepahaman berbagi data (BI, BPS, Bapanas, ESDM, Kemenkeu, TPIP); pengaman dikaitkan dengan peringatan; laporan triwulanan publik</w:t>
            </w:r>
          </w:p>
        </w:tc>
        <w:tc>
          <w:tcPr>
            <w:tcW w:type="dxa" w:w="3472"/>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Komite pengarah memakai ringkasan dalam setiap keputusan penyaluran</w:t>
            </w:r>
          </w:p>
        </w:tc>
      </w:tr>
    </w:tbl>
    <w:p>
      <w:pPr>
        <w:spacing w:after="120"/>
      </w:pPr>
    </w:p>
    <w:p>
      <w:r>
        <w:rPr>
          <w:b/>
          <w:bCs/>
        </w:rPr>
        <w:t xml:space="preserve">Tim untuk fase 0–2:</w:t>
      </w:r>
      <w:r>
        <w:t xml:space="preserve"> 1 pemimpin produk, 2 data engineer, 2 ekonom atau ekonometrisian, 1 pengembang front-end, 1 penjaga data, ditambah penghubung BI/BPS.</w:t>
      </w:r>
    </w:p>
    <w:p>
      <w:pPr>
        <w:pStyle w:val="Heading1"/>
        <w:keepNext/>
      </w:pPr>
      <w:r>
        <w:t xml:space="preserve">7. Rekomendasi kepada komite pengarah</w:t>
      </w:r>
    </w:p>
    <w:p>
      <w:pPr>
        <w:pStyle w:val="ListParagraph"/>
        <w:numPr>
          <w:ilvl w:val="0"/>
          <w:numId w:val="9"/>
        </w:numPr>
        <w:spacing w:after="80"/>
      </w:pPr>
      <w:r>
        <w:rPr>
          <w:b/>
          <w:bCs/>
        </w:rPr>
        <w:t xml:space="preserve">Tambahkan bagian dampak inflasi ke rancangan NRF.</w:t>
      </w:r>
      <w:r>
        <w:t xml:space="preserve"> Ringkasan Eksekutif perlu menyatakan porsi tabungan, aturan laju penyaluran dan aturan tanpa monetisasi.</w:t>
      </w:r>
    </w:p>
    <w:p>
      <w:pPr>
        <w:pStyle w:val="ListParagraph"/>
        <w:numPr>
          <w:ilvl w:val="0"/>
          <w:numId w:val="9"/>
        </w:numPr>
        <w:spacing w:after="80"/>
      </w:pPr>
      <w:r>
        <w:rPr>
          <w:b/>
          <w:bCs/>
        </w:rPr>
        <w:t xml:space="preserve">Jadikan komposisi pembeli dan penyaluran per daerah sebagai pengungkapan wajib</w:t>
      </w:r>
      <w:r>
        <w:t xml:space="preserve"> sejak penerbitan pertama. Tanpa itu, dampak inflasi tidak dapat dievaluasi.</w:t>
      </w:r>
    </w:p>
    <w:p>
      <w:pPr>
        <w:pStyle w:val="ListParagraph"/>
        <w:numPr>
          <w:ilvl w:val="0"/>
          <w:numId w:val="9"/>
        </w:numPr>
        <w:spacing w:after="80"/>
      </w:pPr>
      <w:r>
        <w:rPr>
          <w:b/>
          <w:bCs/>
        </w:rPr>
        <w:t xml:space="preserve">Perlakukan keputusan harga batubara sebagai keputusan inflasi</w:t>
      </w:r>
      <w:r>
        <w:t xml:space="preserve"> dan wajibkan catatan dampak sebelum persetujuan.</w:t>
      </w:r>
    </w:p>
    <w:p>
      <w:pPr>
        <w:pStyle w:val="ListParagraph"/>
        <w:numPr>
          <w:ilvl w:val="0"/>
          <w:numId w:val="9"/>
        </w:numPr>
        <w:spacing w:after="80"/>
      </w:pPr>
      <w:r>
        <w:rPr>
          <w:b/>
          <w:bCs/>
        </w:rPr>
        <w:t xml:space="preserve">Bangun MVP platform sekarang dengan data publik,</w:t>
      </w:r>
      <w:r>
        <w:t xml:space="preserve"> agar baseline sebelum NRF tersedia sebelum rupiah pertama disalurkan. Atribusi memerlukan baseline.</w:t>
      </w:r>
    </w:p>
    <w:p>
      <w:pPr>
        <w:pStyle w:val="ListParagraph"/>
        <w:numPr>
          <w:ilvl w:val="0"/>
          <w:numId w:val="9"/>
        </w:numPr>
        <w:spacing w:after="80"/>
      </w:pPr>
      <w:r>
        <w:rPr>
          <w:b/>
          <w:bCs/>
        </w:rPr>
        <w:t xml:space="preserve">Laporkan manfaat NRF secara riil,</w:t>
      </w:r>
      <w:r>
        <w:t xml:space="preserve"> setelah dikurangi biaya inflasinya dan dengan sudut pandang distribusi.</w:t>
      </w:r>
    </w:p>
    <w:p>
      <w:pPr>
        <w:pStyle w:val="ListParagraph"/>
        <w:numPr>
          <w:ilvl w:val="0"/>
          <w:numId w:val="9"/>
        </w:numPr>
        <w:spacing w:after="80"/>
      </w:pPr>
      <w:r>
        <w:rPr>
          <w:b/>
          <w:bCs/>
        </w:rPr>
        <w:t xml:space="preserve">Berkoordinasi, bukan menduplikasi.</w:t>
      </w:r>
      <w:r>
        <w:t xml:space="preserve"> Tanda tangani kesepakatan berbagi data dengan BI, BPS dan TPIP, dan posisikan platform sebagai lapis khusus NRF di atas pengendalian inflasi yang sudah ada.</w:t>
      </w:r>
    </w:p>
    <w:p>
      <w:pPr>
        <w:pStyle w:val="Heading1"/>
        <w:keepNext/>
      </w:pPr>
      <w:r>
        <w:t xml:space="preserve">Lampiran A. Templat registri indikator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5"/>
        <w:gridCol w:w="7901"/>
      </w:tblGrid>
      <w:tr>
        <w:trPr>
          <w:tblHeader/>
        </w:trPr>
        <w:tc>
          <w:tcPr>
            <w:tcW w:type="dxa" w:w="140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Isian</w:t>
            </w:r>
          </w:p>
        </w:tc>
        <w:tc>
          <w:tcPr>
            <w:tcW w:type="dxa" w:w="790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Contoh</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ID</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L5-02</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Nama</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Komposisi pembeli efek NRF</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Lapis / jalur</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5 / C2, C3</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Definisi</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Porsi setiap seri yang dipegang BI, bank, domestik nonbank, asing, ritel saat setelmen dan akhir bulan</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Sumber / pemilik</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Registrar NRF; KSEI</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Frekuensi / jeda</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 penerbitan; T+1</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Kelas bukti</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Ambang</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Hijau 0% BI; Merah setiap pembelian BI di pasar perdana di luar kerangka krisis</w:t>
            </w:r>
          </w:p>
        </w:tc>
      </w:tr>
      <w:tr>
        <w:trPr>
          <w:cantSplit/>
        </w:trPr>
        <w:tc>
          <w:tcPr>
            <w:tcW w:type="dxa" w:w="140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Respons</w:t>
            </w:r>
          </w:p>
        </w:tc>
        <w:tc>
          <w:tcPr>
            <w:tcW w:type="dxa" w:w="790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Eskalasi ke komite pengarah dan Kemenkeu dalam 24 jam</w:t>
            </w:r>
          </w:p>
        </w:tc>
      </w:tr>
    </w:tbl>
    <w:p>
      <w:pPr>
        <w:spacing w:after="120"/>
      </w:pPr>
    </w:p>
    <w:p>
      <w:pPr>
        <w:pStyle w:val="Heading1"/>
        <w:keepNext/>
      </w:pPr>
      <w:r>
        <w:t xml:space="preserve">Lampiran B. Glosarium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75"/>
        <w:gridCol w:w="8131"/>
      </w:tblGrid>
      <w:tr>
        <w:trPr>
          <w:tblHeader/>
        </w:trPr>
        <w:tc>
          <w:tcPr>
            <w:tcW w:type="dxa" w:w="1175"/>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Istilah</w:t>
            </w:r>
          </w:p>
        </w:tc>
        <w:tc>
          <w:tcPr>
            <w:tcW w:type="dxa" w:w="8131"/>
            <w:tcBorders>
              <w:top w:val="single" w:color="C9D1DE" w:sz="4"/>
              <w:left w:val="single" w:color="C9D1DE" w:sz="4"/>
              <w:bottom w:val="single" w:color="C9D1DE" w:sz="4"/>
              <w:right w:val="single" w:color="C9D1DE" w:sz="4"/>
            </w:tcBorders>
            <w:shd w:fill="0B2A63" w:color="auto" w:val="clear"/>
            <w:tcMar>
              <w:top w:type="dxa" w:w="60"/>
              <w:left w:type="dxa" w:w="100"/>
              <w:bottom w:type="dxa" w:w="60"/>
              <w:right w:type="dxa" w:w="100"/>
            </w:tcMar>
          </w:tcPr>
          <w:p>
            <w:pPr>
              <w:spacing w:after="0"/>
            </w:pPr>
            <w:r>
              <w:rPr>
                <w:b/>
                <w:bCs/>
                <w:color w:val="FFFFFF"/>
                <w:sz w:val="18"/>
                <w:szCs w:val="18"/>
              </w:rPr>
              <w:t xml:space="preserve">Arti</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BPS</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Badan Pusat Statistik</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PIHPS</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Pusat Informasi Harga Pangan Strategis Nasional (BI)</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Bapanas</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Badan Pangan Nasional</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SP2KP</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Sistem Pemantauan Pasar dan Kebutuhan Pokok (Kemendag)</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TPIP / TPID</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Tim Pengendalian Inflasi Pusat / Daerah</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DMO</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Domestic market obligation (batubara untuk kebutuhan dalam negeri, dengan batas harga untuk listrik)</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HBA</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Harga Batubara Acuan yang ditetapkan ESDM</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TEPSDA</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Token Efek Berbasis Penerimaan SDA (usulan kajian utama)</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Impuls fiskal</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Perubahan sikap fiskal yang menambah permintaan, dalam % PDB</w:t>
            </w:r>
          </w:p>
        </w:tc>
      </w:tr>
      <w:tr>
        <w:trPr>
          <w:cantSplit/>
        </w:trPr>
        <w:tc>
          <w:tcPr>
            <w:tcW w:type="dxa" w:w="1175"/>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bCs/>
                <w:sz w:val="18"/>
                <w:szCs w:val="18"/>
              </w:rPr>
              <w:t xml:space="preserve">Vintage</w:t>
            </w:r>
          </w:p>
        </w:tc>
        <w:tc>
          <w:tcPr>
            <w:tcW w:type="dxa" w:w="8131"/>
            <w:tcBorders>
              <w:top w:val="single" w:color="C9D1DE" w:sz="4"/>
              <w:left w:val="single" w:color="C9D1DE" w:sz="4"/>
              <w:bottom w:val="single" w:color="C9D1DE" w:sz="4"/>
              <w:right w:val="single" w:color="C9D1DE" w:sz="4"/>
            </w:tcBorders>
            <w:tcMar>
              <w:top w:type="dxa" w:w="60"/>
              <w:left w:type="dxa" w:w="100"/>
              <w:bottom w:type="dxa" w:w="60"/>
              <w:right w:type="dxa" w:w="100"/>
            </w:tcMar>
          </w:tcPr>
          <w:p>
            <w:pPr>
              <w:spacing w:after="0"/>
            </w:pPr>
            <w:r>
              <w:rPr>
                <w:b w:val="false"/>
                <w:bCs w:val="false"/>
                <w:sz w:val="18"/>
                <w:szCs w:val="18"/>
              </w:rPr>
              <w:t xml:space="preserve">Versi data sebagaimana dirilis pada tanggal tertentu, sebelum revisi</w:t>
            </w:r>
          </w:p>
        </w:tc>
      </w:tr>
    </w:tbl>
    <w:p>
      <w:pPr>
        <w:spacing w:after="120"/>
      </w:pP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499"/>
        <w:sz w:val="16"/>
        <w:szCs w:val="16"/>
      </w:rPr>
      <w:t xml:space="preserve">Pemantau Inflasi NRF · Draf untuk diskusi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6"/>
        <w:sz w:val="21"/>
        <w:szCs w:val="21"/>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Georgia" w:cs="Georgia" w:eastAsia="Georgia" w:hAnsi="Georgia"/>
      <w:b/>
      <w:bCs/>
      <w:color w:val="0B2A63"/>
      <w:sz w:val="56"/>
      <w:szCs w:val="56"/>
    </w:rPr>
  </w:style>
  <w:style w:type="paragraph" w:styleId="Heading1">
    <w:name w:val="Heading 1"/>
    <w:basedOn w:val="Normal"/>
    <w:next w:val="Normal"/>
    <w:qFormat/>
    <w:pPr>
      <w:pBdr>
        <w:top w:val="single" w:color="0B2A63" w:sz="12" w:space="8"/>
      </w:pBdr>
      <w:spacing w:after="160" w:before="400"/>
      <w:outlineLvl w:val="0"/>
    </w:pPr>
    <w:rPr>
      <w:rFonts w:ascii="Georgia" w:cs="Georgia" w:eastAsia="Georgia" w:hAnsi="Georgia"/>
      <w:b/>
      <w:bCs/>
      <w:color w:val="0B2A63"/>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6FD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Pemantau Inflasi NRF</dc:title>
  <dc:creator>Komite Pengarah NRF</dc:creator>
  <dc:description>Cara memantau dan mengevaluasi dampak inflasi Natural Resource Fund, serta rancangan platform pemantauannya</dc:description>
  <cp:lastModifiedBy>Un-named</cp:lastModifiedBy>
  <cp:revision>1</cp:revision>
  <dcterms:created xsi:type="dcterms:W3CDTF">2026-10-08T05:52:45.861Z</dcterms:created>
  <dcterms:modified xsi:type="dcterms:W3CDTF">2026-10-08T05:52:45.862Z</dcterms:modified>
</cp:coreProperties>
</file>

<file path=docProps/custom.xml><?xml version="1.0" encoding="utf-8"?>
<Properties xmlns="http://schemas.openxmlformats.org/officeDocument/2006/custom-properties" xmlns:vt="http://schemas.openxmlformats.org/officeDocument/2006/docPropsVTypes"/>
</file>