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05EB8"/>
          <w:spacing w:val="40"/>
          <w:sz w:val="22"/>
          <w:szCs w:val="22"/>
        </w:rPr>
        <w:t xml:space="preserve">KAJIAN INTERNAL · DRAF UNTUK DISKUSI</w:t>
      </w:r>
    </w:p>
    <w:p>
      <w:pPr>
        <w:spacing w:after="300"/>
      </w:pPr>
      <w:r>
        <w:rPr>
          <w:b/>
          <w:bCs/>
          <w:color w:val="00338D"/>
          <w:sz w:val="64"/>
          <w:szCs w:val="64"/>
        </w:rPr>
        <w:t xml:space="preserve">Dari Investor ke Platform Industri</w:t>
      </w:r>
    </w:p>
    <w:p>
      <w:pPr>
        <w:spacing w:after="600"/>
      </w:pPr>
      <w:r>
        <w:rPr>
          <w:color w:val="00338D"/>
          <w:sz w:val="40"/>
          <w:szCs w:val="40"/>
        </w:rPr>
        <w:t xml:space="preserve">Agenda Transformasi Terpadu Danantara</w:t>
      </w:r>
    </w:p>
    <w:p>
      <w:pPr>
        <w:pBdr>
          <w:bottom w:val="single" w:color="00338D" w:sz="18" w:space="6"/>
        </w:pBdr>
        <w:spacing w:after="300"/>
      </w:pPr>
    </w:p>
    <w:p>
      <w:pPr>
        <w:spacing w:after="120"/>
      </w:pPr>
      <w:r>
        <w:rPr>
          <w:color w:val="1A1A1A"/>
          <w:sz w:val="24"/>
          <w:szCs w:val="24"/>
        </w:rPr>
        <w:t xml:space="preserve">Sintesis empat kajian: tata kelola dan arm Industri Strategis, studi kinerja, skema DOCK-UP, dan Platform Kapabilitas Industri Nasional</w:t>
      </w:r>
    </w:p>
    <w:p>
      <w:pPr>
        <w:spacing w:after="120"/>
      </w:pPr>
      <w:r>
        <w:rPr>
          <w:color w:val="555555"/>
          <w:sz w:val="24"/>
          <w:szCs w:val="24"/>
        </w:rPr>
        <w:t xml:space="preserve">Oktober 2026</w:t>
      </w:r>
    </w:p>
    <w:p>
      <w:pPr>
        <w:spacing w:before="2400"/>
      </w:pPr>
      <w:r>
        <w:rPr>
          <w:i/>
          <w:iCs/>
          <w:color w:val="555555"/>
          <w:sz w:val="18"/>
          <w:szCs w:val="18"/>
        </w:rPr>
        <w:t xml:space="preserve">Dokumen ini adalah kajian dan rancangan untuk diskusi manajemen. Bukan audit kepatuhan, opini valuasi, rating resmi, pengesahan struktur, penetapan jabatan atau otorisasi pembiayaan.</w:t>
      </w:r>
    </w:p>
    <w:p>
      <w:r>
        <w:br w:type="page"/>
      </w:r>
    </w:p>
    <w:p>
      <w:pPr>
        <w:spacing w:after="200"/>
      </w:pPr>
      <w:r>
        <w:rPr>
          <w:b/>
          <w:bCs/>
          <w:color w:val="00338D"/>
          <w:sz w:val="36"/>
          <w:szCs w:val="36"/>
        </w:rPr>
        <w:t xml:space="preserve">Daftar Isi</w:t>
      </w:r>
    </w:p>
    <w:sdt>
      <w:sdtPr>
        <w:alias w:val="Daftar Isi"/>
      </w:sdtPr>
      <w:sdtContent>
        <w:p>
          <w:pPr>
            <w:pStyle w:val="TOC1"/>
            <w:tabs>
              <w:tab w:val="right" w:pos="9638" w:leader="dot"/>
            </w:tabs>
          </w:pPr>
          <w:r>
            <w:fldChar w:fldCharType="begin" w:dirty="true"/>
            <w:instrText xml:space="preserve">TOC \h \o "1-2"</w:instrText>
            <w:fldChar w:fldCharType="separate"/>
          </w:r>
          <w:hyperlink w:history="1" w:anchor="_Toc1">
            <w:r>
              <w:t xml:space="preserve">Ringkasan Eksekutif</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Lima temuan utama</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Agenda transformasi: enam pilar</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Keputusan yang diminta sekarang</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90 hari pertama</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1. Mandat, Pertanyaan Kajian dan Metode</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1.1 Tiga mandat Danantara</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1.2 Pertanyaan kajian</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1.3 Sumber kajian</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1.4 Disiplin bukti</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1.5 Batas kajian</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2. Diagnosis: Posisi Danantara Saat Ini</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2.1 Mandat dan arah strategis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2.2 Evaluasi per sektor prioritas</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2.3 Mengapa investasi pasar publik tidak cukup</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2.4 Apa yang dibuktikan oleh bukti saat ini</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2.5 Empat akar masalah</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3. Diagnosis Tata Kelola dan Kesiapan Eksekusi</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3.1 Fondasi Good Governance</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3.2 Kesiapan mengeksekusi 40 proyek</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3.3 Mutu data portofolio</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3.4 Pelajaran kelembagaan internasional</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4. Kondisi Target dan Arsitektur Portofolio</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4.1 Definisi kondisi target</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4.2 Lima jenis nilai</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4.3 Arsitektur portofolio</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4.4 Logika perubahan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4.5 Hasil yang diharapkan</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5. Organisasi dan Hak Keputusan</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5.1 Empat pilihan organisasi</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5.2 Menyelaraskan NITO dengan Pilihan B</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5.3 Mandat dan struktur unit</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5.4 Hubungan kerja dengan arm dan fungsi kontrol</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5.5 Jalur hukum Wakil Kepala</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5.6 Gerbang keputusan proyek P0–P6</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5.7 Peta kewenangan dan RASCI</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6. Sistem Manajemen Kinerja</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6.1 Lima tahap modal</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6.2 Tiga scorecard dan 39 metrik hasil</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6.3 Ukuran kapabilitas tambahan untuk platform industri</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6.4 Aturan penilaian</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6.5 Benchmark</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6.6 Atribusi dan kontrol hitung ganda</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6.7 Pengungkapan dan insentif</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7. Mesin Permintaan: Proyek Anchor</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7.1 Empat proyek anchor</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7.2 Satu skema untuk semua proyek anchor</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7.3 Menghubungkan proyek anchor dengan register 40 proyek</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7.4 Klaster industri strategis</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8. Membangun Pemasok: Skema DOCK-UP</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8.1 Masalah: permintaan ada, pemasok belum</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8.2 Bahasa bersama: TRL dan MRL</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8.3 Diagnosis UKM pada dua skala</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8.4 Empat elemen DOCK-UP</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8.5 Gerbang kesiapan pemasok S1–S4</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8.6 Dua jalur melalui DOCK-UP</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8.7 Ekonomi DOCK-UP</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8.8 Teknologi dan asesmen</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8.9 Perluasan ke proyek anchor lain</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9. Kasus Pemulihan: BUMN Konstruksi</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9.1 Masalah utama</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9.2 Estimasi kinerja keuangan 2025</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9.3 Penyebab utama</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9.4 Model bisnis saat ini vs model yang seharusnya</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9.5 Aset yang menjadi beban</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9.6 Arah transformasi</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9.7 Ukuran keberhasilan pemulihan</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9.8 Peran BUMN Konstruksi dalam platform industri</w:t>
            </w:r>
            <w:r>
              <w:tab/>
            </w:r>
            <w:r>
              <w:fldChar w:fldCharType="begin" w:dirty="true"/>
              <w:instrText xml:space="preserve">PAGEREF _Toc68 \h</w:instrText>
              <w:fldChar w:fldCharType="separate"/>
              <w:fldChar w:fldCharType="end"/>
            </w:r>
          </w:hyperlink>
        </w:p>
        <w:p>
          <w:pPr>
            <w:pStyle w:val="TOC1"/>
            <w:tabs>
              <w:tab w:val="right" w:pos="9638" w:leader="dot"/>
            </w:tabs>
          </w:pPr>
          <w:hyperlink w:history="1" w:anchor="_Toc69">
            <w:r>
              <w:t xml:space="preserve">10. Tulang Punggung Data dan AI</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10.1 Target operating model</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10.2 Agen AI prioritas</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10.3 Master data sebagai fondasi bersama</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10.4 Arsitektur hub-and-spoke</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10.5 Peta jalan dan sumber daya</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10.6 Tata kelola AI dan pengukuran manfaat</w:t>
            </w:r>
            <w:r>
              <w:tab/>
            </w:r>
            <w:r>
              <w:fldChar w:fldCharType="begin" w:dirty="true"/>
              <w:instrText xml:space="preserve">PAGEREF _Toc75 \h</w:instrText>
              <w:fldChar w:fldCharType="separate"/>
              <w:fldChar w:fldCharType="end"/>
            </w:r>
          </w:hyperlink>
        </w:p>
        <w:p>
          <w:pPr>
            <w:pStyle w:val="TOC1"/>
            <w:tabs>
              <w:tab w:val="right" w:pos="9638" w:leader="dot"/>
            </w:tabs>
          </w:pPr>
          <w:hyperlink w:history="1" w:anchor="_Toc76">
            <w:r>
              <w:t xml:space="preserve">11. Pembiayaan, Risiko Fiskal dan Uji Stres</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11.1 Pembiayaan yang mengikuti kesiapan</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11.2 Dukungan publik harus eksplisit</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11.3 Koreksi asumsi pembiayaan dan hukum</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11.4 Uji stres</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12. Risiko Transformasi dan Pengaman</w:t>
            </w:r>
            <w:r>
              <w:tab/>
            </w:r>
            <w:r>
              <w:fldChar w:fldCharType="begin" w:dirty="true"/>
              <w:instrText xml:space="preserve">PAGEREF _Toc81 \h</w:instrText>
              <w:fldChar w:fldCharType="separate"/>
              <w:fldChar w:fldCharType="end"/>
            </w:r>
          </w:hyperlink>
        </w:p>
        <w:p>
          <w:pPr>
            <w:pStyle w:val="TOC1"/>
            <w:tabs>
              <w:tab w:val="right" w:pos="9638" w:leader="dot"/>
            </w:tabs>
          </w:pPr>
          <w:hyperlink w:history="1" w:anchor="_Toc82">
            <w:r>
              <w:t xml:space="preserve">13. Peta Jalan Terpadu</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13.1 Alur kerja dan tahapan</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13.2 Ketergantungan kritis</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13.3 Titik keputusan</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13.4 Kadens review</w:t>
            </w:r>
            <w:r>
              <w:tab/>
            </w:r>
            <w:r>
              <w:fldChar w:fldCharType="begin" w:dirty="true"/>
              <w:instrText xml:space="preserve">PAGEREF _Toc86 \h</w:instrText>
              <w:fldChar w:fldCharType="separate"/>
              <w:fldChar w:fldCharType="end"/>
            </w:r>
          </w:hyperlink>
        </w:p>
        <w:p>
          <w:pPr>
            <w:pStyle w:val="TOC1"/>
            <w:tabs>
              <w:tab w:val="right" w:pos="9638" w:leader="dot"/>
            </w:tabs>
          </w:pPr>
          <w:hyperlink w:history="1" w:anchor="_Toc87">
            <w:r>
              <w:t xml:space="preserve">14. Keputusan yang Diminta dan KPI Terpadu</w:t>
            </w:r>
            <w:r>
              <w:tab/>
            </w:r>
            <w:r>
              <w:fldChar w:fldCharType="begin" w:dirty="true"/>
              <w:instrText xml:space="preserve">PAGEREF _Toc87 \h</w:instrText>
              <w:fldChar w:fldCharType="separate"/>
              <w:fldChar w:fldCharType="end"/>
            </w:r>
          </w:hyperlink>
        </w:p>
        <w:p>
          <w:pPr>
            <w:pStyle w:val="TOC2"/>
            <w:tabs>
              <w:tab w:val="right" w:pos="9638" w:leader="dot"/>
            </w:tabs>
            <w:ind w:left="220"/>
          </w:pPr>
          <w:hyperlink w:history="1" w:anchor="_Toc88">
            <w:r>
              <w:t xml:space="preserve">14.1 Keputusan sekarang</w:t>
            </w:r>
            <w:r>
              <w:tab/>
            </w:r>
            <w:r>
              <w:fldChar w:fldCharType="begin" w:dirty="true"/>
              <w:instrText xml:space="preserve">PAGEREF _Toc88 \h</w:instrText>
              <w:fldChar w:fldCharType="separate"/>
              <w:fldChar w:fldCharType="end"/>
            </w:r>
          </w:hyperlink>
        </w:p>
        <w:p>
          <w:pPr>
            <w:pStyle w:val="TOC2"/>
            <w:tabs>
              <w:tab w:val="right" w:pos="9638" w:leader="dot"/>
            </w:tabs>
            <w:ind w:left="220"/>
          </w:pPr>
          <w:hyperlink w:history="1" w:anchor="_Toc89">
            <w:r>
              <w:t xml:space="preserve">14.2 Keputusan yang ditunda sampai ada bukti</w:t>
            </w:r>
            <w:r>
              <w:tab/>
            </w:r>
            <w:r>
              <w:fldChar w:fldCharType="begin" w:dirty="true"/>
              <w:instrText xml:space="preserve">PAGEREF _Toc89 \h</w:instrText>
              <w:fldChar w:fldCharType="separate"/>
              <w:fldChar w:fldCharType="end"/>
            </w:r>
          </w:hyperlink>
        </w:p>
        <w:p>
          <w:pPr>
            <w:pStyle w:val="TOC2"/>
            <w:tabs>
              <w:tab w:val="right" w:pos="9638" w:leader="dot"/>
            </w:tabs>
            <w:ind w:left="220"/>
          </w:pPr>
          <w:hyperlink w:history="1" w:anchor="_Toc90">
            <w:r>
              <w:t xml:space="preserve">14.3 Permintaan data pertama kepada manajemen</w:t>
            </w:r>
            <w:r>
              <w:tab/>
            </w:r>
            <w:r>
              <w:fldChar w:fldCharType="begin" w:dirty="true"/>
              <w:instrText xml:space="preserve">PAGEREF _Toc90 \h</w:instrText>
              <w:fldChar w:fldCharType="separate"/>
              <w:fldChar w:fldCharType="end"/>
            </w:r>
          </w:hyperlink>
        </w:p>
        <w:p>
          <w:pPr>
            <w:pStyle w:val="TOC2"/>
            <w:tabs>
              <w:tab w:val="right" w:pos="9638" w:leader="dot"/>
            </w:tabs>
            <w:ind w:left="220"/>
          </w:pPr>
          <w:hyperlink w:history="1" w:anchor="_Toc91">
            <w:r>
              <w:t xml:space="preserve">14.4 KPI terpadu tingkat pimpinan</w:t>
            </w:r>
            <w:r>
              <w:tab/>
            </w:r>
            <w:r>
              <w:fldChar w:fldCharType="begin" w:dirty="true"/>
              <w:instrText xml:space="preserve">PAGEREF _Toc91 \h</w:instrText>
              <w:fldChar w:fldCharType="separate"/>
              <w:fldChar w:fldCharType="end"/>
            </w:r>
          </w:hyperlink>
        </w:p>
        <w:p>
          <w:pPr>
            <w:pStyle w:val="TOC1"/>
            <w:tabs>
              <w:tab w:val="right" w:pos="9638" w:leader="dot"/>
            </w:tabs>
          </w:pPr>
          <w:hyperlink w:history="1" w:anchor="_Toc92">
            <w:r>
              <w:t xml:space="preserve">Lampiran</w:t>
            </w:r>
            <w:r>
              <w:tab/>
            </w:r>
            <w:r>
              <w:fldChar w:fldCharType="begin" w:dirty="true"/>
              <w:instrText xml:space="preserve">PAGEREF _Toc92 \h</w:instrText>
              <w:fldChar w:fldCharType="separate"/>
              <w:fldChar w:fldCharType="end"/>
            </w:r>
          </w:hyperlink>
        </w:p>
        <w:p>
          <w:pPr>
            <w:pStyle w:val="TOC2"/>
            <w:tabs>
              <w:tab w:val="right" w:pos="9638" w:leader="dot"/>
            </w:tabs>
            <w:ind w:left="220"/>
          </w:pPr>
          <w:hyperlink w:history="1" w:anchor="_Toc93">
            <w:r>
              <w:t xml:space="preserve">Lampiran A. Kamus metrik ringkas</w:t>
            </w:r>
            <w:r>
              <w:tab/>
            </w:r>
            <w:r>
              <w:fldChar w:fldCharType="begin" w:dirty="true"/>
              <w:instrText xml:space="preserve">PAGEREF _Toc93 \h</w:instrText>
              <w:fldChar w:fldCharType="separate"/>
              <w:fldChar w:fldCharType="end"/>
            </w:r>
          </w:hyperlink>
        </w:p>
        <w:p>
          <w:pPr>
            <w:pStyle w:val="TOC2"/>
            <w:tabs>
              <w:tab w:val="right" w:pos="9638" w:leader="dot"/>
            </w:tabs>
            <w:ind w:left="220"/>
          </w:pPr>
          <w:hyperlink w:history="1" w:anchor="_Toc94">
            <w:r>
              <w:t xml:space="preserve">Lampiran B. Dua sistem gerbang</w:t>
            </w:r>
            <w:r>
              <w:tab/>
            </w:r>
            <w:r>
              <w:fldChar w:fldCharType="begin" w:dirty="true"/>
              <w:instrText xml:space="preserve">PAGEREF _Toc94 \h</w:instrText>
              <w:fldChar w:fldCharType="separate"/>
              <w:fldChar w:fldCharType="end"/>
            </w:r>
          </w:hyperlink>
        </w:p>
        <w:p>
          <w:pPr>
            <w:pStyle w:val="TOC2"/>
            <w:tabs>
              <w:tab w:val="right" w:pos="9638" w:leader="dot"/>
            </w:tabs>
            <w:ind w:left="220"/>
          </w:pPr>
          <w:hyperlink w:history="1" w:anchor="_Toc95">
            <w:r>
              <w:t xml:space="preserve">Lampiran C. Daftar agen AI Fase 1</w:t>
            </w:r>
            <w:r>
              <w:tab/>
            </w:r>
            <w:r>
              <w:fldChar w:fldCharType="begin" w:dirty="true"/>
              <w:instrText xml:space="preserve">PAGEREF _Toc95 \h</w:instrText>
              <w:fldChar w:fldCharType="separate"/>
              <w:fldChar w:fldCharType="end"/>
            </w:r>
          </w:hyperlink>
        </w:p>
        <w:p>
          <w:pPr>
            <w:pStyle w:val="TOC2"/>
            <w:tabs>
              <w:tab w:val="right" w:pos="9638" w:leader="dot"/>
            </w:tabs>
            <w:ind w:left="220"/>
          </w:pPr>
          <w:hyperlink w:history="1" w:anchor="_Toc96">
            <w:r>
              <w:t xml:space="preserve">Lampiran D. Register sumber</w:t>
            </w:r>
            <w:r>
              <w:tab/>
            </w:r>
            <w:r>
              <w:fldChar w:fldCharType="begin" w:dirty="true"/>
              <w:instrText xml:space="preserve">PAGEREF _Toc96 \h</w:instrText>
              <w:fldChar w:fldCharType="separate"/>
              <w:fldChar w:fldCharType="end"/>
            </w:r>
          </w:hyperlink>
        </w:p>
        <w:p>
          <w:pPr>
            <w:pStyle w:val="TOC2"/>
            <w:tabs>
              <w:tab w:val="right" w:pos="9638" w:leader="dot"/>
            </w:tabs>
            <w:ind w:left="220"/>
          </w:pPr>
          <w:hyperlink w:history="1" w:anchor="_Toc97">
            <w:r>
              <w:t xml:space="preserve">Lampiran E. Isu rekonsiliasi antar dokumen</w:t>
            </w:r>
            <w:r>
              <w:tab/>
            </w:r>
            <w:r>
              <w:fldChar w:fldCharType="begin" w:dirty="true"/>
              <w:instrText xml:space="preserve">PAGEREF _Toc97 \h</w:instrText>
              <w:fldChar w:fldCharType="separate"/>
              <w:fldChar w:fldCharType="end"/>
            </w:r>
          </w:hyperlink>
        </w:p>
        <w:p>
          <w:r>
            <w:fldChar w:fldCharType="end"/>
          </w:r>
        </w:p>
      </w:sdtContent>
    </w:sdt>
    <w:p>
      <w:pPr>
        <w:spacing w:before="200"/>
      </w:pPr>
      <w:r>
        <w:rPr>
          <w:i/>
          <w:iCs/>
          <w:color w:val="555555"/>
          <w:sz w:val="18"/>
          <w:szCs w:val="18"/>
        </w:rPr>
        <w:t xml:space="preserve">Catatan: bila daftar isi kosong, klik kanan dan pilih Update Field di Microsoft Word.</w:t>
      </w:r>
    </w:p>
    <w:p>
      <w:pPr>
        <w:pStyle w:val="Heading1"/>
        <w:pageBreakBefore/>
      </w:pPr>
      <w:bookmarkStart w:name="_Toc1" w:id="1"/>
      <w:r>
        <w:t xml:space="preserve">Ringkasan Eksekutif</w:t>
      </w:r>
      <w:bookmarkEnd w:id="1"/>
    </w:p>
    <w:p>
      <w:pPr>
        <w:spacing w:after="140" w:line="300"/>
        <w:jc w:val="both"/>
      </w:pPr>
      <w:r>
        <w:t xml:space="preserve">Danantara dibentuk dengan tiga mandat yang saling terkait: menghasilkan imbal hasil investasi yang berkelanjutan, meningkatkan efisiensi dan pertumbuhan BUMN, serta mendorong pembangunan ekonomi dan industri tambahan. Kajian ini menyintesis empat kajian internal yang menelaah mandat tersebut dari sudut yang berbeda: tata kelola dan organisasi Industri Strategis [D1], kinerja investasi, BUMN dan pembangunan [D2], pengembangan pemasok UKM melalui skema DOCK-UP [D3], serta gagasan Danantara sebagai Platform Kapabilitas Industri Nasional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Tesis kajian</w:t>
            </w:r>
          </w:p>
          <w:p>
            <w:pPr>
              <w:spacing w:after="60" w:line="290"/>
            </w:pPr>
            <w:r>
              <w:rPr>
                <w:sz w:val="21"/>
                <w:szCs w:val="21"/>
              </w:rPr>
              <w:t xml:space="preserve">Danantara perlu bergeser dari </w:t>
            </w:r>
            <w:r>
              <w:rPr>
                <w:b/>
                <w:bCs/>
                <w:sz w:val="21"/>
                <w:szCs w:val="21"/>
              </w:rPr>
              <w:t xml:space="preserve">pengonsolidasi aset dan investor finansial</w:t>
            </w:r>
            <w:r>
              <w:rPr>
                <w:sz w:val="21"/>
                <w:szCs w:val="21"/>
              </w:rPr>
              <w:t xml:space="preserve"> menjadi </w:t>
            </w:r>
            <w:r>
              <w:rPr>
                <w:b/>
                <w:bCs/>
                <w:sz w:val="21"/>
                <w:szCs w:val="21"/>
              </w:rPr>
              <w:t xml:space="preserve">platform kapabilitas industri nasional</w:t>
            </w:r>
            <w:r>
              <w:rPr>
                <w:sz w:val="21"/>
                <w:szCs w:val="21"/>
              </w:rPr>
              <w:t xml:space="preserve">: proyek strategis menjadi mesin permintaan, skema DOCK-UP membangun pemasok dalam negeri, unit di tingkat BPI mengelola pelaksanaan lintas arm, dan tiga scorecard yang saling terhubung mengukur hasilnya.</w:t>
            </w:r>
          </w:p>
          <w:p>
            <w:pPr>
              <w:spacing w:after="60" w:line="290"/>
            </w:pPr>
            <w:r>
              <w:rPr>
                <w:sz w:val="21"/>
                <w:szCs w:val="21"/>
              </w:rPr>
              <w:t xml:space="preserve">Pergeseran ini tidak berarti meninggalkan disiplin investasi. Justru sebaliknya: setiap proyek strategis tetap memerlukan kasus finansial dan kasus ekonomi, dan setiap dukungan publik harus dikuantifikasi dan disetujui secara eksplisit.</w:t>
            </w:r>
          </w:p>
        </w:tc>
      </w:tr>
    </w:tbl>
    <w:p>
      <w:pPr>
        <w:pStyle w:val="Heading2"/>
      </w:pPr>
      <w:bookmarkStart w:name="_Toc2" w:id="2"/>
      <w:r>
        <w:t xml:space="preserve">Lima temuan utama</w:t>
      </w:r>
      <w:bookmarkEnd w:id="2"/>
    </w:p>
    <w:p>
      <w:pPr>
        <w:pStyle w:val="ListParagraph"/>
        <w:numPr>
          <w:ilvl w:val="0"/>
          <w:numId w:val="2"/>
        </w:numPr>
        <w:spacing w:after="80" w:line="290"/>
      </w:pPr>
      <w:r>
        <w:rPr>
          <w:b/>
          <w:bCs/>
        </w:rPr>
        <w:t xml:space="preserve">Fondasi kelembagaan dan akses pendanaan sudah terbukti, tetapi hasilnya belum dapat dinilai.</w:t>
      </w:r>
      <w:r>
        <w:t xml:space="preserve"> PP 10/2025 sebagaimana diubah PP 19/2026 memberi landasan tata kelola yang memadai, dan penerbitan obligasi DIM senilai USD1,5 miliar pada Juni 2026 (yield tertimbang 5,65%, spread rata-rata 33 bps, permintaan sekitar 3,07 kali) menunjukkan akses pasar. Namun imbal hasil portofolio disesuaikan risiko, nilai tambah BUMN yang dapat diatribusikan, dan dampak industri terealisasi belum dapat dinilai dari bukti publik [D1, D2].</w:t>
      </w:r>
    </w:p>
    <w:p>
      <w:pPr>
        <w:pStyle w:val="ListParagraph"/>
        <w:numPr>
          <w:ilvl w:val="0"/>
          <w:numId w:val="2"/>
        </w:numPr>
        <w:spacing w:after="80" w:line="290"/>
      </w:pPr>
      <w:r>
        <w:rPr>
          <w:b/>
          <w:bCs/>
        </w:rPr>
        <w:t xml:space="preserve">Implementasi masih didominasi konsolidasi aset dan pengelolaan return keuangan.</w:t>
      </w:r>
      <w:r>
        <w:t xml:space="preserve"> Pengembalian finansial dan optimalisasi BUMN sudah aktif dan relatif matang, sedangkan manufaktur maju, pengembangan pemasok industri dan kepemilikan teknologi menunjukkan kesenjangan besar atau belum terbukti [D4].</w:t>
      </w:r>
    </w:p>
    <w:p>
      <w:pPr>
        <w:pStyle w:val="ListParagraph"/>
        <w:numPr>
          <w:ilvl w:val="0"/>
          <w:numId w:val="2"/>
        </w:numPr>
        <w:spacing w:after="80" w:line="290"/>
      </w:pPr>
      <w:r>
        <w:rPr>
          <w:b/>
          <w:bCs/>
        </w:rPr>
        <w:t xml:space="preserve">Lapisan pengelolaan portofolio lintas arm belum ada.</w:t>
      </w:r>
      <w:r>
        <w:t xml:space="preserve"> Belum tersedia register terpadu yang menghubungkan 40 proyek strategis dengan pemimpin, tahap keputusan dan hasilnya. Angka investasi portofolio berselisih Rp18,9 triliun antara tabel ringkasan dan tabel rincian [D1].</w:t>
      </w:r>
    </w:p>
    <w:p>
      <w:pPr>
        <w:pStyle w:val="ListParagraph"/>
        <w:numPr>
          <w:ilvl w:val="0"/>
          <w:numId w:val="2"/>
        </w:numPr>
        <w:spacing w:after="80" w:line="290"/>
      </w:pPr>
      <w:r>
        <w:rPr>
          <w:b/>
          <w:bCs/>
        </w:rPr>
        <w:t xml:space="preserve">Permintaan sudah dijamin, tetapi basis pemasok belum siap.</w:t>
      </w:r>
      <w:r>
        <w:t xml:space="preserve"> UU 16/2012 Pasal 43 mensyaratkan minimum 85% imbal dagang dan 35% kandungan lokal/ofset untuk alpalhankam impor, dan proyek anchor seperti Giant Sea Wall, Program 3 Juta Rumah, industri maritim dan pertahanan menciptakan permintaan besar. Namun sebagian besar UKM tertahan di TRL 6–8 dan MRL 3–5: kaya prototipe, lemah produksi [D3, D4].</w:t>
      </w:r>
    </w:p>
    <w:p>
      <w:pPr>
        <w:pStyle w:val="ListParagraph"/>
        <w:numPr>
          <w:ilvl w:val="0"/>
          <w:numId w:val="2"/>
        </w:numPr>
        <w:spacing w:after="80" w:line="290"/>
      </w:pPr>
      <w:r>
        <w:rPr>
          <w:b/>
          <w:bCs/>
        </w:rPr>
        <w:t xml:space="preserve">BUMN Konstruksi adalah titik tekanan paling akut.</w:t>
      </w:r>
      <w:r>
        <w:t xml:space="preserve"> Estimasi kerugian 2025 empat BUMN Konstruksi sekitar Rp28 triliun, di tengah anggaran infrastruktur yang turun sekitar 45%. Model konglomerasi investasi infrastruktur yang dibiayai utang perlu diganti dengan model perusahaan konstruksi yang disiplin [D4]. Angka ini adalah estimasi dan harus diverifikasi dengan laporan keuangan teraudit.</w:t>
      </w:r>
    </w:p>
    <w:p>
      <w:pPr>
        <w:pStyle w:val="Heading2"/>
      </w:pPr>
      <w:bookmarkStart w:name="_Toc3" w:id="3"/>
      <w:r>
        <w:t xml:space="preserve">Agenda transformasi: enam pilar</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975"/>
        <w:gridCol w:w="1350"/>
      </w:tblGrid>
      <w:tr>
        <w:trPr>
          <w:tblHeader/>
        </w:trPr>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Pilar</w:t>
            </w:r>
          </w:p>
        </w:tc>
        <w:tc>
          <w:tcPr>
            <w:tcW w:type="dxa" w:w="597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Inti perubahan</w:t>
            </w:r>
          </w:p>
        </w:tc>
        <w:tc>
          <w:tcPr>
            <w:tcW w:type="dxa" w:w="135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Sumber</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 Tata kelola dan organisasi</w:t>
            </w:r>
          </w:p>
        </w:tc>
        <w:tc>
          <w:tcPr>
            <w:tcW w:type="dxa" w:w="59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Unit Industri Strategis dan Pelaksanaan Proyek di tingkat BPI (diposisikan sebagai NITO), satu pemimpin dan satu sponsor per proyek, pemisahan promotor dari kontrol, gerbang keputusan P0–P6</w:t>
            </w:r>
          </w:p>
        </w:tc>
        <w:tc>
          <w:tcPr>
            <w:tcW w:type="dxa" w:w="135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 D4</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2. Manajemen kinerja</w:t>
            </w:r>
          </w:p>
        </w:tc>
        <w:tc>
          <w:tcPr>
            <w:tcW w:type="dxa" w:w="59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Tiga scorecard terhubung (investasi, operasi BUMN, pembangunan), kelas bukti, jembatan saldo awal dan kinerja, kontrol hitung ganda</w:t>
            </w:r>
          </w:p>
        </w:tc>
        <w:tc>
          <w:tcPr>
            <w:tcW w:type="dxa" w:w="135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D2</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3. Mesin permintaan</w:t>
            </w:r>
          </w:p>
        </w:tc>
        <w:tc>
          <w:tcPr>
            <w:tcW w:type="dxa" w:w="59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Proyek anchor dan register 40 proyek dipetakan ke komponen yang dapat dipasok dalam negeri; permintaan BUMN diagregasi</w:t>
            </w:r>
          </w:p>
        </w:tc>
        <w:tc>
          <w:tcPr>
            <w:tcW w:type="dxa" w:w="135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D4, D1</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4. Pembangunan pemasok</w:t>
            </w:r>
          </w:p>
        </w:tc>
        <w:tc>
          <w:tcPr>
            <w:tcW w:type="dxa" w:w="59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DOCK-UP: Develop, Off-taker, Certification, Upgrading, dengan gerbang kesiapan S1–S4 berbasis TRL dan MRL yang diverifikasi independen</w:t>
            </w:r>
          </w:p>
        </w:tc>
        <w:tc>
          <w:tcPr>
            <w:tcW w:type="dxa" w:w="135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D3, D4</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5. Pemulihan BUMN Konstruksi</w:t>
            </w:r>
          </w:p>
        </w:tc>
        <w:tc>
          <w:tcPr>
            <w:tcW w:type="dxa" w:w="59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Fokus pada inti bisnis konstruksi, selektif pada proyek bermargin sehat, aset warisan dipisahkan, tata kelola profesional</w:t>
            </w:r>
          </w:p>
        </w:tc>
        <w:tc>
          <w:tcPr>
            <w:tcW w:type="dxa" w:w="135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D4, D2</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6. Tulang punggung data dan AI</w:t>
            </w:r>
          </w:p>
        </w:tc>
        <w:tc>
          <w:tcPr>
            <w:tcW w:type="dxa" w:w="59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Portfolio Control Tower, register dan master data bersama, sistem multi-agentic AI dengan human-in-the-loop, mulai dari BUMN Konstruksi</w:t>
            </w:r>
          </w:p>
        </w:tc>
        <w:tc>
          <w:tcPr>
            <w:tcW w:type="dxa" w:w="135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D4, D2</w:t>
            </w:r>
          </w:p>
        </w:tc>
      </w:tr>
    </w:tbl>
    <w:p>
      <w:pPr>
        <w:spacing w:after="120"/>
      </w:pPr>
    </w:p>
    <w:p>
      <w:pPr>
        <w:spacing w:after="140" w:line="300"/>
        <w:jc w:val="both"/>
      </w:pPr>
      <w:r>
        <w:t xml:space="preserve">Pembiayaan bertahap, pengelolaan risiko fiskal dan uji stres berfungsi sebagai pengaman lintas pilar (Bab 11 dan 12).</w:t>
      </w:r>
    </w:p>
    <w:p>
      <w:pPr>
        <w:pStyle w:val="Heading2"/>
      </w:pPr>
      <w:bookmarkStart w:name="_Toc4" w:id="4"/>
      <w:r>
        <w:t xml:space="preserve">Keputusan yang diminta sekarang</w:t>
      </w:r>
      <w:bookmarkEnd w:id="4"/>
    </w:p>
    <w:p>
      <w:pPr>
        <w:pStyle w:val="ListParagraph"/>
        <w:numPr>
          <w:ilvl w:val="0"/>
          <w:numId w:val="3"/>
        </w:numPr>
        <w:spacing w:after="80" w:line="290"/>
      </w:pPr>
      <w:r>
        <w:t xml:space="preserve">Menyetujui prinsip pembentukan fungsi Industri Strategis dan Pelaksanaan Proyek di tingkat BPI sebagai pemilik integrasi portofolio, dengan uji coba 90 hari pada kelompok proyek representatif [D1].</w:t>
      </w:r>
    </w:p>
    <w:p>
      <w:pPr>
        <w:pStyle w:val="ListParagraph"/>
        <w:numPr>
          <w:ilvl w:val="0"/>
          <w:numId w:val="3"/>
        </w:numPr>
        <w:spacing w:after="80" w:line="290"/>
      </w:pPr>
      <w:r>
        <w:t xml:space="preserve">Menetapkan tiga scorecard sebagai kerangka pelaporan kinerja Danantara, dimulai dengan register kepemilikan dan proyek, jembatan modal dan perimeter, serta kamus data [D2].</w:t>
      </w:r>
    </w:p>
    <w:p>
      <w:pPr>
        <w:pStyle w:val="ListParagraph"/>
        <w:numPr>
          <w:ilvl w:val="0"/>
          <w:numId w:val="3"/>
        </w:numPr>
        <w:spacing w:after="80" w:line="290"/>
      </w:pPr>
      <w:r>
        <w:t xml:space="preserve">Menetapkan DOCK-UP sebagai model standar partisipasi UKM, dikoordinasikan KKIP, dan memulai rintisan dengan satu integrator, 20–30 UKM dan 3–5 kelompok komponen [D3].</w:t>
      </w:r>
    </w:p>
    <w:p>
      <w:pPr>
        <w:pStyle w:val="ListParagraph"/>
        <w:numPr>
          <w:ilvl w:val="0"/>
          <w:numId w:val="3"/>
        </w:numPr>
        <w:spacing w:after="80" w:line="290"/>
      </w:pPr>
      <w:r>
        <w:t xml:space="preserve">Menugaskan diagnosis dan rencana pemulihan BUMN Konstruksi berbasis laporan keuangan teraudit FY2025, termasuk opsi pemisahan aset warisan [D4].</w:t>
      </w:r>
    </w:p>
    <w:p>
      <w:pPr>
        <w:pStyle w:val="ListParagraph"/>
        <w:numPr>
          <w:ilvl w:val="0"/>
          <w:numId w:val="3"/>
        </w:numPr>
        <w:spacing w:after="80" w:line="290"/>
      </w:pPr>
      <w:r>
        <w:t xml:space="preserve">Memulai MVP Portfolio Control Tower berbasis AI yang terintegrasi dengan ERP eksisting pada 2–3 proyek prioritas, dengan pengukuran manfaat bersih sejak awal [D4].</w:t>
      </w:r>
    </w:p>
    <w:p>
      <w:pPr>
        <w:spacing w:after="140" w:line="300"/>
        <w:jc w:val="both"/>
      </w:pPr>
      <w:r>
        <w:t xml:space="preserve">Keputusan yang lebih besar, yaitu jabatan Wakil Kepala formal, pembentukan holding atau badan hukum baru, kendaraan investasi untuk aset warisan, dan perluasan sistem AI ke seluruh BUMN, sebaiknya ditunda sampai bukti dari uji coba tersedia (Bab 14).</w:t>
      </w:r>
    </w:p>
    <w:p>
      <w:pPr>
        <w:pStyle w:val="Heading2"/>
      </w:pPr>
      <w:bookmarkStart w:name="_Toc5" w:id="5"/>
      <w:r>
        <w:t xml:space="preserve">90 hari pertama</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Periode</w:t>
            </w:r>
          </w:p>
        </w:tc>
        <w:tc>
          <w:tcPr>
            <w:tcW w:type="dxa" w:w="790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Hasil yang dapat diperiksa</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Hari 1–30</w:t>
            </w:r>
          </w:p>
        </w:tc>
        <w:tc>
          <w:tcPr>
            <w:tcW w:type="dxa" w:w="790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Register 40 proyek versi awal dan rekonsiliasi angka investasi; inventarisasi kewenangan dan kapasitas; piagam unit; kamus data dan tiga pernyataan mandat; desain rintisan DOCK-UP; fondasi data AI (integrasi ERP read-only)</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Hari 31–60</w:t>
            </w:r>
          </w:p>
        </w:tc>
        <w:tc>
          <w:tcPr>
            <w:tcW w:type="dxa" w:w="790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Review paralel dan paket keputusan tunggal; data BUMN eksposur besar dan proyek aktif; baseline TRL/MRL UKM rintisan; pengembangan enam agen AI prioritas</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Hari 61–90</w:t>
            </w:r>
          </w:p>
        </w:tc>
        <w:tc>
          <w:tcPr>
            <w:tcW w:type="dxa" w:w="790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Dashboard pertama yang direkonsiliasi dan review assurance; evaluasi uji coba unit; pilot AI pada 2–3 proyek; keputusan lanjutan berbasis bukti</w:t>
            </w:r>
          </w:p>
        </w:tc>
      </w:tr>
    </w:tbl>
    <w:p>
      <w:pPr>
        <w:spacing w:after="120"/>
      </w:pPr>
    </w:p>
    <w:p>
      <w:pPr>
        <w:pStyle w:val="Heading1"/>
        <w:pageBreakBefore/>
      </w:pPr>
      <w:bookmarkStart w:name="_Toc6" w:id="6"/>
      <w:r>
        <w:t xml:space="preserve">1. Mandat, Pertanyaan Kajian dan Metode</w:t>
      </w:r>
      <w:bookmarkEnd w:id="6"/>
    </w:p>
    <w:p>
      <w:pPr>
        <w:pStyle w:val="Heading2"/>
      </w:pPr>
      <w:bookmarkStart w:name="_Toc7" w:id="7"/>
      <w:r>
        <w:t xml:space="preserve">1.1 Tiga mandat Danantara</w:t>
      </w:r>
      <w:bookmarkEnd w:id="7"/>
    </w:p>
    <w:p>
      <w:pPr>
        <w:spacing w:after="140" w:line="300"/>
        <w:jc w:val="both"/>
      </w:pPr>
      <w:r>
        <w:t xml:space="preserve">Studi kinerja [D2] merumuskan tiga aliran kinerja yang menjadi kerangka seluruh kajian ini. Ketiganya adalah pertanyaan kinerja, bukan sekat hukum: proyek industri yang dibiayai DIM tetap memerlukan penilaian ekonomi, sedangkan proyek yang didukung DDMF tetap memerlukan keberlanjutan finansial.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662"/>
        <w:gridCol w:w="4049"/>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Aliran</w:t>
            </w:r>
          </w:p>
        </w:tc>
        <w:tc>
          <w:tcPr>
            <w:tcW w:type="dxa" w:w="366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Pertanyaan kinerja</w:t>
            </w:r>
          </w:p>
        </w:tc>
        <w:tc>
          <w:tcPr>
            <w:tcW w:type="dxa" w:w="404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Yang menentukan keberhasilan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Investasi</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Apakah modal yang ditempatkan menghasilkan imbal hasil yang cukup untuk risikonya?</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bersih di atas benchmark yang tepat, risiko dapat diterima, valuasi didukung pihak independen</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Operasi BUMN</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Apakah BUMN menjadi lebih produktif dan sehat karena intervensi Danantara?</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Peningkatan produktivitas riil dan economic profit, arus kas berkelanjutan, mutu layanan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Industrialisasi dan pembangunan</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Apakah tercipta kapabilitas industri tambahan yang kompetitif?</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Output kompetitif tambahan, nilai tambah domestik, kemampuan teknologi, lapangan kerja berkelanjutan</w:t>
            </w:r>
          </w:p>
        </w:tc>
      </w:tr>
    </w:tbl>
    <w:p>
      <w:pPr>
        <w:spacing w:after="120"/>
      </w:pPr>
    </w:p>
    <w:p>
      <w:pPr>
        <w:pStyle w:val="Heading2"/>
      </w:pPr>
      <w:bookmarkStart w:name="_Toc8" w:id="8"/>
      <w:r>
        <w:t xml:space="preserve">1.2 Pertanyaan kajian</w:t>
      </w:r>
      <w:bookmarkEnd w:id="8"/>
    </w:p>
    <w:p>
      <w:pPr>
        <w:spacing w:after="140" w:line="300"/>
        <w:jc w:val="both"/>
      </w:pPr>
      <w:r>
        <w:rPr>
          <w:b/>
          <w:bCs/>
        </w:rPr>
        <w:t xml:space="preserve">Pertanyaan utama:</w:t>
      </w:r>
      <w:r>
        <w:t xml:space="preserve"> bagaimana Danantara dapat mengubah modal negara, kapasitas pembiayaan dan portofolio BUMN menjadi imbal hasil berkelanjutan sekaligus kapabilitas industri nasional yang dapat diverifikasi?</w:t>
      </w:r>
    </w:p>
    <w:p>
      <w:pPr>
        <w:spacing w:after="140" w:line="300"/>
        <w:jc w:val="both"/>
      </w:pPr>
      <w:r>
        <w:t xml:space="preserve">Pertanyaan turunan:</w:t>
      </w:r>
    </w:p>
    <w:p>
      <w:pPr>
        <w:pStyle w:val="ListParagraph"/>
        <w:numPr>
          <w:ilvl w:val="0"/>
          <w:numId w:val="4"/>
        </w:numPr>
        <w:spacing w:after="80" w:line="290"/>
      </w:pPr>
      <w:r>
        <w:t xml:space="preserve">Di mana posisi Danantara saat ini pada spektrum antara investor finansial dan penggerak industrialisasi? (Bab 2–3)</w:t>
      </w:r>
    </w:p>
    <w:p>
      <w:pPr>
        <w:pStyle w:val="ListParagraph"/>
        <w:numPr>
          <w:ilvl w:val="0"/>
          <w:numId w:val="4"/>
        </w:numPr>
        <w:spacing w:after="80" w:line="290"/>
      </w:pPr>
      <w:r>
        <w:t xml:space="preserve">Seperti apa kondisi target, arsitektur portofolio dan model organisasi yang diperlukan? (Bab 4–5)</w:t>
      </w:r>
    </w:p>
    <w:p>
      <w:pPr>
        <w:pStyle w:val="ListParagraph"/>
        <w:numPr>
          <w:ilvl w:val="0"/>
          <w:numId w:val="4"/>
        </w:numPr>
        <w:spacing w:after="80" w:line="290"/>
      </w:pPr>
      <w:r>
        <w:t xml:space="preserve">Bagaimana kinerja diukur secara adil dan dapat diverifikasi? (Bab 6)</w:t>
      </w:r>
    </w:p>
    <w:p>
      <w:pPr>
        <w:pStyle w:val="ListParagraph"/>
        <w:numPr>
          <w:ilvl w:val="0"/>
          <w:numId w:val="4"/>
        </w:numPr>
        <w:spacing w:after="80" w:line="290"/>
      </w:pPr>
      <w:r>
        <w:t xml:space="preserve">Bagaimana proyek strategis dimanfaatkan sebagai mesin permintaan untuk membangun pemasok dalam negeri? (Bab 7–8)</w:t>
      </w:r>
    </w:p>
    <w:p>
      <w:pPr>
        <w:pStyle w:val="ListParagraph"/>
        <w:numPr>
          <w:ilvl w:val="0"/>
          <w:numId w:val="4"/>
        </w:numPr>
        <w:spacing w:after="80" w:line="290"/>
      </w:pPr>
      <w:r>
        <w:t xml:space="preserve">Bagaimana memulihkan BUMN Konstruksi dan membangun tulang punggung data serta AI? (Bab 9–10)</w:t>
      </w:r>
    </w:p>
    <w:p>
      <w:pPr>
        <w:pStyle w:val="ListParagraph"/>
        <w:numPr>
          <w:ilvl w:val="0"/>
          <w:numId w:val="4"/>
        </w:numPr>
        <w:spacing w:after="80" w:line="290"/>
      </w:pPr>
      <w:r>
        <w:t xml:space="preserve">Pengaman pembiayaan, risiko dan urutan implementasi apa yang diperlukan? (Bab 11–14)</w:t>
      </w:r>
    </w:p>
    <w:p>
      <w:pPr>
        <w:pStyle w:val="Heading2"/>
      </w:pPr>
      <w:bookmarkStart w:name="_Toc9" w:id="9"/>
      <w:r>
        <w:t xml:space="preserve">1.3 Sumber kajian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240"/>
        <w:gridCol w:w="1542"/>
        <w:gridCol w:w="3085"/>
      </w:tblGrid>
      <w:tr>
        <w:trPr>
          <w:tblHeader/>
        </w:trPr>
        <w:tc>
          <w:tcPr>
            <w:tcW w:type="dxa" w:w="77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Kode</w:t>
            </w:r>
          </w:p>
        </w:tc>
        <w:tc>
          <w:tcPr>
            <w:tcW w:type="dxa" w:w="424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Dokumen</w:t>
            </w:r>
          </w:p>
        </w:tc>
        <w:tc>
          <w:tcPr>
            <w:tcW w:type="dxa" w:w="154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Tanggal</w:t>
            </w:r>
          </w:p>
        </w:tc>
        <w:tc>
          <w:tcPr>
            <w:tcW w:type="dxa" w:w="308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Fokus</w:t>
            </w:r>
          </w:p>
        </w:tc>
      </w:tr>
      <w:tr>
        <w:trPr>
          <w:cantSplit/>
        </w:trPr>
        <w:tc>
          <w:tcPr>
            <w:tcW w:type="dxa" w:w="77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D1</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Evaluasi Tata Kelola Danantara dan Organisasi Industri Strategis: percepatan 40 proyek strategis dan opsi Wakil Kepala Badan Pelaksana</w:t>
            </w:r>
          </w:p>
        </w:tc>
        <w:tc>
          <w:tcPr>
            <w:tcW w:type="dxa" w:w="15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2 Oktober 2026</w:t>
            </w:r>
          </w:p>
        </w:tc>
        <w:tc>
          <w:tcPr>
            <w:tcW w:type="dxa" w:w="308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Fondasi tata kelola, pilihan organisasi, jalur hukum, gerbang proyek, peta kewenangan, RASCI</w:t>
            </w:r>
          </w:p>
        </w:tc>
      </w:tr>
      <w:tr>
        <w:trPr>
          <w:cantSplit/>
        </w:trPr>
        <w:tc>
          <w:tcPr>
            <w:tcW w:type="dxa" w:w="77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D2</w:t>
            </w:r>
          </w:p>
        </w:tc>
        <w:tc>
          <w:tcPr>
            <w:tcW w:type="dxa" w:w="42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Studi Kinerja Danantara: investasi strategis dan menguntungkan, efisiensi operasi, pembangunan ekonomi tambahan</w:t>
            </w:r>
          </w:p>
        </w:tc>
        <w:tc>
          <w:tcPr>
            <w:tcW w:type="dxa" w:w="154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6 Oktober 2026</w:t>
            </w:r>
          </w:p>
        </w:tc>
        <w:tc>
          <w:tcPr>
            <w:tcW w:type="dxa" w:w="308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Penilaian bukti publik, kelas bukti, 45 metrik, sistem penilaian, atribusi, uji stres</w:t>
            </w:r>
          </w:p>
        </w:tc>
      </w:tr>
      <w:tr>
        <w:trPr>
          <w:cantSplit/>
        </w:trPr>
        <w:tc>
          <w:tcPr>
            <w:tcW w:type="dxa" w:w="77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D3</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DOCK-UP: Membangun Pemasok UKM Siap Produksi untuk Industri Maritim dan Pertahanan</w:t>
            </w:r>
          </w:p>
        </w:tc>
        <w:tc>
          <w:tcPr>
            <w:tcW w:type="dxa" w:w="15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Oktober 2026</w:t>
            </w:r>
          </w:p>
        </w:tc>
        <w:tc>
          <w:tcPr>
            <w:tcW w:type="dxa" w:w="308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TRL/MRL, diagnosis UKM, gerbang G1–G4, dua jalur, pembiayaan, asesmen</w:t>
            </w:r>
          </w:p>
        </w:tc>
      </w:tr>
      <w:tr>
        <w:trPr>
          <w:cantSplit/>
        </w:trPr>
        <w:tc>
          <w:tcPr>
            <w:tcW w:type="dxa" w:w="77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D4</w:t>
            </w:r>
          </w:p>
        </w:tc>
        <w:tc>
          <w:tcPr>
            <w:tcW w:type="dxa" w:w="42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Danantara: Platform Kapabilitas Industri Nasional (infografik 8 halaman)</w:t>
            </w:r>
          </w:p>
        </w:tc>
        <w:tc>
          <w:tcPr>
            <w:tcW w:type="dxa" w:w="154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Tanpa tanggal (berkas 07102601)</w:t>
            </w:r>
          </w:p>
        </w:tc>
        <w:tc>
          <w:tcPr>
            <w:tcW w:type="dxa" w:w="308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Diagnosis sektor, arsitektur portofolio, proyek anchor, BUMN Konstruksi, multi-agentic AI</w:t>
            </w:r>
          </w:p>
        </w:tc>
      </w:tr>
    </w:tbl>
    <w:p>
      <w:pPr>
        <w:spacing w:after="120"/>
      </w:pPr>
    </w:p>
    <w:p>
      <w:pPr>
        <w:spacing w:after="140" w:line="300"/>
        <w:jc w:val="both"/>
      </w:pPr>
      <w:r>
        <w:t xml:space="preserve">Rujukan publik yang digunakan oleh masing-masing dokumen (peraturan, laporan perusahaan, pedoman internasional) dicantumkan kembali dalam Lampiran D dengan kode aslinya, misalnya R1–R19 untuk D1 dan S01–S31 untuk D2.</w:t>
      </w:r>
    </w:p>
    <w:p>
      <w:pPr>
        <w:pStyle w:val="Heading2"/>
      </w:pPr>
      <w:bookmarkStart w:name="_Toc10" w:id="10"/>
      <w:r>
        <w:t xml:space="preserve">1.4 Disiplin bukti</w:t>
      </w:r>
      <w:bookmarkEnd w:id="10"/>
    </w:p>
    <w:p>
      <w:pPr>
        <w:spacing w:after="140" w:line="300"/>
        <w:jc w:val="both"/>
      </w:pPr>
      <w:r>
        <w:t xml:space="preserve">Kajian ini mengadopsi kelas bukti dari D2 untuk setiap angka dan klaim. Kelas bukti menentukan cara angka boleh dibaca, bukan apakah angka tersebut benar.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373"/>
        <w:gridCol w:w="5302"/>
      </w:tblGrid>
      <w:tr>
        <w:trPr>
          <w:tblHeader/>
        </w:trPr>
        <w:tc>
          <w:tcPr>
            <w:tcW w:type="dxa" w:w="9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Kelas</w:t>
            </w:r>
          </w:p>
        </w:tc>
        <w:tc>
          <w:tcPr>
            <w:tcW w:type="dxa" w:w="337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Arti</w:t>
            </w:r>
          </w:p>
        </w:tc>
        <w:tc>
          <w:tcPr>
            <w:tcW w:type="dxa" w:w="530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Interpretasi yang diizinkan</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w:t>
            </w:r>
          </w:p>
        </w:tc>
        <w:tc>
          <w:tcPr>
            <w:tcW w:type="dxa" w:w="337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Diaudit atau dijamin independen</w:t>
            </w:r>
          </w:p>
        </w:tc>
        <w:tc>
          <w:tcPr>
            <w:tcW w:type="dxa" w:w="53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Keyakinan tertinggi bila lingkup, periode dan definisi metrik cocok</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w:t>
            </w:r>
          </w:p>
        </w:tc>
        <w:tc>
          <w:tcPr>
            <w:tcW w:type="dxa" w:w="337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Observasi resmi yang dilaporkan</w:t>
            </w:r>
          </w:p>
        </w:tc>
        <w:tc>
          <w:tcPr>
            <w:tcW w:type="dxa" w:w="53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Dapat dipakai dengan batasan assurance yang eksplisit</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w:t>
            </w:r>
          </w:p>
        </w:tc>
        <w:tc>
          <w:tcPr>
            <w:tcW w:type="dxa" w:w="337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Pengumuman, proyeksi atau komitmen</w:t>
            </w:r>
          </w:p>
        </w:tc>
        <w:tc>
          <w:tcPr>
            <w:tcW w:type="dxa" w:w="53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Bukti niat atau milestone, bukan bukti laba, produksi atau dampak terealisasi</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w:t>
            </w:r>
          </w:p>
        </w:tc>
        <w:tc>
          <w:tcPr>
            <w:tcW w:type="dxa" w:w="337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Ilustrasi atau asumsi analis</w:t>
            </w:r>
          </w:p>
        </w:tc>
        <w:tc>
          <w:tcPr>
            <w:tcW w:type="dxa" w:w="53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Hanya untuk desain metode atau analisis sensitivitas</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NR</w:t>
            </w:r>
          </w:p>
        </w:tc>
        <w:tc>
          <w:tcPr>
            <w:tcW w:type="dxa" w:w="337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Tidak dapat dinilai</w:t>
            </w:r>
          </w:p>
        </w:tc>
        <w:tc>
          <w:tcPr>
            <w:tcW w:type="dxa" w:w="53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Data hilang, tidak kompatibel atau tanpa benchmark; berbeda dari nol dan dari kegagalan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Aturan utama</w:t>
            </w:r>
          </w:p>
          <w:p>
            <w:pPr>
              <w:spacing w:after="60" w:line="290"/>
            </w:pPr>
            <w:r>
              <w:rPr>
                <w:sz w:val="21"/>
                <w:szCs w:val="21"/>
              </w:rPr>
              <w:t xml:space="preserve">Kesenjangan pengungkapan tidak boleh diterjemahkan menjadi asumsi kerugian, dan pengumuman tidak boleh diterjemahkan menjadi hasil. Angka dari D4, misalnya estimasi kerugian BUMN Konstruksi dan rencana investasi 2026, diperlakukan sebagai kelas C sampai dikonfirmasi dengan sumber resmi atau teraudit.</w:t>
            </w:r>
          </w:p>
        </w:tc>
      </w:tr>
    </w:tbl>
    <w:p>
      <w:pPr>
        <w:pStyle w:val="Heading2"/>
      </w:pPr>
      <w:bookmarkStart w:name="_Toc11" w:id="11"/>
      <w:r>
        <w:t xml:space="preserve">1.5 Batas kajian</w:t>
      </w:r>
      <w:bookmarkEnd w:id="11"/>
    </w:p>
    <w:p>
      <w:pPr>
        <w:pStyle w:val="ListParagraph"/>
        <w:numPr>
          <w:ilvl w:val="0"/>
          <w:numId w:val="5"/>
        </w:numPr>
        <w:spacing w:after="80" w:line="290"/>
      </w:pPr>
      <w:r>
        <w:t xml:space="preserve">Kajian ini adalah sintesis analitis atas empat dokumen internal dan rujukan publiknya. Tidak ada audit kepatuhan, pemeriksaan berkas proyek, atau wawancara manajemen yang dilakukan.</w:t>
      </w:r>
    </w:p>
    <w:p>
      <w:pPr>
        <w:pStyle w:val="ListParagraph"/>
        <w:numPr>
          <w:ilvl w:val="0"/>
          <w:numId w:val="5"/>
        </w:numPr>
        <w:spacing w:after="80" w:line="290"/>
      </w:pPr>
      <w:r>
        <w:t xml:space="preserve">Usulan desain organisasi, bobot, ambang batas, jadwal dan RASCI adalah rekomendasi untuk diskusi, bukan pemberian kewenangan.</w:t>
      </w:r>
    </w:p>
    <w:p>
      <w:pPr>
        <w:pStyle w:val="ListParagraph"/>
        <w:numPr>
          <w:ilvl w:val="0"/>
          <w:numId w:val="5"/>
        </w:numPr>
        <w:spacing w:after="80" w:line="290"/>
      </w:pPr>
      <w:r>
        <w:t xml:space="preserve">Contoh UKM dalam D3 (Sidoarjo Steel Manufacturing dan Sensor Karya Mandiri) adalah ilustrasi, bukan perusahaan yang dinilai.</w:t>
      </w:r>
    </w:p>
    <w:p>
      <w:pPr>
        <w:pStyle w:val="ListParagraph"/>
        <w:numPr>
          <w:ilvl w:val="0"/>
          <w:numId w:val="5"/>
        </w:numPr>
        <w:spacing w:after="80" w:line="290"/>
      </w:pPr>
      <w:r>
        <w:t xml:space="preserve">Beberapa dokumen sumber saling tidak konsisten pada istilah dan angka. Inkonsistensi tersebut diidentifikasi dan diusulkan penyelesaiannya (Lampiran E).</w:t>
      </w:r>
    </w:p>
    <w:p>
      <w:pPr>
        <w:pStyle w:val="Heading1"/>
        <w:pageBreakBefore/>
      </w:pPr>
      <w:bookmarkStart w:name="_Toc12" w:id="12"/>
      <w:r>
        <w:t xml:space="preserve">2. Diagnosis: Posisi Danantara Saat Ini</w:t>
      </w:r>
      <w:bookmarkEnd w:id="12"/>
    </w:p>
    <w:p>
      <w:pPr>
        <w:spacing w:after="140" w:line="300"/>
        <w:jc w:val="both"/>
      </w:pPr>
      <w:r>
        <w:t xml:space="preserve">Pertanyaan yang diajukan D4 merangkum diagnosis bab ini: apakah Danantara investor finansial atau penggerak industrialisasi nasional? Bukti dari keempat dokumen menunjukkan bahwa Danantara memiliki mandat strategis untuk sektor industri, tetapi implementasinya masih didominasi konsolidasi aset, pengelolaan return keuangan, pengumuman proyek besar dan restrukturisasi BUMN.</w:t>
      </w:r>
    </w:p>
    <w:p>
      <w:pPr>
        <w:pStyle w:val="Heading2"/>
      </w:pPr>
      <w:bookmarkStart w:name="_Toc13" w:id="13"/>
      <w:r>
        <w:t xml:space="preserve">2.1 Mandat dan arah strategis</w:t>
      </w:r>
      <w:bookmarkEnd w:id="13"/>
    </w:p>
    <w:p>
      <w:pPr>
        <w:spacing w:after="140" w:line="300"/>
        <w:jc w:val="both"/>
      </w:pPr>
      <w:r>
        <w:t xml:space="preserve">Danantara menargetkan investasi pada sektor strategis untuk mendorong pertumbuhan ekonomi nasional, ketahanan dan keberlanjutan, meliputi hilirisasi mineral, energi terbarukan, kimia, pusat data, ketahanan pangan, waste-to-energy dan pertanian [D4]. Rencana investasi 2026 disebut mencapai hingga US$14 miliar, dengan porsi sekitar 50% pasar publik dan sekitar 50% proyek strategis sektor riil, serta prioritas energi terbarukan, infrastruktur digital, kesehatan dan ketahanan pangan [D4].</w:t>
      </w:r>
    </w:p>
    <w:p>
      <w:pPr>
        <w:spacing w:after="160"/>
      </w:pPr>
      <w:r>
        <w:rPr>
          <w:i/>
          <w:iCs/>
          <w:color w:val="555555"/>
          <w:sz w:val="18"/>
          <w:szCs w:val="18"/>
        </w:rPr>
        <w:t xml:space="preserve">Catatan bukti: angka rencana investasi 2026 berasal dari D4 (kelas C, rencana). D2 merujuk rencana kerja dan anggaran 2026 (S03, 1 Desember 2025) sebagai niat strategis dan proyeksi, tanpa mengutip angka ini. Konfirmasi dengan dokumen resmi diperlukan sebelum dipakai.</w:t>
      </w:r>
    </w:p>
    <w:p>
      <w:pPr>
        <w:pStyle w:val="Heading2"/>
      </w:pPr>
      <w:bookmarkStart w:name="_Toc14" w:id="14"/>
      <w:r>
        <w:t xml:space="preserve">2.2 Evaluasi per sektor prioritas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02"/>
        <w:gridCol w:w="2795"/>
        <w:gridCol w:w="2314"/>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Sektor</w:t>
            </w:r>
          </w:p>
        </w:tc>
        <w:tc>
          <w:tcPr>
            <w:tcW w:type="dxa" w:w="260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Arah strategis</w:t>
            </w:r>
          </w:p>
        </w:tc>
        <w:tc>
          <w:tcPr>
            <w:tcW w:type="dxa" w:w="279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Aktivitas yang terlihat</w:t>
            </w:r>
          </w:p>
        </w:tc>
        <w:tc>
          <w:tcPr>
            <w:tcW w:type="dxa" w:w="231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Penilaian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Pengembalian finansial</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Return berkelanjutan, diversifikasi, pasar publik dan privat</w:t>
            </w:r>
          </w:p>
        </w:tc>
        <w:tc>
          <w:tcPr>
            <w:tcW w:type="dxa" w:w="279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Investasi pasar publik dan eksplorasi global</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Aktif</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Optimalisasi BUMN</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Meningkatkan kinerja aset negara</w:t>
            </w:r>
          </w:p>
        </w:tc>
        <w:tc>
          <w:tcPr>
            <w:tcW w:type="dxa" w:w="279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Pengelolaan portofolio, dividen, restrukturisasi</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Lebih matang</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Hilirisasi industri</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Nikel, aluminium, bauksit, tembaga dan rantai nilainya</w:t>
            </w:r>
          </w:p>
        </w:tc>
        <w:tc>
          <w:tcPr>
            <w:tcW w:type="dxa" w:w="279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Smelter, alumina, soda kaustik, proyek hilirisasi</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Strategis, tetapi masih bertumpu pada pengolahan sumber daya</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Transisi energi</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Energi terbarukan dan waste-to-energy</w:t>
            </w:r>
          </w:p>
        </w:tc>
        <w:tc>
          <w:tcPr>
            <w:tcW w:type="dxa" w:w="279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Inisiatif WtE dan energi bersih</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Strategis, tetapi ekonomi proyek dan kepemilikan teknologi belum jelas</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Industri digital</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Pusat data dan infrastruktur digital</w:t>
            </w:r>
          </w:p>
        </w:tc>
        <w:tc>
          <w:tcPr>
            <w:tcW w:type="dxa" w:w="279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Platform pusat data dengan operator global</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Berorientasi infrastruktur, belum teknologi-industri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Ketahanan pangan</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Pertanian, pupuk, unggas, agribisnis</w:t>
            </w:r>
          </w:p>
        </w:tc>
        <w:tc>
          <w:tcPr>
            <w:tcW w:type="dxa" w:w="279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Proyek pertanian dan peternakan terintegrasi</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Strategis, tetapi tidak selalu padat teknologi</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Manufaktur maju</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Mesin, elektronik, galangan kapal, dirgantara</w:t>
            </w:r>
          </w:p>
        </w:tc>
        <w:tc>
          <w:tcPr>
            <w:tcW w:type="dxa" w:w="279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Bukti publik masih terbatas</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Kesenjangan besar</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Pengembangan pemasok industri</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Belum menjadi KPI inti yang jelas</w:t>
            </w:r>
          </w:p>
        </w:tc>
        <w:tc>
          <w:tcPr>
            <w:tcW w:type="dxa" w:w="279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Bukti publik lokalisasi pemasok dan rekayasa dalam negeri masih terbatas</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Kesenjangan besar</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Kepemilikan teknologi</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Inovasi dan daya saing</w:t>
            </w:r>
          </w:p>
        </w:tc>
        <w:tc>
          <w:tcPr>
            <w:tcW w:type="dxa" w:w="279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Mitra asing masih dominan pada beberapa proyek</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Belum terbukti</w:t>
            </w:r>
          </w:p>
        </w:tc>
      </w:tr>
    </w:tbl>
    <w:p>
      <w:pPr>
        <w:spacing w:after="120"/>
      </w:pPr>
    </w:p>
    <w:p>
      <w:pPr>
        <w:spacing w:after="160"/>
      </w:pPr>
      <w:r>
        <w:rPr>
          <w:i/>
          <w:iCs/>
          <w:color w:val="555555"/>
          <w:sz w:val="18"/>
          <w:szCs w:val="18"/>
        </w:rPr>
        <w:t xml:space="preserve">Sumber: D4 halaman 1. Penilaian adalah penilaian kualitatif D4; kajian ini memperlakukannya sebagai hipotesis yang perlu diuji dengan register proyek (Bab 7).</w:t>
      </w:r>
    </w:p>
    <w:p>
      <w:pPr>
        <w:pStyle w:val="Heading2"/>
      </w:pPr>
      <w:bookmarkStart w:name="_Toc15" w:id="15"/>
      <w:r>
        <w:t xml:space="preserve">2.3 Mengapa investasi pasar publik tidak cukup</w:t>
      </w:r>
      <w:bookmarkEnd w:id="15"/>
    </w:p>
    <w:p>
      <w:pPr>
        <w:spacing w:after="140" w:line="300"/>
        <w:jc w:val="both"/>
      </w:pPr>
      <w:r>
        <w:t xml:space="preserve">Investasi pasar publik penting untuk likuiditas, diversifikasi dan manajemen risiko. Namun jika menjadi fokus utama, investasi tersebut tidak otomatis menciptakan kapasitas produksi baru, teknologi Indonesia yang baru, mesin dan komponen dalam negeri, perlindungan atau penciptaan pasar, maupun nilai tambah industri yang signifikan [D4]. Isu utamanya bukan hanya sektor apa yang dimasuki, tetapi apakah investasi Danantara menciptakan kepemilikan teknologi Indonesia, kapabilitas rekayasa dan manufaktur, rantai pasok dalam negeri, kekayaan intelektual, tenaga kerja terampil, serta daya saing dan ekspor.</w:t>
      </w:r>
    </w:p>
    <w:p>
      <w:pPr>
        <w:pStyle w:val="Heading2"/>
      </w:pPr>
      <w:bookmarkStart w:name="_Toc16" w:id="16"/>
      <w:r>
        <w:t xml:space="preserve">2.4 Apa yang dibuktikan oleh bukti saat ini</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w:t>
            </w:r>
          </w:p>
        </w:tc>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Interpretasi</w:t>
            </w:r>
          </w:p>
        </w:tc>
        <w:tc>
          <w:tcPr>
            <w:tcW w:type="dxa" w:w="289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Uji yang tersisa</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Obligasi internasional DIM USD1,5 miliar, Juni 2026 (dua tranche USD750 juta, yield 5,35% dan 5,95%)</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Transaksi pembiayaan teramati; akses pasar terbukti</w:t>
            </w:r>
          </w:p>
        </w:tc>
        <w:tc>
          <w:tcPr>
            <w:tcW w:type="dxa" w:w="289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Biaya all-in, penggunaan dana, lindung nilai, imbal hasil aset</w:t>
            </w:r>
          </w:p>
        </w:tc>
      </w:tr>
      <w:tr>
        <w:trPr>
          <w:cantSplit/>
        </w:trPr>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Subscription bersyarat USD200 juta Danantara/INA untuk proyek CA–EDC USD800 juta</w:t>
            </w:r>
          </w:p>
        </w:tc>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Tahap komitmen modal; 25% dari nilai proyek</w:t>
            </w:r>
          </w:p>
        </w:tc>
        <w:tc>
          <w:tcPr>
            <w:tcW w:type="dxa" w:w="289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Syarat terpenuhi, porsi masing-masing, kas dibayar</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Peresmian konstruksi dan PPA Bogor Raya 1 (Rp2,8 triliun, 1.500 ton/hari), September 2026</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Milestone pembangunan; target operasi pertengahan 2028</w:t>
            </w:r>
          </w:p>
        </w:tc>
        <w:tc>
          <w:tcPr>
            <w:tcW w:type="dxa" w:w="289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Progres fisik tersertifikasi, pendanaan penuh, commissioning</w:t>
            </w:r>
          </w:p>
        </w:tc>
      </w:tr>
      <w:tr>
        <w:trPr>
          <w:cantSplit/>
        </w:trPr>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Groundbreaking enam proyek hilirisasi, nilai diumumkan USD7 miliar</w:t>
            </w:r>
          </w:p>
        </w:tc>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Aktivasi program, bukan USD7 miliar yang dicairkan Danantara</w:t>
            </w:r>
          </w:p>
        </w:tc>
        <w:tc>
          <w:tcPr>
            <w:tcW w:type="dxa" w:w="289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Tahap, porsi pembiayaan dan manfaat per proyek</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Tinjauan tata kelola dan akuntansi, Maret 2026</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Reformasi yang konsisten dengan tinjauan kualitas aset</w:t>
            </w:r>
          </w:p>
        </w:tc>
        <w:tc>
          <w:tcPr>
            <w:tcW w:type="dxa" w:w="289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Perbaikan operasi terverifikasi, remediasi tuntas</w:t>
            </w:r>
          </w:p>
        </w:tc>
      </w:tr>
    </w:tbl>
    <w:p>
      <w:pPr>
        <w:spacing w:after="120"/>
      </w:pPr>
    </w:p>
    <w:p>
      <w:pPr>
        <w:spacing w:after="160"/>
      </w:pPr>
      <w:r>
        <w:rPr>
          <w:i/>
          <w:iCs/>
          <w:color w:val="555555"/>
          <w:sz w:val="18"/>
          <w:szCs w:val="18"/>
        </w:rPr>
        <w:t xml:space="preserve">Sumber: D2 (S04–S08). Yield tertimbang 5,65%, spread rata-rata 33 bps dan rasio permintaan 3,07 kali adalah perhitungan penulis D2.</w:t>
      </w:r>
    </w:p>
    <w:p>
      <w:pPr>
        <w:pStyle w:val="Heading3"/>
      </w:pPr>
      <w:r>
        <w:t xml:space="preserve">Kinerja BUMN terpilih: beragam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4047"/>
        <w:gridCol w:w="2893"/>
      </w:tblGrid>
      <w:tr>
        <w:trPr>
          <w:tblHeader/>
        </w:trPr>
        <w:tc>
          <w:tcPr>
            <w:tcW w:type="dxa" w:w="269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Entitas / metrik</w:t>
            </w:r>
          </w:p>
        </w:tc>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Observasi sebanding</w:t>
            </w:r>
          </w:p>
        </w:tc>
        <w:tc>
          <w:tcPr>
            <w:tcW w:type="dxa" w:w="289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Bacaan</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Laba bersih grup BRI</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FY2024 (disajikan kembali) Rp60,306 T → FY2025 Rp57,132 T; −5,26%</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Laba menurun pada basis sebanding</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CIR / NPL bank-only BRI</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CIR 37,87% → 38,92%; NPL bruto 2,94% → 3,29%</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Efisiensi dan kualitas kredit melemah</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Laba Mandiri bagi pemilik entitas induk</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Rp55,78 T → Rp56,30 T; sekitar +0,93%</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Pertumbuhan moderat; belum membuktikan economic profit</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Telkom FY2025</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Pendapatan Rp146,7 T; EBITDA Rp72,2 T; laba bersih Rp17,8 T</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Perlu jembatan restatement dan normalisasi</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Pendapatan PLN semester I</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Rp281,89 T (H1 2025) → Rp327,15 T (H1 2026); +16,05%</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Perlu dipecah: volume, tarif, kompensasi</w:t>
            </w:r>
          </w:p>
        </w:tc>
      </w:tr>
    </w:tbl>
    <w:p>
      <w:pPr>
        <w:spacing w:after="120"/>
      </w:pPr>
    </w:p>
    <w:p>
      <w:pPr>
        <w:spacing w:after="160"/>
      </w:pPr>
      <w:r>
        <w:rPr>
          <w:i/>
          <w:iCs/>
          <w:color w:val="555555"/>
          <w:sz w:val="18"/>
          <w:szCs w:val="18"/>
        </w:rPr>
        <w:t xml:space="preserve">Sumber: D2 (S10–S13). Periode, porsi kepemilikan dan lingkup akuntansi berbeda; angka tidak boleh dijumlahkan menjadi laba Danantara.</w:t>
      </w:r>
    </w:p>
    <w:p>
      <w:pPr>
        <w:pStyle w:val="Heading2"/>
      </w:pPr>
      <w:bookmarkStart w:name="_Toc17" w:id="17"/>
      <w:r>
        <w:t xml:space="preserve">2.5 Empat akar masalah</w:t>
      </w:r>
      <w:bookmarkEnd w:id="17"/>
    </w:p>
    <w:p>
      <w:pPr>
        <w:spacing w:after="140" w:line="300"/>
        <w:jc w:val="both"/>
      </w:pPr>
      <w:r>
        <w:t xml:space="preserve">D4 merumuskan diagnosis utama dalam empat butir, yang konsisten dengan temuan D1 dan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69"/>
        <w:gridCol w:w="3856"/>
      </w:tblGrid>
      <w:tr>
        <w:trPr>
          <w:tblHeader/>
        </w:trPr>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Akar masalah</w:t>
            </w:r>
          </w:p>
        </w:tc>
        <w:tc>
          <w:tcPr>
            <w:tcW w:type="dxa" w:w="346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Penjelasan</w:t>
            </w:r>
          </w:p>
        </w:tc>
        <w:tc>
          <w:tcPr>
            <w:tcW w:type="dxa" w:w="38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Konfirmasi dari dokumen lain</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Modal tersedia tanpa mekanisme konversi</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Belum ada mekanisme yang jelas untuk mengubah investasi menjadi kapabilitas industri nasional</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D2: tahap modal dihimpun, dikomitmenkan, dicairkan dan manfaat belum dibedakan dalam pelaporan</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Proyek bersifat impor dan konstruksi</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Banyak proyek dengan transfer teknologi dan pengembangan pemasok yang terbatas</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D3: UKM tertahan di MRL 3–5; kandungan lokal diwajibkan tetapi basis pemasok belum siap</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BUMN berjalan sendiri</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Belum terintegrasi dalam platform industri</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 tidak ada pemilik integrasi lintas DAM, DIM dan DDMF; tidak ada register terpadu</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Dampak belum terukur</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Dampak terhadap PDB, teknologi dan ekspor belum terukur dengan jelas</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D2: dampak industri sebagian besar prospektif; atribusi PDB tidak dapat dilakukan tanpa kontrafaktual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Kesimpulan Bab 2</w:t>
            </w:r>
          </w:p>
          <w:p>
            <w:pPr>
              <w:spacing w:after="60" w:line="290"/>
            </w:pPr>
            <w:r>
              <w:rPr>
                <w:sz w:val="21"/>
                <w:szCs w:val="21"/>
              </w:rPr>
              <w:t xml:space="preserve">Danantara saat ini lebih dekat ke investor finansial dan pengelola aset negara daripada ke penggerak industrialisasi. Untuk benar-benar menjadi penggerak industrialisasi nasional, diperlukan fokus yang lebih kuat pada proyek yang membangun kapabilitas industri, teknologi, rantai pasok dan daya saing jangka panjang Indonesia [D4], dengan ukuran keberhasilan yang dapat diverifikasi [D2].</w:t>
            </w:r>
          </w:p>
        </w:tc>
      </w:tr>
    </w:tbl>
    <w:p>
      <w:pPr>
        <w:pStyle w:val="Heading1"/>
        <w:pageBreakBefore/>
      </w:pPr>
      <w:bookmarkStart w:name="_Toc18" w:id="18"/>
      <w:r>
        <w:t xml:space="preserve">3. Diagnosis Tata Kelola dan Kesiapan Eksekusi</w:t>
      </w:r>
      <w:bookmarkEnd w:id="18"/>
    </w:p>
    <w:p>
      <w:pPr>
        <w:spacing w:after="140" w:line="300"/>
        <w:jc w:val="both"/>
      </w:pPr>
      <w:r>
        <w:t xml:space="preserve">D1 menilai rancangan tata kelola Danantara berdasarkan PP 10/2025 sebagaimana diubah PP 19/2026, perubahan UU BUMN melalui UU 16/2025, struktur resmi Danantara, dan OECD Guidelines 2024. Kesimpulannya: fondasi tersedia, efektivitas penerapan belum terverifikasi, dan kebutuhan integrasi eksekusi perlu diuji.</w:t>
      </w:r>
    </w:p>
    <w:p>
      <w:pPr>
        <w:pStyle w:val="Heading2"/>
      </w:pPr>
      <w:bookmarkStart w:name="_Toc19" w:id="19"/>
      <w:r>
        <w:t xml:space="preserve">3.1 Fondasi Good Governance</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Dimensi</w:t>
            </w:r>
          </w:p>
        </w:tc>
        <w:tc>
          <w:tcPr>
            <w:tcW w:type="dxa" w:w="366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w:t>
            </w:r>
          </w:p>
        </w:tc>
        <w:tc>
          <w:tcPr>
            <w:tcW w:type="dxa" w:w="38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Tindakan yang diperlukan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Kejelasan organ</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PP memisahkan Dewan Pengawas dan Badan Pelaksana; fondasi pengawasan tersedia</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Periksa board manual, reserved matters, piagam komite dan dasar pengangkatan</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Mandat pemilik dan regulator</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BP BUMN dan BPI memiliki peran hukum berbeda</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Dokumentasikan kapan BPI bertindak sebagai pemilik, koordinator, investor atau pelaksana penugasan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Komersial dan pembangunan</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PP 19 membedakan tujuan holding investasi; DDMF memiliki mandat pembangunan</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Gunakan target finansial, dampak dan dukungan sesuai mandat</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Kompetensi eksekusi industri</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Struktur memuat CTO serta MD Industrialization, Technology Advancement dan Strategic Technology Initiatives</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Uji kapasitas engineering, kontrak, commissioning dan rantai pasok sebelum menambah jabatan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Risiko pada tingkat organ</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Pasal 14 mensyaratkan pembidangan risiko; nama MD Risk belum membuktikan pemenuhannya</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Verifikasi Keppres, pembidangan, akses fungsi risiko dan posisi komite</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Benturan kepentingan</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PP mengatur pengungkapan dan pengecualian pihak berbenturan</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Simpan register konflik, risalah recusal dan jalur keputusan</w:t>
            </w:r>
          </w:p>
        </w:tc>
      </w:tr>
    </w:tbl>
    <w:p>
      <w:pPr>
        <w:spacing w:after="120"/>
      </w:pPr>
    </w:p>
    <w:p>
      <w:pPr>
        <w:pStyle w:val="Heading2"/>
      </w:pPr>
      <w:bookmarkStart w:name="_Toc20" w:id="20"/>
      <w:r>
        <w:t xml:space="preserve">3.2 Kesiapan mengeksekusi 40 proyek</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tblHeader/>
        </w:trPr>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Dimensi</w:t>
            </w:r>
          </w:p>
        </w:tc>
        <w:tc>
          <w:tcPr>
            <w:tcW w:type="dxa" w:w="385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Penilaian berdasarkan bukti</w:t>
            </w:r>
          </w:p>
        </w:tc>
        <w:tc>
          <w:tcPr>
            <w:tcW w:type="dxa" w:w="36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Kebutuhan penerapan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Akuntabilitas proyek</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Belum ada register terpadu yang menghubungkan 40 proyek dengan pemimpin, tahap keputusan dan hasil</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Satu penanggung jawab hasil per proyek; satu register keputusan dan hambatan</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Kewenangan modal</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Kepala memutus untuk Badan; keputusan holding dan perusahaan adalah lapisan tersendiri</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Peta otorisasi per entitas, objek dan tahap; kuasa tanda tangan dipisahkan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Jaminan dan dukungan fiskal</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Mandat pembangunan tidak otomatis memberi jaminan negara atau PMN</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Tunjukkan penjamin, kapasitas bayar dan biaya kontinjensi</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Pengadaan dan mitra</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Perlu diperiksa pada entitas pelaksana</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Uji beneficial ownership, transaksi afiliasi, kompetisi, alasan sole source</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Transparansi dan audit</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Pernyataan 12 Mei 2026 menyebut konsolidasi laporan dan audit; opini belum dinilai</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Periksa tindak lanjut audit; laporkan portofolio dan dampak konsisten</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Pengukuran keberhasilan</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Daftar investasi dan target tenaga kerja belum membuktikan manfaat</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Ukur operasi, kapasitas terpakai, biaya, dampak bersih, teknologi dikuasai</w:t>
            </w:r>
          </w:p>
        </w:tc>
      </w:tr>
    </w:tbl>
    <w:p>
      <w:pPr>
        <w:spacing w:after="120"/>
      </w:pPr>
    </w:p>
    <w:p>
      <w:pPr>
        <w:pStyle w:val="Heading2"/>
      </w:pPr>
      <w:bookmarkStart w:name="_Toc21" w:id="21"/>
      <w:r>
        <w:t xml:space="preserve">3.3 Mutu data portofolio</w:t>
      </w:r>
      <w:bookmarkEnd w:id="21"/>
    </w:p>
    <w:p>
      <w:pPr>
        <w:spacing w:after="140" w:line="300"/>
        <w:jc w:val="both"/>
      </w:pPr>
      <w:r>
        <w:t xml:space="preserve">Istilah “40 proyek” merujuk pada portofolio dalam bahan diskusi, bukan daftar Proyek Strategis Nasional yang ditetapkan secara hukum. Infografik belum menyediakan register lengkap beserta nomor penetapan, sponsor, pemilik saham, status pendanaan dan tahapan aktual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7"/>
        <w:gridCol w:w="2216"/>
        <w:gridCol w:w="2216"/>
        <w:gridCol w:w="2219"/>
      </w:tblGrid>
      <w:tr>
        <w:trPr>
          <w:tblHeader/>
        </w:trPr>
        <w:tc>
          <w:tcPr>
            <w:tcW w:type="dxa" w:w="298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Klaster</w:t>
            </w:r>
          </w:p>
        </w:tc>
        <w:tc>
          <w:tcPr>
            <w:tcW w:type="dxa" w:w="221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Tabel ringkasan (Rp T)</w:t>
            </w:r>
          </w:p>
        </w:tc>
        <w:tc>
          <w:tcPr>
            <w:tcW w:type="dxa" w:w="221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Tabel rincian (Rp T)</w:t>
            </w:r>
          </w:p>
        </w:tc>
        <w:tc>
          <w:tcPr>
            <w:tcW w:type="dxa" w:w="221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Selisih (Rp T)</w:t>
            </w:r>
          </w:p>
        </w:tc>
      </w:tr>
      <w:tr>
        <w:trPr>
          <w:cantSplit/>
        </w:trPr>
        <w:tc>
          <w:tcPr>
            <w:tcW w:type="dxa" w:w="298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Mineral</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283,85</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86,87</w:t>
            </w:r>
          </w:p>
        </w:tc>
        <w:tc>
          <w:tcPr>
            <w:tcW w:type="dxa" w:w="22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−196,98</w:t>
            </w:r>
          </w:p>
        </w:tc>
      </w:tr>
      <w:tr>
        <w:trPr>
          <w:cantSplit/>
        </w:trPr>
        <w:tc>
          <w:tcPr>
            <w:tcW w:type="dxa" w:w="298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Infrastruktur</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1.274,57</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1.217,92</w:t>
            </w:r>
          </w:p>
        </w:tc>
        <w:tc>
          <w:tcPr>
            <w:tcW w:type="dxa" w:w="221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−56,65</w:t>
            </w:r>
          </w:p>
        </w:tc>
      </w:tr>
      <w:tr>
        <w:trPr>
          <w:cantSplit/>
        </w:trPr>
        <w:tc>
          <w:tcPr>
            <w:tcW w:type="dxa" w:w="298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Industri pertahanan</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81,10</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24,36</w:t>
            </w:r>
          </w:p>
        </w:tc>
        <w:tc>
          <w:tcPr>
            <w:tcW w:type="dxa" w:w="22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−56,74</w:t>
            </w:r>
          </w:p>
        </w:tc>
      </w:tr>
      <w:tr>
        <w:trPr>
          <w:cantSplit/>
        </w:trPr>
        <w:tc>
          <w:tcPr>
            <w:tcW w:type="dxa" w:w="298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Lain-lain</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451,94</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743,38</w:t>
            </w:r>
          </w:p>
        </w:tc>
        <w:tc>
          <w:tcPr>
            <w:tcW w:type="dxa" w:w="221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+291,44</w:t>
            </w:r>
          </w:p>
        </w:tc>
      </w:tr>
      <w:tr>
        <w:trPr>
          <w:cantSplit/>
        </w:trPr>
        <w:tc>
          <w:tcPr>
            <w:tcW w:type="dxa" w:w="298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Jumlah</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2.091,46</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2.072,53</w:t>
            </w:r>
          </w:p>
        </w:tc>
        <w:tc>
          <w:tcPr>
            <w:tcW w:type="dxa" w:w="22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−18,93</w:t>
            </w:r>
          </w:p>
        </w:tc>
      </w:tr>
    </w:tbl>
    <w:p>
      <w:pPr>
        <w:spacing w:after="120"/>
      </w:pPr>
    </w:p>
    <w:p>
      <w:pPr>
        <w:spacing w:after="160"/>
      </w:pPr>
      <w:r>
        <w:rPr>
          <w:i/>
          <w:iCs/>
          <w:color w:val="555555"/>
          <w:sz w:val="18"/>
          <w:szCs w:val="18"/>
        </w:rPr>
        <w:t xml:space="preserve">Sumber: D1 (U1). Tabel rincian dikonversi dari Rp juta. Satuan dan lingkup harus dikonfirmasi kepada pemilik data sebelum dipakai untuk persetujuan anggaran.</w:t>
      </w:r>
    </w:p>
    <w:p>
      <w:pPr>
        <w:spacing w:after="140" w:line="300"/>
        <w:jc w:val="both"/>
      </w:pPr>
      <w:r>
        <w:t xml:space="preserve">Register minimum harus memuat identitas proyek, dasar mandat, lokasi, sponsor dan pelaksana, batas lingkup, biaya total dan porsi Danantara, sumber dana, jadwal, tahap keputusan, teknologi dan IPR, pasar atau offtake, izin, lahan, risiko utama, pemimpin proyek dan persetujuan terbuka, dengan riwayat versi untuk setiap perubahan.</w:t>
      </w:r>
    </w:p>
    <w:p>
      <w:pPr>
        <w:pStyle w:val="Heading2"/>
      </w:pPr>
      <w:bookmarkStart w:name="_Toc22" w:id="22"/>
      <w:r>
        <w:t xml:space="preserve">3.4 Pelajaran kelembagaan internasional</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47"/>
        <w:gridCol w:w="3664"/>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Pembanding</w:t>
            </w:r>
          </w:p>
        </w:tc>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Praktik</w:t>
            </w:r>
          </w:p>
        </w:tc>
        <w:tc>
          <w:tcPr>
            <w:tcW w:type="dxa" w:w="366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Adaptasi untuk Danantara</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China (SASAC, SDIC)</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Perusahaan sebagai subjek keputusan dan tanggung jawab; daftar investasi terlarang; evaluasi pasca investasi; dana yang menghubungkan teknologi dan modal</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Perjelas pemilik keputusan per entitas; kriteria masuk transparan; platform rantai nilai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Vietnam (CMSC, SCIC)</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CMSC dibubarkan efektif 21 Maret 2025; arah dana investasi nasional berbasis restrukturisasi SCIC</w:t>
            </w:r>
          </w:p>
        </w:tc>
        <w:tc>
          <w:tcPr>
            <w:tcW w:type="dxa" w:w="366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Setiap transisi memerlukan daftar kewenangan, arsip, kontrak, aset dan kewajiban yang berpindah</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India (PRAGATI, NIIF)</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Pemantauan berbasis teknologi dan eskalasi tingkat tinggi; platform berjangkar pemerintah dengan due diligence</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Pisahkan forum penyelesaian hambatan dari pengujian investasi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Malaysia (Khazanah, NIMP 2030)</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Board Charter, Limits of Authority, target per mandat; Delivery Management Unit di MITI</w:t>
            </w:r>
          </w:p>
        </w:tc>
        <w:tc>
          <w:tcPr>
            <w:tcW w:type="dxa" w:w="366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Kontrak mandat per arm dan unit pengelolaan pelaksanaan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Temasek, Khazanah (pelaporan)</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jangka panjang terhadap biaya modal; pelaporan tahunan dan multi-tahun</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Pelaporan imbal hasil terpisah dari pengumuman proyek</w:t>
            </w:r>
          </w:p>
        </w:tc>
      </w:tr>
    </w:tbl>
    <w:p>
      <w:pPr>
        <w:spacing w:after="120"/>
      </w:pPr>
    </w:p>
    <w:p>
      <w:pPr>
        <w:spacing w:after="160"/>
      </w:pPr>
      <w:r>
        <w:rPr>
          <w:i/>
          <w:iCs/>
          <w:color w:val="555555"/>
          <w:sz w:val="18"/>
          <w:szCs w:val="18"/>
        </w:rPr>
        <w:t xml:space="preserve">Sumber: D1 bagian 4–5 (R10–R19); D2 (S17–S19). Praktik dipilih sesuai kebutuhan, bukan pemeringkatan tata kelola nasional.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Kesimpulan Bab 3</w:t>
            </w:r>
          </w:p>
          <w:p>
            <w:pPr>
              <w:spacing w:after="60" w:line="290"/>
            </w:pPr>
            <w:r>
              <w:rPr>
                <w:sz w:val="21"/>
                <w:szCs w:val="21"/>
              </w:rPr>
              <w:t xml:space="preserve">Tidak ada dasar untuk menyatakan struktur saat ini melanggar tata kelola hanya dari situs publik, tetapi juga tidak ada dasar untuk menyatakan struktur tersebut efektif mengeksekusi 40 proyek.</w:t>
            </w:r>
          </w:p>
          <w:p>
            <w:pPr>
              <w:spacing w:after="60" w:line="290"/>
            </w:pPr>
            <w:r>
              <w:rPr>
                <w:sz w:val="21"/>
                <w:szCs w:val="21"/>
              </w:rPr>
              <w:t xml:space="preserve">Kesenjangan utama bukan kekurangan jabatan, melainkan tidak adanya </w:t>
            </w:r>
            <w:r>
              <w:rPr>
                <w:b/>
                <w:bCs/>
                <w:sz w:val="21"/>
                <w:szCs w:val="21"/>
              </w:rPr>
              <w:t xml:space="preserve">lapisan pengelolaan portofolio</w:t>
            </w:r>
            <w:r>
              <w:rPr>
                <w:sz w:val="21"/>
                <w:szCs w:val="21"/>
              </w:rPr>
              <w:t xml:space="preserve"> yang memiliki register, mengintegrasikan lintas arm, menyelesaikan hambatan dan mengukur hasil. Tidak ditemukan dasar bahwa gelar “Deputy Chairman” sendiri mempercepat proyek [D1].</w:t>
            </w:r>
          </w:p>
        </w:tc>
      </w:tr>
    </w:tbl>
    <w:p>
      <w:pPr>
        <w:pStyle w:val="Heading1"/>
        <w:pageBreakBefore/>
      </w:pPr>
      <w:bookmarkStart w:name="_Toc23" w:id="23"/>
      <w:r>
        <w:t xml:space="preserve">4. Kondisi Target dan Arsitektur Portofolio</w:t>
      </w:r>
      <w:bookmarkEnd w:id="23"/>
    </w:p>
    <w:p>
      <w:pPr>
        <w:pStyle w:val="Heading2"/>
      </w:pPr>
      <w:bookmarkStart w:name="_Toc24" w:id="24"/>
      <w:r>
        <w:t xml:space="preserve">4.1 Definisi kondisi target</w:t>
      </w:r>
      <w:bookmarkEnd w:id="24"/>
    </w:p>
    <w:p>
      <w:pPr>
        <w:spacing w:after="140" w:line="300"/>
        <w:jc w:val="both"/>
      </w:pPr>
      <w:r>
        <w:t xml:space="preserve">D4 merumuskan kondisi target sebagai transformasi Danantara dari pengelola aset dan investor menjadi </w:t>
      </w:r>
      <w:r>
        <w:rPr>
          <w:b/>
          <w:bCs/>
        </w:rPr>
        <w:t xml:space="preserve">platform kapabilitas industri nasional berbasis proyek strategis dan permintaan domestik</w:t>
      </w:r>
      <w:r>
        <w:t xml:space="preserve">. Tujuan utamanya adalah menghasilkan return yang berkelanjutan sekaligus membangun kapabilitas industri nasional yang meningkatkan produktivitas, teknologi, ketahanan dan daya saing Indonesia.</w:t>
      </w:r>
    </w:p>
    <w:p>
      <w:pPr>
        <w:spacing w:after="140" w:line="300"/>
        <w:jc w:val="both"/>
      </w:pPr>
      <w:r>
        <w:t xml:space="preserve">Kajian ini menambahkan satu syarat dari D2: kondisi target hanya tercapai bila setiap klaim hasil finansial atau pembangunan dapat ditelusuri ke modalnya, periode pelaporan, baseline, pemilik yang bertanggung jawab dan verifikasi independen.</w:t>
      </w:r>
    </w:p>
    <w:p>
      <w:pPr>
        <w:pStyle w:val="Heading2"/>
      </w:pPr>
      <w:bookmarkStart w:name="_Toc25" w:id="25"/>
      <w:r>
        <w:t xml:space="preserve">4.2 Lima jenis nilai</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529"/>
        <w:gridCol w:w="3375"/>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Nilai</w:t>
            </w:r>
          </w:p>
        </w:tc>
        <w:tc>
          <w:tcPr>
            <w:tcW w:type="dxa" w:w="452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Arti</w:t>
            </w:r>
          </w:p>
        </w:tc>
        <w:tc>
          <w:tcPr>
            <w:tcW w:type="dxa" w:w="337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Contoh ukuran (Bab 6)</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Nilai ekonomi</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di atas biaya modal; nilai tambah domestik</w:t>
            </w:r>
          </w:p>
        </w:tc>
        <w:tc>
          <w:tcPr>
            <w:tcW w:type="dxa" w:w="33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I01–I05, O01–O02, D01–D02</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Nilai industri</w:t>
            </w:r>
          </w:p>
        </w:tc>
        <w:tc>
          <w:tcPr>
            <w:tcW w:type="dxa" w:w="45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Kapasitas produksi dan rantai pasok dalam negeri yang kompetitif</w:t>
            </w:r>
          </w:p>
        </w:tc>
        <w:tc>
          <w:tcPr>
            <w:tcW w:type="dxa" w:w="33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D05, D07, D09, gerbang S1–S4</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Nilai teknologi</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Teknologi dan kekayaan intelektual yang dikuasai Indonesia</w:t>
            </w:r>
          </w:p>
        </w:tc>
        <w:tc>
          <w:tcPr>
            <w:tcW w:type="dxa" w:w="33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D06, TRL produk sendiri di S4</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Nilai strategis</w:t>
            </w:r>
          </w:p>
        </w:tc>
        <w:tc>
          <w:tcPr>
            <w:tcW w:type="dxa" w:w="45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Ketahanan pasokan, kemandirian pertahanan dan energi</w:t>
            </w:r>
          </w:p>
        </w:tc>
        <w:tc>
          <w:tcPr>
            <w:tcW w:type="dxa" w:w="33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D04, kandungan lokal alpalhankam</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Nilai sosial</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Lapangan kerja berkualitas, layanan andal dan terjangkau, lingkungan</w:t>
            </w:r>
          </w:p>
        </w:tc>
        <w:tc>
          <w:tcPr>
            <w:tcW w:type="dxa" w:w="33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D03, D10, D11</w:t>
            </w:r>
          </w:p>
        </w:tc>
      </w:tr>
    </w:tbl>
    <w:p>
      <w:pPr>
        <w:spacing w:after="120"/>
      </w:pPr>
    </w:p>
    <w:p>
      <w:pPr>
        <w:spacing w:after="160"/>
      </w:pPr>
      <w:r>
        <w:rPr>
          <w:i/>
          <w:iCs/>
          <w:color w:val="555555"/>
          <w:sz w:val="18"/>
          <w:szCs w:val="18"/>
        </w:rPr>
        <w:t xml:space="preserve">Sumber: D4 halaman 2 (lima nilai); pemetaan ke metrik adalah usulan kajian ini berdasarkan kamus metrik D2.</w:t>
      </w:r>
    </w:p>
    <w:p>
      <w:pPr>
        <w:pStyle w:val="Heading2"/>
      </w:pPr>
      <w:bookmarkStart w:name="_Toc26" w:id="26"/>
      <w:r>
        <w:t xml:space="preserve">4.3 Arsitektur portofolio</w:t>
      </w:r>
      <w:bookmarkEnd w:id="26"/>
    </w:p>
    <w:p>
      <w:pPr>
        <w:spacing w:after="140" w:line="300"/>
        <w:jc w:val="both"/>
      </w:pPr>
      <w:r>
        <w:t xml:space="preserve">D4 mengusulkan lima portofolio. D2 mengusulkan empat kumpulan modal dengan ukuran dan aturan batas yang berbeda. Keduanya saling melengkapi: portofolio D4 menjawab </w:t>
      </w:r>
      <w:r>
        <w:rPr>
          <w:b/>
          <w:bCs/>
        </w:rPr>
        <w:t xml:space="preserve">untuk apa</w:t>
      </w:r>
      <w:r>
        <w:t xml:space="preserve"> modal ditempatkan, sedangkan kumpulan modal D2 menjawab </w:t>
      </w:r>
      <w:r>
        <w:rPr>
          <w:b/>
          <w:bCs/>
        </w:rPr>
        <w:t xml:space="preserve">bagaimana</w:t>
      </w:r>
      <w:r>
        <w:t xml:space="preserve"> hasilnya diukur. Satu kumpulan penting yang tidak tampak dalam D4, yaitu BUMN operasi warisan, perlu ditambahkan.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216"/>
        <w:gridCol w:w="1734"/>
        <w:gridCol w:w="2313"/>
        <w:gridCol w:w="1737"/>
      </w:tblGrid>
      <w:tr>
        <w:trPr>
          <w:tblHeader/>
        </w:trPr>
        <w:tc>
          <w:tcPr>
            <w:tcW w:type="dxa" w:w="163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Portofolio</w:t>
            </w:r>
          </w:p>
        </w:tc>
        <w:tc>
          <w:tcPr>
            <w:tcW w:type="dxa" w:w="221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Isi</w:t>
            </w:r>
          </w:p>
        </w:tc>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Kumpulan modal D2</w:t>
            </w:r>
          </w:p>
        </w:tc>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Ukuran utama</w:t>
            </w:r>
          </w:p>
        </w:tc>
        <w:tc>
          <w:tcPr>
            <w:tcW w:type="dxa" w:w="173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Arm yang wajar (usulan)</w:t>
            </w:r>
          </w:p>
        </w:tc>
      </w:tr>
      <w:tr>
        <w:trPr>
          <w:cantSplit/>
        </w:trPr>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0. BUMN operasi warisan</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BUMN yang dialihkan ke Danantara</w:t>
            </w:r>
          </w:p>
        </w:tc>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BUMN operasi warisan</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ROIC/economic profit; ROE bank dengan kecukupan modal</w:t>
            </w:r>
          </w:p>
        </w:tc>
        <w:tc>
          <w:tcPr>
            <w:tcW w:type="dxa" w:w="17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DAM</w:t>
            </w:r>
          </w:p>
        </w:tc>
      </w:tr>
      <w:tr>
        <w:trPr>
          <w:cantSplit/>
        </w:trPr>
        <w:tc>
          <w:tcPr>
            <w:tcW w:type="dxa" w:w="16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1. Pelestarian kekayaan</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Saham publik, obligasi dan aset global matang</w:t>
            </w:r>
          </w:p>
        </w:tc>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Investasi keuangan likuid</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TWR bersih vs benchmark kebijakan; drawdown, likuiditas</w:t>
            </w:r>
          </w:p>
        </w:tc>
        <w:tc>
          <w:tcPr>
            <w:tcW w:type="dxa" w:w="173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DIM</w:t>
            </w:r>
          </w:p>
        </w:tc>
      </w:tr>
      <w:tr>
        <w:trPr>
          <w:cantSplit/>
        </w:trPr>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2. Infrastruktur strategis</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Energi, pelabuhan, logistik, kawasan industri, data center</w:t>
            </w:r>
          </w:p>
        </w:tc>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Investasi privat/strategis</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IRR bersih, DPI/TVPI, PME; NPV finansial</w:t>
            </w:r>
          </w:p>
        </w:tc>
        <w:tc>
          <w:tcPr>
            <w:tcW w:type="dxa" w:w="17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DIM / DDMF</w:t>
            </w:r>
          </w:p>
        </w:tc>
      </w:tr>
      <w:tr>
        <w:trPr>
          <w:cantSplit/>
        </w:trPr>
        <w:tc>
          <w:tcPr>
            <w:tcW w:type="dxa" w:w="16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3. Platform industri</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Proyek anchor: Giant Sea Wall, 3 Juta Rumah, maritim, pertahanan</w:t>
            </w:r>
          </w:p>
        </w:tc>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Strategis dan didukung untuk pembangunan</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Keberlanjutan finansial + ENPV/EIRR + hasil tambahan</w:t>
            </w:r>
          </w:p>
        </w:tc>
        <w:tc>
          <w:tcPr>
            <w:tcW w:type="dxa" w:w="173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DDMF + unit Industri Strategis</w:t>
            </w:r>
          </w:p>
        </w:tc>
      </w:tr>
      <w:tr>
        <w:trPr>
          <w:cantSplit/>
        </w:trPr>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4. Inovasi</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Semikonduktor, AI, material maju, R&amp;D dan teknologi masa depan</w:t>
            </w:r>
          </w:p>
        </w:tc>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Investasi privat/strategis (bertahap)</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Pendanaan bertahap per pengurangan ketidakpastian; milestone kapabilitas</w:t>
            </w:r>
          </w:p>
        </w:tc>
        <w:tc>
          <w:tcPr>
            <w:tcW w:type="dxa" w:w="17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DIM / CTO</w:t>
            </w:r>
          </w:p>
        </w:tc>
      </w:tr>
      <w:tr>
        <w:trPr>
          <w:cantSplit/>
        </w:trPr>
        <w:tc>
          <w:tcPr>
            <w:tcW w:type="dxa" w:w="16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5. Pengembangan pemasok</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UMKM, Tier 1–3, peralatan, komponen dan fabrikasi dalam negeri</w:t>
            </w:r>
          </w:p>
        </w:tc>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Didukung untuk pembangunan</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Gerbang S1–S4, D05, D06, D09, dukungan publik per hasil (D12)</w:t>
            </w:r>
          </w:p>
        </w:tc>
        <w:tc>
          <w:tcPr>
            <w:tcW w:type="dxa" w:w="173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Industri Strategis + DDMF</w:t>
            </w:r>
          </w:p>
        </w:tc>
      </w:tr>
    </w:tbl>
    <w:p>
      <w:pPr>
        <w:spacing w:after="120"/>
      </w:pPr>
    </w:p>
    <w:p>
      <w:pPr>
        <w:spacing w:after="160"/>
      </w:pPr>
      <w:r>
        <w:rPr>
          <w:i/>
          <w:iCs/>
          <w:color w:val="555555"/>
          <w:sz w:val="18"/>
          <w:szCs w:val="18"/>
        </w:rPr>
        <w:t xml:space="preserve">Sumber: D4 halaman 2 (portofolio 1–5); D2 (kumpulan modal dan ukuran). Portofolio 0 dan kolom arm adalah usulan kajian ini, yang harus diselaraskan dengan mandat hukum DAM, DIM dan DDMF.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Aturan batas yang tidak boleh dilanggar</w:t>
            </w:r>
          </w:p>
          <w:p>
            <w:pPr>
              <w:spacing w:after="60" w:line="290"/>
            </w:pPr>
            <w:r>
              <w:rPr>
                <w:sz w:val="21"/>
                <w:szCs w:val="21"/>
              </w:rPr>
              <w:t xml:space="preserve">Pengalihan aset memperbesar perimeter, tetapi tidak menciptakan imbal hasil. Portofolio warisan dan vintage investasi pasca pendirian harus dilaporkan terpisah [D2].</w:t>
            </w:r>
          </w:p>
          <w:p>
            <w:pPr>
              <w:spacing w:after="60" w:line="290"/>
            </w:pPr>
            <w:r>
              <w:rPr>
                <w:sz w:val="21"/>
                <w:szCs w:val="21"/>
              </w:rPr>
              <w:t xml:space="preserve">Imbal hasil finansial dan manfaat ekonomi dilaporkan berdampingan, tidak dijumlahkan. Hasil ekonomi positif tidak boleh disajikan sebagai laba investor [D2].</w:t>
            </w:r>
          </w:p>
        </w:tc>
      </w:tr>
    </w:tbl>
    <w:p>
      <w:pPr>
        <w:pStyle w:val="Heading2"/>
      </w:pPr>
      <w:bookmarkStart w:name="_Toc27" w:id="27"/>
      <w:r>
        <w:t xml:space="preserve">4.4 Logika perubahan</w:t>
      </w:r>
      <w:bookmarkEnd w:id="27"/>
    </w:p>
    <w:p>
      <w:pPr>
        <w:spacing w:after="140" w:line="300"/>
        <w:jc w:val="both"/>
      </w:pPr>
      <w:r>
        <w:t xml:space="preserve">Logika perubahan menghubungkan modal dengan kapabilitas melalui empat tahap, dengan skema DOCK-UP sebagai mekanisme penghubung [D3,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7"/>
        <w:gridCol w:w="3278"/>
      </w:tblGrid>
      <w:tr>
        <w:trPr>
          <w:tblHeader/>
        </w:trPr>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Tahap</w:t>
            </w:r>
          </w:p>
        </w:tc>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Mekanisme</w:t>
            </w:r>
          </w:p>
        </w:tc>
        <w:tc>
          <w:tcPr>
            <w:tcW w:type="dxa" w:w="327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 keberhasilan</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Modal, tata kelola dan mandat</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Danantara menempatkan modal dan menetapkan mandat per arm</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Register, jembatan modal, kontrak mandat</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Permintaan (Off-taker)</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Proyek anchor dan BUMN mengagregasi permintaan dengan kontrak jangka panjang</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Kontrak payung 3–5 tahun; volume yang dilepas per gerbang</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Pemasok (Develop, Certification)</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UKM dan pemasok Tier 1–3 dinaikkan kesiapannya dan disertifikasi</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Gerbang S1–S4 terverifikasi independen; C1–C3</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Kapabilitas (Upgrading)</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Dari build-to-print ke build-to-spec dan design-and-build; alih teknologi</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Produk sendiri TRL 7+; MRL 9; penjualan berulang dan ekspor</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Nilai</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Kapasitas, teknologi, pasokan dalam negeri dan ekspor</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Metrik D01–D12 terhadap kontrafaktual</w:t>
            </w:r>
          </w:p>
        </w:tc>
      </w:tr>
    </w:tbl>
    <w:p>
      <w:pPr>
        <w:spacing w:after="120"/>
      </w:pPr>
    </w:p>
    <w:p>
      <w:pPr>
        <w:pStyle w:val="Heading2"/>
      </w:pPr>
      <w:bookmarkStart w:name="_Toc28" w:id="28"/>
      <w:r>
        <w:t xml:space="preserve">4.5 Hasil yang diharapkan</w:t>
      </w:r>
      <w:bookmarkEnd w:id="28"/>
    </w:p>
    <w:p>
      <w:pPr>
        <w:pStyle w:val="ListParagraph"/>
        <w:numPr>
          <w:ilvl w:val="0"/>
          <w:numId w:val="5"/>
        </w:numPr>
        <w:spacing w:after="80" w:line="290"/>
      </w:pPr>
      <w:r>
        <w:t xml:space="preserve">Peningkatan kapasitas produksi dalam negeri.</w:t>
      </w:r>
    </w:p>
    <w:p>
      <w:pPr>
        <w:pStyle w:val="ListParagraph"/>
        <w:numPr>
          <w:ilvl w:val="0"/>
          <w:numId w:val="5"/>
        </w:numPr>
        <w:spacing w:after="80" w:line="290"/>
      </w:pPr>
      <w:r>
        <w:t xml:space="preserve">Lapangan kerja berkualitas, diukur sebagai FTE tambahan yang berkelanjutan di atas kontrafaktual, bukan hitungan bruto rantai pasok.</w:t>
      </w:r>
    </w:p>
    <w:p>
      <w:pPr>
        <w:pStyle w:val="ListParagraph"/>
        <w:numPr>
          <w:ilvl w:val="0"/>
          <w:numId w:val="5"/>
        </w:numPr>
        <w:spacing w:after="80" w:line="290"/>
      </w:pPr>
      <w:r>
        <w:t xml:space="preserve">Penguasaan teknologi dan kekayaan intelektual Indonesia.</w:t>
      </w:r>
    </w:p>
    <w:p>
      <w:pPr>
        <w:pStyle w:val="ListParagraph"/>
        <w:numPr>
          <w:ilvl w:val="0"/>
          <w:numId w:val="5"/>
        </w:numPr>
        <w:spacing w:after="80" w:line="290"/>
      </w:pPr>
      <w:r>
        <w:t xml:space="preserve">Peningkatan ekspor dan daya saing global.</w:t>
      </w:r>
    </w:p>
    <w:p>
      <w:pPr>
        <w:pStyle w:val="ListParagraph"/>
        <w:numPr>
          <w:ilvl w:val="0"/>
          <w:numId w:val="5"/>
        </w:numPr>
        <w:spacing w:after="80" w:line="290"/>
      </w:pPr>
      <w:r>
        <w:t xml:space="preserve">Ketahanan ekonomi, industri dan keamanan nasional.</w:t>
      </w:r>
    </w:p>
    <w:p>
      <w:pPr>
        <w:pStyle w:val="ListParagraph"/>
        <w:numPr>
          <w:ilvl w:val="0"/>
          <w:numId w:val="5"/>
        </w:numPr>
        <w:spacing w:after="80" w:line="290"/>
      </w:pPr>
      <w:r>
        <w:t xml:space="preserve">Nilai tambah untuk masyarakat dan lingkungan yang berkelanjutan.</w:t>
      </w:r>
    </w:p>
    <w:p>
      <w:pPr>
        <w:spacing w:after="160"/>
      </w:pPr>
      <w:r>
        <w:rPr>
          <w:i/>
          <w:iCs/>
          <w:color w:val="555555"/>
          <w:sz w:val="18"/>
          <w:szCs w:val="18"/>
        </w:rPr>
        <w:t xml:space="preserve">Sumber: D4 halaman 2 (hasil yang diharapkan). D4 menyebut “jutaan lapangan kerja berkualitas” sebagai aspirasi; kajian ini menuliskannya sebagai ukuran yang dapat diverifikasi (D03) tanpa angka target sampai baseline tersedia.</w:t>
      </w:r>
    </w:p>
    <w:p>
      <w:pPr>
        <w:pStyle w:val="Heading1"/>
        <w:pageBreakBefore/>
      </w:pPr>
      <w:bookmarkStart w:name="_Toc29" w:id="29"/>
      <w:r>
        <w:t xml:space="preserve">5. Organisasi dan Hak Keputusan</w:t>
      </w:r>
      <w:bookmarkEnd w:id="29"/>
    </w:p>
    <w:p>
      <w:pPr>
        <w:pStyle w:val="Heading2"/>
      </w:pPr>
      <w:bookmarkStart w:name="_Toc30" w:id="30"/>
      <w:r>
        <w:t xml:space="preserve">5.1 Empat pilihan organisasi</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02"/>
        <w:gridCol w:w="2891"/>
        <w:gridCol w:w="2218"/>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Pilihan</w:t>
            </w:r>
          </w:p>
        </w:tc>
        <w:tc>
          <w:tcPr>
            <w:tcW w:type="dxa" w:w="260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Kekuatan</w:t>
            </w:r>
          </w:p>
        </w:tc>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Keterbatasan</w:t>
            </w:r>
          </w:p>
        </w:tc>
        <w:tc>
          <w:tcPr>
            <w:tcW w:type="dxa" w:w="221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Penilaian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 Memperkuat CTO dan DDMF</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Cepat; memakai fungsi yang ada; cocok untuk proyek pembangunan dan teknologi</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Mandat lintas DAM dan DIM memerlukan piagam yang jelas</w:t>
            </w:r>
          </w:p>
        </w:tc>
        <w:tc>
          <w:tcPr>
            <w:tcW w:type="dxa" w:w="221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Layak bila hampir seluruh portofolio berada dalam mandat DDMF</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 Unit Industri Strategis di BPI</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Mengintegrasikan 40 proyek lintas arm; satu pemilik pengelolaan portofolio</w:t>
            </w:r>
          </w:p>
        </w:tc>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Berpotensi menjadi lapisan rapat tambahan tanpa akses data dan penyelesaian hambatan</w:t>
            </w:r>
          </w:p>
        </w:tc>
        <w:tc>
          <w:tcPr>
            <w:tcW w:type="dxa" w:w="221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Penerapan awal yang disarankan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 Wakil Kepala formal memimpin arm</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Kedudukan eksekutif senior memperkuat koordinasi</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Perlu kepastian jabatan dan kewenangan; rawan konflik dengan COO/CIO/CTO</w:t>
            </w:r>
          </w:p>
        </w:tc>
        <w:tc>
          <w:tcPr>
            <w:tcW w:type="dxa" w:w="221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Opsi pengembangan setelah kebutuhan kewenangan terbukti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 Holding industri baru atau badan di luar BPI</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Cocok untuk kepemilikan platform tertentu</w:t>
            </w:r>
          </w:p>
        </w:tc>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Transaksi aset, pendanaan, struktur saham dan regulasi lebih kompleks; dapat memecah portofolio</w:t>
            </w:r>
          </w:p>
        </w:tc>
        <w:tc>
          <w:tcPr>
            <w:tcW w:type="dxa" w:w="221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Hanya bila kebutuhan badan hukum khusus terbukti</w:t>
            </w:r>
          </w:p>
        </w:tc>
      </w:tr>
    </w:tbl>
    <w:p>
      <w:pPr>
        <w:spacing w:after="120"/>
      </w:pPr>
    </w:p>
    <w:p>
      <w:pPr>
        <w:spacing w:after="160"/>
      </w:pPr>
      <w:r>
        <w:rPr>
          <w:i/>
          <w:iCs/>
          <w:color w:val="555555"/>
          <w:sz w:val="18"/>
          <w:szCs w:val="18"/>
        </w:rPr>
        <w:t xml:space="preserve">Sumber: D1 bagian 6.</w:t>
      </w:r>
    </w:p>
    <w:p>
      <w:pPr>
        <w:pStyle w:val="Heading2"/>
      </w:pPr>
      <w:bookmarkStart w:name="_Toc31" w:id="31"/>
      <w:r>
        <w:t xml:space="preserve">5.2 Menyelaraskan NITO dengan Pilihan B</w:t>
      </w:r>
      <w:bookmarkEnd w:id="31"/>
    </w:p>
    <w:p>
      <w:pPr>
        <w:spacing w:after="140" w:line="300"/>
        <w:jc w:val="both"/>
      </w:pPr>
      <w:r>
        <w:t xml:space="preserve">D4 mengusulkan struktur </w:t>
      </w:r>
      <w:r>
        <w:rPr>
          <w:b/>
          <w:bCs/>
        </w:rPr>
        <w:t xml:space="preserve">NITO (Danantara National Industrial Transformation Office)</w:t>
      </w:r>
      <w:r>
        <w:t xml:space="preserve"> dengan delapan fungsi: strategi industri dan roadmap, pengembangan proyek (pre-FEED, FEED dan FID), teknologi dan IP, pengembangan rantai pasok, integrasi permintaan BUMN, pembiayaan industri, kantor kinerja, dan assurance independen. D1 merekomendasikan unit operasional di tingkat BPI terlebih dahulu, tanpa holding baru.</w:t>
      </w:r>
    </w:p>
    <w:p>
      <w:pPr>
        <w:spacing w:after="140" w:line="300"/>
        <w:jc w:val="both"/>
      </w:pPr>
      <w:r>
        <w:t xml:space="preserve">Kajian ini mengusulkan agar NITO </w:t>
      </w:r>
      <w:r>
        <w:rPr>
          <w:b/>
          <w:bCs/>
        </w:rPr>
        <w:t xml:space="preserve">dibentuk sebagai unit Pilihan B</w:t>
      </w:r>
      <w:r>
        <w:t xml:space="preserve">, bukan badan hukum baru. Fungsi-fungsi NITO dipetakan ke struktur MD yang dirancang D1, sedangkan fungsi kontrol tetap berada di luar promotor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69"/>
        <w:gridCol w:w="3278"/>
      </w:tblGrid>
      <w:tr>
        <w:trPr>
          <w:tblHeader/>
        </w:trPr>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Fungsi NITO (D4)</w:t>
            </w:r>
          </w:p>
        </w:tc>
        <w:tc>
          <w:tcPr>
            <w:tcW w:type="dxa" w:w="346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Penempatan dalam desain D1</w:t>
            </w:r>
          </w:p>
        </w:tc>
        <w:tc>
          <w:tcPr>
            <w:tcW w:type="dxa" w:w="327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Catatan</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Strategi industri dan roadmap</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Pengembangan Industri Strategis</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Arsitektur rantai nilai, pasar, offtake, substitusi impor</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Pengembangan proyek (pre-FEED, FEED, FID)</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MD Engineering dan Pelaksanaan</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Kesiapan studi, strategi kontrak, constructability</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Teknologi dan IP</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Koordinasi dengan CTO</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CTO memberi review teknis independen</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Pengembangan rantai pasok</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MD Pengembangan Industri Strategis (program DOCK-UP)</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Gerbang S1–S4, register kesiapan</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Integrasi permintaan BUMN</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Portofolio dan Project Delivery bersama DAM</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Agregasi permintaan dan kontrak payung</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Pembiayaan industri</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Koordinasi dengan CIO/DIM, DDMF dan Finance</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tidak memegang kewenangan modal</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Kantor kinerja</w:t>
            </w:r>
          </w:p>
        </w:tc>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Portofolio dan Project Delivery</w:t>
            </w:r>
          </w:p>
        </w:tc>
        <w:tc>
          <w:tcPr>
            <w:tcW w:type="dxa" w:w="327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Register, scorecard, dashboard</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Assurance independen</w:t>
            </w:r>
          </w:p>
        </w:tc>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Tetap pada Risk, Legal dan Internal Audit</w:t>
            </w:r>
          </w:p>
        </w:tc>
        <w:tc>
          <w:tcPr>
            <w:tcW w:type="dxa" w:w="327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Tidak melapor kepada promotor proyek</w:t>
            </w:r>
          </w:p>
        </w:tc>
      </w:tr>
    </w:tbl>
    <w:p>
      <w:pPr>
        <w:spacing w:after="120"/>
      </w:pPr>
    </w:p>
    <w:p>
      <w:pPr>
        <w:pStyle w:val="Heading2"/>
      </w:pPr>
      <w:bookmarkStart w:name="_Toc32" w:id="32"/>
      <w:r>
        <w:t xml:space="preserve">5.3 Mandat dan struktur unit</w:t>
      </w:r>
      <w:bookmarkEnd w:id="32"/>
    </w:p>
    <w:p>
      <w:pPr>
        <w:spacing w:after="140" w:line="300"/>
        <w:jc w:val="both"/>
      </w:pPr>
      <w:r>
        <w:t xml:space="preserve">Pimpinan unit bertanggung jawab atas prioritas terpadu, penyelesaian ketergantungan, mutu paket keputusan, kapasitas tim dan pelaporan hasil. Keputusan modal, penjaminan, pengangkatan pengurus, kontrak dan penghentian proyek secara hukum tetap pada organ yang sah [D1]. Desain awal menggunakan secondment dari fungsi yang tersedia, dengan empat pemimpin klaster: mineral dan material; energi dan infrastruktur industri; pertahanan dan maritim; serta manufaktur strategis lainnya. Tidak ada satu pimpinan yang mengelola langsung 40 proyek sebagai pelaksana harian.</w:t>
      </w:r>
    </w:p>
    <w:p>
      <w:pPr>
        <w:pStyle w:val="Heading2"/>
      </w:pPr>
      <w:bookmarkStart w:name="_Toc33" w:id="33"/>
      <w:r>
        <w:t xml:space="preserve">5.4 Hubungan kerja dengan arm dan fungsi kontrol</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662"/>
        <w:gridCol w:w="4242"/>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Fungsi</w:t>
            </w:r>
          </w:p>
        </w:tc>
        <w:tc>
          <w:tcPr>
            <w:tcW w:type="dxa" w:w="366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Tetap bertanggung jawab atas</w:t>
            </w:r>
          </w:p>
        </w:tc>
        <w:tc>
          <w:tcPr>
            <w:tcW w:type="dxa" w:w="424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Hubungan dengan unit</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COO dan DAM</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Pengelolaan dan transformasi operasi portofolio BUMN</w:t>
            </w:r>
          </w:p>
        </w:tc>
        <w:tc>
          <w:tcPr>
            <w:tcW w:type="dxa" w:w="42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Menugaskan sponsor dan kemampuan operasi BUMN; menyepakati batas aset</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CIO dan DIM</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Pengujian investasi komersial, alokasi modal, kemitraan</w:t>
            </w:r>
          </w:p>
        </w:tc>
        <w:tc>
          <w:tcPr>
            <w:tcW w:type="dxa" w:w="424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Menelaah financial case dan struktur dana dalam satu paket keputusan</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CTO</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Arsitektur teknologi, kesiapan skala, IPR</w:t>
            </w:r>
          </w:p>
        </w:tc>
        <w:tc>
          <w:tcPr>
            <w:tcW w:type="dxa" w:w="42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Review teknis independen atas klaim vendor</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DDMF</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Persiapan, strukturisasi, mobilisasi modal dan pelaksanaan pembangunan</w:t>
            </w:r>
          </w:p>
        </w:tc>
        <w:tc>
          <w:tcPr>
            <w:tcW w:type="dxa" w:w="424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mengelola ketergantungan portofolio; DDMF menjalankan proyek yang ditugaskan</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Finance</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Likuiditas, biaya modal, akuntansi, konsolidasi</w:t>
            </w:r>
          </w:p>
        </w:tc>
        <w:tc>
          <w:tcPr>
            <w:tcW w:type="dxa" w:w="42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Menguji sumber modal dan pembiayaan</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Risk dan Legal</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Opini risiko, kepatuhan dan kewenangan</w:t>
            </w:r>
          </w:p>
        </w:tc>
        <w:tc>
          <w:tcPr>
            <w:tcW w:type="dxa" w:w="424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Tidak melapor secara substantif kepada promotor; pendapat masuk risalah</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Internal Audit</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Assurance atas kontrol</w:t>
            </w:r>
          </w:p>
        </w:tc>
        <w:tc>
          <w:tcPr>
            <w:tcW w:type="dxa" w:w="424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Bukan pemberi persetujuan investasi</w:t>
            </w:r>
          </w:p>
        </w:tc>
      </w:tr>
    </w:tbl>
    <w:p>
      <w:pPr>
        <w:spacing w:after="120"/>
      </w:pPr>
    </w:p>
    <w:p>
      <w:pPr>
        <w:pStyle w:val="Heading2"/>
      </w:pPr>
      <w:bookmarkStart w:name="_Toc34" w:id="34"/>
      <w:r>
        <w:t xml:space="preserve">5.5 Jalur hukum Wakil Kepala</w:t>
      </w:r>
      <w:bookmarkEnd w:id="34"/>
    </w:p>
    <w:p>
      <w:pPr>
        <w:spacing w:after="140" w:line="300"/>
        <w:jc w:val="both"/>
      </w:pPr>
      <w:r>
        <w:t xml:space="preserve">PP 10/2025 menempatkan pengangkatan anggota Badan Pelaksana pada Presiden (Pasal 13), membuka jumlah anggota sesuai kebutuhan (Pasal 14), memberi kewenangan menyusun organisasi (Pasal 15), dan menempatkan keputusan Badan Pelaksana pada Kepala (Pasal 18). PP 19/2026 tidak secara eksplisit menambah jabatan Wakil Kepala [D1]. Urutan yang disarankan:</w:t>
      </w:r>
    </w:p>
    <w:p>
      <w:pPr>
        <w:pStyle w:val="ListParagraph"/>
        <w:numPr>
          <w:ilvl w:val="0"/>
          <w:numId w:val="6"/>
        </w:numPr>
        <w:spacing w:after="80" w:line="290"/>
      </w:pPr>
      <w:r>
        <w:rPr>
          <w:b/>
          <w:bCs/>
        </w:rPr>
        <w:t xml:space="preserve">Sekarang:</w:t>
      </w:r>
      <w:r>
        <w:t xml:space="preserve"> pemimpin unit profesional (“Head of Strategic Industry and Project Delivery”), atau anggota Badan Pelaksana bidang Industri Strategis bila diangkat sesuai Pasal 14.</w:t>
      </w:r>
    </w:p>
    <w:p>
      <w:pPr>
        <w:pStyle w:val="ListParagraph"/>
        <w:numPr>
          <w:ilvl w:val="0"/>
          <w:numId w:val="6"/>
        </w:numPr>
        <w:spacing w:after="80" w:line="290"/>
      </w:pPr>
      <w:r>
        <w:rPr>
          <w:b/>
          <w:bCs/>
        </w:rPr>
        <w:t xml:space="preserve">Kemudian, bila terbukti:</w:t>
      </w:r>
      <w:r>
        <w:t xml:space="preserve"> Wakil Kepala Badan Pelaksana Bidang Industri Strategis dan Pelaksanaan Proyek, setelah harmonisasi Pasal 12–18 dan UU BUMN.</w:t>
      </w:r>
    </w:p>
    <w:p>
      <w:pPr>
        <w:pStyle w:val="ListParagraph"/>
        <w:numPr>
          <w:ilvl w:val="0"/>
          <w:numId w:val="6"/>
        </w:numPr>
        <w:spacing w:after="80" w:line="290"/>
      </w:pPr>
      <w:r>
        <w:rPr>
          <w:b/>
          <w:bCs/>
        </w:rPr>
        <w:t xml:space="preserve">Hindari:</w:t>
      </w:r>
      <w:r>
        <w:t xml:space="preserve"> gelar “Deputy Chairman” bila terbaca sebagai Wakil Ketua Dewan Pengawas, karena menimbulkan kesan mengawasi pekerjaan sendiri.</w:t>
      </w:r>
    </w:p>
    <w:p>
      <w:pPr>
        <w:spacing w:after="140" w:line="300"/>
        <w:jc w:val="both"/>
      </w:pPr>
      <w:r>
        <w:t xml:space="preserve">Kriteria kenaikan dari unit ke jabatan formal: sengketa mandat yang tidak terselesaikan, antrian keputusan lintas arm yang berulang, kebutuhan pengganti saat Kepala berhalangan, atau lingkup tanggung jawab yang secara nyata memerlukan jabatan formal [D1].</w:t>
      </w:r>
    </w:p>
    <w:p>
      <w:pPr>
        <w:pStyle w:val="Heading2"/>
      </w:pPr>
      <w:bookmarkStart w:name="_Toc35" w:id="35"/>
      <w:r>
        <w:t xml:space="preserve">5.6 Gerbang keputusan proyek P0–P6</w:t>
      </w:r>
      <w:bookmarkEnd w:id="35"/>
    </w:p>
    <w:p>
      <w:pPr>
        <w:spacing w:after="140" w:line="300"/>
        <w:jc w:val="both"/>
      </w:pPr>
      <w:r>
        <w:t xml:space="preserve">D1 merancang gerbang G0–G6 untuk keputusan proyek. Karena D3 memakai G1–G4 untuk kesiapan pemasok, kajian ini mengusulkan penamaan </w:t>
      </w:r>
      <w:r>
        <w:rPr>
          <w:b/>
          <w:bCs/>
        </w:rPr>
        <w:t xml:space="preserve">P0–P6</w:t>
      </w:r>
      <w:r>
        <w:t xml:space="preserve"> untuk gerbang proyek dan </w:t>
      </w:r>
      <w:r>
        <w:rPr>
          <w:b/>
          <w:bCs/>
        </w:rPr>
        <w:t xml:space="preserve">S1–S4</w:t>
      </w:r>
      <w:r>
        <w:t xml:space="preserve"> untuk gerbang pemasok (Lampiran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819"/>
        <w:gridCol w:w="2506"/>
      </w:tblGrid>
      <w:tr>
        <w:trPr>
          <w:tblHeader/>
        </w:trPr>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Gerbang</w:t>
            </w:r>
          </w:p>
        </w:tc>
        <w:tc>
          <w:tcPr>
            <w:tcW w:type="dxa" w:w="481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 untuk melanjutkan</w:t>
            </w:r>
          </w:p>
        </w:tc>
        <w:tc>
          <w:tcPr>
            <w:tcW w:type="dxa" w:w="250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Pemilik keluaran</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P0 Validasi mandat</w:t>
            </w:r>
          </w:p>
        </w:tc>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Identitas, dasar penugasan, sponsor, lingkup, biaya, jalur keputusan</w:t>
            </w:r>
          </w:p>
        </w:tc>
        <w:tc>
          <w:tcPr>
            <w:tcW w:type="dxa" w:w="250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Portofolio; sponsor mengonfirmasi</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P1 Prioritas dan pilihan</w:t>
            </w:r>
          </w:p>
        </w:tc>
        <w:tc>
          <w:tcPr>
            <w:tcW w:type="dxa" w:w="481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Kasus finansial dan dampak nasional; alternatif termasuk tidak membangun; rencana lokalisasi awal</w:t>
            </w:r>
          </w:p>
        </w:tc>
        <w:tc>
          <w:tcPr>
            <w:tcW w:type="dxa" w:w="250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MD Pengembangan Industri bersama sponsor</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P2 Kesiapan investasi</w:t>
            </w:r>
          </w:p>
        </w:tc>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Studi, teknis, lahan, izin, IPR, lingkungan sosial, offtake, risiko, modal; peta pemasok dan target gerbang S</w:t>
            </w:r>
          </w:p>
        </w:tc>
        <w:tc>
          <w:tcPr>
            <w:tcW w:type="dxa" w:w="250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Sponsor; fungsi teknis, risiko, legal, investor menelaah</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P3 Keputusan modal</w:t>
            </w:r>
          </w:p>
        </w:tc>
        <w:tc>
          <w:tcPr>
            <w:tcW w:type="dxa" w:w="481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Rekomendasi komite, pendapat berbeda, konflik, reserved approvals</w:t>
            </w:r>
          </w:p>
        </w:tc>
        <w:tc>
          <w:tcPr>
            <w:tcW w:type="dxa" w:w="250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Kepala untuk Badan; organ perusahaan untuk perseroan</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P4 Financial close dan konstruksi</w:t>
            </w:r>
          </w:p>
        </w:tc>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Pendanaan mengikat, CP, kontrak efektif, jadwal dasar</w:t>
            </w:r>
          </w:p>
        </w:tc>
        <w:tc>
          <w:tcPr>
            <w:tcW w:type="dxa" w:w="250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Organ perusahaan dan project director</w:t>
            </w:r>
          </w:p>
        </w:tc>
      </w:tr>
      <w:tr>
        <w:trPr>
          <w:cantSplit/>
        </w:trPr>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P5 Commissioning dan operasi</w:t>
            </w:r>
          </w:p>
        </w:tc>
        <w:tc>
          <w:tcPr>
            <w:tcW w:type="dxa" w:w="481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Uji kinerja, keselamatan, penerimaan aset, kesiapan rantai pasok</w:t>
            </w:r>
          </w:p>
        </w:tc>
        <w:tc>
          <w:tcPr>
            <w:tcW w:type="dxa" w:w="250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Perusahaan pelaksana</w:t>
            </w:r>
          </w:p>
        </w:tc>
      </w:tr>
      <w:tr>
        <w:trPr>
          <w:cantSplit/>
        </w:trPr>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P6 Evaluasi hasil</w:t>
            </w:r>
          </w:p>
        </w:tc>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Biaya akhir, manfaat aktual, kapasitas, teknologi, emisi; perbaikan atau exit</w:t>
            </w:r>
          </w:p>
        </w:tc>
        <w:tc>
          <w:tcPr>
            <w:tcW w:type="dxa" w:w="250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Sponsor; audit memberi assurance</w:t>
            </w:r>
          </w:p>
        </w:tc>
      </w:tr>
    </w:tbl>
    <w:p>
      <w:pPr>
        <w:spacing w:after="120"/>
      </w:pPr>
    </w:p>
    <w:p>
      <w:pPr>
        <w:spacing w:after="160"/>
      </w:pPr>
      <w:r>
        <w:rPr>
          <w:i/>
          <w:iCs/>
          <w:color w:val="555555"/>
          <w:sz w:val="18"/>
          <w:szCs w:val="18"/>
        </w:rPr>
        <w:t xml:space="preserve">Sumber: D1 bagian 11. Unsur “rencana lokalisasi awal” (P1) dan “peta pemasok dan target gerbang S” (P2) adalah tambahan kajian ini untuk menghubungkan gerbang proyek dengan DOCK-UP.</w:t>
      </w:r>
    </w:p>
    <w:p>
      <w:pPr>
        <w:spacing w:after="140" w:line="300"/>
        <w:jc w:val="both"/>
      </w:pPr>
      <w:r>
        <w:t xml:space="preserve">Target internal penyelesaian hambatan: triase dalam 2 hari kerja, rencana penanganan dalam 5 hari, eskalasi lintas arm kepada Kepala setelah 10 hari, dan review lengkap dalam 15 hari setelah dokumen lengkap. Keterlambatan tidak menimbulkan persetujuan otomatis [D1].</w:t>
      </w:r>
    </w:p>
    <w:p>
      <w:pPr>
        <w:pStyle w:val="Heading2"/>
      </w:pPr>
      <w:bookmarkStart w:name="_Toc36" w:id="36"/>
      <w:r>
        <w:t xml:space="preserve">5.7 Peta kewenangan dan RASCI</w:t>
      </w:r>
      <w:bookmarkEnd w:id="36"/>
    </w:p>
    <w:p>
      <w:pPr>
        <w:spacing w:after="140" w:line="300"/>
        <w:jc w:val="both"/>
      </w:pPr>
      <w:r>
        <w:t xml:space="preserve">Prinsip yang dipegang: setiap keputusan penting tetap pada organ yang sah; unit menyiapkan keputusan tetapi tidak menyetujuinya; setiap aktivitas memiliki tepat satu pemilik hasil (A). D1 merancang 24 aktivitas RASCI dari rekonsiliasi register (S01) sampai keputusan penghentian perusahaan (S24). Ringkasan aktivitas kunci: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2698"/>
        <w:gridCol w:w="2893"/>
      </w:tblGrid>
      <w:tr>
        <w:trPr>
          <w:tblHeader/>
        </w:trPr>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Aktivitas</w:t>
            </w:r>
          </w:p>
        </w:tc>
        <w:tc>
          <w:tcPr>
            <w:tcW w:type="dxa" w:w="269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 (pemilik hasil)</w:t>
            </w:r>
          </w:p>
        </w:tc>
        <w:tc>
          <w:tcPr>
            <w:tcW w:type="dxa" w:w="289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R (pelaksana)</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Rekonsiliasi register 40 proyek</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Portofolio</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MD Portofolio, sponsor</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Penetapan prioritas Badan</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Kepala Badan Pelaksana</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Pimpinan Industri Strategis</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Paket kelayakan dan kesiapan proyek</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Sponsor</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Project director, MD Industri, MD Engineering</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Opini risiko independen</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Fungsi risiko</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Fungsi risiko</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Rancangan struktur pembiayaan</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CIO/DIM</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CIO, Finance, DDMF</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Keputusan investasi perusahaan</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Organ perusahaan</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Sponsor</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Pelaksanaan konstruksi</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Project director</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Project director, MD Engineering</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Konsolidasi manfaat dan hasil</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MD Portofolio</w:t>
            </w:r>
          </w:p>
        </w:tc>
        <w:tc>
          <w:tcPr>
            <w:tcW w:type="dxa" w:w="289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MD Portofolio, MD Industri</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Audit independen</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Internal Audit</w:t>
            </w:r>
          </w:p>
        </w:tc>
        <w:tc>
          <w:tcPr>
            <w:tcW w:type="dxa" w:w="289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Internal Audit</w:t>
            </w:r>
          </w:p>
        </w:tc>
      </w:tr>
    </w:tbl>
    <w:p>
      <w:pPr>
        <w:spacing w:after="120"/>
      </w:pPr>
    </w:p>
    <w:p>
      <w:pPr>
        <w:spacing w:after="160"/>
      </w:pPr>
      <w:r>
        <w:rPr>
          <w:i/>
          <w:iCs/>
          <w:color w:val="555555"/>
          <w:sz w:val="18"/>
          <w:szCs w:val="18"/>
        </w:rPr>
        <w:t xml:space="preserve">Sumber: D1 bagian 12–15. RASCI lengkap 24 aktivitas tersedia di D1 dan harus dicocokkan dengan board manual, anggaran dasar, piagam unit dan delegasi aktual sebelum disahkan.</w:t>
      </w:r>
    </w:p>
    <w:p>
      <w:pPr>
        <w:pStyle w:val="Heading1"/>
        <w:pageBreakBefore/>
      </w:pPr>
      <w:bookmarkStart w:name="_Toc37" w:id="37"/>
      <w:r>
        <w:t xml:space="preserve">6. Sistem Manajemen Kinerja</w:t>
      </w:r>
      <w:bookmarkEnd w:id="37"/>
    </w:p>
    <w:p>
      <w:pPr>
        <w:spacing w:after="140" w:line="300"/>
        <w:jc w:val="both"/>
      </w:pPr>
      <w:r>
        <w:t xml:space="preserve">Satu angka laba atau dividen tidak dapat mewakili tiga mandat Danantara. D2 mengusulkan tiga scorecard yang terhubung, didukung kelas bukti, aturan penilaian yang adil, dan kontrol atribusi. Bab ini mengadopsi kerangka tersebut dan menambahkan ukuran kapabilitas yang menghubungkannya dengan DOCK-UP.</w:t>
      </w:r>
    </w:p>
    <w:p>
      <w:pPr>
        <w:pStyle w:val="Heading2"/>
      </w:pPr>
      <w:bookmarkStart w:name="_Toc38" w:id="38"/>
      <w:r>
        <w:t xml:space="preserve">6.1 Lima tahap modal</w:t>
      </w:r>
      <w:bookmarkEnd w:id="38"/>
    </w:p>
    <w:p>
      <w:pPr>
        <w:spacing w:after="140" w:line="300"/>
        <w:jc w:val="both"/>
      </w:pPr>
      <w:r>
        <w:t xml:space="preserve">Pelaporan harus membedakan lima tahap modal, karena masing-masing membuktikan hal yang berbeda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084"/>
        <w:gridCol w:w="2313"/>
        <w:gridCol w:w="2314"/>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Tahap</w:t>
            </w:r>
          </w:p>
        </w:tc>
        <w:tc>
          <w:tcPr>
            <w:tcW w:type="dxa" w:w="308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Contoh</w:t>
            </w:r>
          </w:p>
        </w:tc>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Yang dibuktikan</w:t>
            </w:r>
          </w:p>
        </w:tc>
        <w:tc>
          <w:tcPr>
            <w:tcW w:type="dxa" w:w="231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Yang tidak dibuktikan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 Dihimpun</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Obligasi DIM USD1,5 miliar</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Akses pendanaan</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2. Dikomitmenkan</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Subscription bersyarat CA–EDC</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Niat investasi</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Kas dibayar</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3. Dicairkan</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Kas benar-benar dibayar ke proyek</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Penempatan neraca</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Laba</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4. Konstruksi selesai</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Commissioning</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Aset tersedia</w:t>
            </w:r>
          </w:p>
        </w:tc>
        <w:tc>
          <w:tcPr>
            <w:tcW w:type="dxa" w:w="231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Output dan manfaat</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5. Manfaat tercapai</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output, dampak</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terealisasi</w:t>
            </w:r>
          </w:p>
        </w:tc>
        <w:tc>
          <w:tcPr>
            <w:tcW w:type="dxa" w:w="231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bl>
    <w:p>
      <w:pPr>
        <w:spacing w:after="120"/>
      </w:pPr>
    </w:p>
    <w:p>
      <w:pPr>
        <w:spacing w:after="140" w:line="300"/>
        <w:jc w:val="both"/>
      </w:pPr>
      <w:r>
        <w:t xml:space="preserve">Penandatanganan PPA bukan financial close, peresmian konstruksi bukan progres yang dicapai, pengalihan kepemilikan aset bukan apresiasi nilai, dan kenaikan setoran dividen dapat mencerminkan kebijakan payout atau laba warisan, bukan produktivitas [D2].</w:t>
      </w:r>
    </w:p>
    <w:p>
      <w:pPr>
        <w:pStyle w:val="Heading2"/>
      </w:pPr>
      <w:bookmarkStart w:name="_Toc39" w:id="39"/>
      <w:r>
        <w:t xml:space="preserve">6.2 Tiga scorecard dan 39 metrik hasil</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300"/>
        <w:gridCol w:w="2411"/>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Scorecard</w:t>
            </w:r>
          </w:p>
        </w:tc>
        <w:tc>
          <w:tcPr>
            <w:tcW w:type="dxa" w:w="530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Metrik</w:t>
            </w:r>
          </w:p>
        </w:tc>
        <w:tc>
          <w:tcPr>
            <w:tcW w:type="dxa" w:w="241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Fokus</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Investasi (I01–I12)</w:t>
            </w:r>
          </w:p>
        </w:tc>
        <w:tc>
          <w:tcPr>
            <w:tcW w:type="dxa" w:w="530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bersih pasar publik, IRR bersih privat, PME, DPI, NPV finansial, rasio kerugian, konsentrasi, likuiditas stres, biaya investasi, mobilisasi swasta, milestone strategis, spread pendanaan</w:t>
            </w:r>
          </w:p>
        </w:tc>
        <w:tc>
          <w:tcPr>
            <w:tcW w:type="dxa" w:w="241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disesuaikan risiko, biaya dan disiplin pelaksanaan</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Operasi BUMN (O01–O15)</w:t>
            </w:r>
          </w:p>
        </w:tc>
        <w:tc>
          <w:tcPr>
            <w:tcW w:type="dxa" w:w="530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ROIC − WACC, economic profit inkremental, margin EBITDA, konversi kas, biaya unit riil, nilai tambah per pegawai, pertumbuhan organik, utang bersih/EBITDA, manfaat transformasi, keandalan layanan, ROE bank − cost of equity, CIR, NPL, headroom CET1, biaya mandat layanan publik tak didanai</w:t>
            </w:r>
          </w:p>
        </w:tc>
        <w:tc>
          <w:tcPr>
            <w:tcW w:type="dxa" w:w="241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Produktivitas dan kesehatan BUMN, dengan ukuran khusus bank</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Pembangunan (D01–D12)</w:t>
            </w:r>
          </w:p>
        </w:tc>
        <w:tc>
          <w:tcPr>
            <w:tcW w:type="dxa" w:w="530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EIRR di atas hurdle sosial, nilai tambah domestik, lapangan kerja tambahan, devisa bersih, pangsa nilai tambah domestik, milestone teknologi, utilisasi komersial, commissioning tepat waktu/anggaran, produktivitas pemasok, penurunan GRK, layanan andal dan terjangkau, dukungan publik per hasil</w:t>
            </w:r>
          </w:p>
        </w:tc>
        <w:tc>
          <w:tcPr>
            <w:tcW w:type="dxa" w:w="241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Kapabilitas industri dan dampak tambahan terhadap kontrafaktual</w:t>
            </w:r>
          </w:p>
        </w:tc>
      </w:tr>
    </w:tbl>
    <w:p>
      <w:pPr>
        <w:spacing w:after="120"/>
      </w:pPr>
    </w:p>
    <w:p>
      <w:pPr>
        <w:spacing w:after="140" w:line="300"/>
        <w:jc w:val="both"/>
      </w:pPr>
      <w:r>
        <w:t xml:space="preserve">Definisi lengkap setiap metrik, benchmark dan catatannya ada di Lampiran A dan di workbook D2. Enam kontrol tata kelola berfungsi sebagai gate, bukan poin bonus.</w:t>
      </w:r>
    </w:p>
    <w:p>
      <w:pPr>
        <w:pStyle w:val="Heading2"/>
      </w:pPr>
      <w:bookmarkStart w:name="_Toc40" w:id="40"/>
      <w:r>
        <w:t xml:space="preserve">6.3 Ukuran kapabilitas tambahan untuk platform industri</w:t>
      </w:r>
      <w:bookmarkEnd w:id="40"/>
    </w:p>
    <w:p>
      <w:pPr>
        <w:spacing w:after="140" w:line="300"/>
        <w:jc w:val="both"/>
      </w:pPr>
      <w:r>
        <w:t xml:space="preserve">Agar scorecard mencerminkan transformasi menjadi platform industri, kajian ini mengusulkan lima indikator tambahan yang bersumber dari D3 dan D4. Indikator ini melengkapi, bukan menggantikan, D05, D06 dan D09: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2602"/>
        <w:gridCol w:w="4337"/>
        <w:gridCol w:w="1447"/>
      </w:tblGrid>
      <w:tr>
        <w:trPr>
          <w:tblHeader/>
        </w:trPr>
        <w:tc>
          <w:tcPr>
            <w:tcW w:type="dxa" w:w="125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Kode usulan</w:t>
            </w:r>
          </w:p>
        </w:tc>
        <w:tc>
          <w:tcPr>
            <w:tcW w:type="dxa" w:w="260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Indikator</w:t>
            </w:r>
          </w:p>
        </w:tc>
        <w:tc>
          <w:tcPr>
            <w:tcW w:type="dxa" w:w="433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Definisi</w:t>
            </w:r>
          </w:p>
        </w:tc>
        <w:tc>
          <w:tcPr>
            <w:tcW w:type="dxa" w:w="14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Sumber gagasan</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K01</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Pipeline pemasok per gerbang</w:t>
            </w:r>
          </w:p>
        </w:tc>
        <w:tc>
          <w:tcPr>
            <w:tcW w:type="dxa" w:w="43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Jumlah UKM/pemasok terverifikasi pada S1, S2, S3, S4</w:t>
            </w:r>
          </w:p>
        </w:tc>
        <w:tc>
          <w:tcPr>
            <w:tcW w:type="dxa" w:w="14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D3</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K02</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Nilai pesanan ke pemasok dalam negeri per gerbang</w:t>
            </w:r>
          </w:p>
        </w:tc>
        <w:tc>
          <w:tcPr>
            <w:tcW w:type="dxa" w:w="433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Nilai kontrak yang dilepas per tahap 1–3, dibandingkan kesiapan terverifikasi</w:t>
            </w:r>
          </w:p>
        </w:tc>
        <w:tc>
          <w:tcPr>
            <w:tcW w:type="dxa" w:w="14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D3</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K03</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Kandungan dalam negeri berbasis kapabilitas</w:t>
            </w:r>
          </w:p>
        </w:tc>
        <w:tc>
          <w:tcPr>
            <w:tcW w:type="dxa" w:w="43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tambah domestik terverifikasi pada komponen proyek anchor, bukan hanya sertifikat TKDN</w:t>
            </w:r>
          </w:p>
        </w:tc>
        <w:tc>
          <w:tcPr>
            <w:tcW w:type="dxa" w:w="14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D4, D2 (D05)</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K04</w:t>
            </w:r>
          </w:p>
        </w:tc>
        <w:tc>
          <w:tcPr>
            <w:tcW w:type="dxa" w:w="26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Waktu siklus kenaikan gerbang</w:t>
            </w:r>
          </w:p>
        </w:tc>
        <w:tc>
          <w:tcPr>
            <w:tcW w:type="dxa" w:w="433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Median bulan dari S1 ke S3 per kelompok komponen</w:t>
            </w:r>
          </w:p>
        </w:tc>
        <w:tc>
          <w:tcPr>
            <w:tcW w:type="dxa" w:w="14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D3</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K05</w:t>
            </w:r>
          </w:p>
        </w:tc>
        <w:tc>
          <w:tcPr>
            <w:tcW w:type="dxa" w:w="26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Tingkat kegagalan mutu pasca pesanan</w:t>
            </w:r>
          </w:p>
        </w:tc>
        <w:tc>
          <w:tcPr>
            <w:tcW w:type="dxa" w:w="433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Ketidaksesuaian atau penolakan pada batch yang dipasok</w:t>
            </w:r>
          </w:p>
        </w:tc>
        <w:tc>
          <w:tcPr>
            <w:tcW w:type="dxa" w:w="14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D3 (risiko kuota)</w:t>
            </w:r>
          </w:p>
        </w:tc>
      </w:tr>
    </w:tbl>
    <w:p>
      <w:pPr>
        <w:spacing w:after="120"/>
      </w:pPr>
    </w:p>
    <w:p>
      <w:pPr>
        <w:pStyle w:val="Heading2"/>
      </w:pPr>
      <w:bookmarkStart w:name="_Toc41" w:id="41"/>
      <w:r>
        <w:t xml:space="preserve">6.4 Aturan penilaian</w:t>
      </w:r>
      <w:bookmarkEnd w:id="41"/>
    </w:p>
    <w:p>
      <w:pPr>
        <w:pStyle w:val="ListParagraph"/>
        <w:numPr>
          <w:ilvl w:val="0"/>
          <w:numId w:val="5"/>
        </w:numPr>
        <w:spacing w:after="80" w:line="290"/>
      </w:pPr>
      <w:r>
        <w:t xml:space="preserve">Bobot aliran usulan: 40% investasi, 35% operasi, 25% pembangunan, hanya sebagai titik awal tata kelola; dewan dapat memilih bobot lain setelah mandat diperjelas.</w:t>
      </w:r>
    </w:p>
    <w:p>
      <w:pPr>
        <w:pStyle w:val="ListParagraph"/>
        <w:numPr>
          <w:ilvl w:val="0"/>
          <w:numId w:val="5"/>
        </w:numPr>
        <w:spacing w:after="80" w:line="290"/>
      </w:pPr>
      <w:r>
        <w:t xml:space="preserve">Setiap metrik memakai anchor buruk, target dan stretch dengan skor 0, 80 dan 100, interpolasi linear.</w:t>
      </w:r>
    </w:p>
    <w:p>
      <w:pPr>
        <w:pStyle w:val="ListParagraph"/>
        <w:numPr>
          <w:ilvl w:val="0"/>
          <w:numId w:val="5"/>
        </w:numPr>
        <w:spacing w:after="80" w:line="290"/>
      </w:pPr>
      <w:r>
        <w:t xml:space="preserve">Minimal 80% bobot metrik yang berlaku dalam setiap aliran harus dapat dinilai, dan semua metrik kritis serta gate harus lolos sebelum skor komposit diterbitkan.</w:t>
      </w:r>
    </w:p>
    <w:p>
      <w:pPr>
        <w:pStyle w:val="ListParagraph"/>
        <w:numPr>
          <w:ilvl w:val="0"/>
          <w:numId w:val="5"/>
        </w:numPr>
        <w:spacing w:after="80" w:line="290"/>
      </w:pPr>
      <w:r>
        <w:t xml:space="preserve">Metrik yang hilang tetap NR, tidak pernah nol; bobot tidak boleh dihapus karena hasilnya buruk.</w:t>
      </w:r>
    </w:p>
    <w:p>
      <w:pPr>
        <w:pStyle w:val="ListParagraph"/>
        <w:numPr>
          <w:ilvl w:val="0"/>
          <w:numId w:val="5"/>
        </w:numPr>
        <w:spacing w:after="80" w:line="290"/>
      </w:pPr>
      <w:r>
        <w:t xml:space="preserve">Belum ada skor agregat yang ditetapkan saat ini; sistem siap menerima data manajemen.</w:t>
      </w:r>
    </w:p>
    <w:p>
      <w:pPr>
        <w:pStyle w:val="Heading2"/>
      </w:pPr>
      <w:bookmarkStart w:name="_Toc42" w:id="42"/>
      <w:r>
        <w:t xml:space="preserve">6.5 Benchmark</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373"/>
        <w:gridCol w:w="4338"/>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Kumpulan</w:t>
            </w:r>
          </w:p>
        </w:tc>
        <w:tc>
          <w:tcPr>
            <w:tcW w:type="dxa" w:w="337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Benchmark</w:t>
            </w:r>
          </w:p>
        </w:tc>
        <w:tc>
          <w:tcPr>
            <w:tcW w:type="dxa" w:w="433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Rujukan yang dipublikasikan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Investasi likuid</w:t>
            </w:r>
          </w:p>
        </w:tc>
        <w:tc>
          <w:tcPr>
            <w:tcW w:type="dxa" w:w="337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Portofolio kebijakan yang disetujui</w:t>
            </w:r>
          </w:p>
        </w:tc>
        <w:tc>
          <w:tcPr>
            <w:tcW w:type="dxa" w:w="43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Temasek (SGD, 31 Maret 2026): TSR 5 tahun 4,6%, 10 tahun 7,1%, 20 tahun 6,8%</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Investasi privat</w:t>
            </w:r>
          </w:p>
        </w:tc>
        <w:tc>
          <w:tcPr>
            <w:tcW w:type="dxa" w:w="337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Perbandingan vintage/sektor dan PME</w:t>
            </w:r>
          </w:p>
        </w:tc>
        <w:tc>
          <w:tcPr>
            <w:tcW w:type="dxa" w:w="43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Khazanah FY2025: tahunan 5,2%, 7 tahun disetahunkan 6,1%</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BUMN</w:t>
            </w:r>
          </w:p>
        </w:tc>
        <w:tc>
          <w:tcPr>
            <w:tcW w:type="dxa" w:w="337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Peer operasi sebanding (median dan kuartil atas)</w:t>
            </w:r>
          </w:p>
        </w:tc>
        <w:tc>
          <w:tcPr>
            <w:tcW w:type="dxa" w:w="43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Ditetapkan sebelum hasil diamati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Proyek pembangunan</w:t>
            </w:r>
          </w:p>
        </w:tc>
        <w:tc>
          <w:tcPr>
            <w:tcW w:type="dxa" w:w="337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Kontrafaktual dan alternatif biaya terendah</w:t>
            </w:r>
          </w:p>
        </w:tc>
        <w:tc>
          <w:tcPr>
            <w:tcW w:type="dxa" w:w="43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ADB: rujukan 9%, pengecualian terbatas 6%</w:t>
            </w:r>
          </w:p>
        </w:tc>
      </w:tr>
    </w:tbl>
    <w:p>
      <w:pPr>
        <w:spacing w:after="120"/>
      </w:pPr>
    </w:p>
    <w:p>
      <w:pPr>
        <w:spacing w:after="160"/>
      </w:pPr>
      <w:r>
        <w:rPr>
          <w:i/>
          <w:iCs/>
          <w:color w:val="555555"/>
          <w:sz w:val="18"/>
          <w:szCs w:val="18"/>
        </w:rPr>
        <w:t xml:space="preserve">Sumber: D2 (S18, S19, S26). Rujukan adalah pembanding praktik pelaporan, bukan hurdle universal bagi Danantara.</w:t>
      </w:r>
    </w:p>
    <w:p>
      <w:pPr>
        <w:pStyle w:val="Heading2"/>
      </w:pPr>
      <w:bookmarkStart w:name="_Toc43" w:id="43"/>
      <w:r>
        <w:t xml:space="preserve">6.6 Atribusi dan kontrol hitung ganda</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Potensi salah saji</w:t>
            </w:r>
          </w:p>
        </w:tc>
        <w:tc>
          <w:tcPr>
            <w:tcW w:type="dxa" w:w="578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Kontrol yang diperlukan</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Pengalihan aset disebut imbal hasil investasi</w:t>
            </w:r>
          </w:p>
        </w:tc>
        <w:tc>
          <w:tcPr>
            <w:tcW w:type="dxa" w:w="578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Jembatan NAV awal + modal eksternal + hasil investasi − distribusi = NAV akhir</w:t>
            </w:r>
          </w:p>
        </w:tc>
      </w:tr>
      <w:tr>
        <w:trPr>
          <w:cantSplit/>
        </w:trPr>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Laba BUMN dan dividennya sama-sama dihitung</w:t>
            </w:r>
          </w:p>
        </w:tc>
        <w:tc>
          <w:tcPr>
            <w:tcW w:type="dxa" w:w="578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Eliminasi konsolidasi; setoran kas sebagai ukuran kapasitas pembiayaan</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Seluruh biaya proyek disebut investasi Danantara</w:t>
            </w:r>
          </w:p>
        </w:tc>
        <w:tc>
          <w:tcPr>
            <w:tcW w:type="dxa" w:w="578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Catat terpisah total capex, porsi Danantara, modal publik lain, dana swasta</w:t>
            </w:r>
          </w:p>
        </w:tc>
      </w:tr>
      <w:tr>
        <w:trPr>
          <w:cantSplit/>
        </w:trPr>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Investasi yang sama diklaim beberapa pemberi dana</w:t>
            </w:r>
          </w:p>
        </w:tc>
        <w:tc>
          <w:tcPr>
            <w:tcW w:type="dxa" w:w="578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Atribusi selaras MDB: mobilisasi langsung, tidak langsung, total</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Penjualan proyek, pemasok dan PDB dijumlahkan</w:t>
            </w:r>
          </w:p>
        </w:tc>
        <w:tc>
          <w:tcPr>
            <w:tcW w:type="dxa" w:w="578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tambah dengan kerangka input–output; kurangi impor dan transaksi antara</w:t>
            </w:r>
          </w:p>
        </w:tc>
      </w:tr>
      <w:tr>
        <w:trPr>
          <w:cantSplit/>
        </w:trPr>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Hitungan pekerjaan bruto di rantai pasok</w:t>
            </w:r>
          </w:p>
        </w:tc>
        <w:tc>
          <w:tcPr>
            <w:tcW w:type="dxa" w:w="578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Pisahkan FTE langsung, person-year sementara dan pekerjaan tidak langsung</w:t>
            </w:r>
          </w:p>
        </w:tc>
      </w:tr>
      <w:tr>
        <w:trPr>
          <w:cantSplit/>
        </w:trPr>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Perubahan PDB nasional disebut dampak Danantara</w:t>
            </w:r>
          </w:p>
        </w:tc>
        <w:tc>
          <w:tcPr>
            <w:tcW w:type="dxa" w:w="578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Skenario tanpa proyek; laporkan rentang kontribusi</w:t>
            </w:r>
          </w:p>
        </w:tc>
      </w:tr>
    </w:tbl>
    <w:p>
      <w:pPr>
        <w:spacing w:after="120"/>
      </w:pPr>
    </w:p>
    <w:p>
      <w:pPr>
        <w:pStyle w:val="Heading2"/>
      </w:pPr>
      <w:bookmarkStart w:name="_Toc44" w:id="44"/>
      <w:r>
        <w:t xml:space="preserve">6.7 Pengungkapan dan insentif</w:t>
      </w:r>
      <w:bookmarkEnd w:id="44"/>
    </w:p>
    <w:p>
      <w:pPr>
        <w:spacing w:after="140" w:line="300"/>
        <w:jc w:val="both"/>
      </w:pPr>
      <w:r>
        <w:t xml:space="preserve">Danantara perlu menerbitkan laporan agregat tahunan dan pembaruan operasi triwulanan: mandat per arm, laporan keuangan konsolidasi, imbal hasil bersih dan benchmark, risiko portofolio, dukungan publik, tahap proyek dan hasil pembangunan [D2]. Kompensasi variabel dikaitkan dengan penciptaan nilai bersih terverifikasi, ditangguhkan untuk proyek jangka panjang, dan tidak didasarkan terutama pada dana yang dihimpun, MoU, capex yang dibelanjakan atau ekstraksi dividen.</w:t>
      </w:r>
    </w:p>
    <w:p>
      <w:pPr>
        <w:pStyle w:val="Heading1"/>
        <w:pageBreakBefore/>
      </w:pPr>
      <w:bookmarkStart w:name="_Toc45" w:id="45"/>
      <w:r>
        <w:t xml:space="preserve">7. Mesin Permintaan: Proyek Anchor</w:t>
      </w:r>
      <w:bookmarkEnd w:id="45"/>
    </w:p>
    <w:p>
      <w:pPr>
        <w:spacing w:after="140" w:line="300"/>
        <w:jc w:val="both"/>
      </w:pPr>
      <w:r>
        <w:t xml:space="preserve">D4 mengusulkan agar proyek strategis nasional dimanfaatkan sebagai </w:t>
      </w:r>
      <w:r>
        <w:rPr>
          <w:b/>
          <w:bCs/>
        </w:rPr>
        <w:t xml:space="preserve">mesin permintaan (demand engine)</w:t>
      </w:r>
      <w:r>
        <w:t xml:space="preserve"> untuk membangun industri dalam negeri. Logikanya sederhana: pemasok dalam negeri hanya berinvestasi dalam kapasitas dan mutu bila ada kepastian permintaan, dan proyek anchor dapat memberikan kepastian tersebut melalui agregasi dan kontrak jangka panjang.</w:t>
      </w:r>
    </w:p>
    <w:p>
      <w:pPr>
        <w:pStyle w:val="Heading2"/>
      </w:pPr>
      <w:bookmarkStart w:name="_Toc46" w:id="46"/>
      <w:r>
        <w:t xml:space="preserve">7.1 Empat proyek anchor</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409"/>
        <w:gridCol w:w="5302"/>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Proyek anchor</w:t>
            </w:r>
          </w:p>
        </w:tc>
        <w:tc>
          <w:tcPr>
            <w:tcW w:type="dxa" w:w="240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Platform industri</w:t>
            </w:r>
          </w:p>
        </w:tc>
        <w:tc>
          <w:tcPr>
            <w:tcW w:type="dxa" w:w="530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Komponen yang dapat dipasok dalam negeri</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Giant Sea Wall</w:t>
            </w:r>
          </w:p>
        </w:tc>
        <w:tc>
          <w:tcPr>
            <w:tcW w:type="dxa" w:w="240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Platform industri maritim dan pesisir</w:t>
            </w:r>
          </w:p>
        </w:tc>
        <w:tc>
          <w:tcPr>
            <w:tcW w:type="dxa" w:w="53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Struktur beton dan baja; galangan dan peralatan kelautan; pompa, pintu air, material lokal; proteksi banjir dan ketahanan pesisir</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Program 3 Juta Rumah</w:t>
            </w:r>
          </w:p>
        </w:tc>
        <w:tc>
          <w:tcPr>
            <w:tcW w:type="dxa" w:w="240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Platform industri perumahan nasional</w:t>
            </w:r>
          </w:p>
        </w:tc>
        <w:tc>
          <w:tcPr>
            <w:tcW w:type="dxa" w:w="53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Semen, baja, kaca, keramik; komponen rumah modular; sistem plumbing, elektrikal, HVAC; material ramah lingkungan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Industri maritim</w:t>
            </w:r>
          </w:p>
        </w:tc>
        <w:tc>
          <w:tcPr>
            <w:tcW w:type="dxa" w:w="240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Galangan kapal, komponen dan MRO</w:t>
            </w:r>
          </w:p>
        </w:tc>
        <w:tc>
          <w:tcPr>
            <w:tcW w:type="dxa" w:w="530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Kapal niaga dan kapal khusus; mesin, propulsi dan sistem kelautan; MRO dan docking; komponen, elektronika dan peralatan kapal</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Industri pertahanan</w:t>
            </w:r>
          </w:p>
        </w:tc>
        <w:tc>
          <w:tcPr>
            <w:tcW w:type="dxa" w:w="240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Alutsista dan sistem pendukung</w:t>
            </w:r>
          </w:p>
        </w:tc>
        <w:tc>
          <w:tcPr>
            <w:tcW w:type="dxa" w:w="530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Platform darat, laut dan udara; elektronika, sensor dan radar; mesin, propulsi dan material khusus; integrasi sistem dan pemeliharaan</w:t>
            </w:r>
          </w:p>
        </w:tc>
      </w:tr>
    </w:tbl>
    <w:p>
      <w:pPr>
        <w:spacing w:after="120"/>
      </w:pPr>
    </w:p>
    <w:p>
      <w:pPr>
        <w:spacing w:after="160"/>
      </w:pPr>
      <w:r>
        <w:rPr>
          <w:i/>
          <w:iCs/>
          <w:color w:val="555555"/>
          <w:sz w:val="18"/>
          <w:szCs w:val="18"/>
        </w:rPr>
        <w:t xml:space="preserve">Sumber: D4 halaman 2. Peran Danantara pada program nasional seperti Giant Sea Wall dan 3 Juta Rumah harus mengikuti mandat hukum yang berlaku; kajian ini tidak mengasumsikan Danantara sebagai pemilik program.</w:t>
      </w:r>
    </w:p>
    <w:p>
      <w:pPr>
        <w:pStyle w:val="Heading2"/>
      </w:pPr>
      <w:bookmarkStart w:name="_Toc47" w:id="47"/>
      <w:r>
        <w:t xml:space="preserve">7.2 Satu skema untuk semua proyek anchor</w:t>
      </w:r>
      <w:bookmarkEnd w:id="47"/>
    </w:p>
    <w:p>
      <w:pPr>
        <w:spacing w:after="140" w:line="300"/>
        <w:jc w:val="both"/>
      </w:pPr>
      <w:r>
        <w:t xml:space="preserve">D4 menempatkan DOCK-UP sebagai satu skema yang berlaku untuk semua proyek anchor: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Tahap</w:t>
            </w:r>
          </w:p>
        </w:tc>
        <w:tc>
          <w:tcPr>
            <w:tcW w:type="dxa" w:w="771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Kegiatan di tingkat proyek anchor</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Development</w:t>
            </w:r>
          </w:p>
        </w:tc>
        <w:tc>
          <w:tcPr>
            <w:tcW w:type="dxa" w:w="771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Identifikasi peluang industri; desain proyek dengan kandungan dalam negeri; siapkan pre-FEED dan FEED</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Offtaker</w:t>
            </w:r>
          </w:p>
        </w:tc>
        <w:tc>
          <w:tcPr>
            <w:tcW w:type="dxa" w:w="771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Agregasi permintaan (pemerintah, BUMN, proyek anchor); kontrak jangka panjang; kepastian volume untuk pemasok lokal</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Certified</w:t>
            </w:r>
          </w:p>
        </w:tc>
        <w:tc>
          <w:tcPr>
            <w:tcW w:type="dxa" w:w="771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Standar teknis dan sertifikasi; TKDN berbasis kapabilitas; uji dan validasi produk dalam negeri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Upgrading</w:t>
            </w:r>
          </w:p>
        </w:tc>
        <w:tc>
          <w:tcPr>
            <w:tcW w:type="dxa" w:w="771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Peningkatan kapasitas industri dan pemasok; transfer teknologi; inovasi dan efisiensi; menuju ekspor dan penguasaan IP</w:t>
            </w:r>
          </w:p>
        </w:tc>
      </w:tr>
    </w:tbl>
    <w:p>
      <w:pPr>
        <w:spacing w:after="120"/>
      </w:pPr>
    </w:p>
    <w:p>
      <w:pPr>
        <w:pStyle w:val="Heading2"/>
      </w:pPr>
      <w:bookmarkStart w:name="_Toc48" w:id="48"/>
      <w:r>
        <w:t xml:space="preserve">7.3 Menghubungkan proyek anchor dengan register 40 proyek</w:t>
      </w:r>
      <w:bookmarkEnd w:id="48"/>
    </w:p>
    <w:p>
      <w:pPr>
        <w:spacing w:after="140" w:line="300"/>
        <w:jc w:val="both"/>
      </w:pPr>
      <w:r>
        <w:t xml:space="preserve">Mesin permintaan hanya dapat bekerja bila permintaan diketahui secara rinci. Kajian ini mengusulkan empat langkah yang mengikat proyek anchor ke register proyek D1:</w:t>
      </w:r>
    </w:p>
    <w:p>
      <w:pPr>
        <w:pStyle w:val="ListParagraph"/>
        <w:numPr>
          <w:ilvl w:val="0"/>
          <w:numId w:val="7"/>
        </w:numPr>
        <w:spacing w:after="80" w:line="290"/>
      </w:pPr>
      <w:r>
        <w:rPr>
          <w:b/>
          <w:bCs/>
        </w:rPr>
        <w:t xml:space="preserve">Register terpadu.</w:t>
      </w:r>
      <w:r>
        <w:t xml:space="preserve"> Semua proyek anchor dan 40 proyek strategis dicatat dalam satu register dengan identitas unik, setelah selisih Rp18,9 triliun direkonsiliasi (Bab 3).</w:t>
      </w:r>
    </w:p>
    <w:p>
      <w:pPr>
        <w:pStyle w:val="ListParagraph"/>
        <w:numPr>
          <w:ilvl w:val="0"/>
          <w:numId w:val="7"/>
        </w:numPr>
        <w:spacing w:after="80" w:line="290"/>
      </w:pPr>
      <w:r>
        <w:rPr>
          <w:b/>
          <w:bCs/>
        </w:rPr>
        <w:t xml:space="preserve">Peta komponen.</w:t>
      </w:r>
      <w:r>
        <w:t xml:space="preserve"> Untuk setiap proyek pada gerbang P1–P2, susun daftar komponen, volume, spesifikasi dan jadwal kebutuhan, lalu klasifikasikan menjadi impor, lokal siap, dan lokal potensial.</w:t>
      </w:r>
    </w:p>
    <w:p>
      <w:pPr>
        <w:pStyle w:val="ListParagraph"/>
        <w:numPr>
          <w:ilvl w:val="0"/>
          <w:numId w:val="7"/>
        </w:numPr>
        <w:spacing w:after="80" w:line="290"/>
      </w:pPr>
      <w:r>
        <w:rPr>
          <w:b/>
          <w:bCs/>
        </w:rPr>
        <w:t xml:space="preserve">Agregasi permintaan.</w:t>
      </w:r>
      <w:r>
        <w:t xml:space="preserve"> Gabungkan kebutuhan komponen sejenis lintas proyek dan lintas BUMN untuk mencapai ukuran lot ekonomis (Bab 8).</w:t>
      </w:r>
    </w:p>
    <w:p>
      <w:pPr>
        <w:pStyle w:val="ListParagraph"/>
        <w:numPr>
          <w:ilvl w:val="0"/>
          <w:numId w:val="7"/>
        </w:numPr>
        <w:spacing w:after="80" w:line="290"/>
      </w:pPr>
      <w:r>
        <w:rPr>
          <w:b/>
          <w:bCs/>
        </w:rPr>
        <w:t xml:space="preserve">Rencana lokalisasi.</w:t>
      </w:r>
      <w:r>
        <w:t xml:space="preserve"> Tetapkan target gerbang S untuk pemasok setiap kelompok komponen dan cantumkan paket DOCK-UP dalam kontrak payung dan perjanjian ofset.</w:t>
      </w:r>
    </w:p>
    <w:p>
      <w:pPr>
        <w:pStyle w:val="Heading2"/>
      </w:pPr>
      <w:bookmarkStart w:name="_Toc49" w:id="49"/>
      <w:r>
        <w:t xml:space="preserve">7.4 Klaster industri strategis</w:t>
      </w:r>
      <w:bookmarkEnd w:id="49"/>
    </w:p>
    <w:p>
      <w:pPr>
        <w:spacing w:after="140" w:line="300"/>
        <w:jc w:val="both"/>
      </w:pPr>
      <w:r>
        <w:t xml:space="preserve">D1 mengusulkan empat klaster awal untuk unit Industri Strategis, yang dapat dipetakan ke proyek anchor dan ke uji finansial serta kapabilitas dari D2: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084"/>
        <w:gridCol w:w="4049"/>
      </w:tblGrid>
      <w:tr>
        <w:trPr>
          <w:tblHeader/>
        </w:trPr>
        <w:tc>
          <w:tcPr>
            <w:tcW w:type="dxa" w:w="250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Klaster (D1)</w:t>
            </w:r>
          </w:p>
        </w:tc>
        <w:tc>
          <w:tcPr>
            <w:tcW w:type="dxa" w:w="308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Proyek anchor terkait (D4)</w:t>
            </w:r>
          </w:p>
        </w:tc>
        <w:tc>
          <w:tcPr>
            <w:tcW w:type="dxa" w:w="404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Uji kapabilitas utama (D2)</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Mineral dan material</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Hilirisasi nikel, bauksit, alumina</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olahan domestik tambahan, devisa bersih setelah input impor, intensitas karbon</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Energi dan infrastruktur industri</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Giant Sea Wall (sebagian), WtE, kawasan industri</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Biaya layanan seumur hidup, GRK bersih, keterjangkauan</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Pertahanan dan maritim</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Industri maritim dan pertahanan</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Kemampuan desain dan manufaktur tersertifikasi, komponen domestik, pesanan ekspor</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Manufaktur strategis lainnya</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3 Juta Rumah (material dan komponen), manufaktur maju</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Mutu produksi, otonomi rekayasa, pesanan berulang yang kompetitif</w:t>
            </w:r>
          </w:p>
        </w:tc>
      </w:tr>
    </w:tbl>
    <w:p>
      <w:pPr>
        <w:spacing w:after="120"/>
      </w:pPr>
    </w:p>
    <w:p>
      <w:pPr>
        <w:spacing w:after="160"/>
      </w:pPr>
      <w:r>
        <w:rPr>
          <w:i/>
          <w:iCs/>
          <w:color w:val="555555"/>
          <w:sz w:val="18"/>
          <w:szCs w:val="18"/>
        </w:rPr>
        <w:t xml:space="preserve">Pemetaan klaster ke proyek anchor adalah usulan kajian ini. “Lain-lain” dalam portofolio 40 proyek perlu dipecah setelah register lengkap, karena pangan, digital dan kesehatan memerlukan keahlian berbeda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Pengaman</w:t>
            </w:r>
          </w:p>
          <w:p>
            <w:pPr>
              <w:spacing w:after="60" w:line="290"/>
            </w:pPr>
            <w:r>
              <w:rPr>
                <w:sz w:val="21"/>
                <w:szCs w:val="21"/>
              </w:rPr>
              <w:t xml:space="preserve">Proyek anchor tetap memerlukan kasus finansial dan kasus ekonomi sendiri. Status “strategis” tidak menggantikan uji kelayakan [D2].</w:t>
            </w:r>
          </w:p>
          <w:p>
            <w:pPr>
              <w:spacing w:after="60" w:line="290"/>
            </w:pPr>
            <w:r>
              <w:rPr>
                <w:sz w:val="21"/>
                <w:szCs w:val="21"/>
              </w:rPr>
              <w:t xml:space="preserve">Permintaan yang diagregasi tidak boleh menjadi kuota: volume hanya dilepas sesuai kesiapan pemasok yang terverifikasi [D3].</w:t>
            </w:r>
          </w:p>
        </w:tc>
      </w:tr>
    </w:tbl>
    <w:p>
      <w:pPr>
        <w:pStyle w:val="Heading1"/>
        <w:pageBreakBefore/>
      </w:pPr>
      <w:bookmarkStart w:name="_Toc50" w:id="50"/>
      <w:r>
        <w:t xml:space="preserve">8. Membangun Pemasok: Skema DOCK-UP</w:t>
      </w:r>
      <w:bookmarkEnd w:id="50"/>
    </w:p>
    <w:p>
      <w:pPr>
        <w:spacing w:after="140" w:line="300"/>
        <w:jc w:val="both"/>
      </w:pPr>
      <w:r>
        <w:t xml:space="preserve">DOCK-UP adalah mekanisme yang mengubah permintaan proyek anchor menjadi kapabilitas pemasok. D3 merancangnya untuk industri maritim dan pertahanan; D4 memperluasnya menjadi satu skema untuk semua proyek anchor. Bab ini merangkum desain D3 dan menunjukkan cara perluasannya.</w:t>
      </w:r>
    </w:p>
    <w:p>
      <w:pPr>
        <w:pStyle w:val="Heading2"/>
      </w:pPr>
      <w:bookmarkStart w:name="_Toc51" w:id="51"/>
      <w:r>
        <w:t xml:space="preserve">8.1 Masalah: permintaan ada, pemasok belum</w:t>
      </w:r>
      <w:bookmarkEnd w:id="5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Fakta</w:t>
            </w:r>
          </w:p>
        </w:tc>
        <w:tc>
          <w:tcPr>
            <w:tcW w:type="dxa" w:w="433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Implikasi</w:t>
            </w:r>
          </w:p>
        </w:tc>
      </w:tr>
      <w:tr>
        <w:trPr>
          <w:cantSplit/>
        </w:trPr>
        <w:tc>
          <w:tcPr>
            <w:tcW w:type="dxa" w:w="530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UU 16/2012 Pasal 43: minimum 85% imbal dagang dan 35% kandungan lokal/ofset untuk alpalhankam impor, naik 10 poin setiap 5 tahun</w:t>
            </w:r>
          </w:p>
        </w:tc>
        <w:tc>
          <w:tcPr>
            <w:tcW w:type="dxa" w:w="43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Permintaan atas kandungan lokal dijamin undang-undang dan terus meningkat</w:t>
            </w:r>
          </w:p>
        </w:tc>
      </w:tr>
      <w:tr>
        <w:trPr>
          <w:cantSplit/>
        </w:trPr>
        <w:tc>
          <w:tcPr>
            <w:tcW w:type="dxa" w:w="530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64,2 juta UMKM di Indonesia, sekitar 62% PDB dan 97% lapangan kerja (KemenkopUKM, 2021)</w:t>
            </w:r>
          </w:p>
        </w:tc>
        <w:tc>
          <w:tcPr>
            <w:tcW w:type="dxa" w:w="43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Basis usaha besar, tetapi sedikit yang masuk rantai pasok strategis</w:t>
            </w:r>
          </w:p>
        </w:tc>
      </w:tr>
      <w:tr>
        <w:trPr>
          <w:cantSplit/>
        </w:trPr>
        <w:tc>
          <w:tcPr>
            <w:tcW w:type="dxa" w:w="530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Umur layanan kapal perang 25–30 tahun</w:t>
            </w:r>
          </w:p>
        </w:tc>
        <w:tc>
          <w:tcPr>
            <w:tcW w:type="dxa" w:w="43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Pemeliharaan, suku cadang dan peningkatan sering lebih mahal daripada pembangunan; nilai sepanjang umur sangat besar</w:t>
            </w:r>
          </w:p>
        </w:tc>
      </w:tr>
    </w:tbl>
    <w:p>
      <w:pPr>
        <w:spacing w:after="120"/>
      </w:pPr>
    </w:p>
    <w:p>
      <w:pPr>
        <w:pStyle w:val="Heading2"/>
      </w:pPr>
      <w:bookmarkStart w:name="_Toc52" w:id="52"/>
      <w:r>
        <w:t xml:space="preserve">8.2 Bahasa bersama: TRL dan MRL</w:t>
      </w:r>
      <w:bookmarkEnd w:id="52"/>
    </w:p>
    <w:p>
      <w:pPr>
        <w:spacing w:after="140" w:line="300"/>
        <w:jc w:val="both"/>
      </w:pPr>
      <w:r>
        <w:t xml:space="preserve">TRL menjawab “apakah berfungsi?”, sedangkan MRL menjawab “dapatkah dibuat setiap saat?”. Masalah yang hampir selalu muncul pada UMKM adalah kesiapan scale-up (MRL) atas teknologi yang sudah dikuasai; industri besar diperlukan untuk membantu scale-up dengan metode yang sudah proven dan untuk mematangkan teknologi [D3].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963"/>
        <w:gridCol w:w="3857"/>
      </w:tblGrid>
      <w:tr>
        <w:trPr>
          <w:tblHeader/>
        </w:trPr>
        <w:tc>
          <w:tcPr>
            <w:tcW w:type="dxa" w:w="9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TRL</w:t>
            </w:r>
          </w:p>
        </w:tc>
        <w:tc>
          <w:tcPr>
            <w:tcW w:type="dxa" w:w="385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Arti</w:t>
            </w:r>
          </w:p>
        </w:tc>
        <w:tc>
          <w:tcPr>
            <w:tcW w:type="dxa" w:w="9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MRL</w:t>
            </w:r>
          </w:p>
        </w:tc>
        <w:tc>
          <w:tcPr>
            <w:tcW w:type="dxa" w:w="385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Arti</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1–2</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Konsep: prinsip diamati</w:t>
            </w:r>
          </w:p>
        </w:tc>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1–3</w:t>
            </w:r>
          </w:p>
        </w:tc>
        <w:tc>
          <w:tcPr>
            <w:tcW w:type="dxa" w:w="385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Konsep: kelayakan dibahas</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3</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Bukti konsep di laboratorium</w:t>
            </w:r>
          </w:p>
        </w:tc>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4</w:t>
            </w:r>
          </w:p>
        </w:tc>
        <w:tc>
          <w:tcPr>
            <w:tcW w:type="dxa" w:w="385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Skala lab: buatan tangan atau alat dasar</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4–5</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Validasi lab, lalu lingkungan simulasi</w:t>
            </w:r>
          </w:p>
        </w:tc>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5–6</w:t>
            </w:r>
          </w:p>
        </w:tc>
        <w:tc>
          <w:tcPr>
            <w:tcW w:type="dxa" w:w="385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Proses rintisan: metode representatif produksi</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6–7</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Demo prototipe di lingkungan relevan</w:t>
            </w:r>
          </w:p>
        </w:tc>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7</w:t>
            </w:r>
          </w:p>
        </w:tc>
        <w:tc>
          <w:tcPr>
            <w:tcW w:type="dxa" w:w="385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Laju rendah: mutu berulang pada volume rendah</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8–9</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Terbukti: terkualifikasi dan dipakai rutin</w:t>
            </w:r>
          </w:p>
        </w:tc>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8</w:t>
            </w:r>
          </w:p>
        </w:tc>
        <w:tc>
          <w:tcPr>
            <w:tcW w:type="dxa" w:w="385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Pra-produksi: alat, rantai pasok, QC terbukti</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p>
        </w:tc>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9–10</w:t>
            </w:r>
          </w:p>
        </w:tc>
        <w:tc>
          <w:tcPr>
            <w:tcW w:type="dxa" w:w="385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Produksi penuh: berkelanjutan, biaya bersaing</w:t>
            </w:r>
          </w:p>
        </w:tc>
      </w:tr>
    </w:tbl>
    <w:p>
      <w:pPr>
        <w:spacing w:after="120"/>
      </w:pPr>
    </w:p>
    <w:p>
      <w:pPr>
        <w:pStyle w:val="Heading2"/>
      </w:pPr>
      <w:bookmarkStart w:name="_Toc53" w:id="53"/>
      <w:r>
        <w:t xml:space="preserve">8.3 Diagnosis UKM pada dua skala</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120"/>
        <w:gridCol w:w="4049"/>
      </w:tblGrid>
      <w:tr>
        <w:trPr>
          <w:tblHeader/>
        </w:trPr>
        <w:tc>
          <w:tcPr>
            <w:tcW w:type="dxa" w:w="346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Tipe UKM</w:t>
            </w:r>
          </w:p>
        </w:tc>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Posisi</w:t>
            </w:r>
          </w:p>
        </w:tc>
        <w:tc>
          <w:tcPr>
            <w:tcW w:type="dxa" w:w="404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Bantuan berikutnya</w:t>
            </w:r>
          </w:p>
        </w:tc>
      </w:tr>
      <w:tr>
        <w:trPr>
          <w:cantSplit/>
        </w:trPr>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Penjelajah</w:t>
            </w:r>
          </w:p>
        </w:tc>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TRL 1–4, MRL 1–3</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Hibah riset, laboratorium BRIN dan universitas</w:t>
            </w:r>
          </w:p>
        </w:tc>
      </w:tr>
      <w:tr>
        <w:trPr>
          <w:cantSplit/>
        </w:trPr>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Kaya prototipe, lemah produksi (inti DOCK-UP)</w:t>
            </w:r>
          </w:p>
        </w:tc>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TRL 6–8, MRL 3–5</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Pesanan jangkar, peralatan bersama, insinyur pendamping</w:t>
            </w:r>
          </w:p>
        </w:tc>
      </w:tr>
      <w:tr>
        <w:trPr>
          <w:cantSplit/>
        </w:trPr>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Siap produksi, teknologi dangkal</w:t>
            </w:r>
          </w:p>
        </w:tc>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TRL 4–5, MRL 6–8</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Mitra litbang, sertifikasi produk</w:t>
            </w:r>
          </w:p>
        </w:tc>
      </w:tr>
      <w:tr>
        <w:trPr>
          <w:cantSplit/>
        </w:trPr>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Pemasok terkualifikasi</w:t>
            </w:r>
          </w:p>
        </w:tc>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TRL 8–9, MRL 8–10</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Kontrak payung jangka panjang dan ekspor</w:t>
            </w:r>
          </w:p>
        </w:tc>
      </w:tr>
    </w:tbl>
    <w:p>
      <w:pPr>
        <w:spacing w:after="120"/>
      </w:pPr>
    </w:p>
    <w:p>
      <w:pPr>
        <w:pStyle w:val="Heading2"/>
      </w:pPr>
      <w:bookmarkStart w:name="_Toc54" w:id="54"/>
      <w:r>
        <w:t xml:space="preserve">8.4 Empat elemen DOCK-UP</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Elemen</w:t>
            </w:r>
          </w:p>
        </w:tc>
        <w:tc>
          <w:tcPr>
            <w:tcW w:type="dxa" w:w="751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Desain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 — Develop</w:t>
            </w:r>
          </w:p>
        </w:tc>
        <w:tc>
          <w:tcPr>
            <w:tcW w:type="dxa" w:w="751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Baseline TRL/MRL; dukungan disesuaikan dengan aspek MRL terlemah. Keluar di S1: MRL 6.</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 — Off-taker</w:t>
            </w:r>
          </w:p>
        </w:tc>
        <w:tc>
          <w:tcPr>
            <w:tcW w:type="dxa" w:w="751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Kontrak payung 3–5 tahun; volume dilepas bertahap di S1, S2 dan S3.</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 — Certification</w:t>
            </w:r>
          </w:p>
        </w:tc>
        <w:tc>
          <w:tcPr>
            <w:tcW w:type="dxa" w:w="751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C1 mutu = MRL 7; C2 klas = MRL 8; C3 mutu industri pertahanan plus keamanan.</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UP — Upgrading</w:t>
            </w:r>
          </w:p>
        </w:tc>
        <w:tc>
          <w:tcPr>
            <w:tcW w:type="dxa" w:w="751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Build-to-print → build-to-spec → design-and-build. Di S4, TRL milik UKM diperhitungkan.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Prinsip utama DOCK-UP</w:t>
            </w:r>
          </w:p>
          <w:p>
            <w:pPr>
              <w:spacing w:after="60" w:line="290"/>
            </w:pPr>
            <w:r>
              <w:rPr>
                <w:sz w:val="21"/>
                <w:szCs w:val="21"/>
              </w:rPr>
              <w:t xml:space="preserve">Kesiapan, bukan janji atau komitmen, yang membuka langkah berikutnya. Integrator tidak diperkenankan memesan melebihi yang sudah dibuktikan sanggup dipenuhi UKM [D3].</w:t>
            </w:r>
          </w:p>
        </w:tc>
      </w:tr>
    </w:tbl>
    <w:p>
      <w:pPr>
        <w:pStyle w:val="Heading2"/>
      </w:pPr>
      <w:bookmarkStart w:name="_Toc55" w:id="55"/>
      <w:r>
        <w:t xml:space="preserve">8.5 Gerbang kesiapan pemasok S1–S4</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638"/>
        <w:gridCol w:w="2505"/>
        <w:gridCol w:w="2216"/>
        <w:gridCol w:w="2316"/>
      </w:tblGrid>
      <w:tr>
        <w:trPr>
          <w:tblHeader/>
        </w:trPr>
        <w:tc>
          <w:tcPr>
            <w:tcW w:type="dxa" w:w="9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Gerbang</w:t>
            </w:r>
          </w:p>
        </w:tc>
        <w:tc>
          <w:tcPr>
            <w:tcW w:type="dxa" w:w="163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Kesiapan</w:t>
            </w:r>
          </w:p>
        </w:tc>
        <w:tc>
          <w:tcPr>
            <w:tcW w:type="dxa" w:w="250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w:t>
            </w:r>
          </w:p>
        </w:tc>
        <w:tc>
          <w:tcPr>
            <w:tcW w:type="dxa" w:w="221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Membuka</w:t>
            </w:r>
          </w:p>
        </w:tc>
        <w:tc>
          <w:tcPr>
            <w:tcW w:type="dxa" w:w="231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Dukungan utama</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Masuk</w:t>
            </w:r>
          </w:p>
        </w:tc>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Baseline TRL/MRL</w:t>
            </w:r>
          </w:p>
        </w:tc>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Asesmen mandiri diverifikasi asesor independen</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Rencana pengembangan, pendampingan</w:t>
            </w:r>
          </w:p>
        </w:tc>
        <w:tc>
          <w:tcPr>
            <w:tcW w:type="dxa" w:w="23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Insinyur pendamping, pelatihan</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S1</w:t>
            </w:r>
          </w:p>
        </w:tc>
        <w:tc>
          <w:tcPr>
            <w:tcW w:type="dxa" w:w="16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MRL 6</w:t>
            </w:r>
          </w:p>
        </w:tc>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Lolos inspeksi artikel pertama</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Tahap 1: pesanan rintisan</w:t>
            </w:r>
          </w:p>
        </w:tc>
        <w:tc>
          <w:tcPr>
            <w:tcW w:type="dxa" w:w="23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Hibah pendamping, fasilitas bersama</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S2</w:t>
            </w:r>
          </w:p>
        </w:tc>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MRL 7 + C1</w:t>
            </w:r>
          </w:p>
        </w:tc>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Small repetitive batch; ISO 9001</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Tahap 2: low-rate supply</w:t>
            </w:r>
          </w:p>
        </w:tc>
        <w:tc>
          <w:tcPr>
            <w:tcW w:type="dxa" w:w="23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Pembiayaan rantai pasok, KUR</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S3</w:t>
            </w:r>
          </w:p>
        </w:tc>
        <w:tc>
          <w:tcPr>
            <w:tcW w:type="dxa" w:w="163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MRL 8 + C2</w:t>
            </w:r>
          </w:p>
        </w:tc>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Persetujuan user, ISO 3834/9606, ketertelusuran</w:t>
            </w:r>
          </w:p>
        </w:tc>
        <w:tc>
          <w:tcPr>
            <w:tcW w:type="dxa" w:w="22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Tahap 3: pasokan serial + suku cadang</w:t>
            </w:r>
          </w:p>
        </w:tc>
        <w:tc>
          <w:tcPr>
            <w:tcW w:type="dxa" w:w="231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Kredit investasi, penjaminan kerugian pertama</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S4</w:t>
            </w:r>
          </w:p>
        </w:tc>
        <w:tc>
          <w:tcPr>
            <w:tcW w:type="dxa" w:w="163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Produk sendiri TRL 7+; MRL 9</w:t>
            </w:r>
          </w:p>
        </w:tc>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Produk diadopsi pada satu kelas kapal</w:t>
            </w:r>
          </w:p>
        </w:tc>
        <w:tc>
          <w:tcPr>
            <w:tcW w:type="dxa" w:w="22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Build-to-spec, design-and-build, ekspor</w:t>
            </w:r>
          </w:p>
        </w:tc>
        <w:tc>
          <w:tcPr>
            <w:tcW w:type="dxa" w:w="231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Ventura korporasi, R&amp;D super-deduction, LPEI</w:t>
            </w:r>
          </w:p>
        </w:tc>
      </w:tr>
    </w:tbl>
    <w:p>
      <w:pPr>
        <w:spacing w:after="120"/>
      </w:pPr>
    </w:p>
    <w:p>
      <w:pPr>
        <w:spacing w:after="160"/>
      </w:pPr>
      <w:r>
        <w:rPr>
          <w:i/>
          <w:iCs/>
          <w:color w:val="555555"/>
          <w:sz w:val="18"/>
          <w:szCs w:val="18"/>
        </w:rPr>
        <w:t xml:space="preserve">Sumber: D3 halaman 6, dengan G1–G4 diganti S1–S4 agar tidak tertukar dengan gerbang proyek P0–P6. Skor tidak pernah dinyatakan sendiri: asesor independen memverifikasi, integrator me-review bukti, dan skor dinilai ulang setiap tahun.</w:t>
      </w:r>
    </w:p>
    <w:p>
      <w:pPr>
        <w:pStyle w:val="Heading2"/>
      </w:pPr>
      <w:bookmarkStart w:name="_Toc56" w:id="56"/>
      <w:r>
        <w:t xml:space="preserve">8.6 Dua jalur melalui DOCK-UP</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951"/>
        <w:gridCol w:w="3953"/>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p>
        </w:tc>
        <w:tc>
          <w:tcPr>
            <w:tcW w:type="dxa" w:w="395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Jalur MRL (build-to-print)</w:t>
            </w:r>
          </w:p>
        </w:tc>
        <w:tc>
          <w:tcPr>
            <w:tcW w:type="dxa" w:w="395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Jalur TRL (produk sendiri)</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UKM ilustratif</w:t>
            </w:r>
          </w:p>
        </w:tc>
        <w:tc>
          <w:tcPr>
            <w:tcW w:type="dxa" w:w="395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Sidoarjo Steel Manufacturing: bearing dan valve</w:t>
            </w:r>
          </w:p>
        </w:tc>
        <w:tc>
          <w:tcPr>
            <w:tcW w:type="dxa" w:w="39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Sensor Karya Mandiri: sensor inframerah</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Titik awal</w:t>
            </w:r>
          </w:p>
        </w:tc>
        <w:tc>
          <w:tcPr>
            <w:tcW w:type="dxa" w:w="395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MRL sipil 7, kapal perang 4; lemah pada material dan uji</w:t>
            </w:r>
          </w:p>
        </w:tc>
        <w:tc>
          <w:tcPr>
            <w:tcW w:type="dxa" w:w="39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TRL 8–9 sipil: kamera termal genggam menghasilkan pendapatan</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Langkah kunci</w:t>
            </w:r>
          </w:p>
        </w:tc>
        <w:tc>
          <w:tcPr>
            <w:tcW w:type="dxa" w:w="395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Bulan 1–6 insinyur pendamping; bulan 7 S1 (20 katup rintisan); bulan 8–14 S2; bulan 15–24 S3</w:t>
            </w:r>
          </w:p>
        </w:tc>
        <w:tc>
          <w:tcPr>
            <w:tcW w:type="dxa" w:w="39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Kualifikasi ulang TRL 5 → 7 (guncangan, getaran, salt-spray, EMC, uji IRST di laut); produksi kelas pertahanan MRL 5 → 8</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Hasil akhir</w:t>
            </w:r>
          </w:p>
        </w:tc>
        <w:tc>
          <w:tcPr>
            <w:tcW w:type="dxa" w:w="395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Terstandar untuk satu kelas fregat</w:t>
            </w:r>
          </w:p>
        </w:tc>
        <w:tc>
          <w:tcPr>
            <w:tcW w:type="dxa" w:w="39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IRST pada kapal perang (S4), lalu sub-pemasok program rudal DEFEND ID</w:t>
            </w:r>
          </w:p>
        </w:tc>
      </w:tr>
    </w:tbl>
    <w:p>
      <w:pPr>
        <w:spacing w:after="120"/>
      </w:pPr>
    </w:p>
    <w:p>
      <w:pPr>
        <w:pStyle w:val="Heading2"/>
      </w:pPr>
      <w:bookmarkStart w:name="_Toc57" w:id="57"/>
      <w:r>
        <w:t xml:space="preserve">8.7 Ekonomi DOCK-UP</w:t>
      </w:r>
      <w:bookmarkEnd w:id="57"/>
    </w:p>
    <w:p>
      <w:pPr>
        <w:spacing w:after="140" w:line="300"/>
        <w:jc w:val="both"/>
      </w:pPr>
      <w:r>
        <w:t xml:space="preserve">Kesiapan terverifikasi menurunkan risiko sehingga dana non-pemerintah (bank dan investor) bisa ikut masuk [D3]. Lima mekanisme ekonominya:</w:t>
      </w:r>
    </w:p>
    <w:p>
      <w:pPr>
        <w:pStyle w:val="ListParagraph"/>
        <w:numPr>
          <w:ilvl w:val="0"/>
          <w:numId w:val="5"/>
        </w:numPr>
        <w:spacing w:after="80" w:line="290"/>
      </w:pPr>
      <w:r>
        <w:rPr>
          <w:b/>
          <w:bCs/>
        </w:rPr>
        <w:t xml:space="preserve">Learning curve.</w:t>
      </w:r>
      <w:r>
        <w:t xml:space="preserve"> Dengan ilustrasi learning curve 85%, biaya per unit turun menjadi 85% setiap volume kumulatif berlipat dua (indeks 100, 85, sekitar 72, 61, 52). Menggabungkan pesanan lintas DEFEND ID dapat mendorong biaya UKM setara impor.</w:t>
      </w:r>
    </w:p>
    <w:p>
      <w:pPr>
        <w:pStyle w:val="ListParagraph"/>
        <w:numPr>
          <w:ilvl w:val="0"/>
          <w:numId w:val="5"/>
        </w:numPr>
        <w:spacing w:after="80" w:line="290"/>
      </w:pPr>
      <w:r>
        <w:rPr>
          <w:b/>
          <w:bCs/>
        </w:rPr>
        <w:t xml:space="preserve">Biaya modal lebih rendah.</w:t>
      </w:r>
      <w:r>
        <w:t xml:space="preserve"> Off-take multi-tahun ditambah skor MRL terverifikasi memberi bank dasar penilaian.</w:t>
      </w:r>
    </w:p>
    <w:p>
      <w:pPr>
        <w:pStyle w:val="ListParagraph"/>
        <w:numPr>
          <w:ilvl w:val="0"/>
          <w:numId w:val="5"/>
        </w:numPr>
        <w:spacing w:after="80" w:line="290"/>
      </w:pPr>
      <w:r>
        <w:rPr>
          <w:b/>
          <w:bCs/>
        </w:rPr>
        <w:t xml:space="preserve">Ukuran lot ekonomis.</w:t>
      </w:r>
      <w:r>
        <w:t xml:space="preserve"> Komponen standar untuk beberapa jenis kapal dan perusahaan DEFEND ID.</w:t>
      </w:r>
    </w:p>
    <w:p>
      <w:pPr>
        <w:pStyle w:val="ListParagraph"/>
        <w:numPr>
          <w:ilvl w:val="0"/>
          <w:numId w:val="5"/>
        </w:numPr>
        <w:spacing w:after="80" w:line="290"/>
      </w:pPr>
      <w:r>
        <w:rPr>
          <w:b/>
          <w:bCs/>
        </w:rPr>
        <w:t xml:space="preserve">Devisa dan multiplier effect.</w:t>
      </w:r>
      <w:r>
        <w:t xml:space="preserve"> Kandungan lokal tetap di dalam negeri dan tidak dapat ditahan negara lain.</w:t>
      </w:r>
    </w:p>
    <w:p>
      <w:pPr>
        <w:pStyle w:val="ListParagraph"/>
        <w:numPr>
          <w:ilvl w:val="0"/>
          <w:numId w:val="5"/>
        </w:numPr>
        <w:spacing w:after="80" w:line="290"/>
      </w:pPr>
      <w:r>
        <w:rPr>
          <w:b/>
          <w:bCs/>
        </w:rPr>
        <w:t xml:space="preserve">Through-life value.</w:t>
      </w:r>
      <w:r>
        <w:t xml:space="preserve"> UU 16/2012 memandatkan MRO domestik; tahap 3 mencakup suku cadang.</w:t>
      </w:r>
    </w:p>
    <w:p>
      <w:pPr>
        <w:spacing w:after="140" w:line="300"/>
        <w:jc w:val="both"/>
      </w:pPr>
      <w:r>
        <w:t xml:space="preserve">Proteksi harus bersifat sementara. Tujuannya mendorong kemandirian UKM agar beroperasi lebih efisien dan mempertahankan MRL 8, serta memberi ruang integrator menjalankan DOCK-UP dengan UKM lain [D3].</w:t>
      </w:r>
    </w:p>
    <w:p>
      <w:pPr>
        <w:pStyle w:val="Heading2"/>
      </w:pPr>
      <w:bookmarkStart w:name="_Toc58" w:id="58"/>
      <w:r>
        <w:t xml:space="preserve">8.8 Teknologi dan asesmen</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Prioritas teknologi</w:t>
            </w:r>
          </w:p>
        </w:tc>
        <w:tc>
          <w:tcPr>
            <w:tcW w:type="dxa" w:w="694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Isi</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Mutu proses</w:t>
            </w:r>
          </w:p>
        </w:tc>
        <w:tc>
          <w:tcPr>
            <w:tcW w:type="dxa" w:w="69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Las terkualifikasi, heat treatment, pelapisan standar AL, Non-Destructive Testing</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Alih teknologi berjenjang</w:t>
            </w:r>
          </w:p>
        </w:tc>
        <w:tc>
          <w:tcPr>
            <w:tcW w:type="dxa" w:w="69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Perjanjian ofset menyebut paket yang dialihlisensikan ke pemasok DOCK-UP</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Integrasi digital</w:t>
            </w:r>
          </w:p>
        </w:tc>
        <w:tc>
          <w:tcPr>
            <w:tcW w:type="dxa" w:w="69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Portal pemasok terhubung ERP integrator: gambar, revisi, ketertelusuran, catatan gerbang</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Keamanan informasi</w:t>
            </w:r>
          </w:p>
        </w:tc>
        <w:tc>
          <w:tcPr>
            <w:tcW w:type="dxa" w:w="69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Akses terkendali dan keamanan siber, masuk dalam C3 seiring sensitivitas</w:t>
            </w:r>
          </w:p>
        </w:tc>
      </w:tr>
    </w:tbl>
    <w:p>
      <w:pPr>
        <w:spacing w:after="120"/>
      </w:pPr>
    </w:p>
    <w:p>
      <w:pPr>
        <w:spacing w:after="140" w:line="300"/>
        <w:jc w:val="both"/>
      </w:pPr>
      <w:r>
        <w:t xml:space="preserve">Asesmen bekerja dalam empat langkah: asesmen mandiri terstruktur berdasarkan kriteria TRL dan sembilan aspek MRL; verifikasi independen oleh universitas, lembaga uji, BKI atau asesor terakreditasi; review bukti oleh sponsor atau integrator (inspeksi artikel pertama, batch laju rendah, audit); dan asesmen tahunan atau pada setiap pengajuan tahap, dicatat dalam register bersama [D3].</w:t>
      </w:r>
    </w:p>
    <w:p>
      <w:pPr>
        <w:pStyle w:val="Heading2"/>
      </w:pPr>
      <w:bookmarkStart w:name="_Toc59" w:id="59"/>
      <w:r>
        <w:t xml:space="preserve">8.9 Perluasan ke proyek anchor lain</w:t>
      </w:r>
      <w:bookmarkEnd w:id="59"/>
    </w:p>
    <w:p>
      <w:pPr>
        <w:spacing w:after="140" w:line="300"/>
        <w:jc w:val="both"/>
      </w:pPr>
      <w:r>
        <w:t xml:space="preserve">Desain D3 dapat diterapkan di luar pertahanan dengan menyesuaikan standar sertifikasi dan pembeli. Kajian ini mengusulkan perluasan bertahap: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891"/>
        <w:gridCol w:w="2505"/>
        <w:gridCol w:w="2122"/>
      </w:tblGrid>
      <w:tr>
        <w:trPr>
          <w:tblHeader/>
        </w:trPr>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Proyek anchor</w:t>
            </w:r>
          </w:p>
        </w:tc>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Kelompok komponen awal</w:t>
            </w:r>
          </w:p>
        </w:tc>
        <w:tc>
          <w:tcPr>
            <w:tcW w:type="dxa" w:w="250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Standar C1–C3 yang setara</w:t>
            </w:r>
          </w:p>
        </w:tc>
        <w:tc>
          <w:tcPr>
            <w:tcW w:type="dxa" w:w="212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Off-taker</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Industri maritim dan pertahanan</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Katup, bearing, sensor, komponen kapal</w:t>
            </w:r>
          </w:p>
        </w:tc>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ISO 9001, klas BKI, standar pertahanan</w:t>
            </w:r>
          </w:p>
        </w:tc>
        <w:tc>
          <w:tcPr>
            <w:tcW w:type="dxa" w:w="212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DEFEND ID, galangan BUMN</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Giant Sea Wall</w:t>
            </w:r>
          </w:p>
        </w:tc>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Pintu air, pompa, struktur baja</w:t>
            </w:r>
          </w:p>
        </w:tc>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SNI dan standar teknis pemilik proyek</w:t>
            </w:r>
          </w:p>
        </w:tc>
        <w:tc>
          <w:tcPr>
            <w:tcW w:type="dxa" w:w="212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Pelaksana proyek dan BUMN Konstruksi</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Program 3 Juta Rumah</w:t>
            </w:r>
          </w:p>
        </w:tc>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Komponen modular, plumbing, elektrikal, material</w:t>
            </w:r>
          </w:p>
        </w:tc>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SNI produk bangunan</w:t>
            </w:r>
          </w:p>
        </w:tc>
        <w:tc>
          <w:tcPr>
            <w:tcW w:type="dxa" w:w="212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Pengembang dan BUMN Konstruksi</w:t>
            </w:r>
          </w:p>
        </w:tc>
      </w:tr>
    </w:tbl>
    <w:p>
      <w:pPr>
        <w:spacing w:after="120"/>
      </w:pPr>
    </w:p>
    <w:p>
      <w:pPr>
        <w:spacing w:after="160"/>
      </w:pPr>
      <w:r>
        <w:rPr>
          <w:i/>
          <w:iCs/>
          <w:color w:val="555555"/>
          <w:sz w:val="18"/>
          <w:szCs w:val="18"/>
        </w:rPr>
        <w:t xml:space="preserve">Tabel 8.9 adalah usulan kajian ini; kelompok komponen diambil dari D4, sedangkan standar dan off-taker harus dikonfirmasi dengan pemilik proyek dan otoritas standar.</w:t>
      </w:r>
    </w:p>
    <w:p>
      <w:pPr>
        <w:pStyle w:val="Heading1"/>
        <w:pageBreakBefore/>
      </w:pPr>
      <w:bookmarkStart w:name="_Toc60" w:id="60"/>
      <w:r>
        <w:t xml:space="preserve">9. Kasus Pemulihan: BUMN Konstruksi</w:t>
      </w:r>
      <w:bookmarkEnd w:id="60"/>
    </w:p>
    <w:p>
      <w:pPr>
        <w:spacing w:after="140" w:line="300"/>
        <w:jc w:val="both"/>
      </w:pPr>
      <w:r>
        <w:t xml:space="preserve">BUMN Konstruksi adalah kasus paling mendesak dan sekaligus paling relevan bagi platform industri: mereka adalah pelaksana utama proyek anchor dan pembeli utama komponen dari pemasok dalam negeri. D4 merumuskan arah transformasi dari model konglomerasi investasi infrastruktur menuju perusahaan konstruksi yang disiplin, sehat dan berkelanjutan.</w:t>
      </w:r>
    </w:p>
    <w:p>
      <w:pPr>
        <w:pStyle w:val="Heading2"/>
      </w:pPr>
      <w:bookmarkStart w:name="_Toc61" w:id="61"/>
      <w:r>
        <w:t xml:space="preserve">9.1 Masalah utama</w:t>
      </w:r>
      <w:bookmarkEnd w:id="61"/>
    </w:p>
    <w:p>
      <w:pPr>
        <w:pStyle w:val="ListParagraph"/>
        <w:numPr>
          <w:ilvl w:val="0"/>
          <w:numId w:val="5"/>
        </w:numPr>
        <w:spacing w:after="80" w:line="290"/>
      </w:pPr>
      <w:r>
        <w:t xml:space="preserve">Banyak proyek bermargin rendah atau bersifat politis, bukan komersial.</w:t>
      </w:r>
    </w:p>
    <w:p>
      <w:pPr>
        <w:pStyle w:val="ListParagraph"/>
        <w:numPr>
          <w:ilvl w:val="0"/>
          <w:numId w:val="5"/>
        </w:numPr>
        <w:spacing w:after="80" w:line="290"/>
      </w:pPr>
      <w:r>
        <w:t xml:space="preserve">Proyek infrastruktur dan jalan tol dibiayai dengan utang.</w:t>
      </w:r>
    </w:p>
    <w:p>
      <w:pPr>
        <w:pStyle w:val="ListParagraph"/>
        <w:numPr>
          <w:ilvl w:val="0"/>
          <w:numId w:val="5"/>
        </w:numPr>
        <w:spacing w:after="80" w:line="290"/>
      </w:pPr>
      <w:r>
        <w:t xml:space="preserve">Piutang tertunda dan pembayaran dari pemerintah atau owner yang lambat.</w:t>
      </w:r>
    </w:p>
    <w:p>
      <w:pPr>
        <w:pStyle w:val="ListParagraph"/>
        <w:numPr>
          <w:ilvl w:val="0"/>
          <w:numId w:val="5"/>
        </w:numPr>
        <w:spacing w:after="80" w:line="290"/>
      </w:pPr>
      <w:r>
        <w:t xml:space="preserve">Pembengkakan biaya dan keterlambatan proyek.</w:t>
      </w:r>
    </w:p>
    <w:p>
      <w:pPr>
        <w:pStyle w:val="ListParagraph"/>
        <w:numPr>
          <w:ilvl w:val="0"/>
          <w:numId w:val="5"/>
        </w:numPr>
        <w:spacing w:after="80" w:line="290"/>
      </w:pPr>
      <w:r>
        <w:t xml:space="preserve">Leverage tinggi, kualitas aset rendah dan arus kas negatif.</w:t>
      </w:r>
    </w:p>
    <w:p>
      <w:pPr>
        <w:pStyle w:val="ListParagraph"/>
        <w:numPr>
          <w:ilvl w:val="0"/>
          <w:numId w:val="5"/>
        </w:numPr>
        <w:spacing w:after="80" w:line="290"/>
      </w:pPr>
      <w:r>
        <w:t xml:space="preserve">Tata kelola lemah dan peran politis yang terlalu besar.</w:t>
      </w:r>
    </w:p>
    <w:p>
      <w:pPr>
        <w:pStyle w:val="Heading2"/>
      </w:pPr>
      <w:bookmarkStart w:name="_Toc62" w:id="62"/>
      <w:r>
        <w:t xml:space="preserve">9.2 Estimasi kinerja keuangan 2025</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BUMN Konstruksi</w:t>
            </w:r>
          </w:p>
        </w:tc>
        <w:tc>
          <w:tcPr>
            <w:tcW w:type="dxa" w:w="38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Estimasi kerugian 2025 (Rp triliun)</w:t>
            </w:r>
          </w:p>
        </w:tc>
      </w:tr>
      <w:tr>
        <w:trPr>
          <w:cantSplit/>
        </w:trPr>
        <w:tc>
          <w:tcPr>
            <w:tcW w:type="dxa" w:w="578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WIKA</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10,14</w:t>
            </w:r>
          </w:p>
        </w:tc>
      </w:tr>
      <w:tr>
        <w:trPr>
          <w:cantSplit/>
        </w:trPr>
        <w:tc>
          <w:tcPr>
            <w:tcW w:type="dxa" w:w="578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PP</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8,0</w:t>
            </w:r>
          </w:p>
        </w:tc>
      </w:tr>
      <w:tr>
        <w:trPr>
          <w:cantSplit/>
        </w:trPr>
        <w:tc>
          <w:tcPr>
            <w:tcW w:type="dxa" w:w="578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Adhi Karya</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5,4</w:t>
            </w:r>
          </w:p>
        </w:tc>
      </w:tr>
      <w:tr>
        <w:trPr>
          <w:cantSplit/>
        </w:trPr>
        <w:tc>
          <w:tcPr>
            <w:tcW w:type="dxa" w:w="578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Waskita</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4,48</w:t>
            </w:r>
          </w:p>
        </w:tc>
      </w:tr>
      <w:tr>
        <w:trPr>
          <w:cantSplit/>
        </w:trPr>
        <w:tc>
          <w:tcPr>
            <w:tcW w:type="dxa" w:w="578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Total</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 28</w:t>
            </w:r>
          </w:p>
        </w:tc>
      </w:tr>
    </w:tbl>
    <w:p>
      <w:pPr>
        <w:spacing w:after="120"/>
      </w:pPr>
    </w:p>
    <w:p>
      <w:pPr>
        <w:spacing w:after="160"/>
      </w:pPr>
      <w:r>
        <w:rPr>
          <w:i/>
          <w:iCs/>
          <w:color w:val="555555"/>
          <w:sz w:val="18"/>
          <w:szCs w:val="18"/>
        </w:rPr>
        <w:t xml:space="preserve">Sumber: D4 halaman 3, berlabel “estimasi kerugian” (kelas C). Angka harus diverifikasi dengan laporan keuangan teraudit FY2025 sebelum dipakai untuk keputusan; tidak boleh dijumlahkan ke dalam hasil Danantara.</w:t>
      </w:r>
    </w:p>
    <w:p>
      <w:pPr>
        <w:spacing w:after="140" w:line="300"/>
        <w:jc w:val="both"/>
      </w:pPr>
      <w:r>
        <w:t xml:space="preserve">Pada saat yang sama, anggaran infrastruktur 2025 turun signifikan dari sekitar Rp110,95 triliun menjadi Rp61,38 triliun, atau sekitar −45%, setelah periode percepatan infrastruktur [D4]. Kombinasi kerugian dan penurunan pasar membuat dampak utamanya adalah arus kas negatif, leverage tinggi, kualitas aset rendah, kemampuan proyek menurun, dan risiko keberlanjutan perusahaan.</w:t>
      </w:r>
    </w:p>
    <w:p>
      <w:pPr>
        <w:pStyle w:val="Heading2"/>
      </w:pPr>
      <w:bookmarkStart w:name="_Toc63" w:id="63"/>
      <w:r>
        <w:t xml:space="preserve">9.3 Penyebab utama</w:t>
      </w:r>
      <w:bookmarkEnd w:id="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Penyebab</w:t>
            </w:r>
          </w:p>
        </w:tc>
        <w:tc>
          <w:tcPr>
            <w:tcW w:type="dxa" w:w="616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Penjelasan</w:t>
            </w:r>
          </w:p>
        </w:tc>
      </w:tr>
      <w:tr>
        <w:trPr>
          <w:cantSplit/>
        </w:trPr>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Ekspansi infrastruktur yang agresif</w:t>
            </w:r>
          </w:p>
        </w:tc>
        <w:tc>
          <w:tcPr>
            <w:tcW w:type="dxa" w:w="61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Banyak proyek jalan, tol, kereta, bandara, bendungan dan pelabuhan dalam waktu singkat</w:t>
            </w:r>
          </w:p>
        </w:tc>
      </w:tr>
      <w:tr>
        <w:trPr>
          <w:cantSplit/>
        </w:trPr>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Margin konstruksi yang rendah</w:t>
            </w:r>
          </w:p>
        </w:tc>
        <w:tc>
          <w:tcPr>
            <w:tcW w:type="dxa" w:w="61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Persaingan ketat dan proyek politis</w:t>
            </w:r>
          </w:p>
        </w:tc>
      </w:tr>
      <w:tr>
        <w:trPr>
          <w:cantSplit/>
        </w:trPr>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Pembayaran pemerintah dan BUMN yang terlambat</w:t>
            </w:r>
          </w:p>
        </w:tc>
        <w:tc>
          <w:tcPr>
            <w:tcW w:type="dxa" w:w="61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Piutang menjadi masalah pendanaan</w:t>
            </w:r>
          </w:p>
        </w:tc>
      </w:tr>
      <w:tr>
        <w:trPr>
          <w:cantSplit/>
        </w:trPr>
        <w:tc>
          <w:tcPr>
            <w:tcW w:type="dxa" w:w="34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Risiko proyek turnkey dan EPC</w:t>
            </w:r>
          </w:p>
        </w:tc>
        <w:tc>
          <w:tcPr>
            <w:tcW w:type="dxa" w:w="616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Kontraktor menanggung risiko desain, pengadaan, konstruksi dan commissioning</w:t>
            </w:r>
          </w:p>
        </w:tc>
      </w:tr>
      <w:tr>
        <w:trPr>
          <w:cantSplit/>
        </w:trPr>
        <w:tc>
          <w:tcPr>
            <w:tcW w:type="dxa" w:w="34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Tata kelola dan insentif yang bermasalah</w:t>
            </w:r>
          </w:p>
        </w:tc>
        <w:tc>
          <w:tcPr>
            <w:tcW w:type="dxa" w:w="616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Keberhasilan diukur dari penyelesaian proyek, bukan profitabilitas</w:t>
            </w:r>
          </w:p>
        </w:tc>
      </w:tr>
    </w:tbl>
    <w:p>
      <w:pPr>
        <w:spacing w:after="120"/>
      </w:pPr>
    </w:p>
    <w:p>
      <w:pPr>
        <w:pStyle w:val="Heading2"/>
      </w:pPr>
      <w:bookmarkStart w:name="_Toc64" w:id="64"/>
      <w:r>
        <w:t xml:space="preserve">9.4 Model bisnis saat ini vs model yang seharusnya</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Model saat ini (konglomerasi investasi infrastruktur)</w:t>
            </w:r>
          </w:p>
        </w:tc>
        <w:tc>
          <w:tcPr>
            <w:tcW w:type="dxa" w:w="481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Model yang seharusnya (perusahaan konstruksi yang disiplin)</w:t>
            </w:r>
          </w:p>
        </w:tc>
      </w:tr>
      <w:tr>
        <w:trPr>
          <w:cantSplit/>
        </w:trPr>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Kontraktor utama, kontraktor EPC, pengembang proyek, investor jalan tol, pengembang properti, pemilik aset infrastruktur, pemasok melalui anak usaha, pembiayaan proyek pemerintah, instrumen percepatan infrastruktur nasional</w:t>
            </w:r>
          </w:p>
        </w:tc>
        <w:tc>
          <w:tcPr>
            <w:tcW w:type="dxa" w:w="481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Fokus pada inti bisnis konstruksi; selektif pada proyek dengan margin sehat; tidak memiliki aset jangka panjang secara berlebihan; pendanaan proyek dari owner, bukan dari utang perusahaan; manajemen risiko proyek yang kuat; tata kelola profesional dan independen; kemampuan operasional dan produktivitas tinggi; pertumbuhan berkelanjutan dan profitabilitas jangka panjang</w:t>
            </w:r>
          </w:p>
        </w:tc>
      </w:tr>
    </w:tbl>
    <w:p>
      <w:pPr>
        <w:spacing w:after="120"/>
      </w:pPr>
    </w:p>
    <w:p>
      <w:pPr>
        <w:pStyle w:val="Heading2"/>
      </w:pPr>
      <w:bookmarkStart w:name="_Toc65" w:id="65"/>
      <w:r>
        <w:t xml:space="preserve">9.5 Aset yang menjadi beban</w:t>
      </w:r>
      <w:bookmarkEnd w:id="65"/>
    </w:p>
    <w:p>
      <w:pPr>
        <w:spacing w:after="140" w:line="300"/>
        <w:jc w:val="both"/>
      </w:pPr>
      <w:r>
        <w:t xml:space="preserve">Jalan tol, properti residensial, bandara, pembangkit listrik, kawasan industri, pelabuhan, konsesi tambang, hotel dan pabrik industri sebaiknya ditempatkan dalam </w:t>
      </w:r>
      <w:r>
        <w:rPr>
          <w:b/>
          <w:bCs/>
        </w:rPr>
        <w:t xml:space="preserve">perusahaan investasi terpisah dengan pendanaan dan tata kelola yang terpisah</w:t>
      </w:r>
      <w:r>
        <w:t xml:space="preserve">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Catatan penyelarasan</w:t>
            </w:r>
          </w:p>
          <w:p>
            <w:pPr>
              <w:spacing w:after="60" w:line="290"/>
            </w:pPr>
            <w:r>
              <w:rPr>
                <w:sz w:val="21"/>
                <w:szCs w:val="21"/>
              </w:rPr>
              <w:t xml:space="preserve">Pemisahan aset warisan konsisten dengan prinsip D2 untuk memisahkan portofolio warisan dari vintage baru. Namun pembentukan perusahaan investasi baru adalah keputusan Pilihan D (Bab 5) yang memerlukan bukti kebutuhan badan hukum khusus, valuasi independen pada saat pengalihan, dan pemisahan kewajiban warisan. Kajian ini menyarankan diagnosis aset per aset terlebih dahulu, termasuk opsi divestasi, sebelum memutuskan kendaraan baru.</w:t>
            </w:r>
          </w:p>
        </w:tc>
      </w:tr>
    </w:tbl>
    <w:p>
      <w:pPr>
        <w:pStyle w:val="Heading2"/>
      </w:pPr>
      <w:bookmarkStart w:name="_Toc66" w:id="66"/>
      <w:r>
        <w:t xml:space="preserve">9.6 Arah transformasi</w:t>
      </w:r>
      <w:bookmarkEnd w:id="66"/>
    </w:p>
    <w:p>
      <w:pPr>
        <w:pStyle w:val="ListParagraph"/>
        <w:numPr>
          <w:ilvl w:val="0"/>
          <w:numId w:val="8"/>
        </w:numPr>
        <w:spacing w:after="80" w:line="290"/>
      </w:pPr>
      <w:r>
        <w:t xml:space="preserve">Fokus pada inti bisnis konstruksi.</w:t>
      </w:r>
    </w:p>
    <w:p>
      <w:pPr>
        <w:pStyle w:val="ListParagraph"/>
        <w:numPr>
          <w:ilvl w:val="0"/>
          <w:numId w:val="8"/>
        </w:numPr>
        <w:spacing w:after="80" w:line="290"/>
      </w:pPr>
      <w:r>
        <w:t xml:space="preserve">Selektif pada proyek bermargin sehat.</w:t>
      </w:r>
    </w:p>
    <w:p>
      <w:pPr>
        <w:pStyle w:val="ListParagraph"/>
        <w:numPr>
          <w:ilvl w:val="0"/>
          <w:numId w:val="8"/>
        </w:numPr>
        <w:spacing w:after="80" w:line="290"/>
      </w:pPr>
      <w:r>
        <w:t xml:space="preserve">Perbaiki manajemen proyek dan risiko.</w:t>
      </w:r>
    </w:p>
    <w:p>
      <w:pPr>
        <w:pStyle w:val="ListParagraph"/>
        <w:numPr>
          <w:ilvl w:val="0"/>
          <w:numId w:val="8"/>
        </w:numPr>
        <w:spacing w:after="80" w:line="290"/>
      </w:pPr>
      <w:r>
        <w:t xml:space="preserve">Tata kelola profesional dan transparan.</w:t>
      </w:r>
    </w:p>
    <w:p>
      <w:pPr>
        <w:pStyle w:val="ListParagraph"/>
        <w:numPr>
          <w:ilvl w:val="0"/>
          <w:numId w:val="8"/>
        </w:numPr>
        <w:spacing w:after="80" w:line="290"/>
      </w:pPr>
      <w:r>
        <w:t xml:space="preserve">Bangun pertumbuhan yang berkelanjutan.</w:t>
      </w:r>
    </w:p>
    <w:p>
      <w:pPr>
        <w:spacing w:after="140" w:line="300"/>
        <w:jc w:val="both"/>
      </w:pPr>
      <w:r>
        <w:t xml:space="preserve">Prinsip operasi perusahaan konstruksi yang sehat mengikuti siklus kas yang disiplin: terima uang muka atau mobilisasi, laksanakan pekerjaan, sertifikasi kemajuan, tagih piutang, bayar subkontraktor dan pemasok, dan raih margin yang wajar [D4].</w:t>
      </w:r>
    </w:p>
    <w:p>
      <w:pPr>
        <w:pStyle w:val="Heading2"/>
      </w:pPr>
      <w:bookmarkStart w:name="_Toc67" w:id="67"/>
      <w:r>
        <w:t xml:space="preserve">9.7 Ukuran keberhasilan pemulihan</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tblHeader/>
        </w:trPr>
        <w:tc>
          <w:tcPr>
            <w:tcW w:type="dxa" w:w="212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Ukuran</w:t>
            </w:r>
          </w:p>
        </w:tc>
        <w:tc>
          <w:tcPr>
            <w:tcW w:type="dxa" w:w="366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Metrik D2</w:t>
            </w:r>
          </w:p>
        </w:tc>
        <w:tc>
          <w:tcPr>
            <w:tcW w:type="dxa" w:w="38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Catatan</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Penciptaan nilai</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O01 ROIC − WACC; O02 economic profit inkremental</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Pengalihan aset dan suntikan modal bukan penciptaan nilai</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Kualitas laba</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O03 margin EBITDA sebanding</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Tampilkan margin dilaporkan dan dinormalisasi</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Kas</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O04 konversi kas operasi</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Jangan beri penghargaan pada utang pemasok tertunggak</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Leverage</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O08 utang bersih / EBITDA</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Headroom covenant dan rating dengan buffer stres</w:t>
            </w:r>
          </w:p>
        </w:tc>
      </w:tr>
      <w:tr>
        <w:trPr>
          <w:cantSplit/>
        </w:trPr>
        <w:tc>
          <w:tcPr>
            <w:tcW w:type="dxa" w:w="212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Manfaat transformasi</w:t>
            </w:r>
          </w:p>
        </w:tc>
        <w:tc>
          <w:tcPr>
            <w:tcW w:type="dxa" w:w="366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O09 manfaat transformasi bersih terverifikasi</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Pengurangan jumlah entitas bukan manfaat</w:t>
            </w:r>
          </w:p>
        </w:tc>
      </w:tr>
      <w:tr>
        <w:trPr>
          <w:cantSplit/>
        </w:trPr>
        <w:tc>
          <w:tcPr>
            <w:tcW w:type="dxa" w:w="212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Portofolio kontrak</w:t>
            </w:r>
          </w:p>
        </w:tc>
        <w:tc>
          <w:tcPr>
            <w:tcW w:type="dxa" w:w="366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Indikator D4: kontrak bermargin sehat, percepatan penagihan, penurunan proyek bermasalah</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Diukur melalui agen AI (Bab 10)</w:t>
            </w:r>
          </w:p>
        </w:tc>
      </w:tr>
    </w:tbl>
    <w:p>
      <w:pPr>
        <w:spacing w:after="120"/>
      </w:pPr>
    </w:p>
    <w:p>
      <w:pPr>
        <w:pStyle w:val="Heading2"/>
      </w:pPr>
      <w:bookmarkStart w:name="_Toc68" w:id="68"/>
      <w:r>
        <w:t xml:space="preserve">9.8 Peran BUMN Konstruksi dalam platform industri</w:t>
      </w:r>
      <w:bookmarkEnd w:id="68"/>
    </w:p>
    <w:p>
      <w:pPr>
        <w:spacing w:after="140" w:line="300"/>
        <w:jc w:val="both"/>
      </w:pPr>
      <w:r>
        <w:t xml:space="preserve">Setelah pulih, BUMN Konstruksi menjadi integrator dan off-taker kunci bagi pemasok dalam negeri pada proyek Giant Sea Wall dan Program 3 Juta Rumah (Bab 7–8). Karena itu, pemulihan tidak boleh semata-mata memangkas biaya pemasok; kontrak dengan pemasok DOCK-UP harus tetap mengikuti prinsip pembayaran tepat waktu dan volume sesuai gerbang kesiapan.</w:t>
      </w:r>
    </w:p>
    <w:p>
      <w:pPr>
        <w:pStyle w:val="Heading1"/>
        <w:pageBreakBefore/>
      </w:pPr>
      <w:bookmarkStart w:name="_Toc69" w:id="69"/>
      <w:r>
        <w:t xml:space="preserve">10. Tulang Punggung Data dan AI</w:t>
      </w:r>
      <w:bookmarkEnd w:id="69"/>
    </w:p>
    <w:p>
      <w:pPr>
        <w:spacing w:after="140" w:line="300"/>
        <w:jc w:val="both"/>
      </w:pPr>
      <w:r>
        <w:t xml:space="preserve">D4 mengusulkan sistem multi-agentic AI untuk BUMN Konstruksi: bukan sekadar chatbot, tetapi sistem operasi proyek berbasis AI yang melindungi arus kas, mendeteksi potensi kerugian lebih awal, meningkatkan produktivitas, dan mengoordinasikan portofolio proyek secara terintegrasi. Kajian ini memposisikannya sebagai bagian dari tulang punggung data Danantara yang juga melayani register proyek (Bab 3), scorecard (Bab 6) dan register kesiapan pemasok (Bab 8).</w:t>
      </w:r>
    </w:p>
    <w:p>
      <w:pPr>
        <w:pStyle w:val="Heading2"/>
      </w:pPr>
      <w:bookmarkStart w:name="_Toc70" w:id="70"/>
      <w:r>
        <w:t xml:space="preserve">10.1 Target operating model</w:t>
      </w:r>
      <w:bookmarkEnd w:id="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Lapisan</w:t>
            </w:r>
          </w:p>
        </w:tc>
        <w:tc>
          <w:tcPr>
            <w:tcW w:type="dxa" w:w="694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Fungsi</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Danantara Portfolio Control Tower</w:t>
            </w:r>
          </w:p>
        </w:tc>
        <w:tc>
          <w:tcPr>
            <w:tcW w:type="dxa" w:w="69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Pemantauan portofolio secara real-time: orkestrasi portofolio, alokasi modal, benchmarking BUMN, turnaround proyek bermasalah, sinkronisasi prioritas proyek strategis, dampak industri dalam negeri (TKDN, kapabilitas industri dan ekosistem)</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SOE Enterprise Orchestrator</w:t>
            </w:r>
          </w:p>
        </w:tc>
        <w:tc>
          <w:tcPr>
            <w:tcW w:type="dxa" w:w="69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CEO, CFO dan COO Cockpit serta Risk &amp; Compliance; koordinasi lintas proyek untuk sumber daya, keuangan dan eksekusi</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Kelompok agen AI korporat</w:t>
            </w:r>
          </w:p>
        </w:tc>
        <w:tc>
          <w:tcPr>
            <w:tcW w:type="dxa" w:w="69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Agen komersial (bid/no-bid, estimasi tender, risiko kontrak, klaim, pembayaran klien), agen keuangan (arus kas, piutang, utang, treasury, profitabilitas proyek), agen eksekusi (biaya, jadwal, pengadaan, pemasok, peralatan, tenaga kerja, mutu, K3 dan lingkungan)</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Project Control Tower</w:t>
            </w:r>
          </w:p>
        </w:tc>
        <w:tc>
          <w:tcPr>
            <w:tcW w:type="dxa" w:w="69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Agen per proyek: project manager, cost, schedule, claims, procurement, supplier risk, equipment, workforce, quality, safety, sustainability, BIM</w:t>
            </w:r>
          </w:p>
        </w:tc>
      </w:tr>
      <w:tr>
        <w:trPr>
          <w:cantSplit/>
        </w:trPr>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Field Intelligence</w:t>
            </w:r>
          </w:p>
        </w:tc>
        <w:tc>
          <w:tcPr>
            <w:tcW w:type="dxa" w:w="69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Data lapangan real-time: aplikasi lapangan, drone, CCTV, sensor IoT, survei digital, BIM/digital twin, SCADA</w:t>
            </w:r>
          </w:p>
        </w:tc>
      </w:tr>
      <w:tr>
        <w:trPr>
          <w:cantSplit/>
        </w:trPr>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Enterprise Data Platform</w:t>
            </w:r>
          </w:p>
        </w:tc>
        <w:tc>
          <w:tcPr>
            <w:tcW w:type="dxa" w:w="69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Integrasi ERP, e-procurement, manajemen kontrak, BIM/CDE, jadwal (Primavera/P6), HR, keuangan, legal, K3 dan mutu, peralatan, IoT dan data eksternal</w:t>
            </w:r>
          </w:p>
        </w:tc>
      </w:tr>
    </w:tbl>
    <w:p>
      <w:pPr>
        <w:spacing w:after="120"/>
      </w:pPr>
    </w:p>
    <w:p>
      <w:pPr>
        <w:spacing w:after="140" w:line="300"/>
        <w:jc w:val="both"/>
      </w:pPr>
      <w:r>
        <w:rPr>
          <w:b/>
          <w:bCs/>
        </w:rPr>
        <w:t xml:space="preserve">Human-in-the-loop</w:t>
      </w:r>
      <w:r>
        <w:t xml:space="preserve"> menjadi prinsip tetap: keputusan material, kasus kompleks dan eskalasi berisiko tinggi memerlukan persetujuan manusia, dan tindakan dieksekusi melalui sistem terkait yang ada [D4].</w:t>
      </w:r>
    </w:p>
    <w:p>
      <w:pPr>
        <w:pStyle w:val="Heading2"/>
      </w:pPr>
      <w:bookmarkStart w:name="_Toc71" w:id="71"/>
      <w:r>
        <w:t xml:space="preserve">10.2 Agen AI prioritas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Agen</w:t>
            </w:r>
          </w:p>
        </w:tc>
        <w:tc>
          <w:tcPr>
            <w:tcW w:type="dxa" w:w="713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Fungsi utama</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Agen risiko portofolio</w:t>
            </w:r>
          </w:p>
        </w:tc>
        <w:tc>
          <w:tcPr>
            <w:tcW w:type="dxa" w:w="713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Memeringkat proyek dan anak usaha berdasarkan risiko biaya, jadwal, pembayaran dan piutang; klasifikasi Green/Amber/Red/Black; deteksi dini kerugian; rencana pemulihan</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Agen bid/no-bid</w:t>
            </w:r>
          </w:p>
        </w:tc>
        <w:tc>
          <w:tcPr>
            <w:tcW w:type="dxa" w:w="713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Evaluasi kelayakan tender, analisis margin historis, risiko kontrak dan kebutuhan modal kerja, simulasi skenario</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Agen estimasi biaya</w:t>
            </w:r>
          </w:p>
        </w:tc>
        <w:tc>
          <w:tcPr>
            <w:tcW w:type="dxa" w:w="713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Estimasi independen berbasis data historis dan harga pasar; perbandingan dengan kontrak dan perubahan</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Agen piutang dan pembayaran</w:t>
            </w:r>
          </w:p>
        </w:tc>
        <w:tc>
          <w:tcPr>
            <w:tcW w:type="dxa" w:w="713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Pemantauan invoice dan sertifikat, deteksi dokumen yang hilang, prediksi gagal bayar, percepatan penagihan</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Agen jadwal dan progres</w:t>
            </w:r>
          </w:p>
        </w:tc>
        <w:tc>
          <w:tcPr>
            <w:tcW w:type="dxa" w:w="713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Progres fisik vs rencana, analisis keterlambatan dan dampaknya pada margin, integrasi data lapangan</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Agen pengadaan dan pemasok</w:t>
            </w:r>
          </w:p>
        </w:tc>
        <w:tc>
          <w:tcPr>
            <w:tcW w:type="dxa" w:w="713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Analisis pemasok dan harga pasar, deteksi risiko pemasok, optimasi strategi pengadaan, rekomendasi substitusi</w:t>
            </w:r>
          </w:p>
        </w:tc>
      </w:tr>
    </w:tbl>
    <w:p>
      <w:pPr>
        <w:spacing w:after="120"/>
      </w:pPr>
    </w:p>
    <w:p>
      <w:pPr>
        <w:pStyle w:val="Heading2"/>
      </w:pPr>
      <w:bookmarkStart w:name="_Toc72" w:id="72"/>
      <w:r>
        <w:t xml:space="preserve">10.3 Master data sebagai fondasi bersama</w:t>
      </w:r>
      <w:bookmarkEnd w:id="72"/>
    </w:p>
    <w:p>
      <w:pPr>
        <w:spacing w:after="140" w:line="300"/>
        <w:jc w:val="both"/>
      </w:pPr>
      <w:r>
        <w:t xml:space="preserve">D4 menetapkan master data utama: Project ID, WBS, Cost Code, Activity Code, Material Code, Supplier ID, Contract ID, Variation Order ID, Payment Certificate ID dan Asset ID. D2 mensyaratkan setiap entitas, aset, proyek, lokasi, instrumen pembiayaan dan fase memiliki identitas unik. Kajian ini mengusulkan </w:t>
      </w:r>
      <w:r>
        <w:rPr>
          <w:b/>
          <w:bCs/>
        </w:rPr>
        <w:t xml:space="preserve">satu register identitas bersama</w:t>
      </w:r>
      <w:r>
        <w:t xml:space="preserve"> untuk ketiga kebutuhan:</w:t>
      </w:r>
    </w:p>
    <w:p>
      <w:pPr>
        <w:pStyle w:val="ListParagraph"/>
        <w:numPr>
          <w:ilvl w:val="0"/>
          <w:numId w:val="5"/>
        </w:numPr>
        <w:spacing w:after="80" w:line="290"/>
      </w:pPr>
      <w:r>
        <w:t xml:space="preserve">Project ID yang sama dipakai di register 40 proyek (D1), scorecard (D2) dan Project Control Tower (D4).</w:t>
      </w:r>
    </w:p>
    <w:p>
      <w:pPr>
        <w:pStyle w:val="ListParagraph"/>
        <w:numPr>
          <w:ilvl w:val="0"/>
          <w:numId w:val="5"/>
        </w:numPr>
        <w:spacing w:after="80" w:line="290"/>
      </w:pPr>
      <w:r>
        <w:t xml:space="preserve">Supplier ID yang sama dipakai di agen pengadaan (D4) dan register kesiapan DOCK-UP dengan status gerbang S1–S4 (D3).</w:t>
      </w:r>
    </w:p>
    <w:p>
      <w:pPr>
        <w:pStyle w:val="ListParagraph"/>
        <w:numPr>
          <w:ilvl w:val="0"/>
          <w:numId w:val="5"/>
        </w:numPr>
        <w:spacing w:after="80" w:line="290"/>
      </w:pPr>
      <w:r>
        <w:t xml:space="preserve">Entity dan Asset ID mendukung jembatan perimeter dan pemisahan aset warisan (Bab 9).</w:t>
      </w:r>
    </w:p>
    <w:p>
      <w:pPr>
        <w:pStyle w:val="Heading2"/>
      </w:pPr>
      <w:bookmarkStart w:name="_Toc73" w:id="73"/>
      <w:r>
        <w:t xml:space="preserve">10.4 Arsitektur hub-and-spoke</w:t>
      </w:r>
      <w:bookmarkEnd w:id="73"/>
    </w:p>
    <w:p>
      <w:pPr>
        <w:spacing w:after="140" w:line="300"/>
        <w:jc w:val="both"/>
      </w:pPr>
      <w:r>
        <w:t xml:space="preserve">Danantara AI Platform berfungsi sebagai hub pusat (LLM gateway, agent platform, common data model, IAM, model management, Portfolio Control Tower). Setiap BUMN Konstruksi (WIKA, PP, Waskita, Adhi Karya dan lainnya) menjadi spoke dengan AI Control Tower sendiri yang terhubung ke data proyek, ERP, BIM/P6 dan SCM masing-masing [D4].</w:t>
      </w:r>
    </w:p>
    <w:p>
      <w:pPr>
        <w:pStyle w:val="Heading2"/>
      </w:pPr>
      <w:bookmarkStart w:name="_Toc74" w:id="74"/>
      <w:r>
        <w:t xml:space="preserve">10.5 Peta jalan dan sumber daya</w:t>
      </w:r>
      <w:bookmarkEnd w:id="7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204"/>
        <w:gridCol w:w="1929"/>
      </w:tblGrid>
      <w:tr>
        <w:trPr>
          <w:tblHeader/>
        </w:trPr>
        <w:tc>
          <w:tcPr>
            <w:tcW w:type="dxa" w:w="250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Fase</w:t>
            </w:r>
          </w:p>
        </w:tc>
        <w:tc>
          <w:tcPr>
            <w:tcW w:type="dxa" w:w="520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Cakupan</w:t>
            </w:r>
          </w:p>
        </w:tc>
        <w:tc>
          <w:tcPr>
            <w:tcW w:type="dxa" w:w="192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Komputasi</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Fase 1: 0–3 bulan (pilot)</w:t>
            </w:r>
          </w:p>
        </w:tc>
        <w:tc>
          <w:tcPr>
            <w:tcW w:type="dxa" w:w="520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 BUMN, 2–3 proyek, 6 agen utama, pengguna terbatas, validasi arsitektur dan data model</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4 GPU, 1 site</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Fase 2: 6–12 bulan</w:t>
            </w:r>
          </w:p>
        </w:tc>
        <w:tc>
          <w:tcPr>
            <w:tcW w:type="dxa" w:w="520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2–3 BUMN, 20–50 proyek, agen tambahan, high availability</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8 GPU, 2 site</w:t>
            </w:r>
          </w:p>
        </w:tc>
      </w:tr>
      <w:tr>
        <w:trPr>
          <w:cantSplit/>
        </w:trPr>
        <w:tc>
          <w:tcPr>
            <w:tcW w:type="dxa" w:w="250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Fase 3: 12–24 bulan</w:t>
            </w:r>
          </w:p>
        </w:tc>
        <w:tc>
          <w:tcPr>
            <w:tcW w:type="dxa" w:w="520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Seluruh BUMN Konstruksi, 100+ proyek, agen portofolio Danantara, computer vision skala besar</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16 GPU (cluster)</w:t>
            </w:r>
          </w:p>
        </w:tc>
      </w:tr>
      <w:tr>
        <w:trPr>
          <w:cantSplit/>
        </w:trPr>
        <w:tc>
          <w:tcPr>
            <w:tcW w:type="dxa" w:w="250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Fase 4: &gt;24 bulan (nasional)</w:t>
            </w:r>
          </w:p>
        </w:tc>
        <w:tc>
          <w:tcPr>
            <w:tcW w:type="dxa" w:w="520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Ratusan proyek, analitik lintas BUMN, integrasi ekosistem industri, disaster recovery</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16–24+ GPU, multi-site</w:t>
            </w:r>
          </w:p>
        </w:tc>
      </w:tr>
    </w:tbl>
    <w:p>
      <w:pPr>
        <w:spacing w:after="120"/>
      </w:pPr>
    </w:p>
    <w:p>
      <w:pPr>
        <w:spacing w:after="140" w:line="300"/>
        <w:jc w:val="both"/>
      </w:pPr>
      <w:r>
        <w:t xml:space="preserve">Fase 1 (MVP tiga bulan) direncanakan dengan urutan: bulan 1 fondasi dan integrasi data (ERP read-only, enterprise data layer, framework multi-agent); bulan 2 pengembangan enam agen prioritas (Project Document, Cost, Cash &amp; Receivables, Procurement, Schedule, Project Manager Orchestrator); bulan 3 integrasi, dashboard eksekutif, pilot pada 2–3 proyek, UAT dan pelatihan [D4].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Komponen infrastruktur Fase 1</w:t>
            </w:r>
          </w:p>
        </w:tc>
        <w:tc>
          <w:tcPr>
            <w:tcW w:type="dxa" w:w="67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Spesifikasi utama</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GPU server (LLM inference)</w:t>
            </w:r>
          </w:p>
        </w:tc>
        <w:tc>
          <w:tcPr>
            <w:tcW w:type="dxa" w:w="67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1–2 server, masing-masing 4 × NVIDIA L40S 48 GB, 32–64 CPU cores, 256–512 GB RAM</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Data platform server</w:t>
            </w:r>
          </w:p>
        </w:tc>
        <w:tc>
          <w:tcPr>
            <w:tcW w:type="dxa" w:w="67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1 server: database, data lakehouse, vector DB, ETL, knowledge graph</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Document processing server</w:t>
            </w:r>
          </w:p>
        </w:tc>
        <w:tc>
          <w:tcPr>
            <w:tcW w:type="dxa" w:w="67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 server: OCR dokumen kontrak dan laporan, computer vision progres proyek</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Storage dan backup</w:t>
            </w:r>
          </w:p>
        </w:tc>
        <w:tc>
          <w:tcPr>
            <w:tcW w:type="dxa" w:w="67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20–50 TB NAS/object storage</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Model</w:t>
            </w:r>
          </w:p>
        </w:tc>
        <w:tc>
          <w:tcPr>
            <w:tcW w:type="dxa" w:w="67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LLM utama 30–40B (mis. Llama 3.1 70B 4-bit, Qwen 2.5 32B), LLM kecil 7–8B, embedding (bge-large, E5-large), computer vision (YOLO, SAM)</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Tim</w:t>
            </w:r>
          </w:p>
        </w:tc>
        <w:tc>
          <w:tcPr>
            <w:tcW w:type="dxa" w:w="67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14 orang teknis (3 AI/agent, 3 backend, 2 data, 1 AI/ML, 2 frontend, 1 DevOps, 1 security, 1 QA) ditambah 6–8 ahli bisnis dan domain</w:t>
            </w:r>
          </w:p>
        </w:tc>
      </w:tr>
    </w:tbl>
    <w:p>
      <w:pPr>
        <w:spacing w:after="120"/>
      </w:pPr>
    </w:p>
    <w:p>
      <w:pPr>
        <w:spacing w:after="160"/>
      </w:pPr>
      <w:r>
        <w:rPr>
          <w:i/>
          <w:iCs/>
          <w:color w:val="555555"/>
          <w:sz w:val="18"/>
          <w:szCs w:val="18"/>
        </w:rPr>
        <w:t xml:space="preserve">Sumber: D4 halaman 4–8. Ada inkonsistensi dalam D4: roadmap disebut “3 bulan”, tetapi diagram rincian pekerjaan berjalan M1–M12, dan hlm. 8 memuat skala 24 bulan. Kajian ini membaca 3 bulan sebagai MVP (Fase 1) dan 24 bulan sebagai perluasan (Lampiran E).</w:t>
      </w:r>
    </w:p>
    <w:p>
      <w:pPr>
        <w:pStyle w:val="Heading2"/>
      </w:pPr>
      <w:bookmarkStart w:name="_Toc75" w:id="75"/>
      <w:r>
        <w:t xml:space="preserve">10.6 Tata kelola AI dan pengukuran manfaat</w:t>
      </w:r>
      <w:bookmarkEnd w:id="75"/>
    </w:p>
    <w:p>
      <w:pPr>
        <w:pStyle w:val="ListParagraph"/>
        <w:numPr>
          <w:ilvl w:val="0"/>
          <w:numId w:val="5"/>
        </w:numPr>
        <w:spacing w:after="80" w:line="290"/>
      </w:pPr>
      <w:r>
        <w:rPr>
          <w:b/>
          <w:bCs/>
        </w:rPr>
        <w:t xml:space="preserve">Manfaat diukur bersih.</w:t>
      </w:r>
      <w:r>
        <w:t xml:space="preserve"> Biaya platform, lisensi, GPU dan tim diperlakukan sebagai biaya transformasi; manfaat dihitung melalui O09 (manfaat transformasi bersih terverifikasi) dan indikator D4 (kontrak bermargin sehat, percepatan penagihan, penurunan proyek bermasalah, peningkatan arus kas).</w:t>
      </w:r>
    </w:p>
    <w:p>
      <w:pPr>
        <w:pStyle w:val="ListParagraph"/>
        <w:numPr>
          <w:ilvl w:val="0"/>
          <w:numId w:val="5"/>
        </w:numPr>
        <w:spacing w:after="80" w:line="290"/>
      </w:pPr>
      <w:r>
        <w:rPr>
          <w:b/>
          <w:bCs/>
        </w:rPr>
        <w:t xml:space="preserve">Tanpa keputusan otomatis atas kewenangan hukum.</w:t>
      </w:r>
      <w:r>
        <w:t xml:space="preserve"> Rekomendasi bid/no-bid atau penghentian proyek tetap diputuskan organ perusahaan sesuai RASCI (Bab 5).</w:t>
      </w:r>
    </w:p>
    <w:p>
      <w:pPr>
        <w:pStyle w:val="ListParagraph"/>
        <w:numPr>
          <w:ilvl w:val="0"/>
          <w:numId w:val="5"/>
        </w:numPr>
        <w:spacing w:after="80" w:line="290"/>
      </w:pPr>
      <w:r>
        <w:rPr>
          <w:b/>
          <w:bCs/>
        </w:rPr>
        <w:t xml:space="preserve">Keamanan dan kedaulatan data.</w:t>
      </w:r>
      <w:r>
        <w:t xml:space="preserve"> Model dijalankan secara lokal, dengan RBAC, audit dan multi-tenant per BUMN; data pertahanan mengikuti persyaratan C3.</w:t>
      </w:r>
    </w:p>
    <w:p>
      <w:pPr>
        <w:pStyle w:val="ListParagraph"/>
        <w:numPr>
          <w:ilvl w:val="0"/>
          <w:numId w:val="5"/>
        </w:numPr>
        <w:spacing w:after="80" w:line="290"/>
      </w:pPr>
      <w:r>
        <w:rPr>
          <w:b/>
          <w:bCs/>
        </w:rPr>
        <w:t xml:space="preserve">Kualitas data sebelum kecerdasan.</w:t>
      </w:r>
      <w:r>
        <w:t xml:space="preserve"> Agen hanya sebaik master data dan integrasi ERP; Fase 1 harus memvalidasi data model sebelum perluasan.</w:t>
      </w:r>
    </w:p>
    <w:p>
      <w:pPr>
        <w:pStyle w:val="Heading1"/>
        <w:pageBreakBefore/>
      </w:pPr>
      <w:bookmarkStart w:name="_Toc76" w:id="76"/>
      <w:r>
        <w:t xml:space="preserve">11. Pembiayaan, Risiko Fiskal dan Uji Stres</w:t>
      </w:r>
      <w:bookmarkEnd w:id="76"/>
    </w:p>
    <w:p>
      <w:pPr>
        <w:pStyle w:val="Heading2"/>
      </w:pPr>
      <w:bookmarkStart w:name="_Toc77" w:id="77"/>
      <w:r>
        <w:t xml:space="preserve">11.1 Pembiayaan yang mengikuti kesiapan</w:t>
      </w:r>
      <w:bookmarkEnd w:id="77"/>
    </w:p>
    <w:p>
      <w:pPr>
        <w:spacing w:after="140" w:line="300"/>
        <w:jc w:val="both"/>
      </w:pPr>
      <w:r>
        <w:t xml:space="preserve">Ketiga dokumen sepakat bahwa pembiayaan harus mengikuti tahap kesiapan, bukan mendahuluinya. Untuk pemasok, D3 memetakan instrumen ke gerbang S1–S4; untuk proyek, D1 mensyaratkan bukti P2 dan persetujuan P3 sebelum komitmen yang tidak dapat ditarik.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855"/>
        <w:gridCol w:w="4049"/>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Tahap</w:t>
            </w:r>
          </w:p>
        </w:tc>
        <w:tc>
          <w:tcPr>
            <w:tcW w:type="dxa" w:w="385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Instrumen pemasok (D3)</w:t>
            </w:r>
          </w:p>
        </w:tc>
        <w:tc>
          <w:tcPr>
            <w:tcW w:type="dxa" w:w="404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Instrumen proyek (D1, D2)</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Masuk / P0–P1</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Insinyur pendamping, pelatihan</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Pendanaan studi dan pre-FEED</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S1 / P2</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Hibah pendamping, fasilitas bersama</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FEED, persiapan investasi</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S2 / P3</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KUR, pembiayaan rantai pasok</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Keputusan modal sesuai kewenangan</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S3 / P4</w:t>
            </w:r>
          </w:p>
        </w:tc>
        <w:tc>
          <w:tcPr>
            <w:tcW w:type="dxa" w:w="385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Kredit investasi, penjaminan kerugian pertama</w:t>
            </w:r>
          </w:p>
        </w:tc>
        <w:tc>
          <w:tcPr>
            <w:tcW w:type="dxa" w:w="40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Financial close: pendanaan mengikat, CP terpenuhi</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S4 / P5–P6</w:t>
            </w:r>
          </w:p>
        </w:tc>
        <w:tc>
          <w:tcPr>
            <w:tcW w:type="dxa" w:w="385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Ventura korporasi, R&amp;D super-deduction (PP 45/2019), LPEI</w:t>
            </w:r>
          </w:p>
        </w:tc>
        <w:tc>
          <w:tcPr>
            <w:tcW w:type="dxa" w:w="40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Refinancing, mobilisasi swasta yang dapat diatribusikan (I10)</w:t>
            </w:r>
          </w:p>
        </w:tc>
      </w:tr>
    </w:tbl>
    <w:p>
      <w:pPr>
        <w:spacing w:after="120"/>
      </w:pPr>
    </w:p>
    <w:p>
      <w:pPr>
        <w:pStyle w:val="Heading2"/>
      </w:pPr>
      <w:bookmarkStart w:name="_Toc78" w:id="78"/>
      <w:r>
        <w:t xml:space="preserve">11.2 Dukungan publik harus eksplisit</w:t>
      </w:r>
      <w:bookmarkEnd w:id="78"/>
    </w:p>
    <w:p>
      <w:pPr>
        <w:spacing w:after="140" w:line="300"/>
        <w:jc w:val="both"/>
      </w:pPr>
      <w:r>
        <w:t xml:space="preserve">Proyek strategis memerlukan kasus finansial dan kasus ekonomi. Contoh ilustratif D2: proyek dengan capex Rp100 miliar dan arus kas Rp15 miliar per tahun selama 10 tahun memiliki NPV finansial −Rp15,25 miliar pada 12% (IRR 8,14%), tetapi NPV ekonomi Rp34,77 miliar pada 9% (EIRR 16,40%) bila manfaat eksternal Rp6 miliar per tahun dapat dipertahankan. Hibah viability gap Rp15,25 miliar membuat NPV investor nol; hibah ini adalah biaya publik dan transfer, bukan penciptaan manfaat.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Implikasi</w:t>
            </w:r>
          </w:p>
          <w:p>
            <w:pPr>
              <w:spacing w:after="60" w:line="290"/>
            </w:pPr>
            <w:r>
              <w:rPr>
                <w:sz w:val="21"/>
                <w:szCs w:val="21"/>
              </w:rPr>
              <w:t xml:space="preserve">Bila proyek anchor atau program DOCK-UP memerlukan dukungan publik, besarnya harus dikuantifikasi (D12: dukungan publik per hasil tambahan), dibandingkan dengan alternatif biaya terendah, dan disetujui secara eksplisit. Status strategis tidak menggantikan persetujuan pendanaan.</w:t>
            </w:r>
          </w:p>
        </w:tc>
      </w:tr>
    </w:tbl>
    <w:p>
      <w:pPr>
        <w:pStyle w:val="Heading2"/>
      </w:pPr>
      <w:bookmarkStart w:name="_Toc79" w:id="79"/>
      <w:r>
        <w:t xml:space="preserve">11.3 Koreksi asumsi pembiayaan dan hukum</w:t>
      </w:r>
      <w:bookmarkEnd w:id="7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tblHeader/>
        </w:trPr>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Asumsi dalam bahan diskusi</w:t>
            </w:r>
          </w:p>
        </w:tc>
        <w:tc>
          <w:tcPr>
            <w:tcW w:type="dxa" w:w="55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Pembacaan yang benar</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PP 19 langsung memberi kewenangan membentuk Wakil Kepala</w:t>
            </w:r>
          </w:p>
        </w:tc>
        <w:tc>
          <w:tcPr>
            <w:tcW w:type="dxa" w:w="55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Pembedaan tujuan holding tidak menciptakan jabatan baru; gunakan jalur anggota dan harmonisasi</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Semua 40 proyek harus keluar dari DAM karena tidak komersial</w:t>
            </w:r>
          </w:p>
        </w:tc>
        <w:tc>
          <w:tcPr>
            <w:tcW w:type="dxa" w:w="55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Proyek memuat komponen komersial dan pembangunan; klasifikasikan melalui register dahulu</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Pasal 9G menjadi dasar tetap status pejabat</w:t>
            </w:r>
          </w:p>
        </w:tc>
        <w:tc>
          <w:tcPr>
            <w:tcW w:type="dxa" w:w="55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UU 16/2025 menghapus Pasal 9G</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BJR memberi kekebalan atas kerugian</w:t>
            </w:r>
          </w:p>
        </w:tc>
        <w:tc>
          <w:tcPr>
            <w:tcW w:type="dxa" w:w="55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Pasal 3Y memuat syarat yang harus dibuktikan; bukan kekebalan</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Obligasi berbasis sumber daya adalah modal non-utang</w:t>
            </w:r>
          </w:p>
        </w:tc>
        <w:tc>
          <w:tcPr>
            <w:tcW w:type="dxa" w:w="55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Kewajiban bayar kembali atau kupon tetap menjadikannya kewajiban pembiayaan; label off budget tidak menghilangkan risiko fiskal</w:t>
            </w:r>
          </w:p>
        </w:tc>
      </w:tr>
      <w:tr>
        <w:trPr>
          <w:cantSplit/>
        </w:trPr>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Pasal 33 memberi hak langsung menjaminkan cadangan atau royalti</w:t>
            </w:r>
          </w:p>
        </w:tc>
        <w:tc>
          <w:tcPr>
            <w:tcW w:type="dxa" w:w="55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Kendali negara atas SDA tidak otomatis memberi BPI hak atas cadangan belum ditambang atau PNBP</w:t>
            </w:r>
          </w:p>
        </w:tc>
      </w:tr>
      <w:tr>
        <w:trPr>
          <w:cantSplit/>
        </w:trPr>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Unit baru dapat menetapkan standar nasional atau TKDN tunggal</w:t>
            </w:r>
          </w:p>
        </w:tc>
        <w:tc>
          <w:tcPr>
            <w:tcW w:type="dxa" w:w="55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Unit menyusun persyaratan proyek; standar wajib dan TKDN tetap pada otoritas berwenang</w:t>
            </w:r>
          </w:p>
        </w:tc>
      </w:tr>
    </w:tbl>
    <w:p>
      <w:pPr>
        <w:spacing w:after="120"/>
      </w:pPr>
    </w:p>
    <w:p>
      <w:pPr>
        <w:spacing w:after="160"/>
      </w:pPr>
      <w:r>
        <w:rPr>
          <w:i/>
          <w:iCs/>
          <w:color w:val="555555"/>
          <w:sz w:val="18"/>
          <w:szCs w:val="18"/>
        </w:rPr>
        <w:t xml:space="preserve">Sumber: D1 bagian 18.</w:t>
      </w:r>
    </w:p>
    <w:p>
      <w:pPr>
        <w:pStyle w:val="Heading2"/>
      </w:pPr>
      <w:bookmarkStart w:name="_Toc80" w:id="80"/>
      <w:r>
        <w:t xml:space="preserve">11.4 Uji stres</w:t>
      </w:r>
      <w:bookmarkEnd w:id="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240"/>
        <w:gridCol w:w="3664"/>
      </w:tblGrid>
      <w:tr>
        <w:trPr>
          <w:tblHeader/>
        </w:trPr>
        <w:tc>
          <w:tcPr>
            <w:tcW w:type="dxa" w:w="173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Risiko</w:t>
            </w:r>
          </w:p>
        </w:tc>
        <w:tc>
          <w:tcPr>
            <w:tcW w:type="dxa" w:w="424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Uji yang diusulkan</w:t>
            </w:r>
          </w:p>
        </w:tc>
        <w:tc>
          <w:tcPr>
            <w:tcW w:type="dxa" w:w="366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Respons keputusan</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Kurs / refinancing</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Depresiasi rupiah 15%; spread refinancing +200 bps pada utang yang reprice</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Ubah ukuran atau lindung nilai eksposur; jaga likuiditas</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Siklus industri</w:t>
            </w:r>
          </w:p>
        </w:tc>
        <w:tc>
          <w:tcPr>
            <w:tcW w:type="dxa" w:w="42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Harga produk −20%, biaya bahan baku/listrik +15%, utilisasi di bawah rencana</w:t>
            </w:r>
          </w:p>
        </w:tc>
        <w:tc>
          <w:tcPr>
            <w:tcW w:type="dxa" w:w="366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Uji ulang margin, covenant, offtake, capex bertahap</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Konstruksi</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Capex +20%, keterlambatan 12 bulan, kegagalan kontraktor</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Danai kontinjensi; review insinyur independen; desain ulang atau hentikan</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Fiskal / layanan publik</w:t>
            </w:r>
          </w:p>
        </w:tc>
        <w:tc>
          <w:tcPr>
            <w:tcW w:type="dxa" w:w="42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Kompensasi dibayar 180 hari lebih lambat; penjaminan ditagih</w:t>
            </w:r>
          </w:p>
        </w:tc>
        <w:tc>
          <w:tcPr>
            <w:tcW w:type="dxa" w:w="366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Ungkap dukungan kontinjen; kontrak layanan yang didanai</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Kredit bank</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Migrasi kredit, cost of risk naik, eksposur BUMN berkorelasi</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CET1 setelah kerugian; batasi kredit terkonsentrasi</w:t>
            </w:r>
          </w:p>
        </w:tc>
      </w:tr>
      <w:tr>
        <w:trPr>
          <w:cantSplit/>
        </w:trPr>
        <w:tc>
          <w:tcPr>
            <w:tcW w:type="dxa" w:w="173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Teknologi / pasar</w:t>
            </w:r>
          </w:p>
        </w:tc>
        <w:tc>
          <w:tcPr>
            <w:tcW w:type="dxa" w:w="424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Yield pilot tidak terulang; kualifikasi tertunda; hak IP tidak memadai</w:t>
            </w:r>
          </w:p>
        </w:tc>
        <w:tc>
          <w:tcPr>
            <w:tcW w:type="dxa" w:w="366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Kaitkan pendanaan berikut dengan milestone yang diterima independen</w:t>
            </w:r>
          </w:p>
        </w:tc>
      </w:tr>
      <w:tr>
        <w:trPr>
          <w:cantSplit/>
        </w:trPr>
        <w:tc>
          <w:tcPr>
            <w:tcW w:type="dxa" w:w="173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Lingkungan / sosial</w:t>
            </w:r>
          </w:p>
        </w:tc>
        <w:tc>
          <w:tcPr>
            <w:tcW w:type="dxa" w:w="424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Baseline emisi berlebihan; kegagalan keselamatan atau izin</w:t>
            </w:r>
          </w:p>
        </w:tc>
        <w:tc>
          <w:tcPr>
            <w:tcW w:type="dxa" w:w="366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Estimasi ulang manfaat; tangguhkan bila syarat gagal</w:t>
            </w:r>
          </w:p>
        </w:tc>
      </w:tr>
    </w:tbl>
    <w:p>
      <w:pPr>
        <w:spacing w:after="120"/>
      </w:pPr>
    </w:p>
    <w:p>
      <w:pPr>
        <w:spacing w:after="160"/>
      </w:pPr>
      <w:r>
        <w:rPr>
          <w:i/>
          <w:iCs/>
          <w:color w:val="555555"/>
          <w:sz w:val="18"/>
          <w:szCs w:val="18"/>
        </w:rPr>
        <w:t xml:space="preserve">Sumber: D2. Guncangan adalah asumsi awal ilustratif, bukan proyeksi atau ambang regulasi.</w:t>
      </w:r>
    </w:p>
    <w:p>
      <w:pPr>
        <w:spacing w:after="140" w:line="300"/>
        <w:jc w:val="both"/>
      </w:pPr>
      <w:r>
        <w:t xml:space="preserve">Uji stres harus dijalankan secara simultan di tingkat grup. Kegagalan satu proyek dapat menurunkan dividen BUMN, melemahkan kualitas aset bank BUMN yang membiayainya, dan memicu penjaminan pada saat yang sama. Kasus BUMN Konstruksi (Bab 9) adalah contoh nyata korelasi tersebut: piutang pemerintah yang terlambat, utang proyek, dan eksposur bank BUMN saling terkait.</w:t>
      </w:r>
    </w:p>
    <w:p>
      <w:pPr>
        <w:pStyle w:val="Heading1"/>
        <w:pageBreakBefore/>
      </w:pPr>
      <w:bookmarkStart w:name="_Toc81" w:id="81"/>
      <w:r>
        <w:t xml:space="preserve">12. Risiko Transformasi dan Pengaman</w:t>
      </w:r>
      <w:bookmarkEnd w:id="81"/>
    </w:p>
    <w:p>
      <w:pPr>
        <w:spacing w:after="140" w:line="300"/>
        <w:jc w:val="both"/>
      </w:pPr>
      <w:r>
        <w:t xml:space="preserve">Transformasi menjadi platform industri membawa risiko baru di samping risiko investasi biasa. Tabel berikut menggabungkan risiko yang diidentifikasi dalam keempat dokumen beserta pengamannya.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4047"/>
        <w:gridCol w:w="966"/>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Risiko</w:t>
            </w:r>
          </w:p>
        </w:tc>
        <w:tc>
          <w:tcPr>
            <w:tcW w:type="dxa" w:w="269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Gejala</w:t>
            </w:r>
          </w:p>
        </w:tc>
        <w:tc>
          <w:tcPr>
            <w:tcW w:type="dxa" w:w="40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Pengaman</w:t>
            </w:r>
          </w:p>
        </w:tc>
        <w:tc>
          <w:tcPr>
            <w:tcW w:type="dxa" w:w="96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Sumber</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DOCK-UP diperlakukan sebagai kuota</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Pesanan diberikan sebelum kesiapan terverifikasi; kegagalan mutu pada kapal perang</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Volume hanya dilepas per gerbang S; integrator wajib memitigasi volume dan kualitas</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D3</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Duplikasi mandat</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baru menjadi lapisan rapat tambahan; DDMF dan unit menangani hal sama</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Piagam antarfungsi; unit dibatasi pada integrasi lintas portofolio</w:t>
            </w:r>
          </w:p>
        </w:tc>
        <w:tc>
          <w:tcPr>
            <w:tcW w:type="dxa" w:w="96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D1</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Dominasi promotor</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Penilai risiko dan hukum melapor kepada pendorong proyek</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Jalur risiko, legal dan audit yang terlindungi; pendapat berbeda masuk risalah</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Sentralisasi</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atau Wakil Kepala mengambil alih pengurusan perusahaan</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Peta kewenangan per entitas dan objek; RASCI dengan satu A</w:t>
            </w:r>
          </w:p>
        </w:tc>
        <w:tc>
          <w:tcPr>
            <w:tcW w:type="dxa" w:w="96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D1</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Penyalahgunaan label strategis</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Proyek tidak layak dipertahankan karena berlabel strategis</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Kriteria masuk portofolio; kasus finansial dan ekonomi; evaluasi ulang P6</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 D2</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Proteksi permanen</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UKM bergantung pada pesanan terproteksi dan tidak efisien</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Proteksi sementara; target biaya setara impor; pemasok harus mempertahankan MRL 8</w:t>
            </w:r>
          </w:p>
        </w:tc>
        <w:tc>
          <w:tcPr>
            <w:tcW w:type="dxa" w:w="96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D3</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Ketergantungan vendor dan mitra asing</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Kepemilikan teknologi tetap di luar negeri</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Review teknis CTO; hak IPR dalam perjanjian; paket alih teknologi dalam ofset</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 D3, D4</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Klaim dampak berlebihan</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Pengumuman disajikan sebagai hasil; PDB nasional diklaim</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Kelas bukti; lima tahap modal; kontrafaktual dan rentang kontribusi</w:t>
            </w:r>
          </w:p>
        </w:tc>
        <w:tc>
          <w:tcPr>
            <w:tcW w:type="dxa" w:w="96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D2</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Pemulihan BUMN Konstruksi memindahkan masalah</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Aset warisan dipindah tanpa valuasi; kewajiban tersembunyi</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Valuasi independen; jembatan perimeter; kewajiban warisan dipisahkan</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D2, D4</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Risiko data dan AI</w:t>
            </w:r>
          </w:p>
        </w:tc>
        <w:tc>
          <w:tcPr>
            <w:tcW w:type="dxa" w:w="269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Data buruk menghasilkan rekomendasi salah; kebocoran data sensitif</w:t>
            </w:r>
          </w:p>
        </w:tc>
        <w:tc>
          <w:tcPr>
            <w:tcW w:type="dxa" w:w="40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Validasi data model di Fase 1; human-in-the-loop; RBAC dan audit</w:t>
            </w:r>
          </w:p>
        </w:tc>
        <w:tc>
          <w:tcPr>
            <w:tcW w:type="dxa" w:w="96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D4</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Transisi organisasi yang tidak tertib</w:t>
            </w:r>
          </w:p>
        </w:tc>
        <w:tc>
          <w:tcPr>
            <w:tcW w:type="dxa" w:w="269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Arsip, kontrak dan kewenangan hilang saat perubahan struktur</w:t>
            </w:r>
          </w:p>
        </w:tc>
        <w:tc>
          <w:tcPr>
            <w:tcW w:type="dxa" w:w="40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Daftar kewenangan, arsip, aset dan kewajiban yang berpindah (pelajaran Vietnam)</w:t>
            </w:r>
          </w:p>
        </w:tc>
        <w:tc>
          <w:tcPr>
            <w:tcW w:type="dxa" w:w="96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Risiko tunggal terbesar</w:t>
            </w:r>
          </w:p>
          <w:p>
            <w:pPr>
              <w:spacing w:after="60" w:line="290"/>
            </w:pPr>
            <w:r>
              <w:rPr>
                <w:sz w:val="21"/>
                <w:szCs w:val="21"/>
              </w:rPr>
              <w:t xml:space="preserve">Memperlakukan transformasi sebagai target kuantitas (jumlah proyek, nilai investasi, jumlah UKM) dan bukan sebagai jalur bergerbang yang menuntut bukti kesiapan dan hasil. Percepatan tidak dapat dicapai dengan memindahkan pekerjaan yang belum selesai menjadi komitmen investasi [D1, D3].</w:t>
            </w:r>
          </w:p>
        </w:tc>
      </w:tr>
    </w:tbl>
    <w:p>
      <w:pPr>
        <w:pStyle w:val="Heading1"/>
        <w:pageBreakBefore/>
      </w:pPr>
      <w:bookmarkStart w:name="_Toc82" w:id="82"/>
      <w:r>
        <w:t xml:space="preserve">13. Peta Jalan Terpadu</w:t>
      </w:r>
      <w:bookmarkEnd w:id="82"/>
    </w:p>
    <w:p>
      <w:pPr>
        <w:spacing w:after="140" w:line="300"/>
        <w:jc w:val="both"/>
      </w:pPr>
      <w:r>
        <w:t xml:space="preserve">Keempat dokumen memiliki jadwal sendiri: D1 (hari 1–90, bulan 4–12), D2 (hari 1–90, bulan 4–12), D3 (rintisan tahun pertama), dan D4 (MVP 3 bulan, perluasan hingga 24 bulan). Bab ini menyatukannya dalam enam alur kerja yang berjalan paralel tetapi saling bergantung.</w:t>
      </w:r>
    </w:p>
    <w:p>
      <w:pPr>
        <w:pStyle w:val="Heading2"/>
      </w:pPr>
      <w:bookmarkStart w:name="_Toc83" w:id="83"/>
      <w:r>
        <w:t xml:space="preserve">13.1 Alur kerja dan tahapan</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Alur kerja</w:t>
            </w:r>
          </w:p>
        </w:tc>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Hari 0–30</w:t>
            </w:r>
          </w:p>
        </w:tc>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Hari 31–90</w:t>
            </w:r>
          </w:p>
        </w:tc>
        <w:tc>
          <w:tcPr>
            <w:tcW w:type="dxa" w:w="192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Bulan 4–12</w:t>
            </w:r>
          </w:p>
        </w:tc>
        <w:tc>
          <w:tcPr>
            <w:tcW w:type="dxa" w:w="193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Bulan 12–24+</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 Tata kelola dan organisasi (D1)</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Rekonsiliasi 40 proyek; inventarisasi kewenangan; piagam unit; pilih proyek uji</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Review paralel, paket keputusan tunggal, uji recusal; evaluasi uji coba 90 hari</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Perluas ke seluruh portofolio; kaji kebutuhan anggota tambahan atau Wakil Kepala</w:t>
            </w:r>
          </w:p>
        </w:tc>
        <w:tc>
          <w:tcPr>
            <w:tcW w:type="dxa" w:w="193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Putuskan struktur permanen berdasarkan bukti</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2. Manajemen kinerja (D2)</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Register kepemilikan dan proyek; jembatan modal/perimeter; kamus data; metodologi imbal hasil</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Isi data BUMN eksposur besar dan proyek aktif; dashboard pertama yang direkonsiliasi</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Laporan portofolio pertama; evaluasi proyek selesai; kalibrasi insentif</w:t>
            </w:r>
          </w:p>
        </w:tc>
        <w:tc>
          <w:tcPr>
            <w:tcW w:type="dxa" w:w="193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Pelaporan tahunan teraudit dan peer review</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3. Mesin permintaan (D4, D1)</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Daftar proyek anchor dalam register</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Peta komponen untuk proyek pada P1–P2</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Agregasi permintaan lintas BUMN; paket DOCK-UP dalam kontrak payung</w:t>
            </w:r>
          </w:p>
        </w:tc>
        <w:tc>
          <w:tcPr>
            <w:tcW w:type="dxa" w:w="193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Perluasan ke proyek anchor tambahan</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4. DOCK-UP (D3)</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Desain rintisan: pilih integrator dan 3–5 kelompok komponen; bangun kumpulan asesor</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Baseline TRL/MRL 20–30 UKM; insinyur pendamping</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Gerbang S1 dan S2 pertama; sertifikasi C1</w:t>
            </w:r>
          </w:p>
        </w:tc>
        <w:tc>
          <w:tcPr>
            <w:tcW w:type="dxa" w:w="193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S3 dan perluasan ke seluruh DEFEND ID dan proyek anchor lain</w:t>
            </w:r>
          </w:p>
        </w:tc>
      </w:tr>
      <w:tr>
        <w:trPr>
          <w:cantSplit/>
        </w:trPr>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5. BUMN Konstruksi (D4)</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Data request: laporan teraudit FY2025, piutang, kontrak, aset</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Diagnosis per BUMN dan per aset; rencana pemulihan</w:t>
            </w:r>
          </w:p>
        </w:tc>
        <w:tc>
          <w:tcPr>
            <w:tcW w:type="dxa" w:w="192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Implementasi selektivitas proyek, penagihan dan opsi aset warisan</w:t>
            </w:r>
          </w:p>
        </w:tc>
        <w:tc>
          <w:tcPr>
            <w:tcW w:type="dxa" w:w="193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Model perusahaan konstruksi yang disiplin</w:t>
            </w:r>
          </w:p>
        </w:tc>
      </w:tr>
      <w:tr>
        <w:trPr>
          <w:cantSplit/>
        </w:trPr>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6. Data dan AI (D4)</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Bulan 1: fondasi data, ERP read-only, framework agen</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Bulan 2–3: enam agen prioritas; pilot 2–3 proyek; UAT</w:t>
            </w:r>
          </w:p>
        </w:tc>
        <w:tc>
          <w:tcPr>
            <w:tcW w:type="dxa" w:w="192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Fase 2: 2–3 BUMN, 20–50 proyek</w:t>
            </w:r>
          </w:p>
        </w:tc>
        <w:tc>
          <w:tcPr>
            <w:tcW w:type="dxa" w:w="193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Fase 3–4: seluruh BUMN Konstruksi, lalu nasional</w:t>
            </w:r>
          </w:p>
        </w:tc>
      </w:tr>
    </w:tbl>
    <w:p>
      <w:pPr>
        <w:spacing w:after="120"/>
      </w:pPr>
    </w:p>
    <w:p>
      <w:pPr>
        <w:pStyle w:val="Heading2"/>
      </w:pPr>
      <w:bookmarkStart w:name="_Toc84" w:id="84"/>
      <w:r>
        <w:t xml:space="preserve">13.2 Ketergantungan kritis</w:t>
      </w:r>
      <w:bookmarkEnd w:id="84"/>
    </w:p>
    <w:p>
      <w:pPr>
        <w:pStyle w:val="ListParagraph"/>
        <w:numPr>
          <w:ilvl w:val="0"/>
          <w:numId w:val="5"/>
        </w:numPr>
        <w:spacing w:after="80" w:line="290"/>
      </w:pPr>
      <w:r>
        <w:t xml:space="preserve">Register 40 proyek (alur 1) adalah prasyarat bagi peta komponen (alur 3) dan scorecard (alur 2).</w:t>
      </w:r>
    </w:p>
    <w:p>
      <w:pPr>
        <w:pStyle w:val="ListParagraph"/>
        <w:numPr>
          <w:ilvl w:val="0"/>
          <w:numId w:val="5"/>
        </w:numPr>
        <w:spacing w:after="80" w:line="290"/>
      </w:pPr>
      <w:r>
        <w:t xml:space="preserve">Master data bersama (alur 6) harus memakai Project ID dan Supplier ID yang sama dengan register (alur 1) dan register kesiapan DOCK-UP (alur 4).</w:t>
      </w:r>
    </w:p>
    <w:p>
      <w:pPr>
        <w:pStyle w:val="ListParagraph"/>
        <w:numPr>
          <w:ilvl w:val="0"/>
          <w:numId w:val="5"/>
        </w:numPr>
        <w:spacing w:after="80" w:line="290"/>
      </w:pPr>
      <w:r>
        <w:t xml:space="preserve">Pemilihan integrator rintisan DOCK-UP (alur 4) sebaiknya dikaitkan dengan proyek anchor yang sudah berada pada P2 atau lebih (alur 3).</w:t>
      </w:r>
    </w:p>
    <w:p>
      <w:pPr>
        <w:pStyle w:val="ListParagraph"/>
        <w:numPr>
          <w:ilvl w:val="0"/>
          <w:numId w:val="5"/>
        </w:numPr>
        <w:spacing w:after="80" w:line="290"/>
      </w:pPr>
      <w:r>
        <w:t xml:space="preserve">Diagnosis BUMN Konstruksi (alur 5) memerlukan laporan teraudit; tanpa itu metrik O01–O09 tetap NR.</w:t>
      </w:r>
    </w:p>
    <w:p>
      <w:pPr>
        <w:pStyle w:val="Heading2"/>
      </w:pPr>
      <w:bookmarkStart w:name="_Toc85" w:id="85"/>
      <w:r>
        <w:t xml:space="preserve">13.3 Titik keputusan</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tblHeader/>
        </w:trPr>
        <w:tc>
          <w:tcPr>
            <w:tcW w:type="dxa" w:w="134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Waktu</w:t>
            </w:r>
          </w:p>
        </w:tc>
        <w:tc>
          <w:tcPr>
            <w:tcW w:type="dxa" w:w="443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Keputusan</w:t>
            </w:r>
          </w:p>
        </w:tc>
        <w:tc>
          <w:tcPr>
            <w:tcW w:type="dxa" w:w="38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Bukti yang diperlukan</w:t>
            </w:r>
          </w:p>
        </w:tc>
      </w:tr>
      <w:tr>
        <w:trPr>
          <w:cantSplit/>
        </w:trPr>
        <w:tc>
          <w:tcPr>
            <w:tcW w:type="dxa" w:w="13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Hari 90</w:t>
            </w:r>
          </w:p>
        </w:tc>
        <w:tc>
          <w:tcPr>
            <w:tcW w:type="dxa" w:w="443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Lanjut, perbaiki atau hentikan uji coba unit Industri Strategis; lanjut ke Fase 2 AI</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Data waktu keputusan, hambatan selesai, manfaat bersih pilot AI</w:t>
            </w:r>
          </w:p>
        </w:tc>
      </w:tr>
      <w:tr>
        <w:trPr>
          <w:cantSplit/>
        </w:trPr>
        <w:tc>
          <w:tcPr>
            <w:tcW w:type="dxa" w:w="13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Bulan 6</w:t>
            </w:r>
          </w:p>
        </w:tc>
        <w:tc>
          <w:tcPr>
            <w:tcW w:type="dxa" w:w="443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Perluasan unit ke seluruh portofolio; kerangka kontrak payung DOCK-UP</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Baseline lengkap; UKM pertama lolos S1</w:t>
            </w:r>
          </w:p>
        </w:tc>
      </w:tr>
      <w:tr>
        <w:trPr>
          <w:cantSplit/>
        </w:trPr>
        <w:tc>
          <w:tcPr>
            <w:tcW w:type="dxa" w:w="134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Bulan 12</w:t>
            </w:r>
          </w:p>
        </w:tc>
        <w:tc>
          <w:tcPr>
            <w:tcW w:type="dxa" w:w="443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Struktur permanen: tetap unit, anggota Badan Pelaksana, atau Wakil Kepala; opsi kendaraan aset warisan konstruksi</w:t>
            </w:r>
          </w:p>
        </w:tc>
        <w:tc>
          <w:tcPr>
            <w:tcW w:type="dxa" w:w="38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Kriteria kenaikan (Bab 5.5); valuasi independen aset warisan</w:t>
            </w:r>
          </w:p>
        </w:tc>
      </w:tr>
      <w:tr>
        <w:trPr>
          <w:cantSplit/>
        </w:trPr>
        <w:tc>
          <w:tcPr>
            <w:tcW w:type="dxa" w:w="134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Bulan 24</w:t>
            </w:r>
          </w:p>
        </w:tc>
        <w:tc>
          <w:tcPr>
            <w:tcW w:type="dxa" w:w="443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Perluasan DOCK-UP ke seluruh DEFEND ID dan proyek anchor; AI tingkat nasional</w:t>
            </w:r>
          </w:p>
        </w:tc>
        <w:tc>
          <w:tcPr>
            <w:tcW w:type="dxa" w:w="38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Hasil S2–S3; manfaat bersih terverifikasi; laporan portofolio</w:t>
            </w:r>
          </w:p>
        </w:tc>
      </w:tr>
    </w:tbl>
    <w:p>
      <w:pPr>
        <w:spacing w:after="120"/>
      </w:pPr>
    </w:p>
    <w:p>
      <w:pPr>
        <w:pStyle w:val="Heading2"/>
      </w:pPr>
      <w:bookmarkStart w:name="_Toc86" w:id="86"/>
      <w:r>
        <w:t xml:space="preserve">13.4 Kadens review</w:t>
      </w:r>
      <w:bookmarkEnd w:id="8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Frekuensi</w:t>
            </w:r>
          </w:p>
        </w:tc>
        <w:tc>
          <w:tcPr>
            <w:tcW w:type="dxa" w:w="6747"/>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Cakupan</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Bulanan</w:t>
            </w:r>
          </w:p>
        </w:tc>
        <w:tc>
          <w:tcPr>
            <w:tcW w:type="dxa" w:w="67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Likuiditas, konstruksi, pengecualian operasi, risiko kritis, hambatan lintas arm</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Triwulanan</w:t>
            </w:r>
          </w:p>
        </w:tc>
        <w:tc>
          <w:tcPr>
            <w:tcW w:type="dxa" w:w="67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Imbal hasil investasi, transformasi BUMN, biaya dan jadwal proyek, cakupan bukti, pipeline pemasok per gerbang</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Tahunan</w:t>
            </w:r>
          </w:p>
        </w:tc>
        <w:tc>
          <w:tcPr>
            <w:tcW w:type="dxa" w:w="6747"/>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Laporan keuangan teraudit, evaluasi hasil, peer review, realokasi modal, asesmen ulang skor TRL/MRL</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Saat commissioning dan 12–24 bulan sesudahnya</w:t>
            </w:r>
          </w:p>
        </w:tc>
        <w:tc>
          <w:tcPr>
            <w:tcW w:type="dxa" w:w="6747"/>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Kinerja teknis, ramp-up komersial, realisasi manfaat</w:t>
            </w:r>
          </w:p>
        </w:tc>
      </w:tr>
    </w:tbl>
    <w:p>
      <w:pPr>
        <w:spacing w:after="120"/>
      </w:pPr>
    </w:p>
    <w:p>
      <w:pPr>
        <w:pStyle w:val="Heading1"/>
        <w:pageBreakBefore/>
      </w:pPr>
      <w:bookmarkStart w:name="_Toc87" w:id="87"/>
      <w:r>
        <w:t xml:space="preserve">14. Keputusan yang Diminta dan KPI Terpadu</w:t>
      </w:r>
      <w:bookmarkEnd w:id="87"/>
    </w:p>
    <w:p>
      <w:pPr>
        <w:pStyle w:val="Heading2"/>
      </w:pPr>
      <w:bookmarkStart w:name="_Toc88" w:id="88"/>
      <w:r>
        <w:t xml:space="preserve">14.1 Keputusan sekarang</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5108"/>
        <w:gridCol w:w="2313"/>
        <w:gridCol w:w="1736"/>
      </w:tblGrid>
      <w:tr>
        <w:trPr>
          <w:tblHeader/>
        </w:trPr>
        <w:tc>
          <w:tcPr>
            <w:tcW w:type="dxa" w:w="48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w:t>
            </w:r>
          </w:p>
        </w:tc>
        <w:tc>
          <w:tcPr>
            <w:tcW w:type="dxa" w:w="510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Keputusan</w:t>
            </w:r>
          </w:p>
        </w:tc>
        <w:tc>
          <w:tcPr>
            <w:tcW w:type="dxa" w:w="231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Pemilik</w:t>
            </w:r>
          </w:p>
        </w:tc>
        <w:tc>
          <w:tcPr>
            <w:tcW w:type="dxa" w:w="173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Dasar</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w:t>
            </w:r>
          </w:p>
        </w:tc>
        <w:tc>
          <w:tcPr>
            <w:tcW w:type="dxa" w:w="510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Menyetujui prinsip pembentukan unit Industri Strategis dan Pelaksanaan Proyek di BPI (diposisikan sebagai NITO) dengan uji coba 90 hari</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Kepala Badan Pelaksana</w:t>
            </w:r>
          </w:p>
        </w:tc>
        <w:tc>
          <w:tcPr>
            <w:tcW w:type="dxa" w:w="173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Bab 5; D1</w:t>
            </w:r>
          </w:p>
        </w:tc>
      </w:tr>
      <w:tr>
        <w:trPr>
          <w:cantSplit/>
        </w:trPr>
        <w:tc>
          <w:tcPr>
            <w:tcW w:type="dxa" w:w="48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2</w:t>
            </w:r>
          </w:p>
        </w:tc>
        <w:tc>
          <w:tcPr>
            <w:tcW w:type="dxa" w:w="510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Menetapkan tiga scorecard dan kelas bukti sebagai kerangka pelaporan; memulai register dan jembatan perimeter</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Kepala, CFO, Dewan Pengawas</w:t>
            </w:r>
          </w:p>
        </w:tc>
        <w:tc>
          <w:tcPr>
            <w:tcW w:type="dxa" w:w="173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Bab 6; D2</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3</w:t>
            </w:r>
          </w:p>
        </w:tc>
        <w:tc>
          <w:tcPr>
            <w:tcW w:type="dxa" w:w="510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Menetapkan DOCK-UP sebagai model standar partisipasi UKM dan memulai rintisan (1 integrator, 20–30 UKM, 3–5 kelompok komponen)</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Danantara bersama KKIP dan integrator</w:t>
            </w:r>
          </w:p>
        </w:tc>
        <w:tc>
          <w:tcPr>
            <w:tcW w:type="dxa" w:w="173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Bab 8; D3</w:t>
            </w:r>
          </w:p>
        </w:tc>
      </w:tr>
      <w:tr>
        <w:trPr>
          <w:cantSplit/>
        </w:trPr>
        <w:tc>
          <w:tcPr>
            <w:tcW w:type="dxa" w:w="48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4</w:t>
            </w:r>
          </w:p>
        </w:tc>
        <w:tc>
          <w:tcPr>
            <w:tcW w:type="dxa" w:w="510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Menugaskan diagnosis dan rencana pemulihan BUMN Konstruksi berbasis laporan teraudit</w:t>
            </w:r>
          </w:p>
        </w:tc>
        <w:tc>
          <w:tcPr>
            <w:tcW w:type="dxa" w:w="231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COO/DAM</w:t>
            </w:r>
          </w:p>
        </w:tc>
        <w:tc>
          <w:tcPr>
            <w:tcW w:type="dxa" w:w="173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Bab 9; D4</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5</w:t>
            </w:r>
          </w:p>
        </w:tc>
        <w:tc>
          <w:tcPr>
            <w:tcW w:type="dxa" w:w="510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Memulai MVP Portfolio Control Tower AI pada 2–3 proyek prioritas</w:t>
            </w:r>
          </w:p>
        </w:tc>
        <w:tc>
          <w:tcPr>
            <w:tcW w:type="dxa" w:w="231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CTO bersama COO/DAM</w:t>
            </w:r>
          </w:p>
        </w:tc>
        <w:tc>
          <w:tcPr>
            <w:tcW w:type="dxa" w:w="173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Bab 10; D4</w:t>
            </w:r>
          </w:p>
        </w:tc>
      </w:tr>
    </w:tbl>
    <w:p>
      <w:pPr>
        <w:spacing w:after="120"/>
      </w:pPr>
    </w:p>
    <w:p>
      <w:pPr>
        <w:pStyle w:val="Heading2"/>
      </w:pPr>
      <w:bookmarkStart w:name="_Toc89" w:id="89"/>
      <w:r>
        <w:t xml:space="preserve">14.2 Keputusan yang ditunda sampai ada bukti</w:t>
      </w:r>
      <w:bookmarkEnd w:id="89"/>
    </w:p>
    <w:p>
      <w:pPr>
        <w:pStyle w:val="ListParagraph"/>
        <w:numPr>
          <w:ilvl w:val="0"/>
          <w:numId w:val="5"/>
        </w:numPr>
        <w:spacing w:after="80" w:line="290"/>
      </w:pPr>
      <w:r>
        <w:t xml:space="preserve">Jabatan Wakil Kepala formal: setelah harmonisasi dan kriteria kenaikan terpenuhi.</w:t>
      </w:r>
    </w:p>
    <w:p>
      <w:pPr>
        <w:pStyle w:val="ListParagraph"/>
        <w:numPr>
          <w:ilvl w:val="0"/>
          <w:numId w:val="5"/>
        </w:numPr>
        <w:spacing w:after="80" w:line="290"/>
      </w:pPr>
      <w:r>
        <w:t xml:space="preserve">Holding, badan hukum atau kendaraan investasi baru (termasuk untuk aset warisan konstruksi): bila kebutuhan badan hukum khusus terbukti.</w:t>
      </w:r>
    </w:p>
    <w:p>
      <w:pPr>
        <w:pStyle w:val="ListParagraph"/>
        <w:numPr>
          <w:ilvl w:val="0"/>
          <w:numId w:val="5"/>
        </w:numPr>
        <w:spacing w:after="80" w:line="290"/>
      </w:pPr>
      <w:r>
        <w:t xml:space="preserve">Perluasan AI ke Fase 3–4: setelah manfaat bersih Fase 1–2 terverifikasi.</w:t>
      </w:r>
    </w:p>
    <w:p>
      <w:pPr>
        <w:pStyle w:val="ListParagraph"/>
        <w:numPr>
          <w:ilvl w:val="0"/>
          <w:numId w:val="5"/>
        </w:numPr>
        <w:spacing w:after="80" w:line="290"/>
      </w:pPr>
      <w:r>
        <w:t xml:space="preserve">Perluasan DOCK-UP ke seluruh DEFEND ID dan proyek anchor non-pertahanan: setelah hasil rintisan S1–S3.</w:t>
      </w:r>
    </w:p>
    <w:p>
      <w:pPr>
        <w:pStyle w:val="ListParagraph"/>
        <w:numPr>
          <w:ilvl w:val="0"/>
          <w:numId w:val="5"/>
        </w:numPr>
        <w:spacing w:after="80" w:line="290"/>
      </w:pPr>
      <w:r>
        <w:t xml:space="preserve">Struktur pembiayaan berbasis sumber daya (obligasi, sekuritisasi royalti): setelah kajian hak, pendapatan, risiko dan otorisasi selesai.</w:t>
      </w:r>
    </w:p>
    <w:p>
      <w:pPr>
        <w:pStyle w:val="Heading2"/>
      </w:pPr>
      <w:bookmarkStart w:name="_Toc90" w:id="90"/>
      <w:r>
        <w:t xml:space="preserve">14.3 Permintaan data pertama kepada manajemen</w:t>
      </w:r>
      <w:bookmarkEnd w:id="90"/>
    </w:p>
    <w:p>
      <w:pPr>
        <w:pStyle w:val="ListParagraph"/>
        <w:numPr>
          <w:ilvl w:val="0"/>
          <w:numId w:val="5"/>
        </w:numPr>
        <w:spacing w:after="80" w:line="290"/>
      </w:pPr>
      <w:r>
        <w:t xml:space="preserve">Laporan keuangan grup dan arm yang diaudit; NAV bulanan dan arus kas bertanggal; laporan valuasi.</w:t>
      </w:r>
    </w:p>
    <w:p>
      <w:pPr>
        <w:pStyle w:val="ListParagraph"/>
        <w:numPr>
          <w:ilvl w:val="0"/>
          <w:numId w:val="5"/>
        </w:numPr>
        <w:spacing w:after="80" w:line="290"/>
      </w:pPr>
      <w:r>
        <w:t xml:space="preserve">Register 40 proyek lengkap dengan dasar mandat, dan rekonsiliasi angka investasi.</w:t>
      </w:r>
    </w:p>
    <w:p>
      <w:pPr>
        <w:pStyle w:val="ListParagraph"/>
        <w:numPr>
          <w:ilvl w:val="0"/>
          <w:numId w:val="5"/>
        </w:numPr>
        <w:spacing w:after="80" w:line="290"/>
      </w:pPr>
      <w:r>
        <w:t xml:space="preserve">Keppres pengangkatan, pembidangan anggota, board manual dan piagam komite.</w:t>
      </w:r>
    </w:p>
    <w:p>
      <w:pPr>
        <w:pStyle w:val="ListParagraph"/>
        <w:numPr>
          <w:ilvl w:val="0"/>
          <w:numId w:val="5"/>
        </w:numPr>
        <w:spacing w:after="80" w:line="290"/>
      </w:pPr>
      <w:r>
        <w:t xml:space="preserve">Register leverage dan penjaminan; data segmen BUMN dan jembatan restatement; kompensasi PSO.</w:t>
      </w:r>
    </w:p>
    <w:p>
      <w:pPr>
        <w:pStyle w:val="ListParagraph"/>
        <w:numPr>
          <w:ilvl w:val="0"/>
          <w:numId w:val="5"/>
        </w:numPr>
        <w:spacing w:after="80" w:line="290"/>
      </w:pPr>
      <w:r>
        <w:t xml:space="preserve">Laporan teraudit FY2025 BUMN Konstruksi, umur piutang, portofolio kontrak dan daftar aset non-inti.</w:t>
      </w:r>
    </w:p>
    <w:p>
      <w:pPr>
        <w:pStyle w:val="ListParagraph"/>
        <w:numPr>
          <w:ilvl w:val="0"/>
          <w:numId w:val="5"/>
        </w:numPr>
        <w:spacing w:after="80" w:line="290"/>
      </w:pPr>
      <w:r>
        <w:t xml:space="preserve">Anggaran dan jadwal awal proyek, catatan pembiayaan dan pencairan, offtake, sertifikat progres independen.</w:t>
      </w:r>
    </w:p>
    <w:p>
      <w:pPr>
        <w:pStyle w:val="ListParagraph"/>
        <w:numPr>
          <w:ilvl w:val="0"/>
          <w:numId w:val="5"/>
        </w:numPr>
        <w:spacing w:after="80" w:line="290"/>
      </w:pPr>
      <w:r>
        <w:t xml:space="preserve">Data kebutuhan komponen proyek anchor dan daftar calon pemasok UKM.</w:t>
      </w:r>
    </w:p>
    <w:p>
      <w:pPr>
        <w:pStyle w:val="ListParagraph"/>
        <w:numPr>
          <w:ilvl w:val="0"/>
          <w:numId w:val="5"/>
        </w:numPr>
        <w:spacing w:after="80" w:line="290"/>
      </w:pPr>
      <w:r>
        <w:t xml:space="preserve">Data ERP, BIM dan jadwal untuk proyek pilot AI.</w:t>
      </w:r>
    </w:p>
    <w:p>
      <w:pPr>
        <w:pStyle w:val="Heading2"/>
      </w:pPr>
      <w:bookmarkStart w:name="_Toc91" w:id="91"/>
      <w:r>
        <w:t xml:space="preserve">14.4 KPI terpadu tingkat pimpinan</w:t>
      </w:r>
      <w:bookmarkEnd w:id="9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4144"/>
        <w:gridCol w:w="1252"/>
        <w:gridCol w:w="2990"/>
      </w:tblGrid>
      <w:tr>
        <w:trPr>
          <w:tblHeader/>
        </w:trPr>
        <w:tc>
          <w:tcPr>
            <w:tcW w:type="dxa" w:w="125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Area</w:t>
            </w:r>
          </w:p>
        </w:tc>
        <w:tc>
          <w:tcPr>
            <w:tcW w:type="dxa" w:w="414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KPI</w:t>
            </w:r>
          </w:p>
        </w:tc>
        <w:tc>
          <w:tcPr>
            <w:tcW w:type="dxa" w:w="1252"/>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Kode</w:t>
            </w:r>
          </w:p>
        </w:tc>
        <w:tc>
          <w:tcPr>
            <w:tcW w:type="dxa" w:w="2990"/>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Sasaran awal (usulan)</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Data</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Kualitas register: proyek dengan sponsor, lingkup, tahap, biaya, dana dan jadwal terkonfirmasi</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100% identitas terpetakan dalam 30 hari</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Keputusan</w:t>
            </w:r>
          </w:p>
        </w:tc>
        <w:tc>
          <w:tcPr>
            <w:tcW w:type="dxa" w:w="414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Waktu keputusan: median dan persentil 90 sejak dokumen lengkap</w:t>
            </w:r>
          </w:p>
        </w:tc>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D1</w:t>
            </w:r>
          </w:p>
        </w:tc>
        <w:tc>
          <w:tcPr>
            <w:tcW w:type="dxa" w:w="299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Baseline dahulu; uji penurunan median 30% dalam 6 bulan</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Investasi</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IRR bersih investasi privat di atas hurdle; imbal hasil bersih pasar publik</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I01, I02</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Di atas benchmark yang disetujui</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Investasi</w:t>
            </w:r>
          </w:p>
        </w:tc>
        <w:tc>
          <w:tcPr>
            <w:tcW w:type="dxa" w:w="414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Pencapaian milestone investasi strategis</w:t>
            </w:r>
          </w:p>
        </w:tc>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I11</w:t>
            </w:r>
          </w:p>
        </w:tc>
        <w:tc>
          <w:tcPr>
            <w:tcW w:type="dxa" w:w="299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Terhadap baseline yang dibekukan</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BUMN</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Economic profit inkremental</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O02</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Positif terhadap baseline independen</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BUMN</w:t>
            </w:r>
          </w:p>
        </w:tc>
        <w:tc>
          <w:tcPr>
            <w:tcW w:type="dxa" w:w="414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Konversi kas operasi; utang bersih / EBITDA</w:t>
            </w:r>
          </w:p>
        </w:tc>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O04, O08</w:t>
            </w:r>
          </w:p>
        </w:tc>
        <w:tc>
          <w:tcPr>
            <w:tcW w:type="dxa" w:w="299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Sesuai sektor dengan buffer stres</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Pembangunan</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tambah domestik tambahan</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D02</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Baseline dan metode disepakati sebelum investasi</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Pembangunan</w:t>
            </w:r>
          </w:p>
        </w:tc>
        <w:tc>
          <w:tcPr>
            <w:tcW w:type="dxa" w:w="414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Milestone kemampuan teknologi terverifikasi</w:t>
            </w:r>
          </w:p>
        </w:tc>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D06</w:t>
            </w:r>
          </w:p>
        </w:tc>
        <w:tc>
          <w:tcPr>
            <w:tcW w:type="dxa" w:w="299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Terhadap roadmap eksplisit</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Pemasok</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Pipeline pemasok per gerbang S1–S4</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K01</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Rintisan: 20–30 UKM masuk; target S1 ditetapkan setelah baseline</w:t>
            </w:r>
          </w:p>
        </w:tc>
      </w:tr>
      <w:tr>
        <w:trPr>
          <w:cantSplit/>
        </w:trPr>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Pemasok</w:t>
            </w:r>
          </w:p>
        </w:tc>
        <w:tc>
          <w:tcPr>
            <w:tcW w:type="dxa" w:w="414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Tingkat kegagalan mutu pasca pesanan</w:t>
            </w:r>
          </w:p>
        </w:tc>
        <w:tc>
          <w:tcPr>
            <w:tcW w:type="dxa" w:w="1252"/>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K05</w:t>
            </w:r>
          </w:p>
        </w:tc>
        <w:tc>
          <w:tcPr>
            <w:tcW w:type="dxa" w:w="2990"/>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Nol kegagalan kritis</w:t>
            </w:r>
          </w:p>
        </w:tc>
      </w:tr>
      <w:tr>
        <w:trPr>
          <w:cantSplit/>
        </w:trPr>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Integritas</w:t>
            </w:r>
          </w:p>
        </w:tc>
        <w:tc>
          <w:tcPr>
            <w:tcW w:type="dxa" w:w="414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Konflik dan pengecualian terdokumentasi</w:t>
            </w:r>
          </w:p>
        </w:tc>
        <w:tc>
          <w:tcPr>
            <w:tcW w:type="dxa" w:w="1252"/>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D1</w:t>
            </w:r>
          </w:p>
        </w:tc>
        <w:tc>
          <w:tcPr>
            <w:tcW w:type="dxa" w:w="2990"/>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100%; pelanggaran tidak ditoleransi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338D" w:sz="4"/>
              <w:left w:val="single" w:color="00338D" w:sz="4"/>
              <w:bottom w:val="single" w:color="00338D" w:sz="4"/>
              <w:right w:val="single" w:color="00338D" w:sz="4"/>
            </w:tcBorders>
            <w:shd w:fill="EEF3FA" w:color="auto" w:val="clear"/>
            <w:tcMar>
              <w:top w:type="dxa" w:w="140"/>
              <w:left w:type="dxa" w:w="200"/>
              <w:bottom w:type="dxa" w:w="140"/>
              <w:right w:type="dxa" w:w="200"/>
            </w:tcMar>
          </w:tcPr>
          <w:p>
            <w:pPr>
              <w:spacing w:after="80"/>
            </w:pPr>
            <w:r>
              <w:rPr>
                <w:b/>
                <w:bCs/>
                <w:color w:val="00338D"/>
                <w:sz w:val="22"/>
                <w:szCs w:val="22"/>
              </w:rPr>
              <w:t xml:space="preserve">Tujuan segera</w:t>
            </w:r>
          </w:p>
          <w:p>
            <w:pPr>
              <w:spacing w:after="60" w:line="290"/>
            </w:pPr>
            <w:r>
              <w:rPr>
                <w:sz w:val="21"/>
                <w:szCs w:val="21"/>
              </w:rPr>
              <w:t xml:space="preserve">Setiap klaim hasil finansial atau pembangunan Danantara dapat ditelusuri ke modalnya, periode pelaporan, baseline, pemilik yang bertanggung jawab dan verifikasi independen [D2]. Tanpa itu, transformasi menjadi platform industri tidak dapat dibuktikan.</w:t>
            </w:r>
          </w:p>
        </w:tc>
      </w:tr>
    </w:tbl>
    <w:p>
      <w:pPr>
        <w:pStyle w:val="Heading1"/>
        <w:pageBreakBefore/>
      </w:pPr>
      <w:bookmarkStart w:name="_Toc92" w:id="92"/>
      <w:r>
        <w:t xml:space="preserve">Lampiran</w:t>
      </w:r>
      <w:bookmarkEnd w:id="92"/>
    </w:p>
    <w:p>
      <w:pPr>
        <w:pStyle w:val="Heading2"/>
      </w:pPr>
      <w:bookmarkStart w:name="_Toc93" w:id="93"/>
      <w:r>
        <w:t xml:space="preserve">Lampiran A. Kamus metrik ringkas</w:t>
      </w:r>
      <w:bookmarkEnd w:id="93"/>
    </w:p>
    <w:p>
      <w:pPr>
        <w:spacing w:after="140" w:line="300"/>
        <w:jc w:val="both"/>
      </w:pPr>
      <w:r>
        <w:t xml:space="preserve">Daftar 39 metrik hasil dari D2. Definisi pengukuran, benchmark, catatan, pemilik, frekuensi dan bobot lengkap tersedia di D2 dan workbook pendampingnya.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6553"/>
        <w:gridCol w:w="1929"/>
      </w:tblGrid>
      <w:tr>
        <w:trPr>
          <w:tblHeader/>
        </w:trPr>
        <w:tc>
          <w:tcPr>
            <w:tcW w:type="dxa" w:w="1156"/>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Kode</w:t>
            </w:r>
          </w:p>
        </w:tc>
        <w:tc>
          <w:tcPr>
            <w:tcW w:type="dxa" w:w="655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Metrik</w:t>
            </w:r>
          </w:p>
        </w:tc>
        <w:tc>
          <w:tcPr>
            <w:tcW w:type="dxa" w:w="192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Satuan</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I01</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Imbal hasil bersih pasar publik di atas benchmark kebijakan</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I02</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IRR bersih investasi privat di atas hurdle</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I03</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Public-market equivalent investasi privat</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I04</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Distribusi terhadap modal disetor (DPI)</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I05</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NPV finansial / modal investasi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I06</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Rasio kerugian kredit dan investasi</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I07</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Eksposur melebihi batas konsentrasi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I08</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Cakupan likuiditas dalam stres</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I09</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Rasio total biaya investasi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bps</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I10</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Mobilisasi swasta yang dapat diatribusikan</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I11</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Pencapaian milestone investasi strategis</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I12</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Spread pendanaan atas kurva sovereign</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bps</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O01</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ROIC BUMN non-keuangan dikurangi WACC</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O02</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Economic profit inkremental</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Rp miliar</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O03</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Margin EBITDA sebanding</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O04</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Konversi kas operasi</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O05</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Biaya operasi unit riil</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indeks</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O06</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Nilai tambah riil per pegawai</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Rp juta/FTE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O07</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Pertumbuhan pendapatan riil organik</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O08</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Utang bersih / EBITDA non-keuangan</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x</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O09</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Manfaat transformasi bersih terverifikasi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 miliar</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O10</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Pencapaian keandalan / mutu layanan</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O11</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ROE bank dikurangi cost of equity</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O12</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Cost-to-income ratio bank</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O13</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NPL bruto bank</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O14</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Headroom modal bank (CET1)</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O15</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Biaya mandat layanan publik tak didanai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 miliar</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D01</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Imbal hasil ekonomi di atas hurdle sosial</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pp</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D02</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Nilai tambah domestik tambahan</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 miliar riil</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D03</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Lapangan kerja tambahan berkelanjutan</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FTE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D04</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Kontribusi devisa bersih</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USD juta</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D05</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Pangsa nilai tambah domestik</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D06</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Milestone kemampuan teknologi terverifikasi</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D07</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Utilisasi kapasitas komersial</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D08</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Commissioning tepat waktu dan anggaran</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D09</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Peningkatan produktivitas pemasok</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D10</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Penurunan GRK siklus hidup bersih</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tCO2e/tahun</w:t>
            </w:r>
          </w:p>
        </w:tc>
      </w:tr>
      <w:tr>
        <w:trPr>
          <w:cantSplit/>
        </w:trPr>
        <w:tc>
          <w:tcPr>
            <w:tcW w:type="dxa" w:w="1156"/>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D11</w:t>
            </w:r>
          </w:p>
        </w:tc>
        <w:tc>
          <w:tcPr>
            <w:tcW w:type="dxa" w:w="655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Layanan andal dan terjangkau</w:t>
            </w:r>
          </w:p>
        </w:tc>
        <w:tc>
          <w:tcPr>
            <w:tcW w:type="dxa" w:w="19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unit fisik</w:t>
            </w:r>
          </w:p>
        </w:tc>
      </w:tr>
      <w:tr>
        <w:trPr>
          <w:cantSplit/>
        </w:trPr>
        <w:tc>
          <w:tcPr>
            <w:tcW w:type="dxa" w:w="1156"/>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D12</w:t>
            </w:r>
          </w:p>
        </w:tc>
        <w:tc>
          <w:tcPr>
            <w:tcW w:type="dxa" w:w="655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Dukungan publik per hasil tambahan</w:t>
            </w:r>
          </w:p>
        </w:tc>
        <w:tc>
          <w:tcPr>
            <w:tcW w:type="dxa" w:w="19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Rp/hasil</w:t>
            </w:r>
          </w:p>
        </w:tc>
      </w:tr>
    </w:tbl>
    <w:p>
      <w:pPr>
        <w:spacing w:after="120"/>
      </w:pPr>
    </w:p>
    <w:p>
      <w:pPr>
        <w:pStyle w:val="Heading2"/>
      </w:pPr>
      <w:bookmarkStart w:name="_Toc94" w:id="94"/>
      <w:r>
        <w:t xml:space="preserve">Lampiran B. Dua sistem gerbang</w:t>
      </w:r>
      <w:bookmarkEnd w:id="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084"/>
        <w:gridCol w:w="3663"/>
      </w:tblGrid>
      <w:tr>
        <w:trPr>
          <w:tblHeader/>
        </w:trPr>
        <w:tc>
          <w:tcPr>
            <w:tcW w:type="dxa" w:w="289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Gerbang proyek (P, dari D1)</w:t>
            </w:r>
          </w:p>
        </w:tc>
        <w:tc>
          <w:tcPr>
            <w:tcW w:type="dxa" w:w="308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Gerbang pemasok (S, dari D3)</w:t>
            </w:r>
          </w:p>
        </w:tc>
        <w:tc>
          <w:tcPr>
            <w:tcW w:type="dxa" w:w="36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Titik temu</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P0 Validasi mandat</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Masuk: baseline TRL/MRL</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Register proyek dan register kesiapan memakai ID yang sama</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P1 Prioritas dan pilihan</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Rencana lokalisasi awal dan identifikasi kelompok komponen</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P2 Kesiapan investasi</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S1: MRL 6, inspeksi artikel pertama</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Peta pemasok dan target gerbang S per komponen</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P3 Keputusan modal</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Paket DOCK-UP dicantumkan dalam kontrak payung dan ofset</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P4 Financial close dan konstruksi</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S2: MRL 7 + C1, low-rate supply</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Volume tahap 2 dilepas sesuai kesiapan</w:t>
            </w:r>
          </w:p>
        </w:tc>
      </w:tr>
      <w:tr>
        <w:trPr>
          <w:cantSplit/>
        </w:trPr>
        <w:tc>
          <w:tcPr>
            <w:tcW w:type="dxa" w:w="289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P5 Commissioning dan operasi</w:t>
            </w:r>
          </w:p>
        </w:tc>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S3: MRL 8 + C2, pasokan serial dan suku cadang</w:t>
            </w:r>
          </w:p>
        </w:tc>
        <w:tc>
          <w:tcPr>
            <w:tcW w:type="dxa" w:w="36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Kesiapan rantai pasok sebagai syarat commissioning</w:t>
            </w:r>
          </w:p>
        </w:tc>
      </w:tr>
      <w:tr>
        <w:trPr>
          <w:cantSplit/>
        </w:trPr>
        <w:tc>
          <w:tcPr>
            <w:tcW w:type="dxa" w:w="289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P6 Evaluasi hasil</w:t>
            </w:r>
          </w:p>
        </w:tc>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S4: produk sendiri TRL 7+, MRL 9</w:t>
            </w:r>
          </w:p>
        </w:tc>
        <w:tc>
          <w:tcPr>
            <w:tcW w:type="dxa" w:w="36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Kapabilitas pemasok masuk evaluasi hasil (D05, D06, D09)</w:t>
            </w:r>
          </w:p>
        </w:tc>
      </w:tr>
    </w:tbl>
    <w:p>
      <w:pPr>
        <w:spacing w:after="120"/>
      </w:pPr>
    </w:p>
    <w:p>
      <w:pPr>
        <w:spacing w:after="160"/>
      </w:pPr>
      <w:r>
        <w:rPr>
          <w:i/>
          <w:iCs/>
          <w:color w:val="555555"/>
          <w:sz w:val="18"/>
          <w:szCs w:val="18"/>
        </w:rPr>
        <w:t xml:space="preserve">Keselarasan P dan S bersifat indikatif: pemasok dapat bergerak lebih cepat atau lebih lambat daripada proyek, dan satu pemasok dapat melayani beberapa proyek.</w:t>
      </w:r>
    </w:p>
    <w:p>
      <w:pPr>
        <w:pStyle w:val="Heading2"/>
      </w:pPr>
      <w:bookmarkStart w:name="_Toc95" w:id="95"/>
      <w:r>
        <w:t xml:space="preserve">Lampiran C. Daftar agen AI Fase 1</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Agen</w:t>
            </w:r>
          </w:p>
        </w:tc>
        <w:tc>
          <w:tcPr>
            <w:tcW w:type="dxa" w:w="6554"/>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Peran dalam MVP</w:t>
            </w:r>
          </w:p>
        </w:tc>
      </w:tr>
      <w:tr>
        <w:trPr>
          <w:cantSplit/>
        </w:trPr>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Project Document Agent</w:t>
            </w:r>
          </w:p>
        </w:tc>
        <w:tc>
          <w:tcPr>
            <w:tcW w:type="dxa" w:w="655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Ekstraksi dan klasifikasi dokumen kontrak, gambar dan laporan</w:t>
            </w:r>
          </w:p>
        </w:tc>
      </w:tr>
      <w:tr>
        <w:trPr>
          <w:cantSplit/>
        </w:trPr>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Cost Agent</w:t>
            </w:r>
          </w:p>
        </w:tc>
        <w:tc>
          <w:tcPr>
            <w:tcW w:type="dxa" w:w="655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Estimasi independen dan deteksi potensi risiko biaya</w:t>
            </w:r>
          </w:p>
        </w:tc>
      </w:tr>
      <w:tr>
        <w:trPr>
          <w:cantSplit/>
        </w:trPr>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Cash &amp; Receivables Agent</w:t>
            </w:r>
          </w:p>
        </w:tc>
        <w:tc>
          <w:tcPr>
            <w:tcW w:type="dxa" w:w="655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Pemantauan invoice, sertifikat dan prediksi keterlambatan pembayaran</w:t>
            </w:r>
          </w:p>
        </w:tc>
      </w:tr>
      <w:tr>
        <w:trPr>
          <w:cantSplit/>
        </w:trPr>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Procurement Agent</w:t>
            </w:r>
          </w:p>
        </w:tc>
        <w:tc>
          <w:tcPr>
            <w:tcW w:type="dxa" w:w="655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Analisis pemasok, harga pasar dan risiko pengadaan</w:t>
            </w:r>
          </w:p>
        </w:tc>
      </w:tr>
      <w:tr>
        <w:trPr>
          <w:cantSplit/>
        </w:trPr>
        <w:tc>
          <w:tcPr>
            <w:tcW w:type="dxa" w:w="308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Schedule Agent</w:t>
            </w:r>
          </w:p>
        </w:tc>
        <w:tc>
          <w:tcPr>
            <w:tcW w:type="dxa" w:w="6554"/>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Progres fisik vs rencana dan analisis keterlambatan</w:t>
            </w:r>
          </w:p>
        </w:tc>
      </w:tr>
      <w:tr>
        <w:trPr>
          <w:cantSplit/>
        </w:trPr>
        <w:tc>
          <w:tcPr>
            <w:tcW w:type="dxa" w:w="308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Project Manager Orchestrator</w:t>
            </w:r>
          </w:p>
        </w:tc>
        <w:tc>
          <w:tcPr>
            <w:tcW w:type="dxa" w:w="6554"/>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Mengoordinasikan agen, menyelesaikan konflik output, eskalasi ke manusia</w:t>
            </w:r>
          </w:p>
        </w:tc>
      </w:tr>
    </w:tbl>
    <w:p>
      <w:pPr>
        <w:spacing w:after="120"/>
      </w:pPr>
    </w:p>
    <w:p>
      <w:pPr>
        <w:pStyle w:val="Heading2"/>
      </w:pPr>
      <w:bookmarkStart w:name="_Toc96" w:id="96"/>
      <w:r>
        <w:t xml:space="preserve">Lampiran D. Register sumber</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tblHeader/>
        </w:trPr>
        <w:tc>
          <w:tcPr>
            <w:tcW w:type="dxa" w:w="963"/>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Kode</w:t>
            </w:r>
          </w:p>
        </w:tc>
        <w:tc>
          <w:tcPr>
            <w:tcW w:type="dxa" w:w="8675"/>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Sumber</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D1</w:t>
            </w:r>
          </w:p>
        </w:tc>
        <w:tc>
          <w:tcPr>
            <w:tcW w:type="dxa" w:w="86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Evaluasi Tata Kelola Danantara dan Organisasi Industri Strategis, 2 Oktober 2026. Rujukan R1–R19 (PP 10/2025, PP 19/2026, UU 16/2025, struktur BPI/DAM/DIM/DDMF, pernyataan resmi 12 Mei 2026, OECD 2024, SASAC, SDIC, CMSC/SCIC, PRAGATI, NIIF, AIIB, Khazanah, NIMP 2030) dan bahan pengguna U1–U4</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D2</w:t>
            </w:r>
          </w:p>
        </w:tc>
        <w:tc>
          <w:tcPr>
            <w:tcW w:type="dxa" w:w="86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Danantara Performance Study, 6 Oktober 2026. Rujukan S01–S31 (situs dan rilis Danantara, MIND ID, BRI, Mandiri, Telkom, PLN, BPS, GIPS/CFA, IFSWF, Temasek, Khazanah, OECD, IMF, IFC, ADB, IDB Invest, MDB, UNIDO); disertai workbook scorecard</w:t>
            </w:r>
          </w:p>
        </w:tc>
      </w:tr>
      <w:tr>
        <w:trPr>
          <w:cantSplit/>
        </w:trPr>
        <w:tc>
          <w:tcPr>
            <w:tcW w:type="dxa" w:w="963"/>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D3</w:t>
            </w:r>
          </w:p>
        </w:tc>
        <w:tc>
          <w:tcPr>
            <w:tcW w:type="dxa" w:w="8675"/>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DOCK-UP: Membangun Pemasok UKM Siap Produksi untuk Industri Maritim dan Pertahanan Indonesia, Oktober 2026 (UU 16/2012 Pasal 43; KemenkopUKM 2021; PP 45/2019)</w:t>
            </w:r>
          </w:p>
        </w:tc>
      </w:tr>
      <w:tr>
        <w:trPr>
          <w:cantSplit/>
        </w:trPr>
        <w:tc>
          <w:tcPr>
            <w:tcW w:type="dxa" w:w="963"/>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D4</w:t>
            </w:r>
          </w:p>
        </w:tc>
        <w:tc>
          <w:tcPr>
            <w:tcW w:type="dxa" w:w="8675"/>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Danantara: Platform Kapabilitas Industri Nasional, infografik 8 halaman (berkas 07102601): diagnosis sektor, arsitektur portofolio, proyek anchor, BUMN Konstruksi, multi-agentic AI, roadmap dan kebutuhan komputasi</w:t>
            </w:r>
          </w:p>
        </w:tc>
      </w:tr>
    </w:tbl>
    <w:p>
      <w:pPr>
        <w:spacing w:after="120"/>
      </w:pPr>
    </w:p>
    <w:p>
      <w:pPr>
        <w:pStyle w:val="Heading2"/>
      </w:pPr>
      <w:bookmarkStart w:name="_Toc97" w:id="97"/>
      <w:r>
        <w:t xml:space="preserve">Lampiran E. Isu rekonsiliasi antar dokumen</w:t>
      </w:r>
      <w:bookmarkEnd w:id="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529"/>
        <w:gridCol w:w="4628"/>
      </w:tblGrid>
      <w:tr>
        <w:trPr>
          <w:tblHeader/>
        </w:trPr>
        <w:tc>
          <w:tcPr>
            <w:tcW w:type="dxa" w:w="481"/>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w:t>
            </w:r>
          </w:p>
        </w:tc>
        <w:tc>
          <w:tcPr>
            <w:tcW w:type="dxa" w:w="4529"/>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Isu</w:t>
            </w:r>
          </w:p>
        </w:tc>
        <w:tc>
          <w:tcPr>
            <w:tcW w:type="dxa" w:w="4628"/>
            <w:tcBorders>
              <w:top w:val="single" w:color="C9D3E3" w:sz="4"/>
              <w:left w:val="single" w:color="C9D3E3" w:sz="4"/>
              <w:bottom w:val="single" w:color="C9D3E3" w:sz="4"/>
              <w:right w:val="single" w:color="C9D3E3" w:sz="4"/>
            </w:tcBorders>
            <w:shd w:fill="00338D" w:color="auto" w:val="clear"/>
            <w:tcMar>
              <w:top w:type="dxa" w:w="70"/>
              <w:left w:type="dxa" w:w="100"/>
              <w:bottom w:type="dxa" w:w="70"/>
              <w:right w:type="dxa" w:w="100"/>
            </w:tcMar>
            <w:vAlign w:val="top"/>
          </w:tcPr>
          <w:p>
            <w:pPr>
              <w:spacing w:after="20"/>
            </w:pPr>
            <w:r>
              <w:rPr>
                <w:b/>
                <w:bCs/>
                <w:color w:val="FFFFFF"/>
                <w:sz w:val="18"/>
                <w:szCs w:val="18"/>
              </w:rPr>
              <w:t xml:space="preserve">Penyelesaian yang diusulkan</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1</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Dua sistem gerbang: G0–G6 (D1, proyek) dan G1–G4 (D3, pemasok)</w:t>
            </w:r>
          </w:p>
        </w:tc>
        <w:tc>
          <w:tcPr>
            <w:tcW w:type="dxa" w:w="462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Gunakan P0–P6 untuk proyek dan S1–S4 untuk pemasok; titik temu di Lampiran B</w:t>
            </w:r>
          </w:p>
        </w:tc>
      </w:tr>
      <w:tr>
        <w:trPr>
          <w:cantSplit/>
        </w:trPr>
        <w:tc>
          <w:tcPr>
            <w:tcW w:type="dxa" w:w="48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2</w:t>
            </w:r>
          </w:p>
        </w:tc>
        <w:tc>
          <w:tcPr>
            <w:tcW w:type="dxa" w:w="45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Kepanjangan DOCK-UP berbeda: “Develop, Off-taker, Certification, Upgrading” (D3) vs “Development, Offtaker, Certified, Upgrading” (D4)</w:t>
            </w:r>
          </w:p>
        </w:tc>
        <w:tc>
          <w:tcPr>
            <w:tcW w:type="dxa" w:w="462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Gunakan versi D3 sebagai baku karena memuat desain operasional lengkap</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3</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Jadwal AI: “3 bulan” (D4 hlm. 7) vs diagram M1–M12 dan perluasan 24 bulan (D4 hlm. 8)</w:t>
            </w:r>
          </w:p>
        </w:tc>
        <w:tc>
          <w:tcPr>
            <w:tcW w:type="dxa" w:w="462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3 bulan = MVP Fase 1; 24 bulan = perluasan Fase 2–4</w:t>
            </w:r>
          </w:p>
        </w:tc>
      </w:tr>
      <w:tr>
        <w:trPr>
          <w:cantSplit/>
        </w:trPr>
        <w:tc>
          <w:tcPr>
            <w:tcW w:type="dxa" w:w="48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4</w:t>
            </w:r>
          </w:p>
        </w:tc>
        <w:tc>
          <w:tcPr>
            <w:tcW w:type="dxa" w:w="45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Angka yang belum terverifikasi: kerugian ±Rp28 T BUMN Konstruksi; rencana investasi 2026 US$14 miliar dengan porsi 50/50</w:t>
            </w:r>
          </w:p>
        </w:tc>
        <w:tc>
          <w:tcPr>
            <w:tcW w:type="dxa" w:w="462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Perlakukan sebagai kelas C; konfirmasi dengan laporan teraudit dan dokumen resmi</w:t>
            </w:r>
          </w:p>
        </w:tc>
      </w:tr>
      <w:tr>
        <w:trPr>
          <w:cantSplit/>
        </w:trPr>
        <w:tc>
          <w:tcPr>
            <w:tcW w:type="dxa" w:w="481"/>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b/>
                <w:bCs/>
                <w:color w:val="1A1A1A"/>
                <w:sz w:val="18"/>
                <w:szCs w:val="18"/>
              </w:rPr>
              <w:t xml:space="preserve">5</w:t>
            </w:r>
          </w:p>
        </w:tc>
        <w:tc>
          <w:tcPr>
            <w:tcW w:type="dxa" w:w="4529"/>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NITO dan perusahaan investasi aset warisan (D4) vs rekomendasi unit di BPI tanpa holding baru (D1)</w:t>
            </w:r>
          </w:p>
        </w:tc>
        <w:tc>
          <w:tcPr>
            <w:tcW w:type="dxa" w:w="4628"/>
            <w:tcBorders>
              <w:top w:val="single" w:color="C9D3E3" w:sz="4"/>
              <w:left w:val="single" w:color="C9D3E3" w:sz="4"/>
              <w:bottom w:val="single" w:color="C9D3E3" w:sz="4"/>
              <w:right w:val="single" w:color="C9D3E3" w:sz="4"/>
            </w:tcBorders>
            <w:shd w:fill="FFFFFF" w:color="auto" w:val="clear"/>
            <w:tcMar>
              <w:top w:type="dxa" w:w="70"/>
              <w:left w:type="dxa" w:w="100"/>
              <w:bottom w:type="dxa" w:w="70"/>
              <w:right w:type="dxa" w:w="100"/>
            </w:tcMar>
            <w:vAlign w:val="top"/>
          </w:tcPr>
          <w:p>
            <w:pPr>
              <w:spacing w:after="20"/>
            </w:pPr>
            <w:r>
              <w:rPr>
                <w:color w:val="1A1A1A"/>
                <w:sz w:val="18"/>
                <w:szCs w:val="18"/>
              </w:rPr>
              <w:t xml:space="preserve">NITO dibentuk sebagai unit Pilihan B; kendaraan aset warisan diputuskan setelah diagnosis aset dan bukti kebutuhan</w:t>
            </w:r>
          </w:p>
        </w:tc>
      </w:tr>
      <w:tr>
        <w:trPr>
          <w:cantSplit/>
        </w:trPr>
        <w:tc>
          <w:tcPr>
            <w:tcW w:type="dxa" w:w="481"/>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b/>
                <w:bCs/>
                <w:color w:val="1A1A1A"/>
                <w:sz w:val="18"/>
                <w:szCs w:val="18"/>
              </w:rPr>
              <w:t xml:space="preserve">6</w:t>
            </w:r>
          </w:p>
        </w:tc>
        <w:tc>
          <w:tcPr>
            <w:tcW w:type="dxa" w:w="4529"/>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Selisih Rp18,9 T pada angka 40 proyek (D1)</w:t>
            </w:r>
          </w:p>
        </w:tc>
        <w:tc>
          <w:tcPr>
            <w:tcW w:type="dxa" w:w="4628"/>
            <w:tcBorders>
              <w:top w:val="single" w:color="C9D3E3" w:sz="4"/>
              <w:left w:val="single" w:color="C9D3E3" w:sz="4"/>
              <w:bottom w:val="single" w:color="C9D3E3" w:sz="4"/>
              <w:right w:val="single" w:color="C9D3E3" w:sz="4"/>
            </w:tcBorders>
            <w:shd w:fill="EEF3FA" w:color="auto" w:val="clear"/>
            <w:tcMar>
              <w:top w:type="dxa" w:w="70"/>
              <w:left w:type="dxa" w:w="100"/>
              <w:bottom w:type="dxa" w:w="70"/>
              <w:right w:type="dxa" w:w="100"/>
            </w:tcMar>
            <w:vAlign w:val="top"/>
          </w:tcPr>
          <w:p>
            <w:pPr>
              <w:spacing w:after="20"/>
            </w:pPr>
            <w:r>
              <w:rPr>
                <w:color w:val="1A1A1A"/>
                <w:sz w:val="18"/>
                <w:szCs w:val="18"/>
              </w:rPr>
              <w:t xml:space="preserve">Rekonsiliasi dengan pemilik data sebelum register dipakai sebagai baseline</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Agenda Transformasi Terpadu Danantara · Draf diskusi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abstractNum w:abstractNumId="8" w15:restartNumberingAfterBreak="0">
    <w:multiLevelType w:val="hybridMultilevel"/>
    <w:lvl w:ilvl="0" w:tentative="1">
      <w:start w:val="1"/>
      <w:numFmt w:val="decimal"/>
      <w:lvlText w:val="%1."/>
      <w:lvlJc w:val="left"/>
      <w:pPr>
        <w:ind w:left="540" w:hanging="340"/>
      </w:pPr>
    </w:lvl>
  </w:abstractNum>
  <w:abstractNum w:abstractNumId="9" w15:restartNumberingAfterBreak="0">
    <w:multiLevelType w:val="hybridMultilevel"/>
    <w:lvl w:ilvl="0" w:tentative="1">
      <w:start w:val="1"/>
      <w:numFmt w:val="decimal"/>
      <w:lvlText w:val="%1."/>
      <w:lvlJc w:val="left"/>
      <w:pPr>
        <w:ind w:left="540" w:hanging="340"/>
      </w:pPr>
    </w:lvl>
  </w:abstractNum>
  <w:abstractNum w:abstractNumId="10"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338D"/>
      <w:sz w:val="36"/>
      <w:szCs w:val="36"/>
    </w:rPr>
  </w:style>
  <w:style w:type="paragraph" w:styleId="Heading2">
    <w:name w:val="Heading 2"/>
    <w:basedOn w:val="Normal"/>
    <w:next w:val="Normal"/>
    <w:qFormat/>
    <w:pPr>
      <w:keepNext/>
      <w:spacing w:after="140" w:before="300"/>
      <w:outlineLvl w:val="1"/>
    </w:pPr>
    <w:rPr>
      <w:rFonts w:ascii="Arial" w:cs="Arial" w:eastAsia="Arial" w:hAnsi="Arial"/>
      <w:b/>
      <w:bCs/>
      <w:color w:val="005EB8"/>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00338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Dari Investor ke Platform Industri: Agenda Transformasi Terpadu Danantara</dc:title>
  <dc:creator>Kajian internal</dc:creator>
  <cp:lastModifiedBy>Un-named</cp:lastModifiedBy>
  <cp:revision>1</cp:revision>
  <dcterms:created xsi:type="dcterms:W3CDTF">2026-10-07T02:45:58.976Z</dcterms:created>
  <dcterms:modified xsi:type="dcterms:W3CDTF">2026-10-07T02:45:58.984Z</dcterms:modified>
</cp:coreProperties>
</file>

<file path=docProps/custom.xml><?xml version="1.0" encoding="utf-8"?>
<Properties xmlns="http://schemas.openxmlformats.org/officeDocument/2006/custom-properties" xmlns:vt="http://schemas.openxmlformats.org/officeDocument/2006/docPropsVTypes"/>
</file>