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Evaluasi Tata Kelola Danantara dan Organisasi Industri Strategis</w:t>
      </w:r>
    </w:p>
    <w:p>
      <w:r>
        <w:rPr>
          <w:b w:val="0"/>
          <w:sz w:val="26"/>
        </w:rPr>
        <w:t>Percepatan 40 proyek strategis dan opsi Wakil Kepala Badan Pelaksana</w:t>
      </w:r>
    </w:p>
    <w:p>
      <w:r>
        <w:rPr>
          <w:b w:val="0"/>
          <w:sz w:val="20"/>
        </w:rPr>
        <w:t>Kajian keputusan organisasi  |  2 Oktober 2026</w:t>
      </w:r>
    </w:p>
    <w:p>
      <w:r>
        <w:rPr>
          <w:b w:val="0"/>
        </w:rPr>
        <w:t>Danantara memiliki fondasi tata kelola dalam regulasi serta fungsi investasi, pengelolaan aset, teknologi, risiko dan pembangunan. Bukti yang ditelaah belum cukup untuk menyatakan bahwa seluruh penerapannya telah memenuhi Good Governance atau bahwa struktur tersebut sudah efektif mengeksekusi 40 proyek. Penilaian ini menelaah rancangan organisasi dan bukti publik; pemeriksaan kepatuhan internal serta audit kinerja proyek belum dilakukan. [R1-R8]</w:t>
      </w:r>
    </w:p>
    <w:p>
      <w:r>
        <w:rPr>
          <w:b/>
        </w:rPr>
        <w:t>Rekomendasi utama adalah membentuk fungsi pengelolaan portofolio dan percepatan Industri Strategis pada tingkat BPI, langsung bertanggung jawab kepada Kepala Badan Pelaksana. Mulai dengan unit operasional yang mengintegrasikan sumber daya yang tersedia. Kebutuhan jabatan Wakil Kepala formal ditetapkan setelah mandat dan kebutuhan kewenangannya terbukti.</w:t>
      </w:r>
    </w:p>
    <w:p>
      <w:pPr>
        <w:pStyle w:val="ListBullet"/>
        <w:spacing w:after="120"/>
      </w:pPr>
      <w:r>
        <w:t>Tetapkan satu pemimpin hasil setiap proyek, satu sponsor korporasi yang sah, dan satu jadwal dasar yang mencakup kesiapan teknologi, pasar, lahan, perizinan serta pendanaan.</w:t>
      </w:r>
    </w:p>
    <w:p>
      <w:pPr>
        <w:pStyle w:val="ListBullet"/>
        <w:spacing w:after="120"/>
      </w:pPr>
      <w:r>
        <w:t>Gunakan unit baru untuk integrasi lintas proyek, penyelesaian hambatan, penyiapan keputusan dan pengukuran manfaat. Kelola keputusan modal dan kontrak melalui organ BPI, holding dan perusahaan yang berwenang.</w:t>
      </w:r>
    </w:p>
    <w:p>
      <w:pPr>
        <w:pStyle w:val="ListBullet"/>
        <w:spacing w:after="120"/>
      </w:pPr>
      <w:r>
        <w:t>Pisahkan promotor proyek dari penilai risiko, hukum dan audit. Hubungan unit dengan DAM, DIM dan DDMF dituangkan dalam piagam kerja serta matriks kewenangan.</w:t>
      </w:r>
    </w:p>
    <w:p>
      <w:pPr>
        <w:pStyle w:val="ListBullet"/>
        <w:spacing w:after="120"/>
      </w:pPr>
      <w:r>
        <w:t>Gunakan dua penilaian untuk setiap proyek: kelayakan finansial dan manfaat nasional. Struktur pembiayaan mengikuti mandat proyek dan persetujuan yang berlaku.</w:t>
      </w:r>
    </w:p>
    <w:p>
      <w:pPr>
        <w:pStyle w:val="ListBullet"/>
        <w:spacing w:after="120"/>
      </w:pPr>
      <w:r>
        <w:t>Hindari rangkap jabatan eksekusi dengan Wakil Ketua Dewan Pengawas. Jika “Deputy Chairman” dimaksudkan sebagai terjemahan Wakil Kepala Badan Pelaksana, gunakan padanan yang menunjukkan fungsi eksekutif dengan jelas.</w:t>
      </w:r>
    </w:p>
    <w:p>
      <w:pPr>
        <w:spacing w:before="100"/>
      </w:pPr>
      <w:r>
        <w:rPr>
          <w:b w:val="0"/>
          <w:color w:val="56606B"/>
          <w:sz w:val="19"/>
        </w:rPr>
        <w:t>Hasil kajian: jalur penerapan segera melalui unit pelaksana; opsi anggota Badan Pelaksana bidang Industri Strategis; serta jalur harmonisasi untuk Wakil Kepala formal. Semua desain, target waktu dan RASCI pada laporan ini merupakan usulan.</w:t>
      </w:r>
    </w:p>
    <w:p>
      <w:r>
        <w:br w:type="page"/>
      </w:r>
    </w:p>
    <w:p>
      <w:pPr>
        <w:pStyle w:val="Heading1"/>
      </w:pPr>
      <w:r>
        <w:t>1 Dasar penilaian dan mutu data portofolio</w:t>
      </w:r>
    </w:p>
    <w:p>
      <w:r>
        <w:rPr>
          <w:b w:val="0"/>
        </w:rPr>
        <w:t>Kajian menggunakan PP 10/2025 sebagaimana diubah PP 19/2026, perubahan UU BUMN melalui UU 16/2025, struktur resmi Danantara, OECD Guidelines 2024, dan praktik kelembagaan yang dipublikasikan di empat negara. Dokumen pengguna dipakai sebagai bahan konteks; klaim hukum di dalamnya diuji terhadap naskah peraturan. [R1-R16, U1-U4]</w:t>
      </w:r>
    </w:p>
    <w:p>
      <w:r>
        <w:rPr>
          <w:b w:val="0"/>
        </w:rPr>
        <w:t>Istilah “40 proyek” merujuk pada portofolio dalam bahan diskusi pengguna. Infografik belum menyediakan register lengkap beserta nomor penetapan, sponsor, pemilik saham, status pendanaan dan tahapan aktual. Kajian ini tidak menyamakan seluruh portofolio tersebut dengan daftar Proyek Strategis Nasional yang telah ditetapkan secara hukum.</w:t>
      </w:r>
    </w:p>
    <w:p>
      <w:pPr>
        <w:pStyle w:val="Heading2"/>
      </w:pPr>
      <w:r>
        <w:t>Ketidaksesuaian angka investasi</w:t>
      </w:r>
    </w:p>
    <w:tbl>
      <w:tblPr>
        <w:tblW w:type="auto" w:w="0"/>
        <w:jc w:val="center"/>
        <w:tblLayout w:type="fixed"/>
        <w:tblLook w:firstColumn="1" w:firstRow="1" w:lastColumn="0" w:lastRow="0" w:noHBand="0" w:noVBand="1" w:val="04A0"/>
      </w:tblPr>
      <w:tblGrid>
        <w:gridCol w:w="3312"/>
        <w:gridCol w:w="3384"/>
        <w:gridCol w:w="3384"/>
      </w:tblGrid>
      <w:tr>
        <w:trPr>
          <w:tblHeader/>
          <w:cantSplit/>
        </w:trPr>
        <w:tc>
          <w:tcPr>
            <w:tcW w:type="dxa" w:w="33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20"/>
              </w:rPr>
              <w:t>Klaster</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20"/>
              </w:rPr>
              <w:t>Tabel ringkasan Rp triliun</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20"/>
              </w:rPr>
              <w:t>Tabel rincian Rp triliun</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Mineral</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283,85</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86,874118</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Infrastruktur</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1.274,57</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1.217,918836</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Industri pertahanan</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81,10</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24,360000</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Lain lain</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451,94</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743,381435</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Jumlah</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2.091,46</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2.072,534389</w:t>
            </w:r>
          </w:p>
        </w:tc>
      </w:tr>
    </w:tbl>
    <w:p>
      <w:pPr>
        <w:spacing w:after="20"/>
      </w:pPr>
    </w:p>
    <w:p>
      <w:r>
        <w:rPr>
          <w:b w:val="0"/>
        </w:rPr>
        <w:t>Tabel ringkasan berjumlah Rp2.091,46 triliun. Empat total tabel rincian, setelah dikonversi dari Rp juta, berjumlah Rp2.072,534389 triliun. Selisihnya Rp18,925611 triliun dan alokasi antar klaster berbeda. Satuan serta lingkup harus dikonfirmasi kepada pemilik data sebelum angka dipakai untuk persetujuan anggaran. Perhitungan tenaga kerja pada infografik juga merupakan estimasi, belum berupa hasil aktual. [U1]</w:t>
      </w:r>
    </w:p>
    <w:p>
      <w:pPr>
        <w:pStyle w:val="Heading2"/>
      </w:pPr>
      <w:r>
        <w:t>Data minimum untuk seluruh 40 proyek</w:t>
      </w:r>
    </w:p>
    <w:p>
      <w:r>
        <w:rPr>
          <w:b w:val="0"/>
        </w:rPr>
        <w:t>Register wajib memuat identitas proyek, dasar mandat, lokasi, sponsor dan perusahaan pelaksana, batas lingkup, biaya total dan porsi Danantara, sumber dana, jadwal, tahap keputusan, teknologi dan IPR, pasar atau offtake, izin, lahan, risiko utama, pemimpin proyek serta persetujuan yang masih terbuka. Setiap perubahan harus menyimpan versi dan alasan perubahan.</w:t>
      </w:r>
    </w:p>
    <w:p>
      <w:pPr>
        <w:spacing w:before="100"/>
      </w:pPr>
      <w:r>
        <w:rPr>
          <w:b w:val="0"/>
          <w:color w:val="56606B"/>
          <w:sz w:val="19"/>
        </w:rPr>
        <w:t>Status bukti: ketentuan hukum adalah fakta normatif; struktur situs adalah fakta publik; efektivitas kontrol memerlukan dokumen dan pengujian internal. Ketiadaan dokumen dalam kajian tidak membuktikan dokumen tersebut tidak ada.</w:t>
      </w:r>
    </w:p>
    <w:p>
      <w:r>
        <w:br w:type="page"/>
      </w:r>
    </w:p>
    <w:p>
      <w:pPr>
        <w:pStyle w:val="Heading1"/>
      </w:pPr>
      <w:r>
        <w:t>2 Evaluasi fondasi Good Governance</w:t>
      </w:r>
    </w:p>
    <w:p>
      <w:r>
        <w:rPr>
          <w:b w:val="0"/>
        </w:rPr>
        <w:t>Kerangka OECD menekankan mandat pemilik yang jelas, otonomi pengurusan perusahaan, kompetensi organ, pelaporan dan akuntabilitas. Penilaian berikut menggunakan prinsip tersebut untuk menguji desain Danantara tanpa memberikan sertifikasi kepatuhan. [R9]</w:t>
      </w:r>
    </w:p>
    <w:tbl>
      <w:tblPr>
        <w:tblW w:type="auto" w:w="0"/>
        <w:jc w:val="center"/>
        <w:tblLayout w:type="fixed"/>
        <w:tblLook w:firstColumn="1" w:firstRow="1" w:lastColumn="0" w:lastRow="0" w:noHBand="0" w:noVBand="1" w:val="04A0"/>
      </w:tblPr>
      <w:tblGrid>
        <w:gridCol w:w="1944"/>
        <w:gridCol w:w="4104"/>
        <w:gridCol w:w="4032"/>
      </w:tblGrid>
      <w:tr>
        <w:trPr>
          <w:tblHeade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20"/>
              </w:rPr>
              <w:t>Dimensi</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20"/>
              </w:rPr>
              <w:t>Bukti dan penilaian</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20"/>
              </w:rPr>
              <w:t>Tindakan yang diperlukan</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Kejelasan organ</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PP memisahkan Dewan Pengawas dan Badan Pelaksana. Fondasi pengawasan tersedia. [R1-R2]</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Periksa board manual, reserved matters, piagam komite dan dasar pengangkatan.</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Mandat pemilik dan regulator</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BP BUMN dan BPI memiliki peran hukum berbeda. Pelaksanaan hak setiap perseroan harus mengikuti kepemilikan dan anggaran dasar. [R2-R3]</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Dokumentasikan kapan BPI bertindak sebagai pemilik, koordinator, investor atau pelaksana penugasan.</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Komersial dan pembangunan</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PP 19 membedakan tujuan holding investasi. DDMF mempublikasikan mandat pembangunan. Fondasi diferensiasi tersedia. [R2,R7]</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Gunakan target finansial, dampak dan sumber dukungan yang sesuai tiap mandat.</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Kompetensi eksekusi industri</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Situs BPI memuat CTO serta MD Industrialization, Technology Advancement dan Strategic Technology Initiatives. [R4]</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Uji kecukupan kapasitas engineering, kontrak, commissioning dan integrasi rantai pasok sebelum menambah jabatan.</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Risiko pada tingkat organ</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Pasal 14 memerlukan pembidangan risiko pada anggota Badan Pelaksana. Nama MD Risk pada situs belum membuktikan pemenuhan pembidangan organ. [R1,R4]</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Verifikasi Keppres, pembidangan, akses fungsi risiko dan posisi dalam komite.</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Benturan kepentingan</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PP mengatur pengungkapan dan pengecualian pihak berbenturan dari keputusan. [R1]</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Simpan register konflik, risalah pengecualian atau recusal serta jalur keputusan saat pimpinan berbenturan.</w:t>
            </w:r>
          </w:p>
        </w:tc>
      </w:tr>
    </w:tbl>
    <w:p>
      <w:pPr>
        <w:spacing w:after="20"/>
      </w:pPr>
    </w:p>
    <w:p>
      <w:r>
        <w:rPr>
          <w:b w:val="0"/>
        </w:rPr>
        <w:t>Kesimpulan pada tingkat desain: terdapat landasan yang memadai untuk membangun tata kelola. Efektivitasnya bergantung pada instrumen internal dan penerapan. Menambah posisi pimpinan tanpa memperjelas keputusan, kontrol dan keluaran dapat memperpanjang proses.</w:t>
      </w:r>
    </w:p>
    <w:p>
      <w:r>
        <w:br w:type="page"/>
      </w:r>
    </w:p>
    <w:p>
      <w:pPr>
        <w:pStyle w:val="Heading1"/>
      </w:pPr>
      <w:r>
        <w:t>3 Kesiapan tata kelola untuk mengeksekusi 40 proyek</w:t>
      </w:r>
    </w:p>
    <w:tbl>
      <w:tblPr>
        <w:tblW w:type="auto" w:w="0"/>
        <w:jc w:val="center"/>
        <w:tblLayout w:type="fixed"/>
        <w:tblLook w:firstColumn="1" w:firstRow="1" w:lastColumn="0" w:lastRow="0" w:noHBand="0" w:noVBand="1" w:val="04A0"/>
      </w:tblPr>
      <w:tblGrid>
        <w:gridCol w:w="1944"/>
        <w:gridCol w:w="4104"/>
        <w:gridCol w:w="4032"/>
      </w:tblGrid>
      <w:tr>
        <w:trPr>
          <w:tblHeade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20"/>
              </w:rPr>
              <w:t>Dimensi</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20"/>
              </w:rPr>
              <w:t>Penilaian berdasarkan bukti yang tersedia</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20"/>
              </w:rPr>
              <w:t>Kebutuhan penerapan</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Akuntabilitas proyek</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Belum diperoleh register terpadu yang menghubungkan 40 proyek dengan pemimpin, tahap keputusan dan hasilnya.</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Satu penanggung jawab hasil per proyek; satu register keputusan dan hambatan.</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Kewenangan modal</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Kepala mengambil keputusan Badan Pelaksana. Keputusan korporasi holding dan perusahaan merupakan lapisan tersendiri. [R1-R2]</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Peta otorisasi per entitas, objek dan tahap. Kuasa tanda tangan dipisahkan dari persetujuan bisnis.</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Jaminan dan dukungan fiskal</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Mandat pembangunan tidak otomatis memberikan jaminan negara atau PMN. [R2]</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Tunjukkan pihak pemberi jaminan, kapasitas bayar, dasar dukungan dan biaya kontinjensi.</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Pengadaan dan mitra</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Kebijakan pengadaan serta proses pemilihan mitra perlu diperiksa pada entitas pelaksana.</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Uji beneficial ownership, transaksi afiliasi, kompetisi, alasan sole source dan kontrol perubahan kontrak.</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Transparansi dan audit</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Pernyataan resmi 12 Mei 2026 menyebut konsolidasi laporan dan proses audit. Kajian ini belum menilai opini audit terkini. [R8]</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Periksa laporan dan tindak lanjut audit yang berlaku; laporkan portofolio dan dampak secara konsisten.</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Pengukuran keberhasilan</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Daftar investasi serta target tenaga kerja belum membuktikan pencapaian manfaat.</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Ukur operasi, kapasitas terpakai, biaya, dampak bersih, teknologi yang dikuasai dan hasil pasca investasi.</w:t>
            </w:r>
          </w:p>
        </w:tc>
      </w:tr>
    </w:tbl>
    <w:p>
      <w:pPr>
        <w:spacing w:after="20"/>
      </w:pPr>
    </w:p>
    <w:p>
      <w:pPr>
        <w:pStyle w:val="Heading2"/>
      </w:pPr>
      <w:r>
        <w:t>Pengujian yang mengubah kesimpulan</w:t>
      </w:r>
    </w:p>
    <w:p>
      <w:r>
        <w:rPr>
          <w:b w:val="0"/>
        </w:rPr>
        <w:t>Ambil sampel proyek yang mewakili empat klaster dan beberapa tahap. Telusuri usulan sampai keputusan, penandatanganan, pembayaran dan perubahan lingkup. Ukur waktu aktif penelaahan serta waktu menunggu; periksa keberatan risiko, recusal, keterlambatan dan tindak lanjut audit. Hasilnya menentukan apakah masalah utama ada pada kewenangan, kesiapan proyek, kemampuan pelaksana atau koordinasi eksternal.</w:t>
      </w:r>
    </w:p>
    <w:p>
      <w:r>
        <w:rPr>
          <w:b w:val="0"/>
        </w:rPr>
        <w:t>Penilaian akhir saat ini adalah “fondasi tersedia, efektivitas penerapan belum terverifikasi, kebutuhan integrasi eksekusi perlu diuji”. Tidak ada dasar untuk memberikan persentase kepatuhan atau menyatakan struktur saat ini melanggar tata kelola hanya dari situs publik.</w:t>
      </w:r>
    </w:p>
    <w:p>
      <w:r>
        <w:br w:type="page"/>
      </w:r>
    </w:p>
    <w:p>
      <w:pPr>
        <w:pStyle w:val="Heading1"/>
      </w:pPr>
      <w:r>
        <w:t>4 Pelajaran kelembagaan China dan Vietnam</w:t>
      </w:r>
    </w:p>
    <w:p>
      <w:pPr>
        <w:pStyle w:val="Heading2"/>
      </w:pPr>
      <w:r>
        <w:t>China</w:t>
      </w:r>
    </w:p>
    <w:p>
      <w:r>
        <w:rPr>
          <w:b w:val="0"/>
        </w:rPr>
        <w:t>Aturan investasi SASAC menempatkan perusahaan sebagai subjek keputusan, pelaksanaan dan tanggung jawab proyek. Aturannya mencakup rencana investasi, daftar investasi yang dilarang atau memerlukan pengawasan khusus, studi kelayakan, pencatatan keputusan, pemantauan serta evaluasi pasca investasi. SDIC menunjukkan contoh pengembangan industri melalui investasi langsung dan dana yang menghubungkan teknologi, pemerintah daerah dan modal lain. [R10-R11]</w:t>
      </w:r>
    </w:p>
    <w:p>
      <w:r>
        <w:rPr>
          <w:b w:val="0"/>
        </w:rPr>
        <w:t>Pelajaran bagi Danantara adalah memperjelas siapa yang menanggung keputusan pada setiap entitas, membatasi investasi melalui daftar kriteria yang transparan, dan membangun platform rantai nilai. Usulan arm Industri Strategis dapat mengintegrasikan bahan baku, teknologi, pasar dan infrastruktur bersama, sementara tanggung jawab korporasi tetap berada pada perusahaan pelaksana.</w:t>
      </w:r>
    </w:p>
    <w:p>
      <w:r>
        <w:rPr>
          <w:b w:val="0"/>
        </w:rPr>
        <w:t>Model China tidak dapat dipindahkan seluruhnya ke Indonesia. Struktur hubungan negara, regulator dan perusahaan berbeda. Ketersediaan pendanaan atau prioritas negara tidak membuktikan suatu investasi akan berhasil; Danantara tetap memerlukan pengujian pasar, risiko konsentrasi serta disiplin penghentian proyek.</w:t>
      </w:r>
    </w:p>
    <w:p>
      <w:pPr>
        <w:pStyle w:val="Heading2"/>
      </w:pPr>
      <w:r>
        <w:t>Vietnam</w:t>
      </w:r>
    </w:p>
    <w:p>
      <w:r>
        <w:rPr>
          <w:b w:val="0"/>
        </w:rPr>
        <w:t>CMSC dibentuk pada 2018 untuk mengawasi 19 perusahaan dan dibubarkan efektif 21 Maret 2025; perusahaan dialihkan kepada Kementerian Keuangan dan kementerian lain. Sumber Kementerian Keuangan pada Juni 2026 menyebut arah pembentukan dana investasi nasional berbasis restrukturisasi SCIC. Hal tersebut merupakan arah reformasi, bukan bukti bahwa seluruh perubahan sudah selesai. [R12-R13]</w:t>
      </w:r>
    </w:p>
    <w:p>
      <w:r>
        <w:rPr>
          <w:b w:val="0"/>
        </w:rPr>
        <w:t>Pelajarannya adalah memastikan setiap transisi organisasi mempunyai daftar kewenangan, arsip proyek, kontrak, aset, pegawai dan kewajiban yang berpindah. Pergantian struktur perlu menjaga kesinambungan keputusan. Pembubaran CMSC tidak dipakai sebagai bukti tunggal kegagalan model kepemilikan terpusat.</w:t>
      </w:r>
    </w:p>
    <w:tbl>
      <w:tblPr>
        <w:tblW w:type="auto" w:w="0"/>
        <w:jc w:val="center"/>
        <w:tblLayout w:type="fixed"/>
        <w:tblLook w:firstColumn="1" w:firstRow="1" w:lastColumn="0" w:lastRow="0" w:noHBand="0" w:noVBand="1" w:val="04A0"/>
      </w:tblPr>
      <w:tblGrid>
        <w:gridCol w:w="3600"/>
        <w:gridCol w:w="6480"/>
      </w:tblGrid>
      <w:tr>
        <w:trPr>
          <w:tblHeader/>
          <w:cantSplit/>
        </w:trPr>
        <w:tc>
          <w:tcPr>
            <w:tcW w:type="dxa" w:w="360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20"/>
              </w:rPr>
              <w:t>Fungsi yang dipelajari</w:t>
            </w:r>
          </w:p>
        </w:tc>
        <w:tc>
          <w:tcPr>
            <w:tcW w:type="dxa" w:w="648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20"/>
              </w:rPr>
              <w:t>Adaptasi untuk Danantara</w:t>
            </w:r>
          </w:p>
        </w:tc>
      </w:tr>
      <w:tr>
        <w:trPr>
          <w:cantSplit/>
        </w:trPr>
        <w:tc>
          <w:tcPr>
            <w:tcW w:type="dxa" w:w="360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China  keputusan dan investasi industri</w:t>
            </w:r>
          </w:p>
        </w:tc>
        <w:tc>
          <w:tcPr>
            <w:tcW w:type="dxa" w:w="648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Mandat proyek per perseroan; daftar larangan; tahapan evaluasi; pengembangan ekosistem industri.</w:t>
            </w:r>
          </w:p>
        </w:tc>
      </w:tr>
      <w:tr>
        <w:trPr>
          <w:cantSplit/>
        </w:trPr>
        <w:tc>
          <w:tcPr>
            <w:tcW w:type="dxa" w:w="360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Vietnam  transisi kepemilikan dan mandat</w:t>
            </w:r>
          </w:p>
        </w:tc>
        <w:tc>
          <w:tcPr>
            <w:tcW w:type="dxa" w:w="648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Peta kewenangan sebelum dan setelah perubahan; pemilik arsip dan akuntabilitas tetap jelas.</w:t>
            </w:r>
          </w:p>
        </w:tc>
      </w:tr>
    </w:tbl>
    <w:p>
      <w:pPr>
        <w:spacing w:after="20"/>
      </w:pPr>
    </w:p>
    <w:p>
      <w:pPr>
        <w:spacing w:before="100"/>
      </w:pPr>
      <w:r>
        <w:rPr>
          <w:b w:val="0"/>
          <w:color w:val="56606B"/>
          <w:sz w:val="19"/>
        </w:rPr>
        <w:t>Ini adalah pemilihan praktik kelembagaan untuk kebutuhan Danantara, bukan pemeringkatan tata kelola nasional atau pengakuan bahwa semua praktik negara pembanding adalah best practice.</w:t>
      </w:r>
    </w:p>
    <w:p>
      <w:r>
        <w:br w:type="page"/>
      </w:r>
    </w:p>
    <w:p>
      <w:pPr>
        <w:pStyle w:val="Heading1"/>
      </w:pPr>
      <w:r>
        <w:t>5 Pelajaran kelembagaan India dan Malaysia</w:t>
      </w:r>
    </w:p>
    <w:p>
      <w:pPr>
        <w:pStyle w:val="Heading2"/>
      </w:pPr>
      <w:r>
        <w:t>India</w:t>
      </w:r>
    </w:p>
    <w:p>
      <w:r>
        <w:rPr>
          <w:b w:val="0"/>
        </w:rPr>
        <w:t>PRAGATI menggabungkan pemantauan berbasis teknologi, kepemimpinan tingkat tinggi dan koordinasi pemerintah pusat dengan negara bagian untuk menyelesaikan hambatan proyek. NIIF merupakan platform investasi berjangkar pemerintah yang menarik modal institusional. Dalam proyek NIIF PMF II yang didokumentasikan AIIB, penilaian risiko lingkungan dan sosial serta due diligence ditelaah sebelum keputusan investasi. [R14-R16]</w:t>
      </w:r>
    </w:p>
    <w:p>
      <w:r>
        <w:rPr>
          <w:b w:val="0"/>
        </w:rPr>
        <w:t>Adaptasi yang sesuai adalah memisahkan forum penyelesaian hambatan dari proses pengujian investasi. Forum dapat mengatasi keterlambatan lintas lembaga dengan pemilik masalah dan batas waktu. Keputusan pendanaan tetap ditelaah menurut mandat, kontrak dan kelayakan proyek; hasil rapat koordinasi tidak menggantikan izin atau keputusan perusahaan.</w:t>
      </w:r>
    </w:p>
    <w:p>
      <w:pPr>
        <w:pStyle w:val="Heading2"/>
      </w:pPr>
      <w:r>
        <w:t>Malaysia</w:t>
      </w:r>
    </w:p>
    <w:p>
      <w:r>
        <w:rPr>
          <w:b w:val="0"/>
        </w:rPr>
        <w:t>Khazanah mempublikasikan Board Charter, Schedule of Matters for the Board, Limits of Authority dan kerangka risiko. Kebijakan investasinya membedakan Investments Portfolio, Dana Impak, Developmental Assets dan Special Situation Assets, dengan target yang sesuai masing-masing mandat. NIMP 2030 menempatkan koordinasi industri dalam pendekatan lintas pemerintah dan swasta serta merancang Delivery Management Unit di MITI. [R17-R19]</w:t>
      </w:r>
    </w:p>
    <w:p>
      <w:r>
        <w:rPr>
          <w:b w:val="0"/>
        </w:rPr>
        <w:t>Danantara dapat menerapkan kontrak mandat per arm dan unit pengelolaan pelaksanaan yang menyatukan berbagai pemangku kepentingan. Target dampak nasional dipasang bersama target finansial dan batas risiko. Usulan pembentukan unit berbeda dari bukti keberhasilan unit tersebut; kajian tidak menyimpulkan efektivitas NIMP hanya dari dokumen rancangan.</w:t>
      </w:r>
    </w:p>
    <w:tbl>
      <w:tblPr>
        <w:tblW w:type="auto" w:w="0"/>
        <w:jc w:val="center"/>
        <w:tblLayout w:type="fixed"/>
        <w:tblLook w:firstColumn="1" w:firstRow="1" w:lastColumn="0" w:lastRow="0" w:noHBand="0" w:noVBand="1" w:val="04A0"/>
      </w:tblPr>
      <w:tblGrid>
        <w:gridCol w:w="2376"/>
        <w:gridCol w:w="7704"/>
      </w:tblGrid>
      <w:tr>
        <w:trPr>
          <w:tblHeader/>
          <w:cantSplit/>
        </w:trPr>
        <w:tc>
          <w:tcPr>
            <w:tcW w:type="dxa" w:w="237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20"/>
              </w:rPr>
              <w:t>Praktik</w:t>
            </w:r>
          </w:p>
        </w:tc>
        <w:tc>
          <w:tcPr>
            <w:tcW w:type="dxa" w:w="770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20"/>
              </w:rPr>
              <w:t>Keluaran yang dapat diterapkan</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PRAGATI</w:t>
            </w:r>
          </w:p>
        </w:tc>
        <w:tc>
          <w:tcPr>
            <w:tcW w:type="dxa" w:w="770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Register hambatan; pejabat penyelesai; tindak lanjut terjadwal; eskalasi lintas lembaga.</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NIIF</w:t>
            </w:r>
          </w:p>
        </w:tc>
        <w:tc>
          <w:tcPr>
            <w:tcW w:type="dxa" w:w="770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Disiplin investasi dan kontrol risiko tetap berjalan saat modal mitra dimobilisasi.</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Khazanah</w:t>
            </w:r>
          </w:p>
        </w:tc>
        <w:tc>
          <w:tcPr>
            <w:tcW w:type="dxa" w:w="770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Dokumen mandat, batas kewenangan, risk appetite dan target hasil menurut portofolio.</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NIMP 2030</w:t>
            </w:r>
          </w:p>
        </w:tc>
        <w:tc>
          <w:tcPr>
            <w:tcW w:type="dxa" w:w="770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Unit koordinasi pelaksanaan industri dengan dashboard dan hubungan pemerintah swasta.</w:t>
            </w:r>
          </w:p>
        </w:tc>
      </w:tr>
    </w:tbl>
    <w:p>
      <w:pPr>
        <w:spacing w:after="20"/>
      </w:pPr>
    </w:p>
    <w:p>
      <w:r>
        <w:rPr>
          <w:b w:val="0"/>
        </w:rPr>
        <w:t>Kombinasi yang direkomendasikan menggunakan disiplin investasi China dan Malaysia, mekanisme eskalasi India, serta ketertiban transisi dari pengalaman Vietnam. Tidak ditemukan dasar bahwa gelar Deputy Chairman sendiri merupakan faktor yang mempercepat proyek.</w:t>
      </w:r>
    </w:p>
    <w:p>
      <w:r>
        <w:br w:type="page"/>
      </w:r>
    </w:p>
    <w:p>
      <w:pPr>
        <w:pStyle w:val="Heading1"/>
      </w:pPr>
      <w:r>
        <w:t>6 Perbandingan pilihan organisasi</w:t>
      </w:r>
    </w:p>
    <w:p>
      <w:r>
        <w:rPr>
          <w:b w:val="0"/>
        </w:rPr>
        <w:t>Empat pilihan dinilai berdasarkan integrasi lintas arm, kecepatan pembentukan, kejelasan akuntabilitas serta risiko duplikasi. Penilaian bersifat kualitatif; belum tersedia data waktu keputusan untuk mengestimasi penghematan hari secara andal.</w:t>
      </w:r>
    </w:p>
    <w:tbl>
      <w:tblPr>
        <w:tblW w:type="auto" w:w="0"/>
        <w:jc w:val="center"/>
        <w:tblLayout w:type="fixed"/>
        <w:tblLook w:firstColumn="1" w:firstRow="1" w:lastColumn="0" w:lastRow="0" w:noHBand="0" w:noVBand="1" w:val="04A0"/>
      </w:tblPr>
      <w:tblGrid>
        <w:gridCol w:w="1944"/>
        <w:gridCol w:w="2952"/>
        <w:gridCol w:w="3024"/>
        <w:gridCol w:w="2160"/>
      </w:tblGrid>
      <w:tr>
        <w:trPr>
          <w:tblHeade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20"/>
              </w:rPr>
              <w:t>Pilihan</w:t>
            </w:r>
          </w:p>
        </w:tc>
        <w:tc>
          <w:tcPr>
            <w:tcW w:type="dxa" w:w="295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20"/>
              </w:rPr>
              <w:t>Kekuatan</w:t>
            </w:r>
          </w:p>
        </w:tc>
        <w:tc>
          <w:tcPr>
            <w:tcW w:type="dxa" w:w="302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20"/>
              </w:rPr>
              <w:t>Keterbatasan</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20"/>
              </w:rPr>
              <w:t>Penilaian</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A Memperkuat CTO dan DDMF</w:t>
            </w:r>
          </w:p>
        </w:tc>
        <w:tc>
          <w:tcPr>
            <w:tcW w:type="dxa" w:w="295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Cepat menggunakan fungsi yang sudah ada; cocok bagi proyek pembangunan dan teknologi.</w:t>
            </w:r>
          </w:p>
        </w:tc>
        <w:tc>
          <w:tcPr>
            <w:tcW w:type="dxa" w:w="302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Mandat lintas DAM dan DIM serta hasil korporasi memerlukan piagam yang jelas.</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Layak bila hampir seluruh portofolio memang berada pada mandat DDMF.</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B Unit Industri Strategis pada BPI</w:t>
            </w:r>
          </w:p>
        </w:tc>
        <w:tc>
          <w:tcPr>
            <w:tcW w:type="dxa" w:w="295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Mengintegrasikan 40 proyek melintasi arm; memberi satu pemilik pengelolaan portofolio.</w:t>
            </w:r>
          </w:p>
        </w:tc>
        <w:tc>
          <w:tcPr>
            <w:tcW w:type="dxa" w:w="302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Berpotensi menjadi lapisan rapat tambahan jika tidak memiliki akses data dan penyelesaian hambatan.</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Pilihan penerapan awal yang direkomendasikan.</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C Wakil Kepala formal memimpin arm</w:t>
            </w:r>
          </w:p>
        </w:tc>
        <w:tc>
          <w:tcPr>
            <w:tcW w:type="dxa" w:w="295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Kedudukan eksekutif senior dapat memperkuat koordinasi dan kesinambungan kepemimpinan.</w:t>
            </w:r>
          </w:p>
        </w:tc>
        <w:tc>
          <w:tcPr>
            <w:tcW w:type="dxa" w:w="302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Membutuhkan kepastian jabatan, hierarki dan kewenangan; rawan sentralisasi atau konflik dengan COO/CIO/CTO.</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Opsi pengembangan setelah kebutuhan kewenangannya terbukti.</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D Holding industri baru atau badan di luar BPI</w:t>
            </w:r>
          </w:p>
        </w:tc>
        <w:tc>
          <w:tcPr>
            <w:tcW w:type="dxa" w:w="295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Dapat cocok untuk kepemilikan platform tertentu atau mandat lintas sektor yang berbeda.</w:t>
            </w:r>
          </w:p>
        </w:tc>
        <w:tc>
          <w:tcPr>
            <w:tcW w:type="dxa" w:w="302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Transaksi aset, pendanaan, struktur pemegang saham dan regulasi lebih kompleks; dapat memecah portofolio.</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Dipakai bila kebutuhan badan hukum khusus terbukti.</w:t>
            </w:r>
          </w:p>
        </w:tc>
      </w:tr>
    </w:tbl>
    <w:p>
      <w:pPr>
        <w:spacing w:after="20"/>
      </w:pPr>
    </w:p>
    <w:p>
      <w:pPr>
        <w:pStyle w:val="Heading2"/>
      </w:pPr>
      <w:r>
        <w:t>Alasan memilih B terlebih dahulu</w:t>
      </w:r>
    </w:p>
    <w:p>
      <w:r>
        <w:rPr>
          <w:b w:val="0"/>
        </w:rPr>
        <w:t>Kesenjangan yang hendak ditangani adalah integrasi portofolio dan penyelesaian hambatan, sementara fungsi modal serta pengembangan proyek telah tersedia. Unit tingkat BPI dapat menangani hubungan lintas arm tanpa menunggu pemindahan seluruh proyek atau pembentukan perseroan baru. Proyek yang sudah berjalan mempertahankan jalur kontrak dan keputusan yang sah.</w:t>
      </w:r>
    </w:p>
    <w:p>
      <w:r>
        <w:rPr>
          <w:b w:val="0"/>
        </w:rPr>
        <w:t>Pilihan C diteruskan bila pengujian menunjukkan unit tidak cukup mengatasi hambatan kewenangan dan beban koordinasi. Kriteria kenaikannya harus disepakati: sengketa mandat yang tidak terselesaikan, antrian keputusan lintas arm yang berulang, kebutuhan pengganti Kepala, atau lingkup tanggung jawab yang secara nyata memerlukan jabatan formal.</w:t>
      </w:r>
    </w:p>
    <w:p>
      <w:pPr>
        <w:spacing w:before="100"/>
      </w:pPr>
      <w:r>
        <w:rPr>
          <w:b w:val="0"/>
          <w:color w:val="56606B"/>
          <w:sz w:val="19"/>
        </w:rPr>
        <w:t>Seluruh pilihan wajib menjaga hak RUPS, direksi dan komisaris serta persetujuan Presiden dan Dewas. Pembentukan holding tambahan mengikuti persyaratan Pasal 29B; unit operasional tidak dengan sendirinya merupakan holding. [R1-R2]</w:t>
      </w:r>
    </w:p>
    <w:p>
      <w:r>
        <w:br w:type="page"/>
      </w:r>
    </w:p>
    <w:p>
      <w:pPr>
        <w:pStyle w:val="Heading1"/>
      </w:pPr>
      <w:r>
        <w:t>7 Jalur hukum Wakil Kepala dan Deputy Chairman</w:t>
      </w:r>
    </w:p>
    <w:p>
      <w:r>
        <w:rPr>
          <w:b w:val="0"/>
        </w:rPr>
        <w:t>PP 10/2025 menyebut Kepala merangkap anggota dan anggota Badan Pelaksana. Pasal 14 membuka jumlah anggota sesuai kebutuhan dan bidang lain, sedangkan Pasal 15 memberi kewenangan menyusun organisasi. Pasal 13 menempatkan pengangkatan anggota pada Presiden. Pasal 18 menempatkan keputusan Badan Pelaksana pada Kepala. PP 19/2026 tidak secara eksplisit menambah jabatan Wakil Kepala. [R1-R2]</w:t>
      </w:r>
    </w:p>
    <w:tbl>
      <w:tblPr>
        <w:tblW w:type="auto" w:w="0"/>
        <w:jc w:val="center"/>
        <w:tblLayout w:type="fixed"/>
        <w:tblLook w:firstColumn="1" w:firstRow="1" w:lastColumn="0" w:lastRow="0" w:noHBand="0" w:noVBand="1" w:val="04A0"/>
      </w:tblPr>
      <w:tblGrid>
        <w:gridCol w:w="2592"/>
        <w:gridCol w:w="4032"/>
        <w:gridCol w:w="3456"/>
      </w:tblGrid>
      <w:tr>
        <w:trPr>
          <w:tblHeader/>
          <w:cantSplit/>
        </w:trPr>
        <w:tc>
          <w:tcPr>
            <w:tcW w:type="dxa" w:w="259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20"/>
              </w:rPr>
              <w:t>Rancangan</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20"/>
              </w:rPr>
              <w:t>Instrumen yang perlu ditelaah</w:t>
            </w:r>
          </w:p>
        </w:tc>
        <w:tc>
          <w:tcPr>
            <w:tcW w:type="dxa" w:w="345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20"/>
              </w:rPr>
              <w:t>Batas kewenangan</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Unit Industri Strategis dengan pemimpin profesional</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Peraturan Kepala, piagam unit, anggaran dan pembidangan kerja; board manual dan aturan kepegawaian.</w:t>
            </w:r>
          </w:p>
        </w:tc>
        <w:tc>
          <w:tcPr>
            <w:tcW w:type="dxa" w:w="345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Pemimpin unit bukan anggota organ hanya karena menggunakan gelar senior.</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Anggota Badan Pelaksana bidang Industri Strategis</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Kesesuaian kebutuhan menurut Pasal 14; pengangkatan oleh Presiden; pembidangan dan instrumen kerja.</w:t>
            </w:r>
          </w:p>
        </w:tc>
        <w:tc>
          <w:tcPr>
            <w:tcW w:type="dxa" w:w="345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Dapat memimpin koordinasi. Status anggota tidak otomatis mengalihkan keputusan Kepala.</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Wakil Kepala sebagai jabatan formal</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Telaah harmonisasi Pasal 12 sampai 18 dan ketentuan UU BUMN yang terkait; perubahan PP bila jabatan atau kewenangannya mengubah pengaturan tersebut.</w:t>
            </w:r>
          </w:p>
        </w:tc>
        <w:tc>
          <w:tcPr>
            <w:tcW w:type="dxa" w:w="345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Keppres, Perpres atau peraturan internal tidak boleh meniadakan aturan yang lebih tinggi.</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Holding Industri Strategis baru</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Persetujuan Presiden dan pengaturan tujuan, AD, saham, modal serta perpindahan aset sesuai ketentuan.</w:t>
            </w:r>
          </w:p>
        </w:tc>
        <w:tc>
          <w:tcPr>
            <w:tcW w:type="dxa" w:w="345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Pendirian holding tidak otomatis memberi kewenangan pejabat untuk semua proyek.</w:t>
            </w:r>
          </w:p>
        </w:tc>
      </w:tr>
    </w:tbl>
    <w:p>
      <w:pPr>
        <w:spacing w:after="20"/>
      </w:pPr>
    </w:p>
    <w:p>
      <w:pPr>
        <w:pStyle w:val="Heading2"/>
      </w:pPr>
      <w:r>
        <w:t>Padanan jabatan yang disarankan</w:t>
      </w:r>
    </w:p>
    <w:p>
      <w:r>
        <w:rPr>
          <w:b w:val="0"/>
        </w:rPr>
        <w:t>Nama Indonesia yang diuji adalah “Wakil Kepala Badan Pelaksana Bidang Industri Strategis dan Pelaksanaan Proyek”. Padanan Inggris yang lebih jelas adalah “Deputy Head of the Executive Body for Strategic Industries and Project Delivery”. Dalam tahap awal, gunakan “Anggota Badan Pelaksana Bidang Industri Strategis” bila memang diangkat sebagai anggota, atau “Head of Strategic Industry and Project Delivery” untuk pemimpin unit profesional.</w:t>
      </w:r>
    </w:p>
    <w:p>
      <w:r>
        <w:rPr>
          <w:b w:val="0"/>
        </w:rPr>
        <w:t>Jika Deputy Chairman berarti Wakil Ketua Dewan Pengawas, posisi tersebut tidak disarankan merangkap pimpinan eksekusi. Jika hanya padanan dari jabatan eksekutif yang sama, hal itu bukan rangkap dua jabatan; nomenklatur tetap harus konsisten dengan instrumen pengangkatan dan tidak menimbulkan kesan memimpin pengawasan atas pekerjaan sendiri.</w:t>
      </w:r>
    </w:p>
    <w:p>
      <w:r>
        <w:br w:type="page"/>
      </w:r>
    </w:p>
    <w:p>
      <w:pPr>
        <w:pStyle w:val="Heading1"/>
      </w:pPr>
      <w:r>
        <w:t>8 Rancangan hubungan organisasi</w:t>
      </w:r>
    </w:p>
    <w:p>
      <w:r>
        <w:rPr>
          <w:b w:val="0"/>
        </w:rPr>
        <w:t>Arm yang diusulkan merupakan fungsi manajemen portofolio pada BPI. Hubungannya dengan arm yang telah ada bersifat koordinasi berdasarkan penugasan dan instrumen korporasi. Pengawasan, pengujian risiko dan audit mempunyai jalur yang terlindungi dari target percepatan proyek.</w:t>
      </w:r>
    </w:p>
    <w:p>
      <w:r>
        <w:drawing>
          <wp:inline xmlns:a="http://schemas.openxmlformats.org/drawingml/2006/main" xmlns:pic="http://schemas.openxmlformats.org/drawingml/2006/picture">
            <wp:extent cx="6400800" cy="3309450"/>
            <wp:docPr id="1" name="Picture 1"/>
            <wp:cNvGraphicFramePr>
              <a:graphicFrameLocks noChangeAspect="1"/>
            </wp:cNvGraphicFramePr>
            <a:graphic>
              <a:graphicData uri="http://schemas.openxmlformats.org/drawingml/2006/picture">
                <pic:pic>
                  <pic:nvPicPr>
                    <pic:cNvPr id="0" name="rancangan_organisasi.png"/>
                    <pic:cNvPicPr/>
                  </pic:nvPicPr>
                  <pic:blipFill>
                    <a:blip r:embed="rId11"/>
                    <a:stretch>
                      <a:fillRect/>
                    </a:stretch>
                  </pic:blipFill>
                  <pic:spPr>
                    <a:xfrm>
                      <a:off x="0" y="0"/>
                      <a:ext cx="6400800" cy="3309450"/>
                    </a:xfrm>
                    <a:prstGeom prst="rect"/>
                  </pic:spPr>
                </pic:pic>
              </a:graphicData>
            </a:graphic>
          </wp:inline>
        </w:drawing>
      </w:r>
    </w:p>
    <w:p>
      <w:pPr>
        <w:spacing w:before="100"/>
      </w:pPr>
      <w:r>
        <w:rPr>
          <w:b w:val="0"/>
          <w:color w:val="56606B"/>
          <w:sz w:val="19"/>
        </w:rPr>
        <w:t>Gambar merupakan rancangan hubungan kerja. Garis koordinasi tidak memindahkan kewenangan perseroan. Posisi kontrol ditampilkan sebagai kelompok agar diagram ringkas; Dewas, fungsi risiko dan audit bukan satu unit organisasi.</w:t>
      </w:r>
    </w:p>
    <w:p>
      <w:pPr>
        <w:pStyle w:val="Heading2"/>
      </w:pPr>
      <w:r>
        <w:t>Mandat pimpinan arm</w:t>
      </w:r>
    </w:p>
    <w:p>
      <w:r>
        <w:rPr>
          <w:b w:val="0"/>
        </w:rPr>
        <w:t>Pimpinan arm bertanggung jawab atas prioritas terpadu, penyelesaian ketergantungan, mutu paket keputusan, kapasitas tim dan pelaporan hasil. Ia dapat mengarahkan pekerjaan unitnya dan meminta review sesuai piagam. Keputusan modal, penjaminan, pengangkatan pengurus dan kontrak mengikuti organ yang sah. Pemberhentian proyek secara hukum juga diputuskan oleh pihak yang memiliki kewenangan.</w:t>
      </w:r>
    </w:p>
    <w:p>
      <w:r>
        <w:br w:type="page"/>
      </w:r>
    </w:p>
    <w:p>
      <w:pPr>
        <w:pStyle w:val="Heading1"/>
      </w:pPr>
      <w:r>
        <w:t>9 Pembagian pekerjaan sampai Managing Director</w:t>
      </w:r>
    </w:p>
    <w:p>
      <w:r>
        <w:rPr>
          <w:b w:val="0"/>
        </w:rPr>
        <w:t>Desain awal menggunakan sumber daya dan secondment dari fungsi yang tersedia. Fungsi MD berikut merupakan rancangan pekerjaan; belum merupakan jabatan yang telah disahkan atau usulan pengangkatan orang tertentu.</w:t>
      </w:r>
    </w:p>
    <w:tbl>
      <w:tblPr>
        <w:tblW w:type="auto" w:w="0"/>
        <w:jc w:val="center"/>
        <w:tblLayout w:type="fixed"/>
        <w:tblLook w:firstColumn="1" w:firstRow="1" w:lastColumn="0" w:lastRow="0" w:noHBand="0" w:noVBand="1" w:val="04A0"/>
      </w:tblPr>
      <w:tblGrid>
        <w:gridCol w:w="2304"/>
        <w:gridCol w:w="3960"/>
        <w:gridCol w:w="3816"/>
      </w:tblGrid>
      <w:tr>
        <w:trPr>
          <w:tblHeader/>
          <w:cantSplit/>
        </w:trPr>
        <w:tc>
          <w:tcPr>
            <w:tcW w:type="dxa" w:w="230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20"/>
              </w:rPr>
              <w:t>Fungsi pada arm</w:t>
            </w:r>
          </w:p>
        </w:tc>
        <w:tc>
          <w:tcPr>
            <w:tcW w:type="dxa" w:w="396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20"/>
              </w:rPr>
              <w:t>Tanggung jawab utama</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20"/>
              </w:rPr>
              <w:t>Hubungan dengan fungsi tersedia</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MD Portofolio dan Project Delivery</w:t>
            </w:r>
          </w:p>
        </w:tc>
        <w:tc>
          <w:tcPr>
            <w:tcW w:type="dxa" w:w="396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Register 40 proyek, jadwal terpadu, hambatan, mutu data, laporan keputusan dan manfaat.</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Office of The Board, Digital Solutions dan Finance membantu sistem serta jejak keputusan.</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MD Pengembangan Industri Strategis</w:t>
            </w:r>
          </w:p>
        </w:tc>
        <w:tc>
          <w:tcPr>
            <w:tcW w:type="dxa" w:w="396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Arsitektur rantai nilai, pasar, offtake, mitra, substitusi impor, kapasitas pemasok dan manfaat nasional.</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Integrasikan Industrialization, Chief Economist, Stakeholders dan Global Relations.</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MD Engineering dan Pelaksanaan</w:t>
            </w:r>
          </w:p>
        </w:tc>
        <w:tc>
          <w:tcPr>
            <w:tcW w:type="dxa" w:w="396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Kesiapan studi, engineering, strategi kontrak, constructability, biaya, commissioning dan evaluasi teknis.</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Gunakan Technology Advancement serta Strategic Technology Initiatives; proyek tetap memiliki engineering lead.</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Pemimpin klaster industri</w:t>
            </w:r>
          </w:p>
        </w:tc>
        <w:tc>
          <w:tcPr>
            <w:tcW w:type="dxa" w:w="396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Menyelesaikan ketergantungan antar proyek dalam klaster; menyiapkan peta bahan baku, pasar, teknologi dan fasilitas bersama.</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Tim matriks dari BUMN, holding dan fungsi BPI berdasarkan penugasan.</w:t>
            </w:r>
          </w:p>
        </w:tc>
      </w:tr>
    </w:tbl>
    <w:p>
      <w:pPr>
        <w:spacing w:after="20"/>
      </w:pPr>
    </w:p>
    <w:p>
      <w:pPr>
        <w:pStyle w:val="Heading2"/>
      </w:pPr>
      <w:r>
        <w:t>Pembagian klaster awal</w:t>
      </w:r>
    </w:p>
    <w:p>
      <w:r>
        <w:rPr>
          <w:b w:val="0"/>
        </w:rPr>
        <w:t>Empat klaster awal dapat mengikuti bahan portofolio: mineral dan material; energi serta infrastruktur industri; pertahanan serta maritim; dan manufaktur strategis lainnya. “Lain lain” perlu dipecah setelah register lengkap tersedia karena pangan, digital, kesehatan atau proyek lain dapat memerlukan keahlian berbeda. Hubungan galangan kapal sipil dengan pertahanan ditata melalui paket kerja yang berbeda.</w:t>
      </w:r>
    </w:p>
    <w:p>
      <w:pPr>
        <w:pStyle w:val="Heading2"/>
      </w:pPr>
      <w:r>
        <w:t>Kapasitas yang harus dibuktikan</w:t>
      </w:r>
    </w:p>
    <w:p>
      <w:r>
        <w:rPr>
          <w:b w:val="0"/>
        </w:rPr>
        <w:t>Jumlah MD, project director dan tenaga ahli mengikuti jumlah proyek aktif serta tahapannya. Jangan menugaskan satu pimpinan mengelola langsung 40 proyek sebagai pelaksana harian. Uji kapasitas kontrak, rekayasa, model finansial, legal dan commissioning. Rencana pegawai awal memprioritaskan pengisian kesenjangan yang nyata; kajian ini tidak mengasumsikan kebutuhan pegawai atau biaya overhead sebelum inventarisasi.</w:t>
      </w:r>
    </w:p>
    <w:p>
      <w:pPr>
        <w:spacing w:before="100"/>
      </w:pPr>
      <w:r>
        <w:rPr>
          <w:b w:val="0"/>
          <w:color w:val="56606B"/>
          <w:sz w:val="19"/>
        </w:rPr>
        <w:t>Nama fungsi tersedia bersumber pada struktur BPI yang dibaca 2 Oktober 2026. Pelaporan aktual, deskripsi jabatan dan status secondment perlu dicocokkan dengan dokumen internal. [R4-R7]</w:t>
      </w:r>
    </w:p>
    <w:p>
      <w:r>
        <w:br w:type="page"/>
      </w:r>
    </w:p>
    <w:p>
      <w:pPr>
        <w:pStyle w:val="Heading1"/>
      </w:pPr>
      <w:r>
        <w:t>10 Hubungan kerja dengan DAM DIM DDMF dan fungsi kontrol</w:t>
      </w:r>
    </w:p>
    <w:tbl>
      <w:tblPr>
        <w:tblW w:type="auto" w:w="0"/>
        <w:jc w:val="center"/>
        <w:tblLayout w:type="fixed"/>
        <w:tblLook w:firstColumn="1" w:firstRow="1" w:lastColumn="0" w:lastRow="0" w:noHBand="0" w:noVBand="1" w:val="04A0"/>
      </w:tblPr>
      <w:tblGrid>
        <w:gridCol w:w="1656"/>
        <w:gridCol w:w="4248"/>
        <w:gridCol w:w="4176"/>
      </w:tblGrid>
      <w:tr>
        <w:trPr>
          <w:tblHeader/>
          <w:cantSplit/>
        </w:trPr>
        <w:tc>
          <w:tcPr>
            <w:tcW w:type="dxa" w:w="165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20"/>
              </w:rPr>
              <w:t>Fungsi</w:t>
            </w:r>
          </w:p>
        </w:tc>
        <w:tc>
          <w:tcPr>
            <w:tcW w:type="dxa" w:w="42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20"/>
              </w:rPr>
              <w:t>Hasil yang tetap menjadi tanggung jawabnya</w:t>
            </w:r>
          </w:p>
        </w:tc>
        <w:tc>
          <w:tcPr>
            <w:tcW w:type="dxa" w:w="417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20"/>
              </w:rPr>
              <w:t>Hubungan dengan arm Industri Strategis</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COO dan DAM</w:t>
            </w:r>
          </w:p>
        </w:tc>
        <w:tc>
          <w:tcPr>
            <w:tcW w:type="dxa" w:w="42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Pengelolaan dan transformasi operasi portofolio serta pekerjaan korporasi sesuai mandat.</w:t>
            </w:r>
          </w:p>
        </w:tc>
        <w:tc>
          <w:tcPr>
            <w:tcW w:type="dxa" w:w="417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Menugaskan sponsor dan kemampuan operasi BUMN; menyepakati batas aset dan kesiapan operasi.</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CIO dan DIM</w:t>
            </w:r>
          </w:p>
        </w:tc>
        <w:tc>
          <w:tcPr>
            <w:tcW w:type="dxa" w:w="42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Pengujian investasi komersial, alokasi modal dan kemitraan investasi sesuai otorisasi.</w:t>
            </w:r>
          </w:p>
        </w:tc>
        <w:tc>
          <w:tcPr>
            <w:tcW w:type="dxa" w:w="417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Menelaah financial case serta struktur dana; hasilnya masuk paket keputusan yang sama.</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CTO</w:t>
            </w:r>
          </w:p>
        </w:tc>
        <w:tc>
          <w:tcPr>
            <w:tcW w:type="dxa" w:w="42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Arsitektur teknologi, kesiapan skala, IPR dan strategi kemampuan industri.</w:t>
            </w:r>
          </w:p>
        </w:tc>
        <w:tc>
          <w:tcPr>
            <w:tcW w:type="dxa" w:w="417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Menyediakan review teknis independen dari klaim vendor serta masukan pemilihan teknologi.</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DDMF</w:t>
            </w:r>
          </w:p>
        </w:tc>
        <w:tc>
          <w:tcPr>
            <w:tcW w:type="dxa" w:w="42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Persiapan, struktur investasi, mobilisasi modal dan pelaksanaan pembangunan sesuai mandatnya. [R7]</w:t>
            </w:r>
          </w:p>
        </w:tc>
        <w:tc>
          <w:tcPr>
            <w:tcW w:type="dxa" w:w="417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Arm BPI mengelola ketergantungan seluruh portofolio; DDMF menjalankan proyek yang ditugaskan kepadanya.</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Finance</w:t>
            </w:r>
          </w:p>
        </w:tc>
        <w:tc>
          <w:tcPr>
            <w:tcW w:type="dxa" w:w="42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Likuiditas, biaya modal, akuntansi, exposure dan konsolidasi keuangan.</w:t>
            </w:r>
          </w:p>
        </w:tc>
        <w:tc>
          <w:tcPr>
            <w:tcW w:type="dxa" w:w="417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Menguji sumber modal dan pembiayaan; mendukung pemantauan biaya proyek.</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Risk dan Legal</w:t>
            </w:r>
          </w:p>
        </w:tc>
        <w:tc>
          <w:tcPr>
            <w:tcW w:type="dxa" w:w="42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Opini risiko, kepatuhan dan kewenangan dengan kebebasan menyampaikan keberatan.</w:t>
            </w:r>
          </w:p>
        </w:tc>
        <w:tc>
          <w:tcPr>
            <w:tcW w:type="dxa" w:w="417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Tidak melapor secara substantif kepada promotor proyek; pendapat masuk risalah keputusan.</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Internal Audit</w:t>
            </w:r>
          </w:p>
        </w:tc>
        <w:tc>
          <w:tcPr>
            <w:tcW w:type="dxa" w:w="42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Assurance atas kontrol serta tindak lanjut temuan.</w:t>
            </w:r>
          </w:p>
        </w:tc>
        <w:tc>
          <w:tcPr>
            <w:tcW w:type="dxa" w:w="417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Mengakses informasi dan melapor melalui jalur audit yang sah; tidak menjadi pemberi persetujuan investasi.</w:t>
            </w:r>
          </w:p>
        </w:tc>
      </w:tr>
    </w:tbl>
    <w:p>
      <w:pPr>
        <w:spacing w:after="20"/>
      </w:pPr>
    </w:p>
    <w:p>
      <w:r>
        <w:rPr>
          <w:b w:val="0"/>
        </w:rPr>
        <w:t>DDMF sudah mempublikasikan fungsi project delivery. Karena itu, tambahan arm harus dibatasi pada integrasi lintas portofolio serta masalah yang tidak dapat diselesaikan dalam satu arm. Jika penelaahan register menunjukkan semua 40 proyek dapat ditangani DDMF secara efektif, penguatan DDMF dan mandat koordinasi CTO dapat mencukupi.</w:t>
      </w:r>
    </w:p>
    <w:p>
      <w:r>
        <w:rPr>
          <w:b w:val="0"/>
        </w:rPr>
        <w:t>Gunakan satu paket informasi untuk berbagai review dan satu keputusan untuk setiap objek pada entitas yang berwenang. Forum koordinasi tidak ditambahkan sebagai lapisan persetujuan universal. Perlakukan kapasitas rangkap COO dan CEO DAM, CIO dan CEO DIM, serta CTO dan CEO DDMF melalui pemisahan dokumen keputusan dan penanganan konflik ketika timbul kepentingan yang berbenturan. [R4-R7]</w:t>
      </w:r>
    </w:p>
    <w:p>
      <w:r>
        <w:br w:type="page"/>
      </w:r>
    </w:p>
    <w:p>
      <w:pPr>
        <w:pStyle w:val="Heading1"/>
      </w:pPr>
      <w:r>
        <w:t>11 Alur pelaksanaan dan keputusan proyek</w:t>
      </w:r>
    </w:p>
    <w:p>
      <w:r>
        <w:rPr>
          <w:b w:val="0"/>
        </w:rPr>
        <w:t>Proses berikut merupakan usulan. Langkah koordinasi dapat berjalan paralel; keputusan investasi menunggu bukti wajib serta persetujuan yang relevan. “Gate” berarti keputusan untuk melanjutkan, memperbaiki, menunda atau menghentikan tahap pekerjaan, sesuai kewenangan.</w:t>
      </w:r>
    </w:p>
    <w:tbl>
      <w:tblPr>
        <w:tblW w:type="auto" w:w="0"/>
        <w:jc w:val="center"/>
        <w:tblLayout w:type="fixed"/>
        <w:tblLook w:firstColumn="1" w:firstRow="1" w:lastColumn="0" w:lastRow="0" w:noHBand="0" w:noVBand="1" w:val="04A0"/>
      </w:tblPr>
      <w:tblGrid>
        <w:gridCol w:w="2160"/>
        <w:gridCol w:w="4896"/>
        <w:gridCol w:w="3024"/>
      </w:tblGrid>
      <w:tr>
        <w:trPr>
          <w:tblHeader/>
          <w:cantSplit/>
        </w:trPr>
        <w:tc>
          <w:tcPr>
            <w:tcW w:type="dxa" w:w="216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20"/>
              </w:rPr>
              <w:t>Tahap</w:t>
            </w:r>
          </w:p>
        </w:tc>
        <w:tc>
          <w:tcPr>
            <w:tcW w:type="dxa" w:w="489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20"/>
              </w:rPr>
              <w:t>Bukti untuk melanjutkan</w:t>
            </w:r>
          </w:p>
        </w:tc>
        <w:tc>
          <w:tcPr>
            <w:tcW w:type="dxa" w:w="302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20"/>
              </w:rPr>
              <w:t>Pemilik keluaran</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G0 Validasi mandat</w:t>
            </w:r>
          </w:p>
        </w:tc>
        <w:tc>
          <w:tcPr>
            <w:tcW w:type="dxa" w:w="489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Identitas proyek, dasar penugasan, sponsor, batas lingkup, data biaya dan jalur keputusan.</w:t>
            </w:r>
          </w:p>
        </w:tc>
        <w:tc>
          <w:tcPr>
            <w:tcW w:type="dxa" w:w="302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MD Portofolio; sponsor mengonfirmasi data.</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G1 Prioritas dan pilihan</w:t>
            </w:r>
          </w:p>
        </w:tc>
        <w:tc>
          <w:tcPr>
            <w:tcW w:type="dxa" w:w="489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Financial case dan national impact case; alternatif termasuk tidak membangun; hubungan antar proyek.</w:t>
            </w:r>
          </w:p>
        </w:tc>
        <w:tc>
          <w:tcPr>
            <w:tcW w:type="dxa" w:w="302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MD Pengembangan Industri bersama sponsor.</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G2 Kesiapan investasi</w:t>
            </w:r>
          </w:p>
        </w:tc>
        <w:tc>
          <w:tcPr>
            <w:tcW w:type="dxa" w:w="489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Studi, teknis, lahan, perizinan, IPR, lingkungan sosial, pasar, offtake, risiko, biaya dan sumber modal.</w:t>
            </w:r>
          </w:p>
        </w:tc>
        <w:tc>
          <w:tcPr>
            <w:tcW w:type="dxa" w:w="302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Sponsor proyek; fungsi teknis, risiko, legal dan investor menelaah.</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G3 Keputusan modal</w:t>
            </w:r>
          </w:p>
        </w:tc>
        <w:tc>
          <w:tcPr>
            <w:tcW w:type="dxa" w:w="489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Rekomendasi komite yang relevan; pendapat berbeda; konflik; reserved approvals; syarat investasi dan kontrak.</w:t>
            </w:r>
          </w:p>
        </w:tc>
        <w:tc>
          <w:tcPr>
            <w:tcW w:type="dxa" w:w="302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Kepala untuk keputusan Badan; organ perusahaan untuk keputusan perseroan.</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G4 Financial close dan konstruksi</w:t>
            </w:r>
          </w:p>
        </w:tc>
        <w:tc>
          <w:tcPr>
            <w:tcW w:type="dxa" w:w="489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Pendanaan mengikat, conditions precedent, kontrak efektif, izin, jadwal dasar dan pengendalian perubahan.</w:t>
            </w:r>
          </w:p>
        </w:tc>
        <w:tc>
          <w:tcPr>
            <w:tcW w:type="dxa" w:w="302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Organ perusahaan pelaksana serta project director.</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G5 Commissioning dan operasi</w:t>
            </w:r>
          </w:p>
        </w:tc>
        <w:tc>
          <w:tcPr>
            <w:tcW w:type="dxa" w:w="489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Uji kinerja, keselamatan, penerimaan aset, operator, kesiapan rantai pasok serta sertifikasi yang diperlukan.</w:t>
            </w:r>
          </w:p>
        </w:tc>
        <w:tc>
          <w:tcPr>
            <w:tcW w:type="dxa" w:w="302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Perusahaan pelaksana dengan tim proyek dan operasi.</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G6 Evaluasi hasil</w:t>
            </w:r>
          </w:p>
        </w:tc>
        <w:tc>
          <w:tcPr>
            <w:tcW w:type="dxa" w:w="489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Biaya akhir, manfaat aktual, kapasitas, teknologi, emisi dan tindakan perbaikan atau exit.</w:t>
            </w:r>
          </w:p>
        </w:tc>
        <w:tc>
          <w:tcPr>
            <w:tcW w:type="dxa" w:w="302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Sponsor; MD Portofolio menyatukan hasil; audit memberi assurance.</w:t>
            </w:r>
          </w:p>
        </w:tc>
      </w:tr>
    </w:tbl>
    <w:p>
      <w:pPr>
        <w:spacing w:after="20"/>
      </w:pPr>
    </w:p>
    <w:p>
      <w:pPr>
        <w:pStyle w:val="Heading2"/>
      </w:pPr>
      <w:r>
        <w:t>Penyelesaian hambatan</w:t>
      </w:r>
    </w:p>
    <w:p>
      <w:r>
        <w:rPr>
          <w:b w:val="0"/>
        </w:rPr>
        <w:t>MD Portofolio mencatat masalah beserta penyelesai yang berwenang. Target internal yang diusulkan adalah triase dalam 2 hari kerja, rencana penanganan dalam 5 hari, dan review lengkap dalam 15 hari setelah dokumen dinyatakan lengkap. Masalah lintas arm yang tidak selesai dalam 10 hari diekskalasi kepada Kepala; masalah kebijakan eksternal dibawa melalui forum pemerintah yang sah. Target ini bukan tenggat hukum atau janji perizinan.</w:t>
      </w:r>
    </w:p>
    <w:p>
      <w:r>
        <w:rPr>
          <w:b w:val="0"/>
        </w:rPr>
        <w:t>Keterlambatan tidak menimbulkan persetujuan otomatis. Laporan memisahkan waktu penelaahan dari waktu menunggu sponsor, vendor, regulator atau sumber dana. Keputusan eskalasi mencatat hasil, alasan dan pihak yang harus menindaklanjuti.</w:t>
      </w:r>
    </w:p>
    <w:p>
      <w:r>
        <w:br w:type="page"/>
      </w:r>
    </w:p>
    <w:p>
      <w:pPr>
        <w:pStyle w:val="Heading1"/>
      </w:pPr>
      <w:r>
        <w:t>12 Peta kewenangan untuk keputusan penting</w:t>
      </w:r>
    </w:p>
    <w:tbl>
      <w:tblPr>
        <w:tblW w:type="auto" w:w="0"/>
        <w:jc w:val="center"/>
        <w:tblLayout w:type="fixed"/>
        <w:tblLook w:firstColumn="1" w:firstRow="1" w:lastColumn="0" w:lastRow="0" w:noHBand="0" w:noVBand="1" w:val="04A0"/>
      </w:tblPr>
      <w:tblGrid>
        <w:gridCol w:w="2520"/>
        <w:gridCol w:w="4392"/>
        <w:gridCol w:w="3168"/>
      </w:tblGrid>
      <w:tr>
        <w:trPr>
          <w:tblHeader/>
          <w:cantSplit/>
        </w:trPr>
        <w:tc>
          <w:tcPr>
            <w:tcW w:type="dxa" w:w="252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20"/>
              </w:rPr>
              <w:t>Objek keputusan</w:t>
            </w:r>
          </w:p>
        </w:tc>
        <w:tc>
          <w:tcPr>
            <w:tcW w:type="dxa" w:w="439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20"/>
              </w:rPr>
              <w:t>Pihak yang mengambil keputusan</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20"/>
              </w:rPr>
              <w:t>Peran arm yang diusulkan</w:t>
            </w:r>
          </w:p>
        </w:tc>
      </w:tr>
      <w:tr>
        <w:trPr>
          <w:cantSplit/>
        </w:trPr>
        <w:tc>
          <w:tcPr>
            <w:tcW w:type="dxa" w:w="252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Penyiapan prioritas portofolio</w:t>
            </w:r>
          </w:p>
        </w:tc>
        <w:tc>
          <w:tcPr>
            <w:tcW w:type="dxa" w:w="439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Pimpinan Industri Strategis bertanggung jawab atas rancangan; penetapan Badan pada Kepala sesuai otorisasi.</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Mengintegrasikan usulan dan menunjukkan konflik sumber daya.</w:t>
            </w:r>
          </w:p>
        </w:tc>
      </w:tr>
      <w:tr>
        <w:trPr>
          <w:cantSplit/>
        </w:trPr>
        <w:tc>
          <w:tcPr>
            <w:tcW w:type="dxa" w:w="252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Rencana Badan serta perubahan</w:t>
            </w:r>
          </w:p>
        </w:tc>
        <w:tc>
          <w:tcPr>
            <w:tcW w:type="dxa" w:w="439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Kepala mengusulkan; persetujuan Dewas dan Presiden mengikuti ketentuan yang berlaku. [R2]</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Menyiapkan proyek dan anggaran dalam rencana; tidak mengganti persetujuan.</w:t>
            </w:r>
          </w:p>
        </w:tc>
      </w:tr>
      <w:tr>
        <w:trPr>
          <w:cantSplit/>
        </w:trPr>
        <w:tc>
          <w:tcPr>
            <w:tcW w:type="dxa" w:w="252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Investasi oleh perusahaan</w:t>
            </w:r>
          </w:p>
        </w:tc>
        <w:tc>
          <w:tcPr>
            <w:tcW w:type="dxa" w:w="439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Direksi, RUPS atau organ lain sesuai AD, batas kewenangan dan regulasi entitas.</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Menguji kesiapan dan ketergantungan; bukan persetujuan seluruh investasi grup.</w:t>
            </w:r>
          </w:p>
        </w:tc>
      </w:tr>
      <w:tr>
        <w:trPr>
          <w:cantSplit/>
        </w:trPr>
        <w:tc>
          <w:tcPr>
            <w:tcW w:type="dxa" w:w="252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Pinjaman atau agunan Badan</w:t>
            </w:r>
          </w:p>
        </w:tc>
        <w:tc>
          <w:tcPr>
            <w:tcW w:type="dxa" w:w="439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Persetujuan Presiden serta kewenangan Dewas mengikuti PP; pelaksanaan oleh Badan setelah lengkap. [R2]</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Menyiapkan kebutuhan dan alternatif; Finance dan Legal menetapkan struktur yang diuji.</w:t>
            </w:r>
          </w:p>
        </w:tc>
      </w:tr>
      <w:tr>
        <w:trPr>
          <w:cantSplit/>
        </w:trPr>
        <w:tc>
          <w:tcPr>
            <w:tcW w:type="dxa" w:w="252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Penjaminan Badan kepada holding investasi</w:t>
            </w:r>
          </w:p>
        </w:tc>
        <w:tc>
          <w:tcPr>
            <w:tcW w:type="dxa" w:w="439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Persetujuan Dewas dan ketentuan terkait persetujuan Presiden diperiksa sesuai PP. [R2]</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Tidak menerbitkan komitmen jaminan atas nama Badan.</w:t>
            </w:r>
          </w:p>
        </w:tc>
      </w:tr>
      <w:tr>
        <w:trPr>
          <w:cantSplit/>
        </w:trPr>
        <w:tc>
          <w:tcPr>
            <w:tcW w:type="dxa" w:w="252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Kontrak konstruksi dan perubahan</w:t>
            </w:r>
          </w:p>
        </w:tc>
        <w:tc>
          <w:tcPr>
            <w:tcW w:type="dxa" w:w="439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Organ atau pejabat perseroan pelaksana yang memiliki kewenangan sah.</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MD Engineering memberi kajian; project director mengendalikan pelaksanaan.</w:t>
            </w:r>
          </w:p>
        </w:tc>
      </w:tr>
      <w:tr>
        <w:trPr>
          <w:cantSplit/>
        </w:trPr>
        <w:tc>
          <w:tcPr>
            <w:tcW w:type="dxa" w:w="252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Hak atas IPR serta standar</w:t>
            </w:r>
          </w:p>
        </w:tc>
        <w:tc>
          <w:tcPr>
            <w:tcW w:type="dxa" w:w="439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Perjanjian dan organ perusahaan menentukan hak IPR; otoritas negara menetapkan standar wajib.</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Menegosiasikan strategi IPR dan persyaratan teknis; tidak menetapkan standar nasional sendiri.</w:t>
            </w:r>
          </w:p>
        </w:tc>
      </w:tr>
    </w:tbl>
    <w:p>
      <w:pPr>
        <w:spacing w:after="20"/>
      </w:pPr>
    </w:p>
    <w:p>
      <w:r>
        <w:rPr>
          <w:b w:val="0"/>
        </w:rPr>
        <w:t>Contoh pemisahan akuntabilitas: pimpinan arm menjadi A untuk mutu paket keputusan portofolio; Kepala menjadi A pada keputusan Badan; direksi perusahaan menjadi A pada tindakan korporasi menurut AD; project director menjadi A pada hasil pelaksanaan yang ditugaskan. Persetujuan Presiden atau Dewas dicatat sebagai aktivitas tersendiri sehingga tidak ada dua A pada satu baris.</w:t>
      </w:r>
    </w:p>
    <w:p>
      <w:pPr>
        <w:spacing w:before="100"/>
      </w:pPr>
      <w:r>
        <w:rPr>
          <w:b w:val="0"/>
          <w:color w:val="56606B"/>
          <w:sz w:val="19"/>
        </w:rPr>
        <w:t>Pasal 32A mengatur awal penyampaian rencana menurut Pasal 21A dan 21B untuk tahun buku 2028. Hal ini tidak menunda semua kewajiban tata kelola sampai 2028. Kewenangan formal selalu diperiksa pada objek dan entitas aktual. [R1-R2]</w:t>
      </w:r>
    </w:p>
    <w:p>
      <w:r>
        <w:br w:type="page"/>
      </w:r>
    </w:p>
    <w:p>
      <w:pPr>
        <w:pStyle w:val="Heading1"/>
      </w:pPr>
      <w:r>
        <w:t>13 RASCI untuk arm Industri Strategis</w:t>
      </w:r>
    </w:p>
    <w:p>
      <w:r>
        <w:rPr>
          <w:b w:val="0"/>
        </w:rPr>
        <w:t>R adalah pelaksana; A satu pemilik hasil akhir aktivitas; S pendukung; C pihak yang dimintai pendapat; dan I penerima informasi. RASCI berikut merupakan usulan pekerjaan, bukan pemberian kewenangan baru. A atas keluaran kajian dibedakan dari A pada keputusan hukum.</w:t>
      </w:r>
    </w:p>
    <w:tbl>
      <w:tblPr>
        <w:tblW w:type="auto" w:w="0"/>
        <w:jc w:val="center"/>
        <w:tblLayout w:type="fixed"/>
        <w:tblLook w:firstColumn="1" w:firstRow="1" w:lastColumn="0" w:lastRow="0" w:noHBand="0" w:noVBand="1" w:val="04A0"/>
      </w:tblPr>
      <w:tblGrid>
        <w:gridCol w:w="1296"/>
        <w:gridCol w:w="8784"/>
      </w:tblGrid>
      <w:tr>
        <w:trPr>
          <w:tblHeader/>
          <w:cantSplit/>
        </w:trPr>
        <w:tc>
          <w:tcPr>
            <w:tcW w:type="dxa" w:w="129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20"/>
              </w:rPr>
              <w:t>Kode</w:t>
            </w:r>
          </w:p>
        </w:tc>
        <w:tc>
          <w:tcPr>
            <w:tcW w:type="dxa" w:w="878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20"/>
              </w:rPr>
              <w:t>Peran</w:t>
            </w:r>
          </w:p>
        </w:tc>
      </w:tr>
      <w:tr>
        <w:trPr>
          <w:cantSplit/>
        </w:trPr>
        <w:tc>
          <w:tcPr>
            <w:tcW w:type="dxa" w:w="129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KP</w:t>
            </w:r>
          </w:p>
        </w:tc>
        <w:tc>
          <w:tcPr>
            <w:tcW w:type="dxa" w:w="878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Kepala Badan Pelaksana</w:t>
            </w:r>
          </w:p>
        </w:tc>
      </w:tr>
      <w:tr>
        <w:trPr>
          <w:cantSplit/>
        </w:trPr>
        <w:tc>
          <w:tcPr>
            <w:tcW w:type="dxa" w:w="129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SI</w:t>
            </w:r>
          </w:p>
        </w:tc>
        <w:tc>
          <w:tcPr>
            <w:tcW w:type="dxa" w:w="878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Pimpinan Industri Strategis pada BPI</w:t>
            </w:r>
          </w:p>
        </w:tc>
      </w:tr>
      <w:tr>
        <w:trPr>
          <w:cantSplit/>
        </w:trPr>
        <w:tc>
          <w:tcPr>
            <w:tcW w:type="dxa" w:w="129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PD</w:t>
            </w:r>
          </w:p>
        </w:tc>
        <w:tc>
          <w:tcPr>
            <w:tcW w:type="dxa" w:w="878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MD Portofolio dan Project Delivery yang diusulkan</w:t>
            </w:r>
          </w:p>
        </w:tc>
      </w:tr>
      <w:tr>
        <w:trPr>
          <w:cantSplit/>
        </w:trPr>
        <w:tc>
          <w:tcPr>
            <w:tcW w:type="dxa" w:w="129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ID</w:t>
            </w:r>
          </w:p>
        </w:tc>
        <w:tc>
          <w:tcPr>
            <w:tcW w:type="dxa" w:w="878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MD Pengembangan Industri Strategis yang diusulkan</w:t>
            </w:r>
          </w:p>
        </w:tc>
      </w:tr>
      <w:tr>
        <w:trPr>
          <w:cantSplit/>
        </w:trPr>
        <w:tc>
          <w:tcPr>
            <w:tcW w:type="dxa" w:w="129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EN</w:t>
            </w:r>
          </w:p>
        </w:tc>
        <w:tc>
          <w:tcPr>
            <w:tcW w:type="dxa" w:w="878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MD Engineering dan Pelaksanaan yang diusulkan</w:t>
            </w:r>
          </w:p>
        </w:tc>
      </w:tr>
      <w:tr>
        <w:trPr>
          <w:cantSplit/>
        </w:trPr>
        <w:tc>
          <w:tcPr>
            <w:tcW w:type="dxa" w:w="129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SP</w:t>
            </w:r>
          </w:p>
        </w:tc>
        <w:tc>
          <w:tcPr>
            <w:tcW w:type="dxa" w:w="878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Sponsor korporasi atau perusahaan proyek yang ditugaskan</w:t>
            </w:r>
          </w:p>
        </w:tc>
      </w:tr>
      <w:tr>
        <w:trPr>
          <w:cantSplit/>
        </w:trPr>
        <w:tc>
          <w:tcPr>
            <w:tcW w:type="dxa" w:w="129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PJ</w:t>
            </w:r>
          </w:p>
        </w:tc>
        <w:tc>
          <w:tcPr>
            <w:tcW w:type="dxa" w:w="878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Project director dengan penugasan pada perusahaan pelaksana</w:t>
            </w:r>
          </w:p>
        </w:tc>
      </w:tr>
      <w:tr>
        <w:trPr>
          <w:cantSplit/>
        </w:trPr>
        <w:tc>
          <w:tcPr>
            <w:tcW w:type="dxa" w:w="129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CO</w:t>
            </w:r>
          </w:p>
        </w:tc>
        <w:tc>
          <w:tcPr>
            <w:tcW w:type="dxa" w:w="878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COO atau fungsi DAM yang ditugaskan</w:t>
            </w:r>
          </w:p>
        </w:tc>
      </w:tr>
      <w:tr>
        <w:trPr>
          <w:cantSplit/>
        </w:trPr>
        <w:tc>
          <w:tcPr>
            <w:tcW w:type="dxa" w:w="129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CI</w:t>
            </w:r>
          </w:p>
        </w:tc>
        <w:tc>
          <w:tcPr>
            <w:tcW w:type="dxa" w:w="878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CIO atau fungsi DIM yang ditugaskan</w:t>
            </w:r>
          </w:p>
        </w:tc>
      </w:tr>
      <w:tr>
        <w:trPr>
          <w:cantSplit/>
        </w:trPr>
        <w:tc>
          <w:tcPr>
            <w:tcW w:type="dxa" w:w="129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CT</w:t>
            </w:r>
          </w:p>
        </w:tc>
        <w:tc>
          <w:tcPr>
            <w:tcW w:type="dxa" w:w="878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CTO atau fungsi teknologi yang ditugaskan</w:t>
            </w:r>
          </w:p>
        </w:tc>
      </w:tr>
      <w:tr>
        <w:trPr>
          <w:cantSplit/>
        </w:trPr>
        <w:tc>
          <w:tcPr>
            <w:tcW w:type="dxa" w:w="129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DD</w:t>
            </w:r>
          </w:p>
        </w:tc>
        <w:tc>
          <w:tcPr>
            <w:tcW w:type="dxa" w:w="878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DDMF atau MD Development Investment yang ditugaskan</w:t>
            </w:r>
          </w:p>
        </w:tc>
      </w:tr>
      <w:tr>
        <w:trPr>
          <w:cantSplit/>
        </w:trPr>
        <w:tc>
          <w:tcPr>
            <w:tcW w:type="dxa" w:w="129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RS</w:t>
            </w:r>
          </w:p>
        </w:tc>
        <w:tc>
          <w:tcPr>
            <w:tcW w:type="dxa" w:w="878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Fungsi risiko independen</w:t>
            </w:r>
          </w:p>
        </w:tc>
      </w:tr>
      <w:tr>
        <w:trPr>
          <w:cantSplit/>
        </w:trPr>
        <w:tc>
          <w:tcPr>
            <w:tcW w:type="dxa" w:w="129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LC</w:t>
            </w:r>
          </w:p>
        </w:tc>
        <w:tc>
          <w:tcPr>
            <w:tcW w:type="dxa" w:w="878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Fungsi Legal dan Compliance</w:t>
            </w:r>
          </w:p>
        </w:tc>
      </w:tr>
      <w:tr>
        <w:trPr>
          <w:cantSplit/>
        </w:trPr>
        <w:tc>
          <w:tcPr>
            <w:tcW w:type="dxa" w:w="129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FI</w:t>
            </w:r>
          </w:p>
        </w:tc>
        <w:tc>
          <w:tcPr>
            <w:tcW w:type="dxa" w:w="878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Fungsi Finance</w:t>
            </w:r>
          </w:p>
        </w:tc>
      </w:tr>
      <w:tr>
        <w:trPr>
          <w:cantSplit/>
        </w:trPr>
        <w:tc>
          <w:tcPr>
            <w:tcW w:type="dxa" w:w="129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IA</w:t>
            </w:r>
          </w:p>
        </w:tc>
        <w:tc>
          <w:tcPr>
            <w:tcW w:type="dxa" w:w="878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Internal Audit</w:t>
            </w:r>
          </w:p>
        </w:tc>
      </w:tr>
      <w:tr>
        <w:trPr>
          <w:cantSplit/>
        </w:trPr>
        <w:tc>
          <w:tcPr>
            <w:tcW w:type="dxa" w:w="129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DW dan PR</w:t>
            </w:r>
          </w:p>
        </w:tc>
        <w:tc>
          <w:tcPr>
            <w:tcW w:type="dxa" w:w="878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Dewan Pengawas dan Presiden</w:t>
            </w:r>
          </w:p>
        </w:tc>
      </w:tr>
      <w:tr>
        <w:trPr>
          <w:cantSplit/>
        </w:trPr>
        <w:tc>
          <w:tcPr>
            <w:tcW w:type="dxa" w:w="129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OG</w:t>
            </w:r>
          </w:p>
        </w:tc>
        <w:tc>
          <w:tcPr>
            <w:tcW w:type="dxa" w:w="878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Organ perusahaan yang sah untuk objek keputusan</w:t>
            </w:r>
          </w:p>
        </w:tc>
      </w:tr>
    </w:tbl>
    <w:p>
      <w:pPr>
        <w:spacing w:after="20"/>
      </w:pPr>
    </w:p>
    <w:p>
      <w:r>
        <w:rPr>
          <w:b w:val="0"/>
        </w:rPr>
        <w:t>Satu kode tidak berarti satu orang memegang semua kapasitas. Jika pegawai BPI membantu perseroan, penugasan atau perjanjian layanan harus sah. Fungsi risiko masing-masing holding tetap mempunyai kewajiban pada entitasnya. SP, PJ dan OG ditentukan namanya untuk setiap proyek sebelum gate pertama.</w:t>
      </w:r>
    </w:p>
    <w:p>
      <w:pPr>
        <w:spacing w:before="100"/>
      </w:pPr>
      <w:r>
        <w:rPr>
          <w:b w:val="0"/>
          <w:color w:val="56606B"/>
          <w:sz w:val="19"/>
        </w:rPr>
        <w:t>Pada keputusan kolegial, OG adalah satu organ yang menjadi A dan bukan pengganti tanggung jawab individual direksi. Penandatangan kontrak serta otorisasi pembayaran tetap diperiksa terpisah.</w:t>
      </w:r>
    </w:p>
    <w:p>
      <w:r>
        <w:br w:type="page"/>
      </w:r>
    </w:p>
    <w:p>
      <w:pPr>
        <w:pStyle w:val="Heading1"/>
      </w:pPr>
      <w:r>
        <w:t>14 RASCI untuk persiapan dan persetujuan</w:t>
      </w:r>
    </w:p>
    <w:tbl>
      <w:tblPr>
        <w:tblW w:type="auto" w:w="0"/>
        <w:jc w:val="center"/>
        <w:tblLayout w:type="fixed"/>
        <w:tblLook w:firstColumn="1" w:firstRow="1" w:lastColumn="0" w:lastRow="0" w:noHBand="0" w:noVBand="1" w:val="04A0"/>
      </w:tblPr>
      <w:tblGrid>
        <w:gridCol w:w="4320"/>
        <w:gridCol w:w="619"/>
        <w:gridCol w:w="1123"/>
        <w:gridCol w:w="1152"/>
        <w:gridCol w:w="1771"/>
        <w:gridCol w:w="1094"/>
      </w:tblGrid>
      <w:tr>
        <w:trPr>
          <w:tblHeader/>
          <w:cantSplit/>
        </w:trPr>
        <w:tc>
          <w:tcPr>
            <w:tcW w:type="dxa" w:w="432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19"/>
              </w:rPr>
              <w:t>Aktivitas</w:t>
            </w:r>
          </w:p>
        </w:tc>
        <w:tc>
          <w:tcPr>
            <w:tcW w:type="dxa" w:w="619"/>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19"/>
              </w:rPr>
              <w:t>A</w:t>
            </w:r>
          </w:p>
        </w:tc>
        <w:tc>
          <w:tcPr>
            <w:tcW w:type="dxa" w:w="1123"/>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19"/>
              </w:rPr>
              <w:t>R</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19"/>
              </w:rPr>
              <w:t>S</w:t>
            </w:r>
          </w:p>
        </w:tc>
        <w:tc>
          <w:tcPr>
            <w:tcW w:type="dxa" w:w="1771"/>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19"/>
              </w:rPr>
              <w:t>C</w:t>
            </w:r>
          </w:p>
        </w:tc>
        <w:tc>
          <w:tcPr>
            <w:tcW w:type="dxa" w:w="109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19"/>
              </w:rPr>
              <w:t>I</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S01 Rekonsiliasi register 40 proyek</w:t>
            </w:r>
          </w:p>
        </w:tc>
        <w:tc>
          <w:tcPr>
            <w:tcW w:type="dxa" w:w="619"/>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PD</w:t>
            </w:r>
          </w:p>
        </w:tc>
        <w:tc>
          <w:tcPr>
            <w:tcW w:type="dxa" w:w="1123"/>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PD SP</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FI</w:t>
            </w:r>
          </w:p>
        </w:tc>
        <w:tc>
          <w:tcPr>
            <w:tcW w:type="dxa" w:w="1771"/>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LC CO CI DD</w:t>
            </w:r>
          </w:p>
        </w:tc>
        <w:tc>
          <w:tcPr>
            <w:tcW w:type="dxa" w:w="109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SI KP</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S02 Penyiapan peta industri dan prioritas</w:t>
            </w:r>
          </w:p>
        </w:tc>
        <w:tc>
          <w:tcPr>
            <w:tcW w:type="dxa" w:w="619"/>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SI</w:t>
            </w:r>
          </w:p>
        </w:tc>
        <w:tc>
          <w:tcPr>
            <w:tcW w:type="dxa" w:w="1123"/>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ID PD</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EN</w:t>
            </w:r>
          </w:p>
        </w:tc>
        <w:tc>
          <w:tcPr>
            <w:tcW w:type="dxa" w:w="1771"/>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CO CI CT DD RS FI</w:t>
            </w:r>
          </w:p>
        </w:tc>
        <w:tc>
          <w:tcPr>
            <w:tcW w:type="dxa" w:w="109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KP</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S03 Penetapan prioritas Badan sesuai mandat</w:t>
            </w:r>
          </w:p>
        </w:tc>
        <w:tc>
          <w:tcPr>
            <w:tcW w:type="dxa" w:w="619"/>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KP</w:t>
            </w:r>
          </w:p>
        </w:tc>
        <w:tc>
          <w:tcPr>
            <w:tcW w:type="dxa" w:w="1123"/>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SI</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PD</w:t>
            </w:r>
          </w:p>
        </w:tc>
        <w:tc>
          <w:tcPr>
            <w:tcW w:type="dxa" w:w="1771"/>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CO CI CT DD RS LC FI</w:t>
            </w:r>
          </w:p>
        </w:tc>
        <w:tc>
          <w:tcPr>
            <w:tcW w:type="dxa" w:w="109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DW</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S04 Paket kelayakan dan kesiapan proyek</w:t>
            </w:r>
          </w:p>
        </w:tc>
        <w:tc>
          <w:tcPr>
            <w:tcW w:type="dxa" w:w="619"/>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SP</w:t>
            </w:r>
          </w:p>
        </w:tc>
        <w:tc>
          <w:tcPr>
            <w:tcW w:type="dxa" w:w="1123"/>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PJ ID EN</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PD</w:t>
            </w:r>
          </w:p>
        </w:tc>
        <w:tc>
          <w:tcPr>
            <w:tcW w:type="dxa" w:w="1771"/>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CI DD CT RS LC FI</w:t>
            </w:r>
          </w:p>
        </w:tc>
        <w:tc>
          <w:tcPr>
            <w:tcW w:type="dxa" w:w="109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SI</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S05 Opini teknologi dan IPR</w:t>
            </w:r>
          </w:p>
        </w:tc>
        <w:tc>
          <w:tcPr>
            <w:tcW w:type="dxa" w:w="619"/>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CT</w:t>
            </w:r>
          </w:p>
        </w:tc>
        <w:tc>
          <w:tcPr>
            <w:tcW w:type="dxa" w:w="1123"/>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CT EN</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ID</w:t>
            </w:r>
          </w:p>
        </w:tc>
        <w:tc>
          <w:tcPr>
            <w:tcW w:type="dxa" w:w="1771"/>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SP LC</w:t>
            </w:r>
          </w:p>
        </w:tc>
        <w:tc>
          <w:tcPr>
            <w:tcW w:type="dxa" w:w="109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SI CI DD</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S06 Opini risiko independen</w:t>
            </w:r>
          </w:p>
        </w:tc>
        <w:tc>
          <w:tcPr>
            <w:tcW w:type="dxa" w:w="619"/>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RS</w:t>
            </w:r>
          </w:p>
        </w:tc>
        <w:tc>
          <w:tcPr>
            <w:tcW w:type="dxa" w:w="1123"/>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RS</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FI</w:t>
            </w:r>
          </w:p>
        </w:tc>
        <w:tc>
          <w:tcPr>
            <w:tcW w:type="dxa" w:w="1771"/>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LC CT SP</w:t>
            </w:r>
          </w:p>
        </w:tc>
        <w:tc>
          <w:tcPr>
            <w:tcW w:type="dxa" w:w="109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KP SI</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S07 Opini hukum dan jalur otorisasi</w:t>
            </w:r>
          </w:p>
        </w:tc>
        <w:tc>
          <w:tcPr>
            <w:tcW w:type="dxa" w:w="619"/>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LC</w:t>
            </w:r>
          </w:p>
        </w:tc>
        <w:tc>
          <w:tcPr>
            <w:tcW w:type="dxa" w:w="1123"/>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LC</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PD</w:t>
            </w:r>
          </w:p>
        </w:tc>
        <w:tc>
          <w:tcPr>
            <w:tcW w:type="dxa" w:w="1771"/>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RS FI SP</w:t>
            </w:r>
          </w:p>
        </w:tc>
        <w:tc>
          <w:tcPr>
            <w:tcW w:type="dxa" w:w="109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KP SI</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S08 Rancangan struktur pembiayaan</w:t>
            </w:r>
          </w:p>
        </w:tc>
        <w:tc>
          <w:tcPr>
            <w:tcW w:type="dxa" w:w="619"/>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CI</w:t>
            </w:r>
          </w:p>
        </w:tc>
        <w:tc>
          <w:tcPr>
            <w:tcW w:type="dxa" w:w="1123"/>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CI FI DD</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SP</w:t>
            </w:r>
          </w:p>
        </w:tc>
        <w:tc>
          <w:tcPr>
            <w:tcW w:type="dxa" w:w="1771"/>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RS LC SI</w:t>
            </w:r>
          </w:p>
        </w:tc>
        <w:tc>
          <w:tcPr>
            <w:tcW w:type="dxa" w:w="109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KP</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S09 Paket rekomendasi portofolio</w:t>
            </w:r>
          </w:p>
        </w:tc>
        <w:tc>
          <w:tcPr>
            <w:tcW w:type="dxa" w:w="619"/>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SI</w:t>
            </w:r>
          </w:p>
        </w:tc>
        <w:tc>
          <w:tcPr>
            <w:tcW w:type="dxa" w:w="1123"/>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PD ID EN</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SP</w:t>
            </w:r>
          </w:p>
        </w:tc>
        <w:tc>
          <w:tcPr>
            <w:tcW w:type="dxa" w:w="1771"/>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CO CI CT DD RS LC FI</w:t>
            </w:r>
          </w:p>
        </w:tc>
        <w:tc>
          <w:tcPr>
            <w:tcW w:type="dxa" w:w="109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KP</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S10 Keputusan Badan sesuai kewenangan</w:t>
            </w:r>
          </w:p>
        </w:tc>
        <w:tc>
          <w:tcPr>
            <w:tcW w:type="dxa" w:w="619"/>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KP</w:t>
            </w:r>
          </w:p>
        </w:tc>
        <w:tc>
          <w:tcPr>
            <w:tcW w:type="dxa" w:w="1123"/>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KP</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PD</w:t>
            </w:r>
          </w:p>
        </w:tc>
        <w:tc>
          <w:tcPr>
            <w:tcW w:type="dxa" w:w="1771"/>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SI RS LC FI</w:t>
            </w:r>
          </w:p>
        </w:tc>
        <w:tc>
          <w:tcPr>
            <w:tcW w:type="dxa" w:w="109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DW SP</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S11 Persetujuan Presiden bila disyaratkan</w:t>
            </w:r>
          </w:p>
        </w:tc>
        <w:tc>
          <w:tcPr>
            <w:tcW w:type="dxa" w:w="619"/>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PR</w:t>
            </w:r>
          </w:p>
        </w:tc>
        <w:tc>
          <w:tcPr>
            <w:tcW w:type="dxa" w:w="1123"/>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DW</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KP PD</w:t>
            </w:r>
          </w:p>
        </w:tc>
        <w:tc>
          <w:tcPr>
            <w:tcW w:type="dxa" w:w="1771"/>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LC FI RS</w:t>
            </w:r>
          </w:p>
        </w:tc>
        <w:tc>
          <w:tcPr>
            <w:tcW w:type="dxa" w:w="109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SI</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S12 Persetujuan Dewas bila disyaratkan</w:t>
            </w:r>
          </w:p>
        </w:tc>
        <w:tc>
          <w:tcPr>
            <w:tcW w:type="dxa" w:w="619"/>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DW</w:t>
            </w:r>
          </w:p>
        </w:tc>
        <w:tc>
          <w:tcPr>
            <w:tcW w:type="dxa" w:w="1123"/>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DW</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KP PD</w:t>
            </w:r>
          </w:p>
        </w:tc>
        <w:tc>
          <w:tcPr>
            <w:tcW w:type="dxa" w:w="1771"/>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LC FI RS</w:t>
            </w:r>
          </w:p>
        </w:tc>
        <w:tc>
          <w:tcPr>
            <w:tcW w:type="dxa" w:w="109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PR SI SP</w:t>
            </w:r>
          </w:p>
        </w:tc>
      </w:tr>
    </w:tbl>
    <w:p>
      <w:pPr>
        <w:spacing w:after="20"/>
      </w:pPr>
    </w:p>
    <w:p>
      <w:r>
        <w:rPr>
          <w:b w:val="0"/>
        </w:rPr>
        <w:t>S08 digunakan untuk menyiapkan paket pembiayaan lintas arm di bawah fungsi investasi BPI yang ditugaskan. Untuk proyek yang seluruhnya berada pada DDMF, A atas kajian pembiayaan dapat ditetapkan kepada DDMF melalui piagam proyek. Perubahan itu tidak memberi kewenangan menandatangani atau menyetujui modal.</w:t>
      </w:r>
    </w:p>
    <w:p>
      <w:pPr>
        <w:spacing w:before="100"/>
      </w:pPr>
      <w:r>
        <w:rPr>
          <w:b w:val="0"/>
          <w:color w:val="56606B"/>
          <w:sz w:val="19"/>
        </w:rPr>
        <w:t>S11 dan S12 hanya diaktifkan ketika objek keputusan memerlukan persetujuan tersebut. Urutan, bentuk dan cakupan persetujuan harus mengikuti peraturan; RASCI ini tidak mengasumsikan semua investasi harus melalui Presiden atau Dewas.</w:t>
      </w:r>
    </w:p>
    <w:p>
      <w:r>
        <w:br w:type="page"/>
      </w:r>
    </w:p>
    <w:p>
      <w:pPr>
        <w:pStyle w:val="Heading1"/>
      </w:pPr>
      <w:r>
        <w:t>15 RASCI untuk konstruksi operasi dan evaluasi</w:t>
      </w:r>
    </w:p>
    <w:tbl>
      <w:tblPr>
        <w:tblW w:type="auto" w:w="0"/>
        <w:jc w:val="center"/>
        <w:tblLayout w:type="fixed"/>
        <w:tblLook w:firstColumn="1" w:firstRow="1" w:lastColumn="0" w:lastRow="0" w:noHBand="0" w:noVBand="1" w:val="04A0"/>
      </w:tblPr>
      <w:tblGrid>
        <w:gridCol w:w="4320"/>
        <w:gridCol w:w="619"/>
        <w:gridCol w:w="1123"/>
        <w:gridCol w:w="1152"/>
        <w:gridCol w:w="1771"/>
        <w:gridCol w:w="1094"/>
      </w:tblGrid>
      <w:tr>
        <w:trPr>
          <w:tblHeader/>
          <w:cantSplit/>
        </w:trPr>
        <w:tc>
          <w:tcPr>
            <w:tcW w:type="dxa" w:w="432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19"/>
              </w:rPr>
              <w:t>Aktivitas</w:t>
            </w:r>
          </w:p>
        </w:tc>
        <w:tc>
          <w:tcPr>
            <w:tcW w:type="dxa" w:w="619"/>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19"/>
              </w:rPr>
              <w:t>A</w:t>
            </w:r>
          </w:p>
        </w:tc>
        <w:tc>
          <w:tcPr>
            <w:tcW w:type="dxa" w:w="1123"/>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19"/>
              </w:rPr>
              <w:t>R</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19"/>
              </w:rPr>
              <w:t>S</w:t>
            </w:r>
          </w:p>
        </w:tc>
        <w:tc>
          <w:tcPr>
            <w:tcW w:type="dxa" w:w="1771"/>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19"/>
              </w:rPr>
              <w:t>C</w:t>
            </w:r>
          </w:p>
        </w:tc>
        <w:tc>
          <w:tcPr>
            <w:tcW w:type="dxa" w:w="109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19"/>
              </w:rPr>
              <w:t>I</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S13 Keputusan investasi perusahaan sesuai AD</w:t>
            </w:r>
          </w:p>
        </w:tc>
        <w:tc>
          <w:tcPr>
            <w:tcW w:type="dxa" w:w="619"/>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OG</w:t>
            </w:r>
          </w:p>
        </w:tc>
        <w:tc>
          <w:tcPr>
            <w:tcW w:type="dxa" w:w="1123"/>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SP</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CI DD FI</w:t>
            </w:r>
          </w:p>
        </w:tc>
        <w:tc>
          <w:tcPr>
            <w:tcW w:type="dxa" w:w="1771"/>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RS LC CT SI</w:t>
            </w:r>
          </w:p>
        </w:tc>
        <w:tc>
          <w:tcPr>
            <w:tcW w:type="dxa" w:w="109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KP PD</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S14 Efektivitas kontrak dan financial close</w:t>
            </w:r>
          </w:p>
        </w:tc>
        <w:tc>
          <w:tcPr>
            <w:tcW w:type="dxa" w:w="619"/>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OG</w:t>
            </w:r>
          </w:p>
        </w:tc>
        <w:tc>
          <w:tcPr>
            <w:tcW w:type="dxa" w:w="1123"/>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SP PJ</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FI CI DD</w:t>
            </w:r>
          </w:p>
        </w:tc>
        <w:tc>
          <w:tcPr>
            <w:tcW w:type="dxa" w:w="1771"/>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RS LC EN</w:t>
            </w:r>
          </w:p>
        </w:tc>
        <w:tc>
          <w:tcPr>
            <w:tcW w:type="dxa" w:w="109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SI PD</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S15 Pelaksanaan konstruksi sesuai penugasan</w:t>
            </w:r>
          </w:p>
        </w:tc>
        <w:tc>
          <w:tcPr>
            <w:tcW w:type="dxa" w:w="619"/>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PJ</w:t>
            </w:r>
          </w:p>
        </w:tc>
        <w:tc>
          <w:tcPr>
            <w:tcW w:type="dxa" w:w="1123"/>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PJ EN</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PD</w:t>
            </w:r>
          </w:p>
        </w:tc>
        <w:tc>
          <w:tcPr>
            <w:tcW w:type="dxa" w:w="1771"/>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SP RS LC FI</w:t>
            </w:r>
          </w:p>
        </w:tc>
        <w:tc>
          <w:tcPr>
            <w:tcW w:type="dxa" w:w="109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SI</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S16 Perubahan kontrak atau biaya material</w:t>
            </w:r>
          </w:p>
        </w:tc>
        <w:tc>
          <w:tcPr>
            <w:tcW w:type="dxa" w:w="619"/>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OG</w:t>
            </w:r>
          </w:p>
        </w:tc>
        <w:tc>
          <w:tcPr>
            <w:tcW w:type="dxa" w:w="1123"/>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SP PJ</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EN FI</w:t>
            </w:r>
          </w:p>
        </w:tc>
        <w:tc>
          <w:tcPr>
            <w:tcW w:type="dxa" w:w="1771"/>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RS LC CI DD SI</w:t>
            </w:r>
          </w:p>
        </w:tc>
        <w:tc>
          <w:tcPr>
            <w:tcW w:type="dxa" w:w="109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KP PD</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S17 Penyelesaian masalah internal portofolio</w:t>
            </w:r>
          </w:p>
        </w:tc>
        <w:tc>
          <w:tcPr>
            <w:tcW w:type="dxa" w:w="619"/>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SI</w:t>
            </w:r>
          </w:p>
        </w:tc>
        <w:tc>
          <w:tcPr>
            <w:tcW w:type="dxa" w:w="1123"/>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PD</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ID EN SP</w:t>
            </w:r>
          </w:p>
        </w:tc>
        <w:tc>
          <w:tcPr>
            <w:tcW w:type="dxa" w:w="1771"/>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CO CI CT DD LC</w:t>
            </w:r>
          </w:p>
        </w:tc>
        <w:tc>
          <w:tcPr>
            <w:tcW w:type="dxa" w:w="109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KP</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S18 Eskalasi lintas lembaga kepada forum sah</w:t>
            </w:r>
          </w:p>
        </w:tc>
        <w:tc>
          <w:tcPr>
            <w:tcW w:type="dxa" w:w="619"/>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KP</w:t>
            </w:r>
          </w:p>
        </w:tc>
        <w:tc>
          <w:tcPr>
            <w:tcW w:type="dxa" w:w="1123"/>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SI</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PD</w:t>
            </w:r>
          </w:p>
        </w:tc>
        <w:tc>
          <w:tcPr>
            <w:tcW w:type="dxa" w:w="1771"/>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LC SP CO CT</w:t>
            </w:r>
          </w:p>
        </w:tc>
        <w:tc>
          <w:tcPr>
            <w:tcW w:type="dxa" w:w="109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DW</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S19 Penerimaan commissioning perusahaan</w:t>
            </w:r>
          </w:p>
        </w:tc>
        <w:tc>
          <w:tcPr>
            <w:tcW w:type="dxa" w:w="619"/>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OG</w:t>
            </w:r>
          </w:p>
        </w:tc>
        <w:tc>
          <w:tcPr>
            <w:tcW w:type="dxa" w:w="1123"/>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SP PJ</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EN CT</w:t>
            </w:r>
          </w:p>
        </w:tc>
        <w:tc>
          <w:tcPr>
            <w:tcW w:type="dxa" w:w="1771"/>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RS LC</w:t>
            </w:r>
          </w:p>
        </w:tc>
        <w:tc>
          <w:tcPr>
            <w:tcW w:type="dxa" w:w="109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SI PD</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S20 Pelaksanaan operasi dan kinerja aset</w:t>
            </w:r>
          </w:p>
        </w:tc>
        <w:tc>
          <w:tcPr>
            <w:tcW w:type="dxa" w:w="619"/>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SP</w:t>
            </w:r>
          </w:p>
        </w:tc>
        <w:tc>
          <w:tcPr>
            <w:tcW w:type="dxa" w:w="1123"/>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SP</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CO PJ</w:t>
            </w:r>
          </w:p>
        </w:tc>
        <w:tc>
          <w:tcPr>
            <w:tcW w:type="dxa" w:w="1771"/>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FI RS CT</w:t>
            </w:r>
          </w:p>
        </w:tc>
        <w:tc>
          <w:tcPr>
            <w:tcW w:type="dxa" w:w="109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SI PD</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S21 Konsolidasi manfaat dan hasil portofolio</w:t>
            </w:r>
          </w:p>
        </w:tc>
        <w:tc>
          <w:tcPr>
            <w:tcW w:type="dxa" w:w="619"/>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PD</w:t>
            </w:r>
          </w:p>
        </w:tc>
        <w:tc>
          <w:tcPr>
            <w:tcW w:type="dxa" w:w="1123"/>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PD ID</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SP FI</w:t>
            </w:r>
          </w:p>
        </w:tc>
        <w:tc>
          <w:tcPr>
            <w:tcW w:type="dxa" w:w="1771"/>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CT RS CI DD</w:t>
            </w:r>
          </w:p>
        </w:tc>
        <w:tc>
          <w:tcPr>
            <w:tcW w:type="dxa" w:w="109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SI KP DW</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S22 Audit proses dan temuan independen</w:t>
            </w:r>
          </w:p>
        </w:tc>
        <w:tc>
          <w:tcPr>
            <w:tcW w:type="dxa" w:w="619"/>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IA</w:t>
            </w:r>
          </w:p>
        </w:tc>
        <w:tc>
          <w:tcPr>
            <w:tcW w:type="dxa" w:w="1123"/>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IA</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PD</w:t>
            </w:r>
          </w:p>
        </w:tc>
        <w:tc>
          <w:tcPr>
            <w:tcW w:type="dxa" w:w="1771"/>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RS LC SP</w:t>
            </w:r>
          </w:p>
        </w:tc>
        <w:tc>
          <w:tcPr>
            <w:tcW w:type="dxa" w:w="109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DW KP</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S23 Kajian usul penundaan penghentian atau exit</w:t>
            </w:r>
          </w:p>
        </w:tc>
        <w:tc>
          <w:tcPr>
            <w:tcW w:type="dxa" w:w="619"/>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SI</w:t>
            </w:r>
          </w:p>
        </w:tc>
        <w:tc>
          <w:tcPr>
            <w:tcW w:type="dxa" w:w="1123"/>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PD SP</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CI DD FI</w:t>
            </w:r>
          </w:p>
        </w:tc>
        <w:tc>
          <w:tcPr>
            <w:tcW w:type="dxa" w:w="1771"/>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RS LC CT</w:t>
            </w:r>
          </w:p>
        </w:tc>
        <w:tc>
          <w:tcPr>
            <w:tcW w:type="dxa" w:w="109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19"/>
              </w:rPr>
              <w:t>KP OG</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S24 Keputusan penghentian perusahaan sesuai AD</w:t>
            </w:r>
          </w:p>
        </w:tc>
        <w:tc>
          <w:tcPr>
            <w:tcW w:type="dxa" w:w="619"/>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OG</w:t>
            </w:r>
          </w:p>
        </w:tc>
        <w:tc>
          <w:tcPr>
            <w:tcW w:type="dxa" w:w="1123"/>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SP</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LC FI</w:t>
            </w:r>
          </w:p>
        </w:tc>
        <w:tc>
          <w:tcPr>
            <w:tcW w:type="dxa" w:w="1771"/>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RS CI DD SI</w:t>
            </w:r>
          </w:p>
        </w:tc>
        <w:tc>
          <w:tcPr>
            <w:tcW w:type="dxa" w:w="109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19"/>
              </w:rPr>
              <w:t>KP PD</w:t>
            </w:r>
          </w:p>
        </w:tc>
      </w:tr>
    </w:tbl>
    <w:p>
      <w:pPr>
        <w:spacing w:after="20"/>
      </w:pPr>
    </w:p>
    <w:p>
      <w:r>
        <w:rPr>
          <w:b w:val="0"/>
        </w:rPr>
        <w:t>S15 menunjuk project director sebagai pemilik hasil pekerjaan yang ditugaskan. Direksi tetap memikul kewajiban pengurusan perseroan menurut hukum. S17 menangani masalah yang berada dalam kewenangan koordinasi arm; masalah regulasi atau kewenangan pihak luar tidak dapat diputuskan oleh arm.</w:t>
      </w:r>
    </w:p>
    <w:p>
      <w:r>
        <w:rPr>
          <w:b w:val="0"/>
        </w:rPr>
        <w:t>S22 menempatkan audit pada hasil assurance sendiri. Auditor tidak menjadi pemilik investasi atau pelaksana konstruksi yang kelak diaudit. S23 adalah hasil kajian; S24 adalah keputusan korporasi. Untuk penghentian komitmen Badan atau perubahan rencana, tambahkan aktivitas keputusan Kepala serta persetujuan yang relevan.</w:t>
      </w:r>
    </w:p>
    <w:p>
      <w:pPr>
        <w:spacing w:before="100"/>
      </w:pPr>
      <w:r>
        <w:rPr>
          <w:b w:val="0"/>
          <w:color w:val="56606B"/>
          <w:sz w:val="19"/>
        </w:rPr>
        <w:t>Pemeriksaan rancangan: 24 aktivitas memiliki tepat satu kode A. Pengesahan dilakukan setelah dicocokkan dengan board manual, AD, piagam unit, mandat proyek dan delegasi aktual.</w:t>
      </w:r>
    </w:p>
    <w:p>
      <w:r>
        <w:br w:type="page"/>
      </w:r>
    </w:p>
    <w:p>
      <w:pPr>
        <w:pStyle w:val="Heading1"/>
      </w:pPr>
      <w:r>
        <w:t>16 Tahapan penerapan dan kriteria kenaikan organisasi</w:t>
      </w:r>
    </w:p>
    <w:tbl>
      <w:tblPr>
        <w:tblW w:type="auto" w:w="0"/>
        <w:jc w:val="center"/>
        <w:tblLayout w:type="fixed"/>
        <w:tblLook w:firstColumn="1" w:firstRow="1" w:lastColumn="0" w:lastRow="0" w:noHBand="0" w:noVBand="1" w:val="04A0"/>
      </w:tblPr>
      <w:tblGrid>
        <w:gridCol w:w="1800"/>
        <w:gridCol w:w="4032"/>
        <w:gridCol w:w="4248"/>
      </w:tblGrid>
      <w:tr>
        <w:trPr>
          <w:tblHeader/>
          <w:cantSplit/>
        </w:trPr>
        <w:tc>
          <w:tcPr>
            <w:tcW w:type="dxa" w:w="180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20"/>
              </w:rPr>
              <w:t>Periode sejak keputusan memulai</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20"/>
              </w:rPr>
              <w:t>Pekerjaan</w:t>
            </w:r>
          </w:p>
        </w:tc>
        <w:tc>
          <w:tcPr>
            <w:tcW w:type="dxa" w:w="42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20"/>
              </w:rPr>
              <w:t>Hasil yang dapat diperiksa</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Hari 1 sampai 30</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Rekonsiliasi 40 proyek; inventarisasi kewenangan dan kapasitas; pilih proyek uji; tetapkan piagam unit awal.</w:t>
            </w:r>
          </w:p>
        </w:tc>
        <w:tc>
          <w:tcPr>
            <w:tcW w:type="dxa" w:w="42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Register versi awal; sponsor dan pemimpin proyek; peta persetujuan; rencana staffing dan biaya yang disahkan.</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Hari 31 sampai 60</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Jalankan review paralel, dashboard, daftar hambatan dan paket keputusan tunggal; uji recusal serta akses kontrol.</w:t>
            </w:r>
          </w:p>
        </w:tc>
        <w:tc>
          <w:tcPr>
            <w:tcW w:type="dxa" w:w="42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Data waktu proses; daftar masalah selesai dan belum selesai; paket keputusan dengan opini risiko serta legal.</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Hari 61 sampai 90</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Evaluasi proyek uji; perbaiki lingkup unit; kaji kebutuhan anggota tambahan atau Wakil Kepala formal.</w:t>
            </w:r>
          </w:p>
        </w:tc>
        <w:tc>
          <w:tcPr>
            <w:tcW w:type="dxa" w:w="42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Laporan hasil uji; alasan perubahan struktur; rancangan harmonisasi bila diperlukan.</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Bulan 4 sampai 6</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Perluas penerapan ke portofolio; uji kualitas data dan kontrol perubahan; lakukan assurance.</w:t>
            </w:r>
          </w:p>
        </w:tc>
        <w:tc>
          <w:tcPr>
            <w:tcW w:type="dxa" w:w="42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Baseline lengkap; jadwal dan dana per proyek; daftar temuan beserta pemilik penyelesaian.</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Bulan 6 sampai 12</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Evaluasi kapasitas, biaya overhead dan hasil; putuskan struktur permanen serta rencana jangka menengah.</w:t>
            </w:r>
          </w:p>
        </w:tc>
        <w:tc>
          <w:tcPr>
            <w:tcW w:type="dxa" w:w="42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Keputusan mempertahankan memperluas atau menggabungkan unit berdasarkan bukti.</w:t>
            </w:r>
          </w:p>
        </w:tc>
      </w:tr>
    </w:tbl>
    <w:p>
      <w:pPr>
        <w:spacing w:after="20"/>
      </w:pPr>
    </w:p>
    <w:p>
      <w:pPr>
        <w:pStyle w:val="Heading2"/>
      </w:pPr>
      <w:r>
        <w:t>Kapan jabatan Wakil Kepala layak dibentuk</w:t>
      </w:r>
    </w:p>
    <w:p>
      <w:r>
        <w:rPr>
          <w:b w:val="0"/>
        </w:rPr>
        <w:t>Jabatan formal layak diproses ketika lingkup koordinasi membutuhkan kedudukan anggota senior secara berkelanjutan, batas kerja COO/CIO/CTO telah disepakati, dan kewenangan yang diusulkan jelas. Struktur harus menunjukkan tanggung jawab tunggal Kepala atas Badan serta tata cara menjalankan tugas ketika Kepala berhalangan, jika memang hendak diatur.</w:t>
      </w:r>
    </w:p>
    <w:p>
      <w:r>
        <w:rPr>
          <w:b w:val="0"/>
        </w:rPr>
        <w:t>Kebutuhan tersebut dibuktikan melalui data waktu keputusan, masalah yang berulang, kapasitas pengawasan, nilai risiko dan biaya organisasi. Ukur juga apakah unit hanya memindahkan antrian ke tingkat yang baru. Pengukuran ini mencegah pengangkatan jabatan menjadi pengganti perbaikan proses.</w:t>
      </w:r>
    </w:p>
    <w:p>
      <w:pPr>
        <w:pStyle w:val="Heading2"/>
      </w:pPr>
      <w:r>
        <w:t>Penyesuaian terhadap roadmap yang telah dibahas</w:t>
      </w:r>
    </w:p>
    <w:p>
      <w:r>
        <w:rPr>
          <w:b w:val="0"/>
        </w:rPr>
        <w:t>Tahap persiapan kelembagaan 2026, pengembangan pembiayaan 2027 dan industrialisasi mulai 2028 dapat dipakai sebagai arah perencanaan. Proyek yang telah siap tidak perlu menunggu tahap kalender berikutnya. Pembiayaan berbasis sumber daya dibuka hanya setelah kajian hak, pendapatan, risiko dan otorisasinya selesai.</w:t>
      </w:r>
    </w:p>
    <w:p>
      <w:r>
        <w:br w:type="page"/>
      </w:r>
    </w:p>
    <w:p>
      <w:pPr>
        <w:pStyle w:val="Heading1"/>
      </w:pPr>
      <w:r>
        <w:t>17 Ukuran hasil dan risiko organisasi baru</w:t>
      </w:r>
    </w:p>
    <w:tbl>
      <w:tblPr>
        <w:tblW w:type="auto" w:w="0"/>
        <w:jc w:val="center"/>
        <w:tblLayout w:type="fixed"/>
        <w:tblLook w:firstColumn="1" w:firstRow="1" w:lastColumn="0" w:lastRow="0" w:noHBand="0" w:noVBand="1" w:val="04A0"/>
      </w:tblPr>
      <w:tblGrid>
        <w:gridCol w:w="2016"/>
        <w:gridCol w:w="4392"/>
        <w:gridCol w:w="3672"/>
      </w:tblGrid>
      <w:tr>
        <w:trPr>
          <w:tblHeade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20"/>
              </w:rPr>
              <w:t>Ukuran</w:t>
            </w:r>
          </w:p>
        </w:tc>
        <w:tc>
          <w:tcPr>
            <w:tcW w:type="dxa" w:w="439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20"/>
              </w:rPr>
              <w:t>Definisi</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20"/>
              </w:rPr>
              <w:t>Usulan sasaran awal</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Kualitas register</w:t>
            </w:r>
          </w:p>
        </w:tc>
        <w:tc>
          <w:tcPr>
            <w:tcW w:type="dxa" w:w="439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Proyek dengan sponsor, lingkup, tahap, biaya, dana dan jadwal yang telah dikonfirmasi.</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100 persen identitas terpetakan dalam 30 hari; data belum pasti ditandai.</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Waktu keputusan</w:t>
            </w:r>
          </w:p>
        </w:tc>
        <w:tc>
          <w:tcPr>
            <w:tcW w:type="dxa" w:w="439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Median dan persentil 90 sejak dokumen lengkap sampai keputusan; waktu menunggu dilaporkan terpisah.</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Tetapkan baseline dahulu; usulan penurunan median 30 persen dalam enam bulan diuji kelayakannya.</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Penyelesaian hambatan</w:t>
            </w:r>
          </w:p>
        </w:tc>
        <w:tc>
          <w:tcPr>
            <w:tcW w:type="dxa" w:w="439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Masalah yang selesai secara sah dibanding masalah yang jatuh tempo; ukur umur masalah.</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Target berdasarkan kategori dan pemilik; tidak menutup masalah hanya karena sudah dibahas.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Kesiapan investasi</w:t>
            </w:r>
          </w:p>
        </w:tc>
        <w:tc>
          <w:tcPr>
            <w:tcW w:type="dxa" w:w="439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Proyek memenuhi bukti G2 dan persetujuan G3 sebelum komitmen tidak dapat ditarik.</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100 persen komitmen mengikuti syarat dan otorisasi.</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Ketepatan jadwal dan biaya</w:t>
            </w:r>
          </w:p>
        </w:tc>
        <w:tc>
          <w:tcPr>
            <w:tcW w:type="dxa" w:w="439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Capaian terhadap baseline yang disahkan serta biaya untuk menyelesaikan proyek.</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Target ditetapkan per proyek berdasarkan tahapan dan risiko.</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Manfaat nasional</w:t>
            </w:r>
          </w:p>
        </w:tc>
        <w:tc>
          <w:tcPr>
            <w:tcW w:type="dxa" w:w="439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Substitusi impor bersih, nilai tambah, ekspor, lapangan kerja terukur, IPR dan kemampuan pemasok.</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Baseline dan metode disepakati sebelum investasi; hindari perhitungan ganda.</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Integritas dan kontrol</w:t>
            </w:r>
          </w:p>
        </w:tc>
        <w:tc>
          <w:tcPr>
            <w:tcW w:type="dxa" w:w="439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Keterbukaan konflik, persetujuan wajib, temuan audit serta penyelesaian tindak lanjut.</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Seluruh konflik dan pengecualian terdokumentasi; pelanggaran tidak ditoleransi.</w:t>
            </w:r>
          </w:p>
        </w:tc>
      </w:tr>
    </w:tbl>
    <w:p>
      <w:pPr>
        <w:spacing w:after="20"/>
      </w:pPr>
    </w:p>
    <w:p>
      <w:pPr>
        <w:pStyle w:val="Heading2"/>
      </w:pPr>
      <w:r>
        <w:t>Risiko yang perlu dikendalikan</w:t>
      </w:r>
    </w:p>
    <w:p>
      <w:r>
        <w:rPr>
          <w:b w:val="0"/>
        </w:rPr>
        <w:t>Duplikasi mandat dikendalikan melalui piagam antarfungsi dan penghentian rapat berulang. Dominasi promotor dikendalikan melalui jalur risiko dan legal yang independen. Sentralisasi dijaga agar tidak mengambil alih pengurusan perusahaan. Penyalahgunaan label strategis dicegah melalui kriteria masuk portofolio dan evaluasi ulang. Ketergantungan vendor dibatasi dengan review teknis, hak IPR serta strategi pemasok.</w:t>
      </w:r>
    </w:p>
    <w:p>
      <w:r>
        <w:rPr>
          <w:b w:val="0"/>
        </w:rPr>
        <w:t>Target percepatan tidak dapat dicapai dengan memindahkan pekerjaan yang belum selesai menjadi komitmen investasi. Penurunan waktu harus berasal dari mutu data, penelaahan paralel, penyelesaian hambatan dan kapasitas tim. Proyek yang tidak layak dapat ditunda atau dihentikan melalui keputusan yang sah.</w:t>
      </w:r>
    </w:p>
    <w:p>
      <w:r>
        <w:br w:type="page"/>
      </w:r>
    </w:p>
    <w:p>
      <w:pPr>
        <w:pStyle w:val="Heading1"/>
      </w:pPr>
      <w:r>
        <w:t>18 Asumsi dokumen pendukung yang perlu diperbaiki</w:t>
      </w:r>
    </w:p>
    <w:p>
      <w:r>
        <w:rPr>
          <w:b w:val="0"/>
        </w:rPr>
        <w:t>Memo hukum pengguna berguna sebagai bahan pengembangan gagasan. Beberapa pernyataannya memerlukan pembaruan atau pembuktian sebelum dipakai sebagai dasar keputusan. Kajian ini tidak memperlakukan label persetujuan pada memo sebagai bukti keputusan pejabat yang berwenang. [U2]</w:t>
      </w:r>
    </w:p>
    <w:tbl>
      <w:tblPr>
        <w:tblW w:type="auto" w:w="0"/>
        <w:jc w:val="center"/>
        <w:tblLayout w:type="fixed"/>
        <w:tblLook w:firstColumn="1" w:firstRow="1" w:lastColumn="0" w:lastRow="0" w:noHBand="0" w:noVBand="1" w:val="04A0"/>
      </w:tblPr>
      <w:tblGrid>
        <w:gridCol w:w="3888"/>
        <w:gridCol w:w="6192"/>
      </w:tblGrid>
      <w:tr>
        <w:trPr>
          <w:tblHeader/>
          <w:cantSplit/>
        </w:trPr>
        <w:tc>
          <w:tcPr>
            <w:tcW w:type="dxa" w:w="388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20"/>
              </w:rPr>
              <w:t>Asumsi dalam bahan diskusi</w:t>
            </w:r>
          </w:p>
        </w:tc>
        <w:tc>
          <w:tcPr>
            <w:tcW w:type="dxa" w:w="619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7324D"/>
          </w:tcPr>
          <w:p>
            <w:pPr>
              <w:spacing w:after="0" w:line="254" w:lineRule="auto"/>
            </w:pPr>
            <w:r>
              <w:rPr>
                <w:rFonts w:ascii="Arial" w:hAnsi="Arial"/>
                <w:b/>
                <w:color w:val="FFFFFF"/>
                <w:sz w:val="20"/>
              </w:rPr>
              <w:t>Pembacaan dan tindakan koreksi</w:t>
            </w:r>
          </w:p>
        </w:tc>
      </w:tr>
      <w:tr>
        <w:trPr>
          <w:cantSplit/>
        </w:trPr>
        <w:tc>
          <w:tcPr>
            <w:tcW w:type="dxa" w:w="388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PP 19 langsung memberi kewenangan membentuk Wakil Kepala</w:t>
            </w:r>
          </w:p>
        </w:tc>
        <w:tc>
          <w:tcPr>
            <w:tcW w:type="dxa" w:w="619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Pembedaan tujuan holding tidak otomatis menciptakan jabatan baru pada Badan Pelaksana. Gunakan jalur organisasi anggota dan harmonisasi sebagaimana Bagian 7. [R1-R2]</w:t>
            </w:r>
          </w:p>
        </w:tc>
      </w:tr>
      <w:tr>
        <w:trPr>
          <w:cantSplit/>
        </w:trPr>
        <w:tc>
          <w:tcPr>
            <w:tcW w:type="dxa" w:w="388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Semua 40 proyek harus dikeluarkan dari DAM karena tidak komersial</w:t>
            </w:r>
          </w:p>
        </w:tc>
        <w:tc>
          <w:tcPr>
            <w:tcW w:type="dxa" w:w="619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Tiap proyek dapat memuat komponen komersial dan pembangunan. DDMF sudah memiliki mandat pelaksanaan proyek. Klasifikasikan proyek dahulu dan hindari carve out keseluruhan tanpa register. [R2,R7]</w:t>
            </w:r>
          </w:p>
        </w:tc>
      </w:tr>
      <w:tr>
        <w:trPr>
          <w:cantSplit/>
        </w:trPr>
        <w:tc>
          <w:tcPr>
            <w:tcW w:type="dxa" w:w="388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Pasal 9G menjadi dasar tetap untuk status pejabat</w:t>
            </w:r>
          </w:p>
        </w:tc>
        <w:tc>
          <w:tcPr>
            <w:tcW w:type="dxa" w:w="619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UU 16/2025 menghapus Pasal 9G. Pernyataan yang bergantung pada pasal tersebut harus diperbarui. [R3]</w:t>
            </w:r>
          </w:p>
        </w:tc>
      </w:tr>
      <w:tr>
        <w:trPr>
          <w:cantSplit/>
        </w:trPr>
        <w:tc>
          <w:tcPr>
            <w:tcW w:type="dxa" w:w="388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BJR memberi kekebalan atas kerugian</w:t>
            </w:r>
          </w:p>
        </w:tc>
        <w:tc>
          <w:tcPr>
            <w:tcW w:type="dxa" w:w="619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Pasal 3Y memuat syarat yang harus dibuktikan. Perlindungan tidak dapat dipakai sebagai jaminan kekebalan dari pemeriksaan atau pelanggaran hukum. [R3]</w:t>
            </w:r>
          </w:p>
        </w:tc>
      </w:tr>
      <w:tr>
        <w:trPr>
          <w:cantSplit/>
        </w:trPr>
        <w:tc>
          <w:tcPr>
            <w:tcW w:type="dxa" w:w="388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Obligasi berbasis sumber daya adalah modal non utang</w:t>
            </w:r>
          </w:p>
        </w:tc>
        <w:tc>
          <w:tcPr>
            <w:tcW w:type="dxa" w:w="619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Instrumen dengan kewajiban membayar kembali atau kupon tetap harus dinilai sebagai kewajiban pembiayaan sesuai substansinya. Label off budget tidak menghilangkan risiko fiskal atau kontinjensi.</w:t>
            </w:r>
          </w:p>
        </w:tc>
      </w:tr>
      <w:tr>
        <w:trPr>
          <w:cantSplit/>
        </w:trPr>
        <w:tc>
          <w:tcPr>
            <w:tcW w:type="dxa" w:w="388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Pasal 33 memberi hak langsung menjaminkan cadangan atau royalti</w:t>
            </w:r>
          </w:p>
        </w:tc>
        <w:tc>
          <w:tcPr>
            <w:tcW w:type="dxa" w:w="619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4" w:lineRule="auto"/>
            </w:pPr>
            <w:r>
              <w:rPr>
                <w:rFonts w:ascii="Arial" w:hAnsi="Arial"/>
                <w:b w:val="0"/>
                <w:color w:val="000000"/>
                <w:sz w:val="20"/>
              </w:rPr>
              <w:t>Kendali negara atas SDA tidak dengan sendirinya memberi BPI hak atas cadangan belum ditambang atau PNBP. Kajian hak dan otorisasi terpisah diperlukan.</w:t>
            </w:r>
          </w:p>
        </w:tc>
      </w:tr>
      <w:tr>
        <w:trPr>
          <w:cantSplit/>
        </w:trPr>
        <w:tc>
          <w:tcPr>
            <w:tcW w:type="dxa" w:w="388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Unit baru dapat menetapkan standar nasional atau TKDN tunggal</w:t>
            </w:r>
          </w:p>
        </w:tc>
        <w:tc>
          <w:tcPr>
            <w:tcW w:type="dxa" w:w="619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2F5F8"/>
          </w:tcPr>
          <w:p>
            <w:pPr>
              <w:spacing w:after="0" w:line="254" w:lineRule="auto"/>
            </w:pPr>
            <w:r>
              <w:rPr>
                <w:rFonts w:ascii="Arial" w:hAnsi="Arial"/>
                <w:b w:val="0"/>
                <w:color w:val="000000"/>
                <w:sz w:val="20"/>
              </w:rPr>
              <w:t>Unit dapat menyusun persyaratan proyek dan mengusulkan kebijakan. Standar wajib serta TKDN mengikuti otoritas dan ketentuan yang berlaku.</w:t>
            </w:r>
          </w:p>
        </w:tc>
      </w:tr>
    </w:tbl>
    <w:p>
      <w:pPr>
        <w:spacing w:after="20"/>
      </w:pPr>
    </w:p>
    <w:p>
      <w:r>
        <w:rPr>
          <w:b w:val="0"/>
        </w:rPr>
        <w:t>Jika resource based finance dipertimbangkan, periksa pemilik hak pertambangan, hak menjual, kepastian cadangan dan produksi, offtake, pajak, penerimaan negara, hak menjaminkan, serta nilai kini pendapatan dan kewajiban. Pendapatan masa depan yang digunakan untuk membayar investor mengurangi ruang kas masa depan; hal itu harus ditampilkan dalam skenario pembiayaan.</w:t>
      </w:r>
    </w:p>
    <w:p>
      <w:pPr>
        <w:spacing w:before="100"/>
      </w:pPr>
      <w:r>
        <w:rPr>
          <w:b w:val="0"/>
          <w:color w:val="56606B"/>
          <w:sz w:val="19"/>
        </w:rPr>
        <w:t>Koreksi mengenai pembiayaan merupakan analisis prinsip akuntabilitas dan substansi keuangan. Kajian ini belum menyetujui struktur NRF, royalty securitisation, instrumen obligasi atau pemindahan aset tertentu.</w:t>
      </w:r>
    </w:p>
    <w:p>
      <w:r>
        <w:br w:type="page"/>
      </w:r>
    </w:p>
    <w:p>
      <w:pPr>
        <w:pStyle w:val="Heading1"/>
      </w:pPr>
      <w:r>
        <w:t>19 Usulan keputusan untuk dibahas pimpinan</w:t>
      </w:r>
    </w:p>
    <w:p>
      <w:r>
        <w:rPr>
          <w:b w:val="0"/>
        </w:rPr>
        <w:t>Pimpinan dapat menyetujui prinsip pembentukan fungsi Industri Strategis dan Pelaksanaan Proyek pada BPI untuk mengintegrasikan portofolio 40 proyek. Unit diberi tugas memelihara register, menyiapkan prioritas, menyelesaikan ketergantungan lintas arm, mengendalikan mutu paket keputusan dan melaporkan hasil. Lingkup dan anggaran dituangkan dalam instrumen yang sah.</w:t>
      </w:r>
    </w:p>
    <w:p>
      <w:r>
        <w:rPr>
          <w:b w:val="0"/>
        </w:rPr>
        <w:t>Untuk penerapan awal, Kepala menunjuk pemimpin unit atau mengusulkan anggota Badan Pelaksana bidang Industri Strategis sesuai kebutuhan dan dasar pengangkatan. Jabatan Wakil Kepala formal diproses setelah harmonisasi dan pembuktian kebutuhan kewenangan. Padanan Inggris harus menyatakan fungsi eksekutif dan tidak disamakan dengan Wakil Ketua Dewan Pengawas.</w:t>
      </w:r>
    </w:p>
    <w:p>
      <w:r>
        <w:rPr>
          <w:b w:val="0"/>
        </w:rPr>
        <w:t>DAM, DIM, DDMF serta perusahaan pelaksana menetapkan sponsor dan pemimpin proyek sesuai mandat masing-masing. Unit baru tidak menerima kewenangan universal atas investasi, pinjaman, jaminan, aset, kontrak atau pengangkatan. Persetujuan dan tindakan korporasi dipetakan per entitas dan per objek.</w:t>
      </w:r>
    </w:p>
    <w:p>
      <w:pPr>
        <w:pStyle w:val="Heading2"/>
      </w:pPr>
      <w:r>
        <w:t>Dokumen yang diperlukan sebelum pengesahan</w:t>
      </w:r>
    </w:p>
    <w:p>
      <w:pPr>
        <w:pStyle w:val="ListBullet"/>
        <w:spacing w:after="120"/>
      </w:pPr>
      <w:r>
        <w:t>Register lengkap 40 proyek serta dasar mandat dan rekonsiliasi angka investasi.</w:t>
      </w:r>
    </w:p>
    <w:p>
      <w:pPr>
        <w:pStyle w:val="ListBullet"/>
        <w:spacing w:after="120"/>
      </w:pPr>
      <w:r>
        <w:t>Keppres pengangkatan, pembidangan anggota, board manual dan piagam komite yang sedang berlaku.</w:t>
      </w:r>
    </w:p>
    <w:p>
      <w:pPr>
        <w:pStyle w:val="ListBullet"/>
        <w:spacing w:after="120"/>
      </w:pPr>
      <w:r>
        <w:t>Mandat, anggaran dasar, matriks otorisasi, risk appetite serta perjanjian layanan setiap arm.</w:t>
      </w:r>
    </w:p>
    <w:p>
      <w:pPr>
        <w:pStyle w:val="ListBullet"/>
        <w:spacing w:after="120"/>
      </w:pPr>
      <w:r>
        <w:t>Rencana proyek, kontrak pendanaan dan proyek, lahan, izin, kajian teknologi, IPR dan offtake.</w:t>
      </w:r>
    </w:p>
    <w:p>
      <w:pPr>
        <w:pStyle w:val="ListBullet"/>
        <w:spacing w:after="120"/>
      </w:pPr>
      <w:r>
        <w:t>Laporan audit terkini, tindak lanjut, data waktu keputusan dan daftar hambatan proyek.</w:t>
      </w:r>
    </w:p>
    <w:p>
      <w:pPr>
        <w:pStyle w:val="ListBullet"/>
        <w:spacing w:after="120"/>
      </w:pPr>
      <w:r>
        <w:t>Kajian biaya organisasi, sumber daya yang tersedia, aturan konflik dan rancangan transisi.</w:t>
      </w:r>
    </w:p>
    <w:p>
      <w:pPr>
        <w:pStyle w:val="Heading2"/>
      </w:pPr>
      <w:r>
        <w:t>Keputusan yang direkomendasikan</w:t>
      </w:r>
    </w:p>
    <w:p>
      <w:r>
        <w:rPr>
          <w:b/>
        </w:rPr>
        <w:t>Tetapkan unit pengelolaan portofolio pada BPI terlebih dahulu dan uji pada kelompok proyek representatif selama 90 hari. Pertahankan pengujian investasi serta kontrol independen. Sesudah data hasil uji tersedia, putuskan apakah lingkup memerlukan tambahan anggota atau Wakil Kepala formal, penguatan CTO/DDMF, atau kendaraan korporasi khusus untuk klaster tertentu.</w:t>
      </w:r>
    </w:p>
    <w:p>
      <w:r>
        <w:br w:type="page"/>
      </w:r>
    </w:p>
    <w:p>
      <w:pPr>
        <w:pStyle w:val="Heading1"/>
      </w:pPr>
      <w:r>
        <w:t>20 Referensi hukum dan struktur Danantara</w:t>
      </w:r>
    </w:p>
    <w:p>
      <w:r>
        <w:rPr>
          <w:b w:val="0"/>
          <w:sz w:val="21"/>
        </w:rPr>
        <w:t>Sumber publik diakses atau diverifikasi pada 2 Oktober 2026. Tautan “Sumber resmi” dapat dibuka dari dokumen. Ketentuan yang tidak diubah PP 19 tetap dibaca bersama rumusan PP 10. Referensi ke sumber web menggunakan kode R; bahan pengguna menggunakan kode U.</w:t>
      </w:r>
    </w:p>
    <w:p>
      <w:pPr>
        <w:keepNext/>
        <w:spacing w:after="40"/>
      </w:pPr>
      <w:r>
        <w:rPr>
          <w:b/>
          <w:sz w:val="21"/>
        </w:rPr>
        <w:t>R1  Pemerintah Indonesia</w:t>
      </w:r>
    </w:p>
    <w:p>
      <w:pPr>
        <w:keepNext/>
        <w:spacing w:after="40"/>
      </w:pPr>
      <w:r>
        <w:rPr>
          <w:b w:val="0"/>
          <w:sz w:val="20"/>
        </w:rPr>
        <w:t>PP Nomor 10 Tahun 2025 terutama Pasal 5 dan 12 sampai 18 serta 25 sampai 27</w:t>
      </w:r>
    </w:p>
    <w:p>
      <w:pPr>
        <w:spacing w:after="220"/>
      </w:pPr>
      <w:r>
        <w:rPr>
          <w:b w:val="0"/>
        </w:rPr>
      </w:r>
      <w:hyperlink r:id="rId12">
        <w:r>
          <w:rPr>
            <w:color w:val="244C70"/>
            <w:sz w:val="20"/>
            <w:rFonts w:ascii="Arial" w:hAnsi="Arial"/>
          </w:rPr>
          <w:t>Sumber resmi</w:t>
        </w:r>
      </w:hyperlink>
    </w:p>
    <w:p>
      <w:pPr>
        <w:keepNext/>
        <w:spacing w:after="40"/>
      </w:pPr>
      <w:r>
        <w:rPr>
          <w:b/>
          <w:sz w:val="21"/>
        </w:rPr>
        <w:t>R2  Pemerintah Indonesia</w:t>
      </w:r>
    </w:p>
    <w:p>
      <w:pPr>
        <w:keepNext/>
        <w:spacing w:after="40"/>
      </w:pPr>
      <w:r>
        <w:rPr>
          <w:b w:val="0"/>
          <w:sz w:val="20"/>
        </w:rPr>
        <w:t>PP Nomor 19 Tahun 2026 terutama Pasal 4 7 21A 21B 29A 29B 29C 31A 32A dan 32B</w:t>
      </w:r>
    </w:p>
    <w:p>
      <w:pPr>
        <w:spacing w:after="220"/>
      </w:pPr>
      <w:r>
        <w:rPr>
          <w:b w:val="0"/>
        </w:rPr>
      </w:r>
      <w:hyperlink r:id="rId13">
        <w:r>
          <w:rPr>
            <w:color w:val="244C70"/>
            <w:sz w:val="20"/>
            <w:rFonts w:ascii="Arial" w:hAnsi="Arial"/>
          </w:rPr>
          <w:t>Sumber resmi</w:t>
        </w:r>
      </w:hyperlink>
    </w:p>
    <w:p>
      <w:pPr>
        <w:keepNext/>
        <w:spacing w:after="40"/>
      </w:pPr>
      <w:r>
        <w:rPr>
          <w:b/>
          <w:sz w:val="21"/>
        </w:rPr>
        <w:t>R3  Pemerintah Indonesia</w:t>
      </w:r>
    </w:p>
    <w:p>
      <w:pPr>
        <w:keepNext/>
        <w:spacing w:after="40"/>
      </w:pPr>
      <w:r>
        <w:rPr>
          <w:b w:val="0"/>
          <w:sz w:val="20"/>
        </w:rPr>
        <w:t>UU Nomor 16 Tahun 2025 terutama perubahan Pasal 3X 3Y 3AA dan penghapusan Pasal 9G</w:t>
      </w:r>
    </w:p>
    <w:p>
      <w:pPr>
        <w:spacing w:after="220"/>
      </w:pPr>
      <w:r>
        <w:rPr>
          <w:b w:val="0"/>
        </w:rPr>
      </w:r>
      <w:hyperlink r:id="rId14">
        <w:r>
          <w:rPr>
            <w:color w:val="244C70"/>
            <w:sz w:val="20"/>
            <w:rFonts w:ascii="Arial" w:hAnsi="Arial"/>
          </w:rPr>
          <w:t>Sumber resmi</w:t>
        </w:r>
      </w:hyperlink>
    </w:p>
    <w:p>
      <w:pPr>
        <w:keepNext/>
        <w:spacing w:after="40"/>
      </w:pPr>
      <w:r>
        <w:rPr>
          <w:b/>
          <w:sz w:val="21"/>
        </w:rPr>
        <w:t>R4  Danantara Indonesia</w:t>
      </w:r>
    </w:p>
    <w:p>
      <w:pPr>
        <w:keepNext/>
        <w:spacing w:after="40"/>
      </w:pPr>
      <w:r>
        <w:rPr>
          <w:b w:val="0"/>
          <w:sz w:val="20"/>
        </w:rPr>
        <w:t>Struktur BPI Danantara</w:t>
      </w:r>
    </w:p>
    <w:p>
      <w:pPr>
        <w:spacing w:after="220"/>
      </w:pPr>
      <w:r>
        <w:rPr>
          <w:b w:val="0"/>
        </w:rPr>
      </w:r>
      <w:hyperlink r:id="rId15">
        <w:r>
          <w:rPr>
            <w:color w:val="244C70"/>
            <w:sz w:val="20"/>
            <w:rFonts w:ascii="Arial" w:hAnsi="Arial"/>
          </w:rPr>
          <w:t>Sumber resmi</w:t>
        </w:r>
      </w:hyperlink>
    </w:p>
    <w:p>
      <w:pPr>
        <w:keepNext/>
        <w:spacing w:after="40"/>
      </w:pPr>
      <w:r>
        <w:rPr>
          <w:b/>
          <w:sz w:val="21"/>
        </w:rPr>
        <w:t>R5  Danantara Indonesia</w:t>
      </w:r>
    </w:p>
    <w:p>
      <w:pPr>
        <w:keepNext/>
        <w:spacing w:after="40"/>
      </w:pPr>
      <w:r>
        <w:rPr>
          <w:b w:val="0"/>
          <w:sz w:val="20"/>
        </w:rPr>
        <w:t>Struktur Danantara Asset Management</w:t>
      </w:r>
    </w:p>
    <w:p>
      <w:pPr>
        <w:spacing w:after="220"/>
      </w:pPr>
      <w:r>
        <w:rPr>
          <w:b w:val="0"/>
        </w:rPr>
      </w:r>
      <w:hyperlink r:id="rId16">
        <w:r>
          <w:rPr>
            <w:color w:val="244C70"/>
            <w:sz w:val="20"/>
            <w:rFonts w:ascii="Arial" w:hAnsi="Arial"/>
          </w:rPr>
          <w:t>Sumber resmi</w:t>
        </w:r>
      </w:hyperlink>
    </w:p>
    <w:p>
      <w:pPr>
        <w:keepNext/>
        <w:spacing w:after="40"/>
      </w:pPr>
      <w:r>
        <w:rPr>
          <w:b/>
          <w:sz w:val="21"/>
        </w:rPr>
        <w:t>R6  Danantara Indonesia</w:t>
      </w:r>
    </w:p>
    <w:p>
      <w:pPr>
        <w:keepNext/>
        <w:spacing w:after="40"/>
      </w:pPr>
      <w:r>
        <w:rPr>
          <w:b w:val="0"/>
          <w:sz w:val="20"/>
        </w:rPr>
        <w:t>Struktur Danantara Investment Management</w:t>
      </w:r>
    </w:p>
    <w:p>
      <w:pPr>
        <w:spacing w:after="220"/>
      </w:pPr>
      <w:r>
        <w:rPr>
          <w:b w:val="0"/>
        </w:rPr>
      </w:r>
      <w:hyperlink r:id="rId17">
        <w:r>
          <w:rPr>
            <w:color w:val="244C70"/>
            <w:sz w:val="20"/>
            <w:rFonts w:ascii="Arial" w:hAnsi="Arial"/>
          </w:rPr>
          <w:t>Sumber resmi</w:t>
        </w:r>
      </w:hyperlink>
    </w:p>
    <w:p>
      <w:pPr>
        <w:keepNext/>
        <w:spacing w:after="40"/>
      </w:pPr>
      <w:r>
        <w:rPr>
          <w:b/>
          <w:sz w:val="21"/>
        </w:rPr>
        <w:t>R7  Danantara Indonesia</w:t>
      </w:r>
    </w:p>
    <w:p>
      <w:pPr>
        <w:keepNext/>
        <w:spacing w:after="40"/>
      </w:pPr>
      <w:r>
        <w:rPr>
          <w:b w:val="0"/>
          <w:sz w:val="20"/>
        </w:rPr>
        <w:t>Mandat dan pendekatan DDMF serta struktur DDMF</w:t>
      </w:r>
    </w:p>
    <w:p>
      <w:pPr>
        <w:spacing w:after="220"/>
      </w:pPr>
      <w:r>
        <w:rPr>
          <w:b w:val="0"/>
        </w:rPr>
      </w:r>
      <w:hyperlink r:id="rId18">
        <w:r>
          <w:rPr>
            <w:color w:val="244C70"/>
            <w:sz w:val="20"/>
            <w:rFonts w:ascii="Arial" w:hAnsi="Arial"/>
          </w:rPr>
          <w:t>Sumber resmi</w:t>
        </w:r>
      </w:hyperlink>
    </w:p>
    <w:p>
      <w:pPr>
        <w:keepNext/>
        <w:spacing w:after="40"/>
      </w:pPr>
      <w:r>
        <w:rPr>
          <w:b/>
          <w:sz w:val="21"/>
        </w:rPr>
        <w:t>R8  Danantara Indonesia</w:t>
      </w:r>
    </w:p>
    <w:p>
      <w:pPr>
        <w:keepNext/>
        <w:spacing w:after="40"/>
      </w:pPr>
      <w:r>
        <w:rPr>
          <w:b w:val="0"/>
          <w:sz w:val="20"/>
        </w:rPr>
        <w:t>Official Statement tanggal 12 Mei 2026</w:t>
      </w:r>
    </w:p>
    <w:p>
      <w:pPr>
        <w:spacing w:after="220"/>
      </w:pPr>
      <w:r>
        <w:rPr>
          <w:b w:val="0"/>
        </w:rPr>
      </w:r>
      <w:hyperlink r:id="rId19">
        <w:r>
          <w:rPr>
            <w:color w:val="244C70"/>
            <w:sz w:val="20"/>
            <w:rFonts w:ascii="Arial" w:hAnsi="Arial"/>
          </w:rPr>
          <w:t>Sumber resmi</w:t>
        </w:r>
      </w:hyperlink>
    </w:p>
    <w:p>
      <w:r>
        <w:br w:type="page"/>
      </w:r>
    </w:p>
    <w:p>
      <w:pPr>
        <w:pStyle w:val="Heading1"/>
      </w:pPr>
      <w:r>
        <w:t>21 Referensi pembanding tata kelola</w:t>
      </w:r>
    </w:p>
    <w:p>
      <w:pPr>
        <w:keepNext/>
        <w:spacing w:after="40"/>
      </w:pPr>
      <w:r>
        <w:rPr>
          <w:b/>
          <w:sz w:val="21"/>
        </w:rPr>
        <w:t>R9  OECD</w:t>
      </w:r>
    </w:p>
    <w:p>
      <w:pPr>
        <w:keepNext/>
        <w:spacing w:after="40"/>
      </w:pPr>
      <w:r>
        <w:rPr>
          <w:b w:val="0"/>
          <w:sz w:val="20"/>
        </w:rPr>
        <w:t>OECD Guidelines on Corporate Governance of State Owned Enterprises 2024 terutama Chapter II</w:t>
      </w:r>
    </w:p>
    <w:p>
      <w:pPr>
        <w:spacing w:after="220"/>
      </w:pPr>
      <w:r>
        <w:rPr>
          <w:b w:val="0"/>
        </w:rPr>
      </w:r>
      <w:hyperlink r:id="rId20">
        <w:r>
          <w:rPr>
            <w:color w:val="244C70"/>
            <w:sz w:val="20"/>
            <w:rFonts w:ascii="Arial" w:hAnsi="Arial"/>
          </w:rPr>
          <w:t>Sumber resmi</w:t>
        </w:r>
      </w:hyperlink>
    </w:p>
    <w:p>
      <w:pPr>
        <w:keepNext/>
        <w:spacing w:after="40"/>
      </w:pPr>
      <w:r>
        <w:rPr>
          <w:b/>
          <w:sz w:val="21"/>
        </w:rPr>
        <w:t>R10  SASAC</w:t>
      </w:r>
    </w:p>
    <w:p>
      <w:pPr>
        <w:keepNext/>
        <w:spacing w:after="40"/>
      </w:pPr>
      <w:r>
        <w:rPr>
          <w:b w:val="0"/>
          <w:sz w:val="20"/>
        </w:rPr>
        <w:t>Measures for Supervision and Administration of Central Enterprise Investment</w:t>
      </w:r>
    </w:p>
    <w:p>
      <w:pPr>
        <w:spacing w:after="220"/>
      </w:pPr>
      <w:r>
        <w:rPr>
          <w:b w:val="0"/>
        </w:rPr>
      </w:r>
      <w:hyperlink r:id="rId21">
        <w:r>
          <w:rPr>
            <w:color w:val="244C70"/>
            <w:sz w:val="20"/>
            <w:rFonts w:ascii="Arial" w:hAnsi="Arial"/>
          </w:rPr>
          <w:t>Sumber resmi</w:t>
        </w:r>
      </w:hyperlink>
    </w:p>
    <w:p>
      <w:pPr>
        <w:keepNext/>
        <w:spacing w:after="40"/>
      </w:pPr>
      <w:r>
        <w:rPr>
          <w:b/>
          <w:sz w:val="21"/>
        </w:rPr>
        <w:t>R11  SDIC</w:t>
      </w:r>
    </w:p>
    <w:p>
      <w:pPr>
        <w:keepNext/>
        <w:spacing w:after="40"/>
      </w:pPr>
      <w:r>
        <w:rPr>
          <w:b w:val="0"/>
          <w:sz w:val="20"/>
        </w:rPr>
        <w:t>Fund for Transformation of Scientific and Technological Achievements</w:t>
      </w:r>
    </w:p>
    <w:p>
      <w:pPr>
        <w:spacing w:after="220"/>
      </w:pPr>
      <w:r>
        <w:rPr>
          <w:b w:val="0"/>
        </w:rPr>
      </w:r>
      <w:hyperlink r:id="rId22">
        <w:r>
          <w:rPr>
            <w:color w:val="244C70"/>
            <w:sz w:val="20"/>
            <w:rFonts w:ascii="Arial" w:hAnsi="Arial"/>
          </w:rPr>
          <w:t>Sumber resmi</w:t>
        </w:r>
      </w:hyperlink>
    </w:p>
    <w:p>
      <w:pPr>
        <w:keepNext/>
        <w:spacing w:after="40"/>
      </w:pPr>
      <w:r>
        <w:rPr>
          <w:b/>
          <w:sz w:val="21"/>
        </w:rPr>
        <w:t>R12  Vietnam Government News</w:t>
      </w:r>
    </w:p>
    <w:p>
      <w:pPr>
        <w:keepNext/>
        <w:spacing w:after="40"/>
      </w:pPr>
      <w:r>
        <w:rPr>
          <w:b w:val="0"/>
          <w:sz w:val="20"/>
        </w:rPr>
        <w:t>Commission for Management of State Capital at Enterprises dissolved 23 Maret 2025</w:t>
      </w:r>
    </w:p>
    <w:p>
      <w:pPr>
        <w:spacing w:after="220"/>
      </w:pPr>
      <w:r>
        <w:rPr>
          <w:b w:val="0"/>
        </w:rPr>
      </w:r>
      <w:hyperlink r:id="rId23">
        <w:r>
          <w:rPr>
            <w:color w:val="244C70"/>
            <w:sz w:val="20"/>
            <w:rFonts w:ascii="Arial" w:hAnsi="Arial"/>
          </w:rPr>
          <w:t>Sumber resmi</w:t>
        </w:r>
      </w:hyperlink>
    </w:p>
    <w:p>
      <w:pPr>
        <w:keepNext/>
        <w:spacing w:after="40"/>
      </w:pPr>
      <w:r>
        <w:rPr>
          <w:b/>
          <w:sz w:val="21"/>
        </w:rPr>
        <w:t>R13  Ministry of Finance Vietnam</w:t>
      </w:r>
    </w:p>
    <w:p>
      <w:pPr>
        <w:keepNext/>
        <w:spacing w:after="40"/>
      </w:pPr>
      <w:r>
        <w:rPr>
          <w:b w:val="0"/>
          <w:sz w:val="20"/>
        </w:rPr>
        <w:t>Pertemuan dengan RDIF tanggal 18 Juni 2026 arah restrukturisasi SCIC</w:t>
      </w:r>
    </w:p>
    <w:p>
      <w:pPr>
        <w:spacing w:after="220"/>
      </w:pPr>
      <w:r>
        <w:rPr>
          <w:b w:val="0"/>
        </w:rPr>
      </w:r>
      <w:hyperlink r:id="rId24">
        <w:r>
          <w:rPr>
            <w:color w:val="244C70"/>
            <w:sz w:val="20"/>
            <w:rFonts w:ascii="Arial" w:hAnsi="Arial"/>
          </w:rPr>
          <w:t>Sumber resmi</w:t>
        </w:r>
      </w:hyperlink>
    </w:p>
    <w:p>
      <w:pPr>
        <w:keepNext/>
        <w:spacing w:after="40"/>
      </w:pPr>
      <w:r>
        <w:rPr>
          <w:b/>
          <w:sz w:val="21"/>
        </w:rPr>
        <w:t>R14  Prime Minister of India</w:t>
      </w:r>
    </w:p>
    <w:p>
      <w:pPr>
        <w:keepNext/>
        <w:spacing w:after="40"/>
      </w:pPr>
      <w:r>
        <w:rPr>
          <w:b w:val="0"/>
          <w:sz w:val="20"/>
        </w:rPr>
        <w:t>PM chairs 50th meeting of PRAGATI 31 Desember 2025</w:t>
      </w:r>
    </w:p>
    <w:p>
      <w:pPr>
        <w:spacing w:after="220"/>
      </w:pPr>
      <w:r>
        <w:rPr>
          <w:b w:val="0"/>
        </w:rPr>
      </w:r>
      <w:hyperlink r:id="rId25">
        <w:r>
          <w:rPr>
            <w:color w:val="244C70"/>
            <w:sz w:val="20"/>
            <w:rFonts w:ascii="Arial" w:hAnsi="Arial"/>
          </w:rPr>
          <w:t>Sumber resmi</w:t>
        </w:r>
      </w:hyperlink>
    </w:p>
    <w:p>
      <w:pPr>
        <w:keepNext/>
        <w:spacing w:after="40"/>
      </w:pPr>
      <w:r>
        <w:rPr>
          <w:b/>
          <w:sz w:val="21"/>
        </w:rPr>
        <w:t>R15  NIIF</w:t>
      </w:r>
    </w:p>
    <w:p>
      <w:pPr>
        <w:keepNext/>
        <w:spacing w:after="40"/>
      </w:pPr>
      <w:r>
        <w:rPr>
          <w:b w:val="0"/>
          <w:sz w:val="20"/>
        </w:rPr>
        <w:t>About NIIF sovereign anchored investment platform</w:t>
      </w:r>
    </w:p>
    <w:p>
      <w:pPr>
        <w:spacing w:after="220"/>
      </w:pPr>
      <w:r>
        <w:rPr>
          <w:b w:val="0"/>
        </w:rPr>
      </w:r>
      <w:hyperlink r:id="rId26">
        <w:r>
          <w:rPr>
            <w:color w:val="244C70"/>
            <w:sz w:val="20"/>
            <w:rFonts w:ascii="Arial" w:hAnsi="Arial"/>
          </w:rPr>
          <w:t>Sumber resmi</w:t>
        </w:r>
      </w:hyperlink>
    </w:p>
    <w:p>
      <w:r>
        <w:br w:type="page"/>
      </w:r>
    </w:p>
    <w:p>
      <w:pPr>
        <w:pStyle w:val="Heading1"/>
      </w:pPr>
      <w:r>
        <w:t>22 Referensi pembanding dan bahan pengguna</w:t>
      </w:r>
    </w:p>
    <w:p>
      <w:pPr>
        <w:keepNext/>
        <w:spacing w:after="40"/>
      </w:pPr>
      <w:r>
        <w:rPr>
          <w:b/>
          <w:sz w:val="21"/>
        </w:rPr>
        <w:t>R16  AIIB</w:t>
      </w:r>
    </w:p>
    <w:p>
      <w:pPr>
        <w:keepNext/>
        <w:spacing w:after="40"/>
      </w:pPr>
      <w:r>
        <w:rPr>
          <w:b w:val="0"/>
          <w:sz w:val="20"/>
        </w:rPr>
        <w:t>India NIIF PMF II investment appraisal and environmental social controls</w:t>
      </w:r>
    </w:p>
    <w:p>
      <w:pPr>
        <w:spacing w:after="220"/>
      </w:pPr>
      <w:r>
        <w:rPr>
          <w:b w:val="0"/>
        </w:rPr>
      </w:r>
      <w:hyperlink r:id="rId27">
        <w:r>
          <w:rPr>
            <w:color w:val="244C70"/>
            <w:sz w:val="20"/>
            <w:rFonts w:ascii="Arial" w:hAnsi="Arial"/>
          </w:rPr>
          <w:t>Sumber resmi</w:t>
        </w:r>
      </w:hyperlink>
    </w:p>
    <w:p>
      <w:pPr>
        <w:keepNext/>
        <w:spacing w:after="40"/>
      </w:pPr>
      <w:r>
        <w:rPr>
          <w:b/>
          <w:sz w:val="21"/>
        </w:rPr>
        <w:t>R17  Khazanah Nasional</w:t>
      </w:r>
    </w:p>
    <w:p>
      <w:pPr>
        <w:keepNext/>
        <w:spacing w:after="40"/>
      </w:pPr>
      <w:r>
        <w:rPr>
          <w:b w:val="0"/>
          <w:sz w:val="20"/>
        </w:rPr>
        <w:t>Governance Framework of Integrity Governance and Risk Management</w:t>
      </w:r>
    </w:p>
    <w:p>
      <w:pPr>
        <w:spacing w:after="220"/>
      </w:pPr>
      <w:r>
        <w:rPr>
          <w:b w:val="0"/>
        </w:rPr>
      </w:r>
      <w:hyperlink r:id="rId28">
        <w:r>
          <w:rPr>
            <w:color w:val="244C70"/>
            <w:sz w:val="20"/>
            <w:rFonts w:ascii="Arial" w:hAnsi="Arial"/>
          </w:rPr>
          <w:t>Sumber resmi</w:t>
        </w:r>
      </w:hyperlink>
    </w:p>
    <w:p>
      <w:pPr>
        <w:keepNext/>
        <w:spacing w:after="40"/>
      </w:pPr>
      <w:r>
        <w:rPr>
          <w:b/>
          <w:sz w:val="21"/>
        </w:rPr>
        <w:t>R18  Khazanah Nasional</w:t>
      </w:r>
    </w:p>
    <w:p>
      <w:pPr>
        <w:keepNext/>
        <w:spacing w:after="40"/>
      </w:pPr>
      <w:r>
        <w:rPr>
          <w:b w:val="0"/>
          <w:sz w:val="20"/>
        </w:rPr>
        <w:t>Investment Policy investment mandates and risk appetite</w:t>
      </w:r>
    </w:p>
    <w:p>
      <w:pPr>
        <w:spacing w:after="220"/>
      </w:pPr>
      <w:r>
        <w:rPr>
          <w:b w:val="0"/>
        </w:rPr>
      </w:r>
      <w:hyperlink r:id="rId29">
        <w:r>
          <w:rPr>
            <w:color w:val="244C70"/>
            <w:sz w:val="20"/>
            <w:rFonts w:ascii="Arial" w:hAnsi="Arial"/>
          </w:rPr>
          <w:t>Sumber resmi</w:t>
        </w:r>
      </w:hyperlink>
    </w:p>
    <w:p>
      <w:pPr>
        <w:keepNext/>
        <w:spacing w:after="40"/>
      </w:pPr>
      <w:r>
        <w:rPr>
          <w:b/>
          <w:sz w:val="21"/>
        </w:rPr>
        <w:t>R19  Prime Ministers Office Malaysia dan MITI</w:t>
      </w:r>
    </w:p>
    <w:p>
      <w:pPr>
        <w:keepNext/>
        <w:spacing w:after="40"/>
      </w:pPr>
      <w:r>
        <w:rPr>
          <w:b w:val="0"/>
          <w:sz w:val="20"/>
        </w:rPr>
        <w:t>NIMP 2030 governance and Delivery Management Unit</w:t>
      </w:r>
    </w:p>
    <w:p>
      <w:pPr>
        <w:spacing w:after="220"/>
      </w:pPr>
      <w:r>
        <w:rPr>
          <w:b w:val="0"/>
        </w:rPr>
      </w:r>
      <w:hyperlink r:id="rId30">
        <w:r>
          <w:rPr>
            <w:color w:val="244C70"/>
            <w:sz w:val="20"/>
            <w:rFonts w:ascii="Arial" w:hAnsi="Arial"/>
          </w:rPr>
          <w:t>Sumber resmi</w:t>
        </w:r>
      </w:hyperlink>
    </w:p>
    <w:p>
      <w:pPr>
        <w:pStyle w:val="Heading2"/>
      </w:pPr>
      <w:r>
        <w:t>Bahan pengguna dan kajian terdahulu</w:t>
      </w:r>
    </w:p>
    <w:p>
      <w:r>
        <w:rPr>
          <w:b w:val="0"/>
          <w:sz w:val="20"/>
        </w:rPr>
        <w:t>U1  40 Strategic Projects.jpeg. Digunakan untuk lingkup portofolio dan pemeriksaan konsistensi angka. Register lengkap serta dasar penetapan belum tersedia dalam bahan yang dibaca.</w:t>
      </w:r>
    </w:p>
    <w:p>
      <w:r>
        <w:rPr>
          <w:b w:val="0"/>
          <w:sz w:val="20"/>
        </w:rPr>
        <w:t>U2  261001 danantara_legal_briefing_memo.pdf. Bahan diskusi hukum internal. Klaim pembentukan Wakil Kepala, perlindungan hukum dan pembiayaan diuji kembali terhadap regulasi; tidak dianggap sebagai instrumen persetujuan.</w:t>
      </w:r>
    </w:p>
    <w:p>
      <w:r>
        <w:rPr>
          <w:b w:val="0"/>
          <w:sz w:val="20"/>
        </w:rPr>
        <w:t>U3  Danantara Organization Analysis.docx. Konteks organisasi dan perbandingan awal per 30 September 2026. Fakta yang menentukan rekomendasi dicocokkan dengan sumber resmi.</w:t>
      </w:r>
    </w:p>
    <w:p>
      <w:r>
        <w:rPr>
          <w:b w:val="0"/>
          <w:sz w:val="20"/>
        </w:rPr>
        <w:t>U4  Kajian_PP_Danantara_dan_RASCI.docx. Kajian PP dan RASCI pada percakapan ini. Laporan sekarang memperluas evaluasi ke arm Industri Strategis tanpa mengesahkan RASCI yang sudah disusun.</w:t>
      </w:r>
    </w:p>
    <w:p>
      <w:pPr>
        <w:spacing w:before="100"/>
      </w:pPr>
      <w:r>
        <w:rPr>
          <w:b w:val="0"/>
          <w:color w:val="56606B"/>
          <w:sz w:val="19"/>
        </w:rPr>
        <w:t>Batas hasil: dokumen ini merupakan kajian dan rancangan untuk diskusi manajemen. Belum ada audit kepatuhan, pemeriksaan semua berkas proyek, pengesahan struktur, penetapan jabatan atau otorisasi pembiayaan oleh kajian ini.</w:t>
      </w:r>
    </w:p>
    <w:sectPr w:rsidR="00FC693F" w:rsidRPr="0006063C" w:rsidSect="00034616">
      <w:headerReference w:type="default" r:id="rId9"/>
      <w:footerReference w:type="default" r:id="rId10"/>
      <w:pgSz w:w="12240" w:h="15840"/>
      <w:pgMar w:top="1037"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Bahan diskusi internal  |  2 Oktober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6606B"/>
        <w:sz w:val="18"/>
      </w:rPr>
      <w:t>Evaluasi organisasi Danantara dan eksekusi 40 proyek strategis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Arial" w:hAnsi="Arial" w:eastAsia="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Arial" w:hAnsi="Arial" w:eastAsia="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eastAsia="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peraturan.bpk.go.id/Download/375607/PP%20Nomor%2010%20Tahun%202025.pdf" TargetMode="External"/><Relationship Id="rId13" Type="http://schemas.openxmlformats.org/officeDocument/2006/relationships/hyperlink" Target="https://d19ypesdspgr78.cloudfront.net/794/Peraturan-Pemerintah-Nomor-19-Tahun-2026-Tentang-Perubahan-Atas-Peraturan-Pemerintah-Nomor-10-Tahun-2025-Tentang-Organisasi-Dan-Tata-Kelola-Badan-Pengelola-Investasi-Daya-Anagata-Nusantara.pdf" TargetMode="External"/><Relationship Id="rId14" Type="http://schemas.openxmlformats.org/officeDocument/2006/relationships/hyperlink" Target="https://d19ypesdspgr78.cloudfront.net/791/Undang-Undang-Nomor-16-Tahun-2025-Tentang-Perubahan-Keempat-Atas-Undang-Undang-Nomor-19-Tahun-2003-Tentang-Badan-Usaha-Milik-Negara.pdf" TargetMode="External"/><Relationship Id="rId15" Type="http://schemas.openxmlformats.org/officeDocument/2006/relationships/hyperlink" Target="https://www.danantaraindonesia.co.id/id/about/our-people/bpi-danantaras" TargetMode="External"/><Relationship Id="rId16" Type="http://schemas.openxmlformats.org/officeDocument/2006/relationships/hyperlink" Target="https://www.danantaraindonesia.co.id/id/about/our-people/structure-danantara-asset-management" TargetMode="External"/><Relationship Id="rId17" Type="http://schemas.openxmlformats.org/officeDocument/2006/relationships/hyperlink" Target="https://www.danantaraindonesia.co.id/id/about/our-people/danantara-investment-managementx" TargetMode="External"/><Relationship Id="rId18" Type="http://schemas.openxmlformats.org/officeDocument/2006/relationships/hyperlink" Target="https://www.danantaraindonesia.co.id/id/ddmf" TargetMode="External"/><Relationship Id="rId19" Type="http://schemas.openxmlformats.org/officeDocument/2006/relationships/hyperlink" Target="https://www.danantaraindonesia.co.id/media-center/announcement/corporate-statement" TargetMode="External"/><Relationship Id="rId20" Type="http://schemas.openxmlformats.org/officeDocument/2006/relationships/hyperlink" Target="https://www.oecd.org/en/publications/oecd-guidelines-on-corporate-governance-of-state-owned-enterprises-2024_18a24f43-en/full-report/component-6.html" TargetMode="External"/><Relationship Id="rId21" Type="http://schemas.openxmlformats.org/officeDocument/2006/relationships/hyperlink" Target="https://www.sasac.gov.cn/n2588035/n2588320/n2588335/c20164244/content.html" TargetMode="External"/><Relationship Id="rId22" Type="http://schemas.openxmlformats.org/officeDocument/2006/relationships/hyperlink" Target="https://www.sdic.com.cn/en/sdicnews/newall/webinfo/2022/01/1642877744610996.htm" TargetMode="External"/><Relationship Id="rId23" Type="http://schemas.openxmlformats.org/officeDocument/2006/relationships/hyperlink" Target="https://en.baochinhphu.vn/commission-for-management-of-state-capital-at-enterprises-dissolved-111250323081830981.htm" TargetMode="External"/><Relationship Id="rId24" Type="http://schemas.openxmlformats.org/officeDocument/2006/relationships/hyperlink" Target="https://www.mof.gov.vn/tin-tuc-tai-chinh/tin-tuc-su-kien-8/bo-truong-ngo-van-tuan-lam-viec-voi-tong-giam-doc-rdif-thuc-day-hop-tac-dau-tu" TargetMode="External"/><Relationship Id="rId25" Type="http://schemas.openxmlformats.org/officeDocument/2006/relationships/hyperlink" Target="https://www.pmindia.gov.in/en/news_updates/pm-chairs-50th-meeting-of-pragati/" TargetMode="External"/><Relationship Id="rId26" Type="http://schemas.openxmlformats.org/officeDocument/2006/relationships/hyperlink" Target="https://www.niifindia.in/about/" TargetMode="External"/><Relationship Id="rId27" Type="http://schemas.openxmlformats.org/officeDocument/2006/relationships/hyperlink" Target="https://www.aiib.org/en/projects/details/2024/approved/India-NIIF-PMF-II.html" TargetMode="External"/><Relationship Id="rId28" Type="http://schemas.openxmlformats.org/officeDocument/2006/relationships/hyperlink" Target="https://www.khazanah.com.my/responsible-stewardship/governance/" TargetMode="External"/><Relationship Id="rId29" Type="http://schemas.openxmlformats.org/officeDocument/2006/relationships/hyperlink" Target="https://www.khazanah.com.my/investment-policy/" TargetMode="External"/><Relationship Id="rId30" Type="http://schemas.openxmlformats.org/officeDocument/2006/relationships/hyperlink" Target="https://www.pmo.gov.my/en/speeches-en/speech-text-by-prime-minister-the-launch-of-the-new-industrial-master-plan-2030-nimp-20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Evaluasi Tata Kelola Danantara dan Organisasi Industri Strategis</dc:title>
  <dc:subject>Percepatan 40 proyek dan opsi Wakil Kepala Badan Pelaksana</dc:subject>
  <dc:creator>Kajian untuk diskusi manajemen</dc:creator>
  <cp:keywords>Danantara, Good Governance, Strategic Industry, RASCI</cp:keywords>
  <dc:description>generated by python-docx</dc:description>
  <cp:lastModifiedBy/>
  <cp:revision>1</cp:revision>
  <dcterms:created xsi:type="dcterms:W3CDTF">2013-12-23T23:15:00Z</dcterms:created>
  <dcterms:modified xsi:type="dcterms:W3CDTF">2013-12-23T23:15:00Z</dcterms:modified>
  <cp:category/>
</cp:coreProperties>
</file>