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7F82"/>
          <w:sz w:val="16"/>
        </w:rPr>
        <w:t>INVESTMENT • SOE OPERATIONS • INDUSTRIALIZATION</w:t>
      </w:r>
    </w:p>
    <w:p>
      <w:pPr>
        <w:pStyle w:val="Title"/>
      </w:pPr>
      <w:r>
        <w:t>Danantara performance study</w:t>
      </w:r>
    </w:p>
    <w:p>
      <w:r>
        <w:t>Strategic and profitable investment, operating efficiency and growth, and additional economic development</w:t>
      </w:r>
    </w:p>
    <w:tbl>
      <w:tblPr>
        <w:tblW w:type="auto" w:w="0"/>
        <w:tblLook w:firstColumn="1" w:firstRow="1" w:lastColumn="0" w:lastRow="0" w:noHBand="0" w:noVBand="1" w:val="04A0"/>
      </w:tblPr>
      <w:tblGrid>
        <w:gridCol w:w="10239"/>
      </w:tblGrid>
      <w:tr>
        <w:tc>
          <w:tcPr>
            <w:tcW w:type="dxa" w:w="10239"/>
            <w:shd w:fill="E9F3F3"/>
          </w:tcPr>
          <w:p>
            <w:r>
              <w:rPr>
                <w:b/>
                <w:color w:val="15344B"/>
              </w:rPr>
              <w:t>Public-evidence assessment and an implementable international performance framework | As of 6 October 2026</w:t>
            </w:r>
          </w:p>
        </w:tc>
      </w:tr>
    </w:tbl>
    <w:p>
      <w:pPr>
        <w:spacing w:after="20"/>
      </w:pPr>
    </w:p>
    <w:p>
      <w:r>
        <w:t>Prepared for Hery Haerudin | R&amp;D Management</w:t>
      </w:r>
    </w:p>
    <w:p>
      <w:pPr>
        <w:pStyle w:val="Heading2"/>
      </w:pPr>
      <w:r>
        <w:t>Decision focus</w:t>
      </w:r>
    </w:p>
    <w:p>
      <w:r>
        <w:t>Determine whether Danantara is converting state capital and financing capacity into sustainable financial returns, stronger enterprises and additional industrial capabilities. The report combines a current evidence assessment with a proposed measurement system that can be populated and independently verified.</w:t>
      </w:r>
    </w:p>
    <w:p>
      <w:pPr>
        <w:pStyle w:val="Heading2"/>
      </w:pPr>
      <w:r>
        <w:t>Deliverables</w:t>
      </w:r>
    </w:p>
    <w:p>
      <w:r>
        <w:t>This report is accompanied by an editable Excel scorecard containing 45 metric and governance definitions, source-linked observations, project and financing registers, scoring controls, and a transparent illustrative financial/economic model.</w:t>
      </w:r>
    </w:p>
    <w:p>
      <w:pPr>
        <w:pStyle w:val="Heading2"/>
      </w:pPr>
      <w:r>
        <w:t>Assessment boundary</w:t>
      </w:r>
    </w:p>
    <w:p>
      <w:r>
        <w:t>This is an analytical study, not an audit, valuation opinion or official rating. Company results and public announcements are separated from attributed Danantara outcomes. Proposed thresholds, weights and governance arrangements are explicitly identified as recommendations.</w:t>
      </w:r>
    </w:p>
    <w:p>
      <w:r>
        <w:t>Evidence includes official releases through September 2026 and selected FY2025/H1 2026 company disclosures. It does not imply that every project, subsidiary or unpublished management record has been examined.</w:t>
      </w:r>
    </w:p>
    <w:p>
      <w:r>
        <w:br w:type="page"/>
      </w:r>
    </w:p>
    <w:p>
      <w:r>
        <w:rPr>
          <w:b/>
          <w:color w:val="007F82"/>
          <w:sz w:val="16"/>
        </w:rPr>
        <w:t>PERFORMANCE STUDY</w:t>
      </w:r>
    </w:p>
    <w:p>
      <w:pPr>
        <w:pStyle w:val="Heading1"/>
      </w:pPr>
      <w:r>
        <w:t>Executive assessment</w:t>
      </w:r>
    </w:p>
    <w:tbl>
      <w:tblPr>
        <w:tblW w:type="auto" w:w="0"/>
        <w:tblLook w:firstColumn="1" w:firstRow="1" w:lastColumn="0" w:lastRow="0" w:noHBand="0" w:noVBand="1" w:val="04A0"/>
      </w:tblPr>
      <w:tblGrid>
        <w:gridCol w:w="10239"/>
      </w:tblGrid>
      <w:tr>
        <w:tc>
          <w:tcPr>
            <w:tcW w:type="dxa" w:w="10239"/>
            <w:shd w:fill="E9F3F3"/>
          </w:tcPr>
          <w:p>
            <w:r>
              <w:rPr>
                <w:b/>
                <w:color w:val="15344B"/>
              </w:rPr>
              <w:t>Danantara has demonstrated institutional activation, market funding access and selected project execution milestones. The evidence reviewed does not yet support a defensible aggregate verdict on risk-adjusted investment returns, attributable SOE value creation or realized industrial impact.</w:t>
            </w:r>
          </w:p>
        </w:tc>
      </w:tr>
    </w:tbl>
    <w:p>
      <w:pPr>
        <w:spacing w:after="20"/>
      </w:pPr>
    </w:p>
    <w:tbl>
      <w:tblPr>
        <w:tblW w:type="auto" w:w="0"/>
        <w:tblLayout w:type="fixed"/>
        <w:tblLook w:firstColumn="1" w:firstRow="1" w:lastColumn="0" w:lastRow="0" w:noHBand="0" w:noVBand="1" w:val="04A0"/>
      </w:tblPr>
      <w:tblGrid>
        <w:gridCol w:w="1843"/>
        <w:gridCol w:w="3686"/>
        <w:gridCol w:w="4710"/>
      </w:tblGrid>
      <w:tr>
        <w:trPr>
          <w:tblHeader/>
          <w:cantSplit/>
        </w:trPr>
        <w:tc>
          <w:tcPr>
            <w:tcW w:type="dxa" w:w="1843"/>
            <w:shd w:fill="15344B"/>
          </w:tcPr>
          <w:p>
            <w:pPr>
              <w:spacing w:after="100" w:before="80" w:line="245" w:lineRule="auto"/>
            </w:pPr>
            <w:r>
              <w:rPr>
                <w:rFonts w:ascii="Arial" w:hAnsi="Arial"/>
                <w:b/>
                <w:color w:val="FFFFFF"/>
                <w:sz w:val="17"/>
              </w:rPr>
              <w:t>Stream</w:t>
            </w:r>
          </w:p>
        </w:tc>
        <w:tc>
          <w:tcPr>
            <w:tcW w:type="dxa" w:w="3686"/>
            <w:shd w:fill="15344B"/>
          </w:tcPr>
          <w:p>
            <w:pPr>
              <w:spacing w:after="100" w:before="80" w:line="245" w:lineRule="auto"/>
            </w:pPr>
            <w:r>
              <w:rPr>
                <w:rFonts w:ascii="Arial" w:hAnsi="Arial"/>
                <w:b/>
                <w:color w:val="FFFFFF"/>
                <w:sz w:val="17"/>
              </w:rPr>
              <w:t>Current assessment</w:t>
            </w:r>
          </w:p>
        </w:tc>
        <w:tc>
          <w:tcPr>
            <w:tcW w:type="dxa" w:w="4710"/>
            <w:shd w:fill="15344B"/>
          </w:tcPr>
          <w:p>
            <w:pPr>
              <w:spacing w:after="100" w:before="80" w:line="245" w:lineRule="auto"/>
            </w:pPr>
            <w:r>
              <w:rPr>
                <w:rFonts w:ascii="Arial" w:hAnsi="Arial"/>
                <w:b/>
                <w:color w:val="FFFFFF"/>
                <w:sz w:val="17"/>
              </w:rPr>
              <w:t>What establishes success</w:t>
            </w:r>
          </w:p>
        </w:tc>
      </w:tr>
      <w:tr>
        <w:trPr>
          <w:cantSplit/>
        </w:trPr>
        <w:tc>
          <w:tcPr>
            <w:tcW w:type="dxa" w:w="1843"/>
            <w:shd w:fill="F0F5F7"/>
          </w:tcPr>
          <w:p>
            <w:pPr>
              <w:spacing w:after="100" w:before="80" w:line="245" w:lineRule="auto"/>
            </w:pPr>
            <w:r>
              <w:rPr>
                <w:rFonts w:ascii="Arial" w:hAnsi="Arial"/>
                <w:sz w:val="17"/>
              </w:rPr>
              <w:t>Investment</w:t>
            </w:r>
          </w:p>
        </w:tc>
        <w:tc>
          <w:tcPr>
            <w:tcW w:type="dxa" w:w="3686"/>
            <w:shd w:fill="F0F5F7"/>
          </w:tcPr>
          <w:p>
            <w:pPr>
              <w:spacing w:after="100" w:before="80" w:line="245" w:lineRule="auto"/>
            </w:pPr>
            <w:r>
              <w:rPr>
                <w:rFonts w:ascii="Arial" w:hAnsi="Arial"/>
                <w:sz w:val="17"/>
              </w:rPr>
              <w:t>Financing and commitments evidenced; portfolio return performance not rateable.</w:t>
            </w:r>
          </w:p>
        </w:tc>
        <w:tc>
          <w:tcPr>
            <w:tcW w:type="dxa" w:w="4710"/>
            <w:shd w:fill="F0F5F7"/>
          </w:tcPr>
          <w:p>
            <w:pPr>
              <w:spacing w:after="100" w:before="80" w:line="245" w:lineRule="auto"/>
            </w:pPr>
            <w:r>
              <w:rPr>
                <w:rFonts w:ascii="Arial" w:hAnsi="Arial"/>
                <w:sz w:val="17"/>
              </w:rPr>
              <w:t>Net return above an appropriate benchmark, acceptable risk and independently supported valuations.</w:t>
            </w:r>
          </w:p>
        </w:tc>
      </w:tr>
      <w:tr>
        <w:trPr>
          <w:cantSplit/>
        </w:trPr>
        <w:tc>
          <w:tcPr>
            <w:tcW w:type="dxa" w:w="1843"/>
          </w:tcPr>
          <w:p>
            <w:pPr>
              <w:spacing w:after="100" w:before="80" w:line="245" w:lineRule="auto"/>
            </w:pPr>
            <w:r>
              <w:rPr>
                <w:rFonts w:ascii="Arial" w:hAnsi="Arial"/>
                <w:sz w:val="17"/>
              </w:rPr>
              <w:t>SOE operations</w:t>
            </w:r>
          </w:p>
        </w:tc>
        <w:tc>
          <w:tcPr>
            <w:tcW w:type="dxa" w:w="3686"/>
          </w:tcPr>
          <w:p>
            <w:pPr>
              <w:spacing w:after="100" w:before="80" w:line="245" w:lineRule="auto"/>
            </w:pPr>
            <w:r>
              <w:rPr>
                <w:rFonts w:ascii="Arial" w:hAnsi="Arial"/>
                <w:sz w:val="17"/>
              </w:rPr>
              <w:t>Selected outcomes are mixed; Danantara’s incremental contribution remains unverified.</w:t>
            </w:r>
          </w:p>
        </w:tc>
        <w:tc>
          <w:tcPr>
            <w:tcW w:type="dxa" w:w="4710"/>
          </w:tcPr>
          <w:p>
            <w:pPr>
              <w:spacing w:after="100" w:before="80" w:line="245" w:lineRule="auto"/>
            </w:pPr>
            <w:r>
              <w:rPr>
                <w:rFonts w:ascii="Arial" w:hAnsi="Arial"/>
                <w:sz w:val="17"/>
              </w:rPr>
              <w:t>Real productivity and economic-profit improvement, sustainable cash flow and service quality.</w:t>
            </w:r>
          </w:p>
        </w:tc>
      </w:tr>
      <w:tr>
        <w:trPr>
          <w:cantSplit/>
        </w:trPr>
        <w:tc>
          <w:tcPr>
            <w:tcW w:type="dxa" w:w="1843"/>
            <w:shd w:fill="F0F5F7"/>
          </w:tcPr>
          <w:p>
            <w:pPr>
              <w:spacing w:after="100" w:before="80" w:line="245" w:lineRule="auto"/>
            </w:pPr>
            <w:r>
              <w:rPr>
                <w:rFonts w:ascii="Arial" w:hAnsi="Arial"/>
                <w:sz w:val="17"/>
              </w:rPr>
              <w:t>Industrialization</w:t>
            </w:r>
          </w:p>
        </w:tc>
        <w:tc>
          <w:tcPr>
            <w:tcW w:type="dxa" w:w="3686"/>
            <w:shd w:fill="F0F5F7"/>
          </w:tcPr>
          <w:p>
            <w:pPr>
              <w:spacing w:after="100" w:before="80" w:line="245" w:lineRule="auto"/>
            </w:pPr>
            <w:r>
              <w:rPr>
                <w:rFonts w:ascii="Arial" w:hAnsi="Arial"/>
                <w:sz w:val="17"/>
              </w:rPr>
              <w:t>Project delivery has advanced; most cited capacity and impact figures remain prospective.</w:t>
            </w:r>
          </w:p>
        </w:tc>
        <w:tc>
          <w:tcPr>
            <w:tcW w:type="dxa" w:w="4710"/>
            <w:shd w:fill="F0F5F7"/>
          </w:tcPr>
          <w:p>
            <w:pPr>
              <w:spacing w:after="100" w:before="80" w:line="245" w:lineRule="auto"/>
            </w:pPr>
            <w:r>
              <w:rPr>
                <w:rFonts w:ascii="Arial" w:hAnsi="Arial"/>
                <w:sz w:val="17"/>
              </w:rPr>
              <w:t>Additional competitive output, domestic value added, technology capability and sustained jobs.</w:t>
            </w:r>
          </w:p>
        </w:tc>
      </w:tr>
    </w:tbl>
    <w:p>
      <w:pPr>
        <w:spacing w:after="0"/>
      </w:pPr>
    </w:p>
    <w:p>
      <w:pPr>
        <w:pStyle w:val="Heading2"/>
      </w:pPr>
      <w:r>
        <w:t>Five conclusions for decision makers</w:t>
      </w:r>
    </w:p>
    <w:p>
      <w:pPr>
        <w:pStyle w:val="ListBullet"/>
      </w:pPr>
      <w:r>
        <w:t>Use three connected scorecards. A single profit or dividend number cannot represent all three mandates.</w:t>
      </w:r>
    </w:p>
    <w:p>
      <w:pPr>
        <w:pStyle w:val="ListBullet"/>
      </w:pPr>
      <w:r>
        <w:t>Separate the inherited SOE portfolio from post-establishment investment vintages. Asset transfers enlarge the perimeter; they do not themselves create returns.</w:t>
      </w:r>
    </w:p>
    <w:p>
      <w:pPr>
        <w:pStyle w:val="ListBullet"/>
      </w:pPr>
      <w:r>
        <w:t>Treat capital raised, capital committed, capital disbursed, construction completed and benefits achieved as different stages.</w:t>
      </w:r>
    </w:p>
    <w:p>
      <w:pPr>
        <w:pStyle w:val="ListBullet"/>
      </w:pPr>
      <w:r>
        <w:t>Publish an opening-balance and performance bridge, then commission independent outcome evaluation. Do not translate a disclosure gap into an assumed financial loss.</w:t>
      </w:r>
    </w:p>
    <w:p>
      <w:pPr>
        <w:pStyle w:val="ListBullet"/>
      </w:pPr>
      <w:r>
        <w:t>Require both a financial case and an economic case for strategic projects. Where public support is needed, quantify it and approve the funding explicitly.</w:t>
      </w:r>
    </w:p>
    <w:p>
      <w:r>
        <w:t>The financing disclosure, selected company results and project announcements substantiate activity, but their boundaries differ. The July 2026 consolidation statement and the reports landing page inspected for this study did not provide a complete audited portfolio return series. [S01–S02, S05–S07, S10–S13]</w:t>
      </w:r>
    </w:p>
    <w:p>
      <w:r>
        <w:br w:type="page"/>
      </w:r>
    </w:p>
    <w:p>
      <w:r>
        <w:rPr>
          <w:b/>
          <w:color w:val="007F82"/>
          <w:sz w:val="16"/>
        </w:rPr>
        <w:t>PERFORMANCE STUDY</w:t>
      </w:r>
    </w:p>
    <w:p>
      <w:pPr>
        <w:pStyle w:val="Heading1"/>
      </w:pPr>
      <w:r>
        <w:t>Scope, evidence and rating discipline</w:t>
      </w:r>
    </w:p>
    <w:p>
      <w:pPr>
        <w:pStyle w:val="Heading2"/>
      </w:pPr>
      <w:r>
        <w:t>What is assessed</w:t>
      </w:r>
    </w:p>
    <w:p>
      <w:r>
        <w:t>The evaluation unit is the Danantara ecosystem, with reporting by BPI, DAM, DIM, DDMF, SOE and project company. The three streams are performance questions rather than rigid legal silos: a DIM-financed industrial project needs an economic assessment, while a DDMF-supported project still needs financial sustainability. DDMF’s published mandate already covers national development and public services. [S09]</w:t>
      </w:r>
    </w:p>
    <w:tbl>
      <w:tblPr>
        <w:tblW w:type="auto" w:w="0"/>
        <w:tblLayout w:type="fixed"/>
        <w:tblLook w:firstColumn="1" w:firstRow="1" w:lastColumn="0" w:lastRow="0" w:noHBand="0" w:noVBand="1" w:val="04A0"/>
      </w:tblPr>
      <w:tblGrid>
        <w:gridCol w:w="3481"/>
        <w:gridCol w:w="6757"/>
      </w:tblGrid>
      <w:tr>
        <w:trPr>
          <w:tblHeader/>
          <w:cantSplit/>
        </w:trPr>
        <w:tc>
          <w:tcPr>
            <w:tcW w:type="dxa" w:w="3481"/>
            <w:shd w:fill="15344B"/>
          </w:tcPr>
          <w:p>
            <w:pPr>
              <w:spacing w:after="100" w:before="80" w:line="245" w:lineRule="auto"/>
            </w:pPr>
            <w:r>
              <w:rPr>
                <w:rFonts w:ascii="Arial" w:hAnsi="Arial"/>
                <w:b/>
                <w:color w:val="FFFFFF"/>
                <w:sz w:val="17"/>
              </w:rPr>
              <w:t>Evidence class</w:t>
            </w:r>
          </w:p>
        </w:tc>
        <w:tc>
          <w:tcPr>
            <w:tcW w:type="dxa" w:w="6757"/>
            <w:shd w:fill="15344B"/>
          </w:tcPr>
          <w:p>
            <w:pPr>
              <w:spacing w:after="100" w:before="80" w:line="245" w:lineRule="auto"/>
            </w:pPr>
            <w:r>
              <w:rPr>
                <w:rFonts w:ascii="Arial" w:hAnsi="Arial"/>
                <w:b/>
                <w:color w:val="FFFFFF"/>
                <w:sz w:val="17"/>
              </w:rPr>
              <w:t>Permitted interpretation</w:t>
            </w:r>
          </w:p>
        </w:tc>
      </w:tr>
      <w:tr>
        <w:trPr>
          <w:cantSplit/>
        </w:trPr>
        <w:tc>
          <w:tcPr>
            <w:tcW w:type="dxa" w:w="3481"/>
            <w:shd w:fill="F0F5F7"/>
          </w:tcPr>
          <w:p>
            <w:pPr>
              <w:spacing w:after="100" w:before="80" w:line="245" w:lineRule="auto"/>
            </w:pPr>
            <w:r>
              <w:rPr>
                <w:rFonts w:ascii="Arial" w:hAnsi="Arial"/>
                <w:sz w:val="17"/>
              </w:rPr>
              <w:t>A — audited / independently assured</w:t>
            </w:r>
          </w:p>
        </w:tc>
        <w:tc>
          <w:tcPr>
            <w:tcW w:type="dxa" w:w="6757"/>
            <w:shd w:fill="F0F5F7"/>
          </w:tcPr>
          <w:p>
            <w:pPr>
              <w:spacing w:after="100" w:before="80" w:line="245" w:lineRule="auto"/>
            </w:pPr>
            <w:r>
              <w:rPr>
                <w:rFonts w:ascii="Arial" w:hAnsi="Arial"/>
                <w:sz w:val="17"/>
              </w:rPr>
              <w:t>Highest confidence, provided the audit scope, period and metric definition match.</w:t>
            </w:r>
          </w:p>
        </w:tc>
      </w:tr>
      <w:tr>
        <w:trPr>
          <w:cantSplit/>
        </w:trPr>
        <w:tc>
          <w:tcPr>
            <w:tcW w:type="dxa" w:w="3481"/>
          </w:tcPr>
          <w:p>
            <w:pPr>
              <w:spacing w:after="100" w:before="80" w:line="245" w:lineRule="auto"/>
            </w:pPr>
            <w:r>
              <w:rPr>
                <w:rFonts w:ascii="Arial" w:hAnsi="Arial"/>
                <w:sz w:val="17"/>
              </w:rPr>
              <w:t>B — official reported observation</w:t>
            </w:r>
          </w:p>
        </w:tc>
        <w:tc>
          <w:tcPr>
            <w:tcW w:type="dxa" w:w="6757"/>
          </w:tcPr>
          <w:p>
            <w:pPr>
              <w:spacing w:after="100" w:before="80" w:line="245" w:lineRule="auto"/>
            </w:pPr>
            <w:r>
              <w:rPr>
                <w:rFonts w:ascii="Arial" w:hAnsi="Arial"/>
                <w:sz w:val="17"/>
              </w:rPr>
              <w:t>Usable with an explicit assurance limitation; includes company releases and source-derived calculations.</w:t>
            </w:r>
          </w:p>
        </w:tc>
      </w:tr>
      <w:tr>
        <w:trPr>
          <w:cantSplit/>
        </w:trPr>
        <w:tc>
          <w:tcPr>
            <w:tcW w:type="dxa" w:w="3481"/>
            <w:shd w:fill="F0F5F7"/>
          </w:tcPr>
          <w:p>
            <w:pPr>
              <w:spacing w:after="100" w:before="80" w:line="245" w:lineRule="auto"/>
            </w:pPr>
            <w:r>
              <w:rPr>
                <w:rFonts w:ascii="Arial" w:hAnsi="Arial"/>
                <w:sz w:val="17"/>
              </w:rPr>
              <w:t>C — announcement / forecast / commitment</w:t>
            </w:r>
          </w:p>
        </w:tc>
        <w:tc>
          <w:tcPr>
            <w:tcW w:type="dxa" w:w="6757"/>
            <w:shd w:fill="F0F5F7"/>
          </w:tcPr>
          <w:p>
            <w:pPr>
              <w:spacing w:after="100" w:before="80" w:line="245" w:lineRule="auto"/>
            </w:pPr>
            <w:r>
              <w:rPr>
                <w:rFonts w:ascii="Arial" w:hAnsi="Arial"/>
                <w:sz w:val="17"/>
              </w:rPr>
              <w:t>Evidence of intent or a documented milestone; not evidence of realized profit, production or impact.</w:t>
            </w:r>
          </w:p>
        </w:tc>
      </w:tr>
      <w:tr>
        <w:trPr>
          <w:cantSplit/>
        </w:trPr>
        <w:tc>
          <w:tcPr>
            <w:tcW w:type="dxa" w:w="3481"/>
          </w:tcPr>
          <w:p>
            <w:pPr>
              <w:spacing w:after="100" w:before="80" w:line="245" w:lineRule="auto"/>
            </w:pPr>
            <w:r>
              <w:rPr>
                <w:rFonts w:ascii="Arial" w:hAnsi="Arial"/>
                <w:sz w:val="17"/>
              </w:rPr>
              <w:t>D — analyst illustration / assumption</w:t>
            </w:r>
          </w:p>
        </w:tc>
        <w:tc>
          <w:tcPr>
            <w:tcW w:type="dxa" w:w="6757"/>
          </w:tcPr>
          <w:p>
            <w:pPr>
              <w:spacing w:after="100" w:before="80" w:line="245" w:lineRule="auto"/>
            </w:pPr>
            <w:r>
              <w:rPr>
                <w:rFonts w:ascii="Arial" w:hAnsi="Arial"/>
                <w:sz w:val="17"/>
              </w:rPr>
              <w:t>Supports method design or sensitivity analysis only. Excluded from actual-performance scoring.</w:t>
            </w:r>
          </w:p>
        </w:tc>
      </w:tr>
      <w:tr>
        <w:trPr>
          <w:cantSplit/>
        </w:trPr>
        <w:tc>
          <w:tcPr>
            <w:tcW w:type="dxa" w:w="3481"/>
            <w:shd w:fill="F0F5F7"/>
          </w:tcPr>
          <w:p>
            <w:pPr>
              <w:spacing w:after="100" w:before="80" w:line="245" w:lineRule="auto"/>
            </w:pPr>
            <w:r>
              <w:rPr>
                <w:rFonts w:ascii="Arial" w:hAnsi="Arial"/>
                <w:sz w:val="17"/>
              </w:rPr>
              <w:t>NR — not rateable</w:t>
            </w:r>
          </w:p>
        </w:tc>
        <w:tc>
          <w:tcPr>
            <w:tcW w:type="dxa" w:w="6757"/>
            <w:shd w:fill="F0F5F7"/>
          </w:tcPr>
          <w:p>
            <w:pPr>
              <w:spacing w:after="100" w:before="80" w:line="245" w:lineRule="auto"/>
            </w:pPr>
            <w:r>
              <w:rPr>
                <w:rFonts w:ascii="Arial" w:hAnsi="Arial"/>
                <w:sz w:val="17"/>
              </w:rPr>
              <w:t>Missing, incompatible or insufficiently assured data, or no approved benchmark. Different from zero and from failure.</w:t>
            </w:r>
          </w:p>
        </w:tc>
      </w:tr>
    </w:tbl>
    <w:p>
      <w:pPr>
        <w:spacing w:after="0"/>
      </w:pPr>
    </w:p>
    <w:p>
      <w:r>
        <w:t>The examples are purposively selected, not a statistically representative SOE sample. BRI and Mandiri use annual comparisons; PLN uses half-year comparisons; Telkom requires restated baselines. No portfolio total is inferred by adding these observations.</w:t>
      </w:r>
    </w:p>
    <w:p>
      <w:r>
        <w:t>The previously discussed portfolio of “40 strategic projects” is a working scope, not a validated denominator in this study. Reconcile its projects, phases and locations to an approved register before calculating completion, mobilization or impact rates. Six programs across thirteen sites cannot be equated to six independently completed assets.</w:t>
      </w:r>
    </w:p>
    <w:p>
      <w:pPr>
        <w:pStyle w:val="Heading2"/>
      </w:pPr>
      <w:r>
        <w:t>Source review limitations</w:t>
      </w:r>
    </w:p>
    <w:p>
      <w:r>
        <w:t>Public sources were checked as of the report date. The official reports entry displayed “Coming Soon”; this does not prove that no financial statement exists or has been submitted privately. Website counters rendered as zero in text extraction were excluded. Two indexed official sources used for narrow facts had incomplete page/PDF retrieval; these are identified in the reference register. [S01, S11, S13, S19, S31]</w:t>
      </w:r>
    </w:p>
    <w:p>
      <w:r>
        <w:t>Prior Danantara organization and governance material was reviewed as background. Earlier proposals, legal interpretations and financing concepts are not treated as evidence of implemented arrangements or current financial results.</w:t>
      </w:r>
    </w:p>
    <w:p>
      <w:r>
        <w:br w:type="page"/>
      </w:r>
    </w:p>
    <w:p>
      <w:r>
        <w:rPr>
          <w:b/>
          <w:color w:val="007F82"/>
          <w:sz w:val="16"/>
        </w:rPr>
        <w:t>PERFORMANCE STUDY</w:t>
      </w:r>
    </w:p>
    <w:p>
      <w:pPr>
        <w:pStyle w:val="Heading1"/>
      </w:pPr>
      <w:r>
        <w:t>International practices to adopt</w:t>
      </w:r>
    </w:p>
    <w:tbl>
      <w:tblPr>
        <w:tblW w:type="auto" w:w="0"/>
        <w:tblLayout w:type="fixed"/>
        <w:tblLook w:firstColumn="1" w:firstRow="1" w:lastColumn="0" w:lastRow="0" w:noHBand="0" w:noVBand="1" w:val="04A0"/>
      </w:tblPr>
      <w:tblGrid>
        <w:gridCol w:w="2252"/>
        <w:gridCol w:w="3788"/>
        <w:gridCol w:w="4198"/>
      </w:tblGrid>
      <w:tr>
        <w:trPr>
          <w:tblHeader/>
          <w:cantSplit/>
        </w:trPr>
        <w:tc>
          <w:tcPr>
            <w:tcW w:type="dxa" w:w="2252"/>
            <w:shd w:fill="15344B"/>
          </w:tcPr>
          <w:p>
            <w:pPr>
              <w:spacing w:after="100" w:before="80" w:line="245" w:lineRule="auto"/>
            </w:pPr>
            <w:r>
              <w:rPr>
                <w:rFonts w:ascii="Arial" w:hAnsi="Arial"/>
                <w:b/>
                <w:color w:val="FFFFFF"/>
                <w:sz w:val="17"/>
              </w:rPr>
              <w:t>Reference</w:t>
            </w:r>
          </w:p>
        </w:tc>
        <w:tc>
          <w:tcPr>
            <w:tcW w:type="dxa" w:w="3788"/>
            <w:shd w:fill="15344B"/>
          </w:tcPr>
          <w:p>
            <w:pPr>
              <w:spacing w:after="100" w:before="80" w:line="245" w:lineRule="auto"/>
            </w:pPr>
            <w:r>
              <w:rPr>
                <w:rFonts w:ascii="Arial" w:hAnsi="Arial"/>
                <w:b/>
                <w:color w:val="FFFFFF"/>
                <w:sz w:val="17"/>
              </w:rPr>
              <w:t>Practice to transfer</w:t>
            </w:r>
          </w:p>
        </w:tc>
        <w:tc>
          <w:tcPr>
            <w:tcW w:type="dxa" w:w="4198"/>
            <w:shd w:fill="15344B"/>
          </w:tcPr>
          <w:p>
            <w:pPr>
              <w:spacing w:after="100" w:before="80" w:line="245" w:lineRule="auto"/>
            </w:pPr>
            <w:r>
              <w:rPr>
                <w:rFonts w:ascii="Arial" w:hAnsi="Arial"/>
                <w:b/>
                <w:color w:val="FFFFFF"/>
                <w:sz w:val="17"/>
              </w:rPr>
              <w:t>Application to Danantara</w:t>
            </w:r>
          </w:p>
        </w:tc>
      </w:tr>
      <w:tr>
        <w:trPr>
          <w:cantSplit/>
        </w:trPr>
        <w:tc>
          <w:tcPr>
            <w:tcW w:type="dxa" w:w="2252"/>
            <w:shd w:fill="F0F5F7"/>
          </w:tcPr>
          <w:p>
            <w:pPr>
              <w:spacing w:after="100" w:before="80" w:line="245" w:lineRule="auto"/>
            </w:pPr>
            <w:r>
              <w:rPr>
                <w:rFonts w:ascii="Arial" w:hAnsi="Arial"/>
                <w:sz w:val="17"/>
              </w:rPr>
              <w:t>GIPS / CFA Institute</w:t>
            </w:r>
          </w:p>
        </w:tc>
        <w:tc>
          <w:tcPr>
            <w:tcW w:type="dxa" w:w="3788"/>
            <w:shd w:fill="F0F5F7"/>
          </w:tcPr>
          <w:p>
            <w:pPr>
              <w:spacing w:after="100" w:before="80" w:line="245" w:lineRule="auto"/>
            </w:pPr>
            <w:r>
              <w:rPr>
                <w:rFonts w:ascii="Arial" w:hAnsi="Arial"/>
                <w:sz w:val="17"/>
              </w:rPr>
              <w:t>Consistent return boundaries, dated cash flows, valuation and benchmarks.</w:t>
            </w:r>
          </w:p>
        </w:tc>
        <w:tc>
          <w:tcPr>
            <w:tcW w:type="dxa" w:w="4198"/>
            <w:shd w:fill="F0F5F7"/>
          </w:tcPr>
          <w:p>
            <w:pPr>
              <w:spacing w:after="100" w:before="80" w:line="245" w:lineRule="auto"/>
            </w:pPr>
            <w:r>
              <w:rPr>
                <w:rFonts w:ascii="Arial" w:hAnsi="Arial"/>
                <w:sz w:val="17"/>
              </w:rPr>
              <w:t>Public-market net TWR; private-market net IRR, multiples and PME by vintage. [S15]</w:t>
            </w:r>
          </w:p>
        </w:tc>
      </w:tr>
      <w:tr>
        <w:trPr>
          <w:cantSplit/>
        </w:trPr>
        <w:tc>
          <w:tcPr>
            <w:tcW w:type="dxa" w:w="2252"/>
          </w:tcPr>
          <w:p>
            <w:pPr>
              <w:spacing w:after="100" w:before="80" w:line="245" w:lineRule="auto"/>
            </w:pPr>
            <w:r>
              <w:rPr>
                <w:rFonts w:ascii="Arial" w:hAnsi="Arial"/>
                <w:sz w:val="17"/>
              </w:rPr>
              <w:t>Temasek</w:t>
            </w:r>
          </w:p>
        </w:tc>
        <w:tc>
          <w:tcPr>
            <w:tcW w:type="dxa" w:w="3788"/>
          </w:tcPr>
          <w:p>
            <w:pPr>
              <w:spacing w:after="100" w:before="80" w:line="245" w:lineRule="auto"/>
            </w:pPr>
            <w:r>
              <w:rPr>
                <w:rFonts w:ascii="Arial" w:hAnsi="Arial"/>
                <w:sz w:val="17"/>
              </w:rPr>
              <w:t>Long-term shareholder returns assessed against risk-adjusted cost of capital.</w:t>
            </w:r>
          </w:p>
        </w:tc>
        <w:tc>
          <w:tcPr>
            <w:tcW w:type="dxa" w:w="4198"/>
          </w:tcPr>
          <w:p>
            <w:pPr>
              <w:spacing w:after="100" w:before="80" w:line="245" w:lineRule="auto"/>
            </w:pPr>
            <w:r>
              <w:rPr>
                <w:rFonts w:ascii="Arial" w:hAnsi="Arial"/>
                <w:sz w:val="17"/>
              </w:rPr>
              <w:t>Test value creation above capital cost; disclose currency and valuation changes. [S17]</w:t>
            </w:r>
          </w:p>
        </w:tc>
      </w:tr>
      <w:tr>
        <w:trPr>
          <w:cantSplit/>
        </w:trPr>
        <w:tc>
          <w:tcPr>
            <w:tcW w:type="dxa" w:w="2252"/>
            <w:shd w:fill="F0F5F7"/>
          </w:tcPr>
          <w:p>
            <w:pPr>
              <w:spacing w:after="100" w:before="80" w:line="245" w:lineRule="auto"/>
            </w:pPr>
            <w:r>
              <w:rPr>
                <w:rFonts w:ascii="Arial" w:hAnsi="Arial"/>
                <w:sz w:val="17"/>
              </w:rPr>
              <w:t>Khazanah</w:t>
            </w:r>
          </w:p>
        </w:tc>
        <w:tc>
          <w:tcPr>
            <w:tcW w:type="dxa" w:w="3788"/>
            <w:shd w:fill="F0F5F7"/>
          </w:tcPr>
          <w:p>
            <w:pPr>
              <w:spacing w:after="100" w:before="80" w:line="245" w:lineRule="auto"/>
            </w:pPr>
            <w:r>
              <w:rPr>
                <w:rFonts w:ascii="Arial" w:hAnsi="Arial"/>
                <w:sz w:val="17"/>
              </w:rPr>
              <w:t>Annual and multi-year portfolio return disclosure alongside strategic activity.</w:t>
            </w:r>
          </w:p>
        </w:tc>
        <w:tc>
          <w:tcPr>
            <w:tcW w:type="dxa" w:w="4198"/>
            <w:shd w:fill="F0F5F7"/>
          </w:tcPr>
          <w:p>
            <w:pPr>
              <w:spacing w:after="100" w:before="80" w:line="245" w:lineRule="auto"/>
            </w:pPr>
            <w:r>
              <w:rPr>
                <w:rFonts w:ascii="Arial" w:hAnsi="Arial"/>
                <w:sz w:val="17"/>
              </w:rPr>
              <w:t>Keep return reporting distinct from project announcements. [S19]</w:t>
            </w:r>
          </w:p>
        </w:tc>
      </w:tr>
      <w:tr>
        <w:trPr>
          <w:cantSplit/>
        </w:trPr>
        <w:tc>
          <w:tcPr>
            <w:tcW w:type="dxa" w:w="2252"/>
          </w:tcPr>
          <w:p>
            <w:pPr>
              <w:spacing w:after="100" w:before="80" w:line="245" w:lineRule="auto"/>
            </w:pPr>
            <w:r>
              <w:rPr>
                <w:rFonts w:ascii="Arial" w:hAnsi="Arial"/>
                <w:sz w:val="17"/>
              </w:rPr>
              <w:t>OECD SOE Guidelines</w:t>
            </w:r>
          </w:p>
        </w:tc>
        <w:tc>
          <w:tcPr>
            <w:tcW w:type="dxa" w:w="3788"/>
          </w:tcPr>
          <w:p>
            <w:pPr>
              <w:spacing w:after="100" w:before="80" w:line="245" w:lineRule="auto"/>
            </w:pPr>
            <w:r>
              <w:rPr>
                <w:rFonts w:ascii="Arial" w:hAnsi="Arial"/>
                <w:sz w:val="17"/>
              </w:rPr>
              <w:t>Professional ownership, board responsibility and aggregate financial/non-financial reporting.</w:t>
            </w:r>
          </w:p>
        </w:tc>
        <w:tc>
          <w:tcPr>
            <w:tcW w:type="dxa" w:w="4198"/>
          </w:tcPr>
          <w:p>
            <w:pPr>
              <w:spacing w:after="100" w:before="80" w:line="245" w:lineRule="auto"/>
            </w:pPr>
            <w:r>
              <w:rPr>
                <w:rFonts w:ascii="Arial" w:hAnsi="Arial"/>
                <w:sz w:val="17"/>
              </w:rPr>
              <w:t>Mandate-specific performance contracts and a complete SOE portfolio report. [S20–S21]</w:t>
            </w:r>
          </w:p>
        </w:tc>
      </w:tr>
      <w:tr>
        <w:trPr>
          <w:cantSplit/>
        </w:trPr>
        <w:tc>
          <w:tcPr>
            <w:tcW w:type="dxa" w:w="2252"/>
            <w:shd w:fill="F0F5F7"/>
          </w:tcPr>
          <w:p>
            <w:pPr>
              <w:spacing w:after="100" w:before="80" w:line="245" w:lineRule="auto"/>
            </w:pPr>
            <w:r>
              <w:rPr>
                <w:rFonts w:ascii="Arial" w:hAnsi="Arial"/>
                <w:sz w:val="17"/>
              </w:rPr>
              <w:t>IMF SOE tools</w:t>
            </w:r>
          </w:p>
        </w:tc>
        <w:tc>
          <w:tcPr>
            <w:tcW w:type="dxa" w:w="3788"/>
            <w:shd w:fill="F0F5F7"/>
          </w:tcPr>
          <w:p>
            <w:pPr>
              <w:spacing w:after="100" w:before="80" w:line="245" w:lineRule="auto"/>
            </w:pPr>
            <w:r>
              <w:rPr>
                <w:rFonts w:ascii="Arial" w:hAnsi="Arial"/>
                <w:sz w:val="17"/>
              </w:rPr>
              <w:t>Profitability, efficiency, liquidity and solvency stress assessment.</w:t>
            </w:r>
          </w:p>
        </w:tc>
        <w:tc>
          <w:tcPr>
            <w:tcW w:type="dxa" w:w="4198"/>
            <w:shd w:fill="F0F5F7"/>
          </w:tcPr>
          <w:p>
            <w:pPr>
              <w:spacing w:after="100" w:before="80" w:line="245" w:lineRule="auto"/>
            </w:pPr>
            <w:r>
              <w:rPr>
                <w:rFonts w:ascii="Arial" w:hAnsi="Arial"/>
                <w:sz w:val="17"/>
              </w:rPr>
              <w:t>Use non-financial SOE health checks; apply bank-specific capital and credit measures separately. [S22–S23]</w:t>
            </w:r>
          </w:p>
        </w:tc>
      </w:tr>
      <w:tr>
        <w:trPr>
          <w:cantSplit/>
        </w:trPr>
        <w:tc>
          <w:tcPr>
            <w:tcW w:type="dxa" w:w="2252"/>
          </w:tcPr>
          <w:p>
            <w:pPr>
              <w:spacing w:after="100" w:before="80" w:line="245" w:lineRule="auto"/>
            </w:pPr>
            <w:r>
              <w:rPr>
                <w:rFonts w:ascii="Arial" w:hAnsi="Arial"/>
                <w:sz w:val="17"/>
              </w:rPr>
              <w:t>IFC AIMM</w:t>
            </w:r>
          </w:p>
        </w:tc>
        <w:tc>
          <w:tcPr>
            <w:tcW w:type="dxa" w:w="3788"/>
          </w:tcPr>
          <w:p>
            <w:pPr>
              <w:spacing w:after="100" w:before="80" w:line="245" w:lineRule="auto"/>
            </w:pPr>
            <w:r>
              <w:rPr>
                <w:rFonts w:ascii="Arial" w:hAnsi="Arial"/>
                <w:sz w:val="17"/>
              </w:rPr>
              <w:t>Assess expected project and market outcomes, then monitor the underlying indicators.</w:t>
            </w:r>
          </w:p>
        </w:tc>
        <w:tc>
          <w:tcPr>
            <w:tcW w:type="dxa" w:w="4198"/>
          </w:tcPr>
          <w:p>
            <w:pPr>
              <w:spacing w:after="100" w:before="80" w:line="245" w:lineRule="auto"/>
            </w:pPr>
            <w:r>
              <w:rPr>
                <w:rFonts w:ascii="Arial" w:hAnsi="Arial"/>
                <w:sz w:val="17"/>
              </w:rPr>
              <w:t>Measure additionality, market competition, resilience and actual delivery. [S24–S25]</w:t>
            </w:r>
          </w:p>
        </w:tc>
      </w:tr>
      <w:tr>
        <w:trPr>
          <w:cantSplit/>
        </w:trPr>
        <w:tc>
          <w:tcPr>
            <w:tcW w:type="dxa" w:w="2252"/>
            <w:shd w:fill="F0F5F7"/>
          </w:tcPr>
          <w:p>
            <w:pPr>
              <w:spacing w:after="100" w:before="80" w:line="245" w:lineRule="auto"/>
            </w:pPr>
            <w:r>
              <w:rPr>
                <w:rFonts w:ascii="Arial" w:hAnsi="Arial"/>
                <w:sz w:val="17"/>
              </w:rPr>
              <w:t>ADB economic analysis</w:t>
            </w:r>
          </w:p>
        </w:tc>
        <w:tc>
          <w:tcPr>
            <w:tcW w:type="dxa" w:w="3788"/>
            <w:shd w:fill="F0F5F7"/>
          </w:tcPr>
          <w:p>
            <w:pPr>
              <w:spacing w:after="100" w:before="80" w:line="245" w:lineRule="auto"/>
            </w:pPr>
            <w:r>
              <w:rPr>
                <w:rFonts w:ascii="Arial" w:hAnsi="Arial"/>
                <w:sz w:val="17"/>
              </w:rPr>
              <w:t>Incremental resource costs/benefits, ENPV/EIRR, least-cost alternatives and sustainability.</w:t>
            </w:r>
          </w:p>
        </w:tc>
        <w:tc>
          <w:tcPr>
            <w:tcW w:type="dxa" w:w="4198"/>
            <w:shd w:fill="F0F5F7"/>
          </w:tcPr>
          <w:p>
            <w:pPr>
              <w:spacing w:after="100" w:before="80" w:line="245" w:lineRule="auto"/>
            </w:pPr>
            <w:r>
              <w:rPr>
                <w:rFonts w:ascii="Arial" w:hAnsi="Arial"/>
                <w:sz w:val="17"/>
              </w:rPr>
              <w:t>Distinguish commercially profitable projects from economically justified public support. [S26]</w:t>
            </w:r>
          </w:p>
        </w:tc>
      </w:tr>
      <w:tr>
        <w:trPr>
          <w:cantSplit/>
        </w:trPr>
        <w:tc>
          <w:tcPr>
            <w:tcW w:type="dxa" w:w="2252"/>
          </w:tcPr>
          <w:p>
            <w:pPr>
              <w:spacing w:after="100" w:before="80" w:line="245" w:lineRule="auto"/>
            </w:pPr>
            <w:r>
              <w:rPr>
                <w:rFonts w:ascii="Arial" w:hAnsi="Arial"/>
                <w:sz w:val="17"/>
              </w:rPr>
              <w:t>IDB Invest DELTA</w:t>
            </w:r>
          </w:p>
        </w:tc>
        <w:tc>
          <w:tcPr>
            <w:tcW w:type="dxa" w:w="3788"/>
          </w:tcPr>
          <w:p>
            <w:pPr>
              <w:spacing w:after="100" w:before="80" w:line="245" w:lineRule="auto"/>
            </w:pPr>
            <w:r>
              <w:rPr>
                <w:rFonts w:ascii="Arial" w:hAnsi="Arial"/>
                <w:sz w:val="17"/>
              </w:rPr>
              <w:t>Joint financial/impact screening, annual tracking and validated final evaluations.</w:t>
            </w:r>
          </w:p>
        </w:tc>
        <w:tc>
          <w:tcPr>
            <w:tcW w:type="dxa" w:w="4198"/>
          </w:tcPr>
          <w:p>
            <w:pPr>
              <w:spacing w:after="100" w:before="80" w:line="245" w:lineRule="auto"/>
            </w:pPr>
            <w:r>
              <w:rPr>
                <w:rFonts w:ascii="Arial" w:hAnsi="Arial"/>
                <w:sz w:val="17"/>
              </w:rPr>
              <w:t>Approve a results matrix at entry; independently validate completion outcomes. [S27]</w:t>
            </w:r>
          </w:p>
        </w:tc>
      </w:tr>
      <w:tr>
        <w:trPr>
          <w:cantSplit/>
        </w:trPr>
        <w:tc>
          <w:tcPr>
            <w:tcW w:type="dxa" w:w="2252"/>
            <w:shd w:fill="F0F5F7"/>
          </w:tcPr>
          <w:p>
            <w:pPr>
              <w:spacing w:after="100" w:before="80" w:line="245" w:lineRule="auto"/>
            </w:pPr>
            <w:r>
              <w:rPr>
                <w:rFonts w:ascii="Arial" w:hAnsi="Arial"/>
                <w:sz w:val="17"/>
              </w:rPr>
              <w:t>MDB mobilization / UNIDO</w:t>
            </w:r>
          </w:p>
        </w:tc>
        <w:tc>
          <w:tcPr>
            <w:tcW w:type="dxa" w:w="3788"/>
            <w:shd w:fill="F0F5F7"/>
          </w:tcPr>
          <w:p>
            <w:pPr>
              <w:spacing w:after="100" w:before="80" w:line="245" w:lineRule="auto"/>
            </w:pPr>
            <w:r>
              <w:rPr>
                <w:rFonts w:ascii="Arial" w:hAnsi="Arial"/>
                <w:sz w:val="17"/>
              </w:rPr>
              <w:t>Attribution of private finance; industrial value-added and technology measures.</w:t>
            </w:r>
          </w:p>
        </w:tc>
        <w:tc>
          <w:tcPr>
            <w:tcW w:type="dxa" w:w="4198"/>
            <w:shd w:fill="F0F5F7"/>
          </w:tcPr>
          <w:p>
            <w:pPr>
              <w:spacing w:after="100" w:before="80" w:line="245" w:lineRule="auto"/>
            </w:pPr>
            <w:r>
              <w:rPr>
                <w:rFonts w:ascii="Arial" w:hAnsi="Arial"/>
                <w:sz w:val="17"/>
              </w:rPr>
              <w:t>Exclude financing double counts; monitor productive industrial capability. [S28–S29]</w:t>
            </w:r>
          </w:p>
        </w:tc>
      </w:tr>
    </w:tbl>
    <w:p>
      <w:pPr>
        <w:spacing w:after="0"/>
      </w:pPr>
    </w:p>
    <w:p>
      <w:r>
        <w:t>These are reference practices, not an assertion that Danantara complies with an institution’s standards. The proposed scorecard adapts them to a mixed ownership, investment and development mandate; it is not an IFC AIMM, IDB DELTA or IMF-issued rating.</w:t>
      </w:r>
    </w:p>
    <w:p>
      <w:r>
        <w:br w:type="page"/>
      </w:r>
    </w:p>
    <w:p>
      <w:r>
        <w:rPr>
          <w:b/>
          <w:color w:val="007F82"/>
          <w:sz w:val="16"/>
        </w:rPr>
        <w:t>PERFORMANCE STUDY</w:t>
      </w:r>
    </w:p>
    <w:p>
      <w:pPr>
        <w:pStyle w:val="Heading1"/>
      </w:pPr>
      <w:r>
        <w:t>What the current evidence demonstrates</w:t>
      </w:r>
    </w:p>
    <w:tbl>
      <w:tblPr>
        <w:tblW w:type="auto" w:w="0"/>
        <w:tblLayout w:type="fixed"/>
        <w:tblLook w:firstColumn="1" w:firstRow="1" w:lastColumn="0" w:lastRow="0" w:noHBand="0" w:noVBand="1" w:val="04A0"/>
      </w:tblPr>
      <w:tblGrid>
        <w:gridCol w:w="3788"/>
        <w:gridCol w:w="3072"/>
        <w:gridCol w:w="3379"/>
      </w:tblGrid>
      <w:tr>
        <w:trPr>
          <w:tblHeader/>
          <w:cantSplit/>
        </w:trPr>
        <w:tc>
          <w:tcPr>
            <w:tcW w:type="dxa" w:w="3788"/>
            <w:shd w:fill="15344B"/>
          </w:tcPr>
          <w:p>
            <w:pPr>
              <w:spacing w:after="100" w:before="80" w:line="245" w:lineRule="auto"/>
            </w:pPr>
            <w:r>
              <w:rPr>
                <w:rFonts w:ascii="Arial" w:hAnsi="Arial"/>
                <w:b/>
                <w:color w:val="FFFFFF"/>
                <w:sz w:val="17"/>
              </w:rPr>
              <w:t>Evidence</w:t>
            </w:r>
          </w:p>
        </w:tc>
        <w:tc>
          <w:tcPr>
            <w:tcW w:type="dxa" w:w="3072"/>
            <w:shd w:fill="15344B"/>
          </w:tcPr>
          <w:p>
            <w:pPr>
              <w:spacing w:after="100" w:before="80" w:line="245" w:lineRule="auto"/>
            </w:pPr>
            <w:r>
              <w:rPr>
                <w:rFonts w:ascii="Arial" w:hAnsi="Arial"/>
                <w:b/>
                <w:color w:val="FFFFFF"/>
                <w:sz w:val="17"/>
              </w:rPr>
              <w:t>Interpretation</w:t>
            </w:r>
          </w:p>
        </w:tc>
        <w:tc>
          <w:tcPr>
            <w:tcW w:type="dxa" w:w="3379"/>
            <w:shd w:fill="15344B"/>
          </w:tcPr>
          <w:p>
            <w:pPr>
              <w:spacing w:after="100" w:before="80" w:line="245" w:lineRule="auto"/>
            </w:pPr>
            <w:r>
              <w:rPr>
                <w:rFonts w:ascii="Arial" w:hAnsi="Arial"/>
                <w:b/>
                <w:color w:val="FFFFFF"/>
                <w:sz w:val="17"/>
              </w:rPr>
              <w:t>Remaining test</w:t>
            </w:r>
          </w:p>
        </w:tc>
      </w:tr>
      <w:tr>
        <w:trPr>
          <w:cantSplit/>
        </w:trPr>
        <w:tc>
          <w:tcPr>
            <w:tcW w:type="dxa" w:w="3788"/>
            <w:shd w:fill="F0F5F7"/>
          </w:tcPr>
          <w:p>
            <w:pPr>
              <w:spacing w:after="100" w:before="80" w:line="245" w:lineRule="auto"/>
            </w:pPr>
            <w:r>
              <w:rPr>
                <w:rFonts w:ascii="Arial" w:hAnsi="Arial"/>
                <w:sz w:val="17"/>
              </w:rPr>
              <w:t>USD1.5bn DIM international notes issued in June 2026. [S05]</w:t>
            </w:r>
          </w:p>
        </w:tc>
        <w:tc>
          <w:tcPr>
            <w:tcW w:type="dxa" w:w="3072"/>
            <w:shd w:fill="F0F5F7"/>
          </w:tcPr>
          <w:p>
            <w:pPr>
              <w:spacing w:after="100" w:before="80" w:line="245" w:lineRule="auto"/>
            </w:pPr>
            <w:r>
              <w:rPr>
                <w:rFonts w:ascii="Arial" w:hAnsi="Arial"/>
                <w:sz w:val="17"/>
              </w:rPr>
              <w:t>An observed financing transaction; supports market-access assessment.</w:t>
            </w:r>
          </w:p>
        </w:tc>
        <w:tc>
          <w:tcPr>
            <w:tcW w:type="dxa" w:w="3379"/>
            <w:shd w:fill="F0F5F7"/>
          </w:tcPr>
          <w:p>
            <w:pPr>
              <w:spacing w:after="100" w:before="80" w:line="245" w:lineRule="auto"/>
            </w:pPr>
            <w:r>
              <w:rPr>
                <w:rFonts w:ascii="Arial" w:hAnsi="Arial"/>
                <w:sz w:val="17"/>
              </w:rPr>
              <w:t>All-in cost, use of proceeds, hedge position and eventual asset returns.</w:t>
            </w:r>
          </w:p>
        </w:tc>
      </w:tr>
      <w:tr>
        <w:trPr>
          <w:cantSplit/>
        </w:trPr>
        <w:tc>
          <w:tcPr>
            <w:tcW w:type="dxa" w:w="3788"/>
          </w:tcPr>
          <w:p>
            <w:pPr>
              <w:spacing w:after="100" w:before="80" w:line="245" w:lineRule="auto"/>
            </w:pPr>
            <w:r>
              <w:rPr>
                <w:rFonts w:ascii="Arial" w:hAnsi="Arial"/>
                <w:sz w:val="17"/>
              </w:rPr>
              <w:t>Joint USD200mn Danantara/INA conditional subscription for an USD800mn CA–EDC project. [S06]</w:t>
            </w:r>
          </w:p>
        </w:tc>
        <w:tc>
          <w:tcPr>
            <w:tcW w:type="dxa" w:w="3072"/>
          </w:tcPr>
          <w:p>
            <w:pPr>
              <w:spacing w:after="100" w:before="80" w:line="245" w:lineRule="auto"/>
            </w:pPr>
            <w:r>
              <w:rPr>
                <w:rFonts w:ascii="Arial" w:hAnsi="Arial"/>
                <w:sz w:val="17"/>
              </w:rPr>
              <w:t>A capital commitment stage; joint amount is 25% of stated project value.</w:t>
            </w:r>
          </w:p>
        </w:tc>
        <w:tc>
          <w:tcPr>
            <w:tcW w:type="dxa" w:w="3379"/>
          </w:tcPr>
          <w:p>
            <w:pPr>
              <w:spacing w:after="100" w:before="80" w:line="245" w:lineRule="auto"/>
            </w:pPr>
            <w:r>
              <w:rPr>
                <w:rFonts w:ascii="Arial" w:hAnsi="Arial"/>
                <w:sz w:val="17"/>
              </w:rPr>
              <w:t>Conditions satisfied, individual capital split, cash paid and project returns.</w:t>
            </w:r>
          </w:p>
        </w:tc>
      </w:tr>
      <w:tr>
        <w:trPr>
          <w:cantSplit/>
        </w:trPr>
        <w:tc>
          <w:tcPr>
            <w:tcW w:type="dxa" w:w="3788"/>
            <w:shd w:fill="F0F5F7"/>
          </w:tcPr>
          <w:p>
            <w:pPr>
              <w:spacing w:after="100" w:before="80" w:line="245" w:lineRule="auto"/>
            </w:pPr>
            <w:r>
              <w:rPr>
                <w:rFonts w:ascii="Arial" w:hAnsi="Arial"/>
                <w:sz w:val="17"/>
              </w:rPr>
              <w:t>Bogor Raya 1 construction inauguration and PPA in September 2026. [S07]</w:t>
            </w:r>
          </w:p>
        </w:tc>
        <w:tc>
          <w:tcPr>
            <w:tcW w:type="dxa" w:w="3072"/>
            <w:shd w:fill="F0F5F7"/>
          </w:tcPr>
          <w:p>
            <w:pPr>
              <w:spacing w:after="100" w:before="80" w:line="245" w:lineRule="auto"/>
            </w:pPr>
            <w:r>
              <w:rPr>
                <w:rFonts w:ascii="Arial" w:hAnsi="Arial"/>
                <w:sz w:val="17"/>
              </w:rPr>
              <w:t>A substantive development milestone; stated operations target is mid-2028.</w:t>
            </w:r>
          </w:p>
        </w:tc>
        <w:tc>
          <w:tcPr>
            <w:tcW w:type="dxa" w:w="3379"/>
            <w:shd w:fill="F0F5F7"/>
          </w:tcPr>
          <w:p>
            <w:pPr>
              <w:spacing w:after="100" w:before="80" w:line="245" w:lineRule="auto"/>
            </w:pPr>
            <w:r>
              <w:rPr>
                <w:rFonts w:ascii="Arial" w:hAnsi="Arial"/>
                <w:sz w:val="17"/>
              </w:rPr>
              <w:t>Certified physical progress, full financing, commissioning and sustained output.</w:t>
            </w:r>
          </w:p>
        </w:tc>
      </w:tr>
      <w:tr>
        <w:trPr>
          <w:cantSplit/>
        </w:trPr>
        <w:tc>
          <w:tcPr>
            <w:tcW w:type="dxa" w:w="3788"/>
          </w:tcPr>
          <w:p>
            <w:pPr>
              <w:spacing w:after="100" w:before="80" w:line="245" w:lineRule="auto"/>
            </w:pPr>
            <w:r>
              <w:rPr>
                <w:rFonts w:ascii="Arial" w:hAnsi="Arial"/>
                <w:sz w:val="17"/>
              </w:rPr>
              <w:t>Six downstream project groundbreakings with USD7bn total announced value. [S08]</w:t>
            </w:r>
          </w:p>
        </w:tc>
        <w:tc>
          <w:tcPr>
            <w:tcW w:type="dxa" w:w="3072"/>
          </w:tcPr>
          <w:p>
            <w:pPr>
              <w:spacing w:after="100" w:before="80" w:line="245" w:lineRule="auto"/>
            </w:pPr>
            <w:r>
              <w:rPr>
                <w:rFonts w:ascii="Arial" w:hAnsi="Arial"/>
                <w:sz w:val="17"/>
              </w:rPr>
              <w:t>Program activation, not USD7bn already disbursed by Danantara.</w:t>
            </w:r>
          </w:p>
        </w:tc>
        <w:tc>
          <w:tcPr>
            <w:tcW w:type="dxa" w:w="3379"/>
          </w:tcPr>
          <w:p>
            <w:pPr>
              <w:spacing w:after="100" w:before="80" w:line="245" w:lineRule="auto"/>
            </w:pPr>
            <w:r>
              <w:rPr>
                <w:rFonts w:ascii="Arial" w:hAnsi="Arial"/>
                <w:sz w:val="17"/>
              </w:rPr>
              <w:t>Project-by-project stage, financing share, legacy scope and benefits.</w:t>
            </w:r>
          </w:p>
        </w:tc>
      </w:tr>
      <w:tr>
        <w:trPr>
          <w:cantSplit/>
        </w:trPr>
        <w:tc>
          <w:tcPr>
            <w:tcW w:type="dxa" w:w="3788"/>
            <w:shd w:fill="F0F5F7"/>
          </w:tcPr>
          <w:p>
            <w:pPr>
              <w:spacing w:after="100" w:before="80" w:line="245" w:lineRule="auto"/>
            </w:pPr>
            <w:r>
              <w:rPr>
                <w:rFonts w:ascii="Arial" w:hAnsi="Arial"/>
                <w:sz w:val="17"/>
              </w:rPr>
              <w:t>Governance and accounting review announced in March 2026. [S04]</w:t>
            </w:r>
          </w:p>
        </w:tc>
        <w:tc>
          <w:tcPr>
            <w:tcW w:type="dxa" w:w="3072"/>
            <w:shd w:fill="F0F5F7"/>
          </w:tcPr>
          <w:p>
            <w:pPr>
              <w:spacing w:after="100" w:before="80" w:line="245" w:lineRule="auto"/>
            </w:pPr>
            <w:r>
              <w:rPr>
                <w:rFonts w:ascii="Arial" w:hAnsi="Arial"/>
                <w:sz w:val="17"/>
              </w:rPr>
              <w:t>Reform action consistent with an asset-quality review.</w:t>
            </w:r>
          </w:p>
        </w:tc>
        <w:tc>
          <w:tcPr>
            <w:tcW w:type="dxa" w:w="3379"/>
            <w:shd w:fill="F0F5F7"/>
          </w:tcPr>
          <w:p>
            <w:pPr>
              <w:spacing w:after="100" w:before="80" w:line="245" w:lineRule="auto"/>
            </w:pPr>
            <w:r>
              <w:rPr>
                <w:rFonts w:ascii="Arial" w:hAnsi="Arial"/>
                <w:sz w:val="17"/>
              </w:rPr>
              <w:t>Verified operating gains, remediation completion and durable controls.</w:t>
            </w:r>
          </w:p>
        </w:tc>
      </w:tr>
      <w:tr>
        <w:trPr>
          <w:cantSplit/>
        </w:trPr>
        <w:tc>
          <w:tcPr>
            <w:tcW w:type="dxa" w:w="3788"/>
          </w:tcPr>
          <w:p>
            <w:pPr>
              <w:spacing w:after="100" w:before="80" w:line="245" w:lineRule="auto"/>
            </w:pPr>
            <w:r>
              <w:rPr>
                <w:rFonts w:ascii="Arial" w:hAnsi="Arial"/>
                <w:sz w:val="17"/>
              </w:rPr>
              <w:t>Selected SOE data show both improvement and deterioration. [S10–S13]</w:t>
            </w:r>
          </w:p>
        </w:tc>
        <w:tc>
          <w:tcPr>
            <w:tcW w:type="dxa" w:w="3072"/>
          </w:tcPr>
          <w:p>
            <w:pPr>
              <w:spacing w:after="100" w:before="80" w:line="245" w:lineRule="auto"/>
            </w:pPr>
            <w:r>
              <w:rPr>
                <w:rFonts w:ascii="Arial" w:hAnsi="Arial"/>
                <w:sz w:val="17"/>
              </w:rPr>
              <w:t>Operating performance can be measured at entity level.</w:t>
            </w:r>
          </w:p>
        </w:tc>
        <w:tc>
          <w:tcPr>
            <w:tcW w:type="dxa" w:w="3379"/>
          </w:tcPr>
          <w:p>
            <w:pPr>
              <w:spacing w:after="100" w:before="80" w:line="245" w:lineRule="auto"/>
            </w:pPr>
            <w:r>
              <w:rPr>
                <w:rFonts w:ascii="Arial" w:hAnsi="Arial"/>
                <w:sz w:val="17"/>
              </w:rPr>
              <w:t>Comparable perimeter and a causal bridge to DAM interventions.</w:t>
            </w:r>
          </w:p>
        </w:tc>
      </w:tr>
    </w:tbl>
    <w:p>
      <w:pPr>
        <w:spacing w:after="0"/>
      </w:pPr>
    </w:p>
    <w:tbl>
      <w:tblPr>
        <w:tblW w:type="auto" w:w="0"/>
        <w:tblLook w:firstColumn="1" w:firstRow="1" w:lastColumn="0" w:lastRow="0" w:noHBand="0" w:noVBand="1" w:val="04A0"/>
      </w:tblPr>
      <w:tblGrid>
        <w:gridCol w:w="10239"/>
      </w:tblGrid>
      <w:tr>
        <w:tc>
          <w:tcPr>
            <w:tcW w:type="dxa" w:w="10239"/>
            <w:shd w:fill="E9F3F3"/>
          </w:tcPr>
          <w:p>
            <w:r>
              <w:rPr>
                <w:b/>
                <w:color w:val="15344B"/>
              </w:rPr>
              <w:t>The strongest supported current conclusion is progress in mobilizing and organizing execution. The largest unresolved question is how much incremental value those actions have produced after financing costs, risk and public support.</w:t>
            </w:r>
          </w:p>
        </w:tc>
      </w:tr>
    </w:tbl>
    <w:p>
      <w:pPr>
        <w:spacing w:after="20"/>
      </w:pPr>
    </w:p>
    <w:p>
      <w:r>
        <w:t>Evidence of a signed PPA does not establish financial close. Evidence of a construction inauguration does not establish earned progress. An asset’s ownership transfer does not establish appreciation. An increase in dividend collection may reflect payout decisions or legacy earnings rather than productivity.</w:t>
      </w:r>
    </w:p>
    <w:p>
      <w:r>
        <w:br w:type="page"/>
      </w:r>
    </w:p>
    <w:p>
      <w:r>
        <w:rPr>
          <w:b/>
          <w:color w:val="007F82"/>
          <w:sz w:val="16"/>
        </w:rPr>
        <w:t>PERFORMANCE STUDY</w:t>
      </w:r>
    </w:p>
    <w:p>
      <w:pPr>
        <w:pStyle w:val="Heading1"/>
      </w:pPr>
      <w:r>
        <w:t>Investment performance: current diagnosis</w:t>
      </w:r>
    </w:p>
    <w:p>
      <w:pPr>
        <w:pStyle w:val="Heading2"/>
      </w:pPr>
      <w:r>
        <w:t>Funding access is measurable; investment success needs a return series</w:t>
      </w:r>
    </w:p>
    <w:p>
      <w:r>
        <w:t>DIM’s June issue comprised equal USD750mn tranches at issue yields of 5.35% and 5.95%. The principal-weighted yield is 5.65%; issuer-reported sovereign spreads of 32 and 34 basis points average 33 basis points. Peak orders of about USD4.6bn imply about 3.07 times issuance. These calculations describe financing, not investment return, coupon cost, total hedged cost or WACC. [S05]</w:t>
      </w:r>
    </w:p>
    <w:p>
      <w:r>
        <w:t>The next question is whether deployed assets earn enough for their risk. A public-market portfolio needs a net total-return benchmark aligned to its opportunity set. An industrial equity investment needs a dated cash-flow return, current valuation and a project-specific hurdle. Borrowing below an equity hurdle does not make the investment value creating.</w:t>
      </w:r>
    </w:p>
    <w:p>
      <w:pPr>
        <w:pStyle w:val="Heading2"/>
      </w:pPr>
      <w:r>
        <w:t>Separate four capital pools</w:t>
      </w:r>
    </w:p>
    <w:tbl>
      <w:tblPr>
        <w:tblW w:type="auto" w:w="0"/>
        <w:tblLayout w:type="fixed"/>
        <w:tblLook w:firstColumn="1" w:firstRow="1" w:lastColumn="0" w:lastRow="0" w:noHBand="0" w:noVBand="1" w:val="04A0"/>
      </w:tblPr>
      <w:tblGrid>
        <w:gridCol w:w="2867"/>
        <w:gridCol w:w="3481"/>
        <w:gridCol w:w="3891"/>
      </w:tblGrid>
      <w:tr>
        <w:trPr>
          <w:tblHeader/>
          <w:cantSplit/>
        </w:trPr>
        <w:tc>
          <w:tcPr>
            <w:tcW w:type="dxa" w:w="2867"/>
            <w:shd w:fill="15344B"/>
          </w:tcPr>
          <w:p>
            <w:pPr>
              <w:spacing w:after="100" w:before="80" w:line="245" w:lineRule="auto"/>
            </w:pPr>
            <w:r>
              <w:rPr>
                <w:rFonts w:ascii="Arial" w:hAnsi="Arial"/>
                <w:b/>
                <w:color w:val="FFFFFF"/>
                <w:sz w:val="17"/>
              </w:rPr>
              <w:t>Pool</w:t>
            </w:r>
          </w:p>
        </w:tc>
        <w:tc>
          <w:tcPr>
            <w:tcW w:type="dxa" w:w="3481"/>
            <w:shd w:fill="15344B"/>
          </w:tcPr>
          <w:p>
            <w:pPr>
              <w:spacing w:after="100" w:before="80" w:line="245" w:lineRule="auto"/>
            </w:pPr>
            <w:r>
              <w:rPr>
                <w:rFonts w:ascii="Arial" w:hAnsi="Arial"/>
                <w:b/>
                <w:color w:val="FFFFFF"/>
                <w:sz w:val="17"/>
              </w:rPr>
              <w:t>Primary measure</w:t>
            </w:r>
          </w:p>
        </w:tc>
        <w:tc>
          <w:tcPr>
            <w:tcW w:type="dxa" w:w="3891"/>
            <w:shd w:fill="15344B"/>
          </w:tcPr>
          <w:p>
            <w:pPr>
              <w:spacing w:after="100" w:before="80" w:line="245" w:lineRule="auto"/>
            </w:pPr>
            <w:r>
              <w:rPr>
                <w:rFonts w:ascii="Arial" w:hAnsi="Arial"/>
                <w:b/>
                <w:color w:val="FFFFFF"/>
                <w:sz w:val="17"/>
              </w:rPr>
              <w:t>Boundary rule</w:t>
            </w:r>
          </w:p>
        </w:tc>
      </w:tr>
      <w:tr>
        <w:trPr>
          <w:cantSplit/>
        </w:trPr>
        <w:tc>
          <w:tcPr>
            <w:tcW w:type="dxa" w:w="2867"/>
            <w:shd w:fill="F0F5F7"/>
          </w:tcPr>
          <w:p>
            <w:pPr>
              <w:spacing w:after="100" w:before="80" w:line="245" w:lineRule="auto"/>
            </w:pPr>
            <w:r>
              <w:rPr>
                <w:rFonts w:ascii="Arial" w:hAnsi="Arial"/>
                <w:sz w:val="17"/>
              </w:rPr>
              <w:t>Inherited operating SOEs</w:t>
            </w:r>
          </w:p>
        </w:tc>
        <w:tc>
          <w:tcPr>
            <w:tcW w:type="dxa" w:w="3481"/>
            <w:shd w:fill="F0F5F7"/>
          </w:tcPr>
          <w:p>
            <w:pPr>
              <w:spacing w:after="100" w:before="80" w:line="245" w:lineRule="auto"/>
            </w:pPr>
            <w:r>
              <w:rPr>
                <w:rFonts w:ascii="Arial" w:hAnsi="Arial"/>
                <w:sz w:val="17"/>
              </w:rPr>
              <w:t>ROIC/economic profit or bank ROE with capital adequacy.</w:t>
            </w:r>
          </w:p>
        </w:tc>
        <w:tc>
          <w:tcPr>
            <w:tcW w:type="dxa" w:w="3891"/>
            <w:shd w:fill="F0F5F7"/>
          </w:tcPr>
          <w:p>
            <w:pPr>
              <w:spacing w:after="100" w:before="80" w:line="245" w:lineRule="auto"/>
            </w:pPr>
            <w:r>
              <w:rPr>
                <w:rFonts w:ascii="Arial" w:hAnsi="Arial"/>
                <w:sz w:val="17"/>
              </w:rPr>
              <w:t>Value at transfer and effective control date; separate legacy liabilities.</w:t>
            </w:r>
          </w:p>
        </w:tc>
      </w:tr>
      <w:tr>
        <w:trPr>
          <w:cantSplit/>
        </w:trPr>
        <w:tc>
          <w:tcPr>
            <w:tcW w:type="dxa" w:w="2867"/>
          </w:tcPr>
          <w:p>
            <w:pPr>
              <w:spacing w:after="100" w:before="80" w:line="245" w:lineRule="auto"/>
            </w:pPr>
            <w:r>
              <w:rPr>
                <w:rFonts w:ascii="Arial" w:hAnsi="Arial"/>
                <w:sz w:val="17"/>
              </w:rPr>
              <w:t>Liquid financial investments</w:t>
            </w:r>
          </w:p>
        </w:tc>
        <w:tc>
          <w:tcPr>
            <w:tcW w:type="dxa" w:w="3481"/>
          </w:tcPr>
          <w:p>
            <w:pPr>
              <w:spacing w:after="100" w:before="80" w:line="245" w:lineRule="auto"/>
            </w:pPr>
            <w:r>
              <w:rPr>
                <w:rFonts w:ascii="Arial" w:hAnsi="Arial"/>
                <w:sz w:val="17"/>
              </w:rPr>
              <w:t>Net TWR versus policy benchmark; drawdown and liquidity.</w:t>
            </w:r>
          </w:p>
        </w:tc>
        <w:tc>
          <w:tcPr>
            <w:tcW w:type="dxa" w:w="3891"/>
          </w:tcPr>
          <w:p>
            <w:pPr>
              <w:spacing w:after="100" w:before="80" w:line="245" w:lineRule="auto"/>
            </w:pPr>
            <w:r>
              <w:rPr>
                <w:rFonts w:ascii="Arial" w:hAnsi="Arial"/>
                <w:sz w:val="17"/>
              </w:rPr>
              <w:t>Market return, FX and external cash flows separately reconciled.</w:t>
            </w:r>
          </w:p>
        </w:tc>
      </w:tr>
      <w:tr>
        <w:trPr>
          <w:cantSplit/>
        </w:trPr>
        <w:tc>
          <w:tcPr>
            <w:tcW w:type="dxa" w:w="2867"/>
            <w:shd w:fill="F0F5F7"/>
          </w:tcPr>
          <w:p>
            <w:pPr>
              <w:spacing w:after="100" w:before="80" w:line="245" w:lineRule="auto"/>
            </w:pPr>
            <w:r>
              <w:rPr>
                <w:rFonts w:ascii="Arial" w:hAnsi="Arial"/>
                <w:sz w:val="17"/>
              </w:rPr>
              <w:t>Private / strategic investments</w:t>
            </w:r>
          </w:p>
        </w:tc>
        <w:tc>
          <w:tcPr>
            <w:tcW w:type="dxa" w:w="3481"/>
            <w:shd w:fill="F0F5F7"/>
          </w:tcPr>
          <w:p>
            <w:pPr>
              <w:spacing w:after="100" w:before="80" w:line="245" w:lineRule="auto"/>
            </w:pPr>
            <w:r>
              <w:rPr>
                <w:rFonts w:ascii="Arial" w:hAnsi="Arial"/>
                <w:sz w:val="17"/>
              </w:rPr>
              <w:t>Net IRR, DPI/TVPI and PME; project financial NPV.</w:t>
            </w:r>
          </w:p>
        </w:tc>
        <w:tc>
          <w:tcPr>
            <w:tcW w:type="dxa" w:w="3891"/>
            <w:shd w:fill="F0F5F7"/>
          </w:tcPr>
          <w:p>
            <w:pPr>
              <w:spacing w:after="100" w:before="80" w:line="245" w:lineRule="auto"/>
            </w:pPr>
            <w:r>
              <w:rPr>
                <w:rFonts w:ascii="Arial" w:hAnsi="Arial"/>
                <w:sz w:val="17"/>
              </w:rPr>
              <w:t>Track by vintage; separate residual value from realized cash.</w:t>
            </w:r>
          </w:p>
        </w:tc>
      </w:tr>
      <w:tr>
        <w:trPr>
          <w:cantSplit/>
        </w:trPr>
        <w:tc>
          <w:tcPr>
            <w:tcW w:type="dxa" w:w="2867"/>
          </w:tcPr>
          <w:p>
            <w:pPr>
              <w:spacing w:after="100" w:before="80" w:line="245" w:lineRule="auto"/>
            </w:pPr>
            <w:r>
              <w:rPr>
                <w:rFonts w:ascii="Arial" w:hAnsi="Arial"/>
                <w:sz w:val="17"/>
              </w:rPr>
              <w:t>Development-supported investments</w:t>
            </w:r>
          </w:p>
        </w:tc>
        <w:tc>
          <w:tcPr>
            <w:tcW w:type="dxa" w:w="3481"/>
          </w:tcPr>
          <w:p>
            <w:pPr>
              <w:spacing w:after="100" w:before="80" w:line="245" w:lineRule="auto"/>
            </w:pPr>
            <w:r>
              <w:rPr>
                <w:rFonts w:ascii="Arial" w:hAnsi="Arial"/>
                <w:sz w:val="17"/>
              </w:rPr>
              <w:t>Financial sustainability plus ENPV/EIRR and additional outcomes.</w:t>
            </w:r>
          </w:p>
        </w:tc>
        <w:tc>
          <w:tcPr>
            <w:tcW w:type="dxa" w:w="3891"/>
          </w:tcPr>
          <w:p>
            <w:pPr>
              <w:spacing w:after="100" w:before="80" w:line="245" w:lineRule="auto"/>
            </w:pPr>
            <w:r>
              <w:rPr>
                <w:rFonts w:ascii="Arial" w:hAnsi="Arial"/>
                <w:sz w:val="17"/>
              </w:rPr>
              <w:t>Identify subsidy, guarantees and concessionality explicitly.</w:t>
            </w:r>
          </w:p>
        </w:tc>
      </w:tr>
    </w:tbl>
    <w:p>
      <w:pPr>
        <w:spacing w:after="0"/>
      </w:pPr>
    </w:p>
    <w:p>
      <w:r>
        <w:t>Report realized and unrealized gains, dividend income, interest expense, management costs, foreign exchange and new capital separately. Investment spending is a balance-sheet deployment; fundraising is a financing inflow. Neither is profit. Debt-funded cash distributions also require a leverage bridge.</w:t>
      </w:r>
    </w:p>
    <w:p>
      <w:pPr>
        <w:pStyle w:val="Heading2"/>
      </w:pPr>
      <w:r>
        <w:t>Judgment</w:t>
      </w:r>
    </w:p>
    <w:p>
      <w:r>
        <w:t>Financing capability: demonstrated for the observed issue. Strategic deal origination: evidenced by selected commitments. Risk-adjusted portfolio profitability: NR in this review. Required next evidence is an audited opening-to-closing net-asset bridge and reconciled cash-flow/valuation series for each investment pool.</w:t>
      </w:r>
    </w:p>
    <w:p>
      <w:r>
        <w:br w:type="page"/>
      </w:r>
    </w:p>
    <w:p>
      <w:r>
        <w:rPr>
          <w:b/>
          <w:color w:val="007F82"/>
          <w:sz w:val="16"/>
        </w:rPr>
        <w:t>PROPOSED METRIC DICTIONARY</w:t>
      </w:r>
    </w:p>
    <w:p>
      <w:pPr>
        <w:pStyle w:val="Heading1"/>
      </w:pPr>
      <w:r>
        <w:t>Investment metrics | 1–6</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I01 Net public-market return above policy benchmark</w:t>
              <w:br/>
              <w:t>pp</w:t>
            </w:r>
          </w:p>
        </w:tc>
        <w:tc>
          <w:tcPr>
            <w:tcW w:type="dxa" w:w="3686"/>
            <w:shd w:fill="F0F5F7"/>
          </w:tcPr>
          <w:p>
            <w:pPr>
              <w:spacing w:after="100" w:before="80" w:line="245" w:lineRule="auto"/>
            </w:pPr>
            <w:r>
              <w:rPr>
                <w:rFonts w:ascii="Arial" w:hAnsi="Arial"/>
                <w:sz w:val="17"/>
              </w:rPr>
              <w:t>Geometrically linked TWR net of all investment costs minus matched policy-index return.</w:t>
            </w:r>
          </w:p>
        </w:tc>
        <w:tc>
          <w:tcPr>
            <w:tcW w:type="dxa" w:w="4095"/>
            <w:shd w:fill="F0F5F7"/>
          </w:tcPr>
          <w:p>
            <w:pPr>
              <w:spacing w:after="100" w:before="80" w:line="245" w:lineRule="auto"/>
            </w:pPr>
            <w:r>
              <w:rPr>
                <w:rFonts w:ascii="Arial" w:hAnsi="Arial"/>
                <w:sz w:val="17"/>
              </w:rPr>
              <w:t>Same dates, currency, total-return basis and asset mix; since inception and rolling 3/5 years. No annualized short-history claim; separate FX, beta and selection effects. [S15; S17]</w:t>
            </w:r>
          </w:p>
        </w:tc>
      </w:tr>
      <w:tr>
        <w:trPr>
          <w:cantSplit/>
        </w:trPr>
        <w:tc>
          <w:tcPr>
            <w:tcW w:type="dxa" w:w="2457"/>
          </w:tcPr>
          <w:p>
            <w:pPr>
              <w:spacing w:after="100" w:before="80" w:line="245" w:lineRule="auto"/>
            </w:pPr>
            <w:r>
              <w:rPr>
                <w:rFonts w:ascii="Arial" w:hAnsi="Arial"/>
                <w:sz w:val="17"/>
              </w:rPr>
              <w:t>I02 Private investment net IRR above hurdle</w:t>
              <w:br/>
              <w:t>pp</w:t>
            </w:r>
          </w:p>
        </w:tc>
        <w:tc>
          <w:tcPr>
            <w:tcW w:type="dxa" w:w="3686"/>
          </w:tcPr>
          <w:p>
            <w:pPr>
              <w:spacing w:after="100" w:before="80" w:line="245" w:lineRule="auto"/>
            </w:pPr>
            <w:r>
              <w:rPr>
                <w:rFonts w:ascii="Arial" w:hAnsi="Arial"/>
                <w:sz w:val="17"/>
              </w:rPr>
              <w:t>XIRR of dated investor cash flows including independently reviewed residual NAV, less approved equity hurdle.</w:t>
            </w:r>
          </w:p>
        </w:tc>
        <w:tc>
          <w:tcPr>
            <w:tcW w:type="dxa" w:w="4095"/>
          </w:tcPr>
          <w:p>
            <w:pPr>
              <w:spacing w:after="100" w:before="80" w:line="245" w:lineRule="auto"/>
            </w:pPr>
            <w:r>
              <w:rPr>
                <w:rFonts w:ascii="Arial" w:hAnsi="Arial"/>
                <w:sz w:val="17"/>
              </w:rPr>
              <w:t>Vintage, sector, geography and leverage matched; disclose gross/net and with/without fund leverage. Do not average IRRs. Pool cash flows for a valid pooled IRR. [S15]</w:t>
            </w:r>
          </w:p>
        </w:tc>
      </w:tr>
      <w:tr>
        <w:trPr>
          <w:cantSplit/>
        </w:trPr>
        <w:tc>
          <w:tcPr>
            <w:tcW w:type="dxa" w:w="2457"/>
            <w:shd w:fill="F0F5F7"/>
          </w:tcPr>
          <w:p>
            <w:pPr>
              <w:spacing w:after="100" w:before="80" w:line="245" w:lineRule="auto"/>
            </w:pPr>
            <w:r>
              <w:rPr>
                <w:rFonts w:ascii="Arial" w:hAnsi="Arial"/>
                <w:sz w:val="17"/>
              </w:rPr>
              <w:t>I03 Private investment public-market equivalent</w:t>
              <w:br/>
              <w:t>x</w:t>
            </w:r>
          </w:p>
        </w:tc>
        <w:tc>
          <w:tcPr>
            <w:tcW w:type="dxa" w:w="3686"/>
            <w:shd w:fill="F0F5F7"/>
          </w:tcPr>
          <w:p>
            <w:pPr>
              <w:spacing w:after="100" w:before="80" w:line="245" w:lineRule="auto"/>
            </w:pPr>
            <w:r>
              <w:rPr>
                <w:rFonts w:ascii="Arial" w:hAnsi="Arial"/>
                <w:sz w:val="17"/>
              </w:rPr>
              <w:t>Kaplan–Schoar PME = [sum(distributions × index_T/index_t) + NAV_T] / sum(contributions × index_T/index_t).</w:t>
            </w:r>
          </w:p>
        </w:tc>
        <w:tc>
          <w:tcPr>
            <w:tcW w:type="dxa" w:w="4095"/>
            <w:shd w:fill="F0F5F7"/>
          </w:tcPr>
          <w:p>
            <w:pPr>
              <w:spacing w:after="100" w:before="80" w:line="245" w:lineRule="auto"/>
            </w:pPr>
            <w:r>
              <w:rPr>
                <w:rFonts w:ascii="Arial" w:hAnsi="Arial"/>
                <w:sz w:val="17"/>
              </w:rPr>
              <w:t>PME above 1 against a preselected total-return index; match cash-flow timing. Index and currency must match risk exposure; PME is not an IRR. [S15]</w:t>
            </w:r>
          </w:p>
        </w:tc>
      </w:tr>
      <w:tr>
        <w:trPr>
          <w:cantSplit/>
        </w:trPr>
        <w:tc>
          <w:tcPr>
            <w:tcW w:type="dxa" w:w="2457"/>
          </w:tcPr>
          <w:p>
            <w:pPr>
              <w:spacing w:after="100" w:before="80" w:line="245" w:lineRule="auto"/>
            </w:pPr>
            <w:r>
              <w:rPr>
                <w:rFonts w:ascii="Arial" w:hAnsi="Arial"/>
                <w:sz w:val="17"/>
              </w:rPr>
              <w:t>I04 Distributions to paid-in capital</w:t>
              <w:br/>
              <w:t>x</w:t>
            </w:r>
          </w:p>
        </w:tc>
        <w:tc>
          <w:tcPr>
            <w:tcW w:type="dxa" w:w="3686"/>
          </w:tcPr>
          <w:p>
            <w:pPr>
              <w:spacing w:after="100" w:before="80" w:line="245" w:lineRule="auto"/>
            </w:pPr>
            <w:r>
              <w:rPr>
                <w:rFonts w:ascii="Arial" w:hAnsi="Arial"/>
                <w:sz w:val="17"/>
              </w:rPr>
              <w:t>Cumulative cash distributions / cumulative paid-in capital; show TVPI and RVPI alongside.</w:t>
            </w:r>
          </w:p>
        </w:tc>
        <w:tc>
          <w:tcPr>
            <w:tcW w:type="dxa" w:w="4095"/>
          </w:tcPr>
          <w:p>
            <w:pPr>
              <w:spacing w:after="100" w:before="80" w:line="245" w:lineRule="auto"/>
            </w:pPr>
            <w:r>
              <w:rPr>
                <w:rFonts w:ascii="Arial" w:hAnsi="Arial"/>
                <w:sz w:val="17"/>
              </w:rPr>
              <w:t>Vintage-specific business plan and comparable fund maturity. Early greenfield DPI can be zero without failure; maturity-specific applicability. [S15]</w:t>
            </w:r>
          </w:p>
        </w:tc>
      </w:tr>
      <w:tr>
        <w:trPr>
          <w:cantSplit/>
        </w:trPr>
        <w:tc>
          <w:tcPr>
            <w:tcW w:type="dxa" w:w="2457"/>
            <w:shd w:fill="F0F5F7"/>
          </w:tcPr>
          <w:p>
            <w:pPr>
              <w:spacing w:after="100" w:before="80" w:line="245" w:lineRule="auto"/>
            </w:pPr>
            <w:r>
              <w:rPr>
                <w:rFonts w:ascii="Arial" w:hAnsi="Arial"/>
                <w:sz w:val="17"/>
              </w:rPr>
              <w:t>I05 Financial NPV / invested capital</w:t>
              <w:br/>
              <w:t>%</w:t>
            </w:r>
          </w:p>
        </w:tc>
        <w:tc>
          <w:tcPr>
            <w:tcW w:type="dxa" w:w="3686"/>
            <w:shd w:fill="F0F5F7"/>
          </w:tcPr>
          <w:p>
            <w:pPr>
              <w:spacing w:after="100" w:before="80" w:line="245" w:lineRule="auto"/>
            </w:pPr>
            <w:r>
              <w:rPr>
                <w:rFonts w:ascii="Arial" w:hAnsi="Arial"/>
                <w:sz w:val="17"/>
              </w:rPr>
              <w:t>Full-life NPV of project free cash flow at the approved WACC / present value of project investment outlays.</w:t>
            </w:r>
          </w:p>
        </w:tc>
        <w:tc>
          <w:tcPr>
            <w:tcW w:type="dxa" w:w="4095"/>
            <w:shd w:fill="F0F5F7"/>
          </w:tcPr>
          <w:p>
            <w:pPr>
              <w:spacing w:after="100" w:before="80" w:line="245" w:lineRule="auto"/>
            </w:pPr>
            <w:r>
              <w:rPr>
                <w:rFonts w:ascii="Arial" w:hAnsi="Arial"/>
                <w:sz w:val="17"/>
              </w:rPr>
              <w:t>Separate forecast appraisal from ex-post realized/re-estimated results; compare with original approved case. Label forecast components; for incremental funding decisions exclude sunk costs and test remaining cash flows. [S17]</w:t>
            </w:r>
          </w:p>
        </w:tc>
      </w:tr>
      <w:tr>
        <w:trPr>
          <w:cantSplit/>
        </w:trPr>
        <w:tc>
          <w:tcPr>
            <w:tcW w:type="dxa" w:w="2457"/>
          </w:tcPr>
          <w:p>
            <w:pPr>
              <w:spacing w:after="100" w:before="80" w:line="245" w:lineRule="auto"/>
            </w:pPr>
            <w:r>
              <w:rPr>
                <w:rFonts w:ascii="Arial" w:hAnsi="Arial"/>
                <w:sz w:val="17"/>
              </w:rPr>
              <w:t>I06 Credit and investment loss ratio</w:t>
              <w:br/>
              <w:t>%</w:t>
            </w:r>
          </w:p>
        </w:tc>
        <w:tc>
          <w:tcPr>
            <w:tcW w:type="dxa" w:w="3686"/>
          </w:tcPr>
          <w:p>
            <w:pPr>
              <w:spacing w:after="100" w:before="80" w:line="245" w:lineRule="auto"/>
            </w:pPr>
            <w:r>
              <w:rPr>
                <w:rFonts w:ascii="Arial" w:hAnsi="Arial"/>
                <w:sz w:val="17"/>
              </w:rPr>
              <w:t>Credit impairment expense net of reversals and recoveries / average gross credit exposure; show write-offs separately.</w:t>
            </w:r>
          </w:p>
        </w:tc>
        <w:tc>
          <w:tcPr>
            <w:tcW w:type="dxa" w:w="4095"/>
          </w:tcPr>
          <w:p>
            <w:pPr>
              <w:spacing w:after="100" w:before="80" w:line="245" w:lineRule="auto"/>
            </w:pPr>
            <w:r>
              <w:rPr>
                <w:rFonts w:ascii="Arial" w:hAnsi="Arial"/>
                <w:sz w:val="17"/>
              </w:rPr>
              <w:t>Matched credit rating, tenor and product peer; approved expected-loss budget. Avoid adding write-offs already covered by provisions; report equity write-downs separately. [S16; S22]</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PROPOSED METRIC DICTIONARY</w:t>
      </w:r>
    </w:p>
    <w:p>
      <w:pPr>
        <w:pStyle w:val="Heading1"/>
      </w:pPr>
      <w:r>
        <w:t>Investment metrics | 7–12</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I07 Exposure above concentration limits</w:t>
              <w:br/>
              <w:t>%</w:t>
            </w:r>
          </w:p>
        </w:tc>
        <w:tc>
          <w:tcPr>
            <w:tcW w:type="dxa" w:w="3686"/>
            <w:shd w:fill="F0F5F7"/>
          </w:tcPr>
          <w:p>
            <w:pPr>
              <w:spacing w:after="100" w:before="80" w:line="245" w:lineRule="auto"/>
            </w:pPr>
            <w:r>
              <w:rPr>
                <w:rFonts w:ascii="Arial" w:hAnsi="Arial"/>
                <w:sz w:val="17"/>
              </w:rPr>
              <w:t>Sum of exposure exceeding approved single-name/sector limits / portfolio NAV, with overlap reconciliation.</w:t>
            </w:r>
          </w:p>
        </w:tc>
        <w:tc>
          <w:tcPr>
            <w:tcW w:type="dxa" w:w="4095"/>
            <w:shd w:fill="F0F5F7"/>
          </w:tcPr>
          <w:p>
            <w:pPr>
              <w:spacing w:after="100" w:before="80" w:line="245" w:lineRule="auto"/>
            </w:pPr>
            <w:r>
              <w:rPr>
                <w:rFonts w:ascii="Arial" w:hAnsi="Arial"/>
                <w:sz w:val="17"/>
              </w:rPr>
              <w:t>Zero unauthorized excess; stress related-party and correlated exposure. Disclose both direct and look-through exposure; avoid double counting overlapped breaches. [S16]</w:t>
            </w:r>
          </w:p>
        </w:tc>
      </w:tr>
      <w:tr>
        <w:trPr>
          <w:cantSplit/>
        </w:trPr>
        <w:tc>
          <w:tcPr>
            <w:tcW w:type="dxa" w:w="2457"/>
          </w:tcPr>
          <w:p>
            <w:pPr>
              <w:spacing w:after="100" w:before="80" w:line="245" w:lineRule="auto"/>
            </w:pPr>
            <w:r>
              <w:rPr>
                <w:rFonts w:ascii="Arial" w:hAnsi="Arial"/>
                <w:sz w:val="17"/>
              </w:rPr>
              <w:t>I08 Stressed liquidity coverage</w:t>
              <w:br/>
              <w:t>x</w:t>
            </w:r>
          </w:p>
        </w:tc>
        <w:tc>
          <w:tcPr>
            <w:tcW w:type="dxa" w:w="3686"/>
          </w:tcPr>
          <w:p>
            <w:pPr>
              <w:spacing w:after="100" w:before="80" w:line="245" w:lineRule="auto"/>
            </w:pPr>
            <w:r>
              <w:rPr>
                <w:rFonts w:ascii="Arial" w:hAnsi="Arial"/>
                <w:sz w:val="17"/>
              </w:rPr>
              <w:t>Unencumbered cash plus stressed liquid assets and usable committed lines / stressed 12-month cash needs.</w:t>
            </w:r>
          </w:p>
        </w:tc>
        <w:tc>
          <w:tcPr>
            <w:tcW w:type="dxa" w:w="4095"/>
          </w:tcPr>
          <w:p>
            <w:pPr>
              <w:spacing w:after="100" w:before="80" w:line="245" w:lineRule="auto"/>
            </w:pPr>
            <w:r>
              <w:rPr>
                <w:rFonts w:ascii="Arial" w:hAnsi="Arial"/>
                <w:sz w:val="17"/>
              </w:rPr>
              <w:t>Board-approved liquidity floor under delayed dividends, capital calls and debt maturities. Haircut assets; exclude restricted cash and facilities with unmet conditions. [S16]</w:t>
            </w:r>
          </w:p>
        </w:tc>
      </w:tr>
      <w:tr>
        <w:trPr>
          <w:cantSplit/>
        </w:trPr>
        <w:tc>
          <w:tcPr>
            <w:tcW w:type="dxa" w:w="2457"/>
            <w:shd w:fill="F0F5F7"/>
          </w:tcPr>
          <w:p>
            <w:pPr>
              <w:spacing w:after="100" w:before="80" w:line="245" w:lineRule="auto"/>
            </w:pPr>
            <w:r>
              <w:rPr>
                <w:rFonts w:ascii="Arial" w:hAnsi="Arial"/>
                <w:sz w:val="17"/>
              </w:rPr>
              <w:t>I09 Total investment cost ratio</w:t>
              <w:br/>
              <w:t>bps</w:t>
            </w:r>
          </w:p>
        </w:tc>
        <w:tc>
          <w:tcPr>
            <w:tcW w:type="dxa" w:w="3686"/>
            <w:shd w:fill="F0F5F7"/>
          </w:tcPr>
          <w:p>
            <w:pPr>
              <w:spacing w:after="100" w:before="80" w:line="245" w:lineRule="auto"/>
            </w:pPr>
            <w:r>
              <w:rPr>
                <w:rFonts w:ascii="Arial" w:hAnsi="Arial"/>
                <w:sz w:val="17"/>
              </w:rPr>
              <w:t>Management, external manager, transaction and allocated support costs / average relevant NAV × 10,000.</w:t>
            </w:r>
          </w:p>
        </w:tc>
        <w:tc>
          <w:tcPr>
            <w:tcW w:type="dxa" w:w="4095"/>
            <w:shd w:fill="F0F5F7"/>
          </w:tcPr>
          <w:p>
            <w:pPr>
              <w:spacing w:after="100" w:before="80" w:line="245" w:lineRule="auto"/>
            </w:pPr>
            <w:r>
              <w:rPr>
                <w:rFonts w:ascii="Arial" w:hAnsi="Arial"/>
                <w:sz w:val="17"/>
              </w:rPr>
              <w:t>Same asset-class and active-management model; service and risk quality maintained. Low costs alone do not prove better net performance. [S15]</w:t>
            </w:r>
          </w:p>
        </w:tc>
      </w:tr>
      <w:tr>
        <w:trPr>
          <w:cantSplit/>
        </w:trPr>
        <w:tc>
          <w:tcPr>
            <w:tcW w:type="dxa" w:w="2457"/>
          </w:tcPr>
          <w:p>
            <w:pPr>
              <w:spacing w:after="100" w:before="80" w:line="245" w:lineRule="auto"/>
            </w:pPr>
            <w:r>
              <w:rPr>
                <w:rFonts w:ascii="Arial" w:hAnsi="Arial"/>
                <w:sz w:val="17"/>
              </w:rPr>
              <w:t>I10 Attributable private mobilization</w:t>
              <w:br/>
              <w:t>x</w:t>
            </w:r>
          </w:p>
        </w:tc>
        <w:tc>
          <w:tcPr>
            <w:tcW w:type="dxa" w:w="3686"/>
          </w:tcPr>
          <w:p>
            <w:pPr>
              <w:spacing w:after="100" w:before="80" w:line="245" w:lineRule="auto"/>
            </w:pPr>
            <w:r>
              <w:rPr>
                <w:rFonts w:ascii="Arial" w:hAnsi="Arial"/>
                <w:sz w:val="17"/>
              </w:rPr>
              <w:t>Eligible private direct mobilization attributable to Danantara / own committed capital; disbursement ratio separately.</w:t>
            </w:r>
          </w:p>
        </w:tc>
        <w:tc>
          <w:tcPr>
            <w:tcW w:type="dxa" w:w="4095"/>
          </w:tcPr>
          <w:p>
            <w:pPr>
              <w:spacing w:after="100" w:before="80" w:line="245" w:lineRule="auto"/>
            </w:pPr>
            <w:r>
              <w:rPr>
                <w:rFonts w:ascii="Arial" w:hAnsi="Arial"/>
                <w:sz w:val="17"/>
              </w:rPr>
              <w:t>MDB-aligned classification and attribution, with sector-specific targets. Do not count all project value, intra-group capital or MoUs as private mobilization. [S28]</w:t>
            </w:r>
          </w:p>
        </w:tc>
      </w:tr>
      <w:tr>
        <w:trPr>
          <w:cantSplit/>
        </w:trPr>
        <w:tc>
          <w:tcPr>
            <w:tcW w:type="dxa" w:w="2457"/>
            <w:shd w:fill="F0F5F7"/>
          </w:tcPr>
          <w:p>
            <w:pPr>
              <w:spacing w:after="100" w:before="80" w:line="245" w:lineRule="auto"/>
            </w:pPr>
            <w:r>
              <w:rPr>
                <w:rFonts w:ascii="Arial" w:hAnsi="Arial"/>
                <w:sz w:val="17"/>
              </w:rPr>
              <w:t>I11 Strategic investment milestone delivery</w:t>
              <w:br/>
              <w:t>%</w:t>
            </w:r>
          </w:p>
        </w:tc>
        <w:tc>
          <w:tcPr>
            <w:tcW w:type="dxa" w:w="3686"/>
            <w:shd w:fill="F0F5F7"/>
          </w:tcPr>
          <w:p>
            <w:pPr>
              <w:spacing w:after="100" w:before="80" w:line="245" w:lineRule="auto"/>
            </w:pPr>
            <w:r>
              <w:rPr>
                <w:rFonts w:ascii="Arial" w:hAnsi="Arial"/>
                <w:sz w:val="17"/>
              </w:rPr>
              <w:t>Capital-weighted milestones completed and independently accepted / milestones due in the approved period.</w:t>
            </w:r>
          </w:p>
        </w:tc>
        <w:tc>
          <w:tcPr>
            <w:tcW w:type="dxa" w:w="4095"/>
            <w:shd w:fill="F0F5F7"/>
          </w:tcPr>
          <w:p>
            <w:pPr>
              <w:spacing w:after="100" w:before="80" w:line="245" w:lineRule="auto"/>
            </w:pPr>
            <w:r>
              <w:rPr>
                <w:rFonts w:ascii="Arial" w:hAnsi="Arial"/>
                <w:sz w:val="17"/>
              </w:rPr>
              <w:t>Frozen due-date and scope baseline; phase-specific criteria. A signing or inauguration does not certify financial close or physical progress. [S03; S27]</w:t>
            </w:r>
          </w:p>
        </w:tc>
      </w:tr>
      <w:tr>
        <w:trPr>
          <w:cantSplit/>
        </w:trPr>
        <w:tc>
          <w:tcPr>
            <w:tcW w:type="dxa" w:w="2457"/>
          </w:tcPr>
          <w:p>
            <w:pPr>
              <w:spacing w:after="100" w:before="80" w:line="245" w:lineRule="auto"/>
            </w:pPr>
            <w:r>
              <w:rPr>
                <w:rFonts w:ascii="Arial" w:hAnsi="Arial"/>
                <w:sz w:val="17"/>
              </w:rPr>
              <w:t>I12 Funding spread over matched sovereign curve</w:t>
              <w:br/>
              <w:t>bps</w:t>
            </w:r>
          </w:p>
        </w:tc>
        <w:tc>
          <w:tcPr>
            <w:tcW w:type="dxa" w:w="3686"/>
          </w:tcPr>
          <w:p>
            <w:pPr>
              <w:spacing w:after="100" w:before="80" w:line="245" w:lineRule="auto"/>
            </w:pPr>
            <w:r>
              <w:rPr>
                <w:rFonts w:ascii="Arial" w:hAnsi="Arial"/>
                <w:sz w:val="17"/>
              </w:rPr>
              <w:t>Issue-yield spread against same-currency, duration-matched sovereign curve; fees/hedging separately.</w:t>
            </w:r>
          </w:p>
        </w:tc>
        <w:tc>
          <w:tcPr>
            <w:tcW w:type="dxa" w:w="4095"/>
          </w:tcPr>
          <w:p>
            <w:pPr>
              <w:spacing w:after="100" w:before="80" w:line="245" w:lineRule="auto"/>
            </w:pPr>
            <w:r>
              <w:rPr>
                <w:rFonts w:ascii="Arial" w:hAnsi="Arial"/>
                <w:sz w:val="17"/>
              </w:rPr>
              <w:t>Same-date, currency, duration, structure and guarantee treatment peers. A funding-access metric; cannot substitute for asset returns or WACC. [S05]</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PERFORMANCE STUDY</w:t>
      </w:r>
    </w:p>
    <w:p>
      <w:pPr>
        <w:pStyle w:val="Heading1"/>
      </w:pPr>
      <w:r>
        <w:t>SOE performance: a mixed, comparable snapshot</w:t>
      </w:r>
    </w:p>
    <w:tbl>
      <w:tblPr>
        <w:tblW w:type="auto" w:w="0"/>
        <w:tblLayout w:type="fixed"/>
        <w:tblLook w:firstColumn="1" w:firstRow="1" w:lastColumn="0" w:lastRow="0" w:noHBand="0" w:noVBand="1" w:val="04A0"/>
      </w:tblPr>
      <w:tblGrid>
        <w:gridCol w:w="2662"/>
        <w:gridCol w:w="4095"/>
        <w:gridCol w:w="3481"/>
      </w:tblGrid>
      <w:tr>
        <w:trPr>
          <w:tblHeader/>
          <w:cantSplit/>
        </w:trPr>
        <w:tc>
          <w:tcPr>
            <w:tcW w:type="dxa" w:w="2662"/>
            <w:shd w:fill="15344B"/>
          </w:tcPr>
          <w:p>
            <w:pPr>
              <w:spacing w:after="100" w:before="80" w:line="245" w:lineRule="auto"/>
            </w:pPr>
            <w:r>
              <w:rPr>
                <w:rFonts w:ascii="Arial" w:hAnsi="Arial"/>
                <w:b/>
                <w:color w:val="FFFFFF"/>
                <w:sz w:val="17"/>
              </w:rPr>
              <w:t>Entity / metric</w:t>
            </w:r>
          </w:p>
        </w:tc>
        <w:tc>
          <w:tcPr>
            <w:tcW w:type="dxa" w:w="4095"/>
            <w:shd w:fill="15344B"/>
          </w:tcPr>
          <w:p>
            <w:pPr>
              <w:spacing w:after="100" w:before="80" w:line="245" w:lineRule="auto"/>
            </w:pPr>
            <w:r>
              <w:rPr>
                <w:rFonts w:ascii="Arial" w:hAnsi="Arial"/>
                <w:b/>
                <w:color w:val="FFFFFF"/>
                <w:sz w:val="17"/>
              </w:rPr>
              <w:t>Comparable observation</w:t>
            </w:r>
          </w:p>
        </w:tc>
        <w:tc>
          <w:tcPr>
            <w:tcW w:type="dxa" w:w="3481"/>
            <w:shd w:fill="15344B"/>
          </w:tcPr>
          <w:p>
            <w:pPr>
              <w:spacing w:after="100" w:before="80" w:line="245" w:lineRule="auto"/>
            </w:pPr>
            <w:r>
              <w:rPr>
                <w:rFonts w:ascii="Arial" w:hAnsi="Arial"/>
                <w:b/>
                <w:color w:val="FFFFFF"/>
                <w:sz w:val="17"/>
              </w:rPr>
              <w:t>Reading</w:t>
            </w:r>
          </w:p>
        </w:tc>
      </w:tr>
      <w:tr>
        <w:trPr>
          <w:cantSplit/>
        </w:trPr>
        <w:tc>
          <w:tcPr>
            <w:tcW w:type="dxa" w:w="2662"/>
            <w:shd w:fill="F0F5F7"/>
          </w:tcPr>
          <w:p>
            <w:pPr>
              <w:spacing w:after="100" w:before="80" w:line="245" w:lineRule="auto"/>
            </w:pPr>
            <w:r>
              <w:rPr>
                <w:rFonts w:ascii="Arial" w:hAnsi="Arial"/>
                <w:sz w:val="17"/>
              </w:rPr>
              <w:t>BRI group net income</w:t>
            </w:r>
          </w:p>
        </w:tc>
        <w:tc>
          <w:tcPr>
            <w:tcW w:type="dxa" w:w="4095"/>
            <w:shd w:fill="F0F5F7"/>
          </w:tcPr>
          <w:p>
            <w:pPr>
              <w:spacing w:after="100" w:before="80" w:line="245" w:lineRule="auto"/>
            </w:pPr>
            <w:r>
              <w:rPr>
                <w:rFonts w:ascii="Arial" w:hAnsi="Arial"/>
                <w:sz w:val="17"/>
              </w:rPr>
              <w:t>FY2024 restated IDR60.306tn → FY2025 IDR57.132tn; −5.26%.</w:t>
            </w:r>
          </w:p>
        </w:tc>
        <w:tc>
          <w:tcPr>
            <w:tcW w:type="dxa" w:w="3481"/>
            <w:shd w:fill="F0F5F7"/>
          </w:tcPr>
          <w:p>
            <w:pPr>
              <w:spacing w:after="100" w:before="80" w:line="245" w:lineRule="auto"/>
            </w:pPr>
            <w:r>
              <w:rPr>
                <w:rFonts w:ascii="Arial" w:hAnsi="Arial"/>
                <w:sz w:val="17"/>
              </w:rPr>
              <w:t>Profit contracted on the published comparable base. [S10]</w:t>
            </w:r>
          </w:p>
        </w:tc>
      </w:tr>
      <w:tr>
        <w:trPr>
          <w:cantSplit/>
        </w:trPr>
        <w:tc>
          <w:tcPr>
            <w:tcW w:type="dxa" w:w="2662"/>
          </w:tcPr>
          <w:p>
            <w:pPr>
              <w:spacing w:after="100" w:before="80" w:line="245" w:lineRule="auto"/>
            </w:pPr>
            <w:r>
              <w:rPr>
                <w:rFonts w:ascii="Arial" w:hAnsi="Arial"/>
                <w:sz w:val="17"/>
              </w:rPr>
              <w:t>BRI bank-only CIR / NPL</w:t>
            </w:r>
          </w:p>
        </w:tc>
        <w:tc>
          <w:tcPr>
            <w:tcW w:type="dxa" w:w="4095"/>
          </w:tcPr>
          <w:p>
            <w:pPr>
              <w:spacing w:after="100" w:before="80" w:line="245" w:lineRule="auto"/>
            </w:pPr>
            <w:r>
              <w:rPr>
                <w:rFonts w:ascii="Arial" w:hAnsi="Arial"/>
                <w:sz w:val="17"/>
              </w:rPr>
              <w:t>CIR 37.87% → 38.92%; gross NPL 2.94% → 3.29%.</w:t>
            </w:r>
          </w:p>
        </w:tc>
        <w:tc>
          <w:tcPr>
            <w:tcW w:type="dxa" w:w="3481"/>
          </w:tcPr>
          <w:p>
            <w:pPr>
              <w:spacing w:after="100" w:before="80" w:line="245" w:lineRule="auto"/>
            </w:pPr>
            <w:r>
              <w:rPr>
                <w:rFonts w:ascii="Arial" w:hAnsi="Arial"/>
                <w:sz w:val="17"/>
              </w:rPr>
              <w:t>Efficiency and credit-quality indicators weakened; drivers require analysis. [S10]</w:t>
            </w:r>
          </w:p>
        </w:tc>
      </w:tr>
      <w:tr>
        <w:trPr>
          <w:cantSplit/>
        </w:trPr>
        <w:tc>
          <w:tcPr>
            <w:tcW w:type="dxa" w:w="2662"/>
            <w:shd w:fill="F0F5F7"/>
          </w:tcPr>
          <w:p>
            <w:pPr>
              <w:spacing w:after="100" w:before="80" w:line="245" w:lineRule="auto"/>
            </w:pPr>
            <w:r>
              <w:rPr>
                <w:rFonts w:ascii="Arial" w:hAnsi="Arial"/>
                <w:sz w:val="17"/>
              </w:rPr>
              <w:t>Mandiri parent-attributable profit</w:t>
            </w:r>
          </w:p>
        </w:tc>
        <w:tc>
          <w:tcPr>
            <w:tcW w:type="dxa" w:w="4095"/>
            <w:shd w:fill="F0F5F7"/>
          </w:tcPr>
          <w:p>
            <w:pPr>
              <w:spacing w:after="100" w:before="80" w:line="245" w:lineRule="auto"/>
            </w:pPr>
            <w:r>
              <w:rPr>
                <w:rFonts w:ascii="Arial" w:hAnsi="Arial"/>
                <w:sz w:val="17"/>
              </w:rPr>
              <w:t>FY2024 IDR55.78tn → FY2025 IDR56.30tn; about +0.93%.</w:t>
            </w:r>
          </w:p>
        </w:tc>
        <w:tc>
          <w:tcPr>
            <w:tcW w:type="dxa" w:w="3481"/>
            <w:shd w:fill="F0F5F7"/>
          </w:tcPr>
          <w:p>
            <w:pPr>
              <w:spacing w:after="100" w:before="80" w:line="245" w:lineRule="auto"/>
            </w:pPr>
            <w:r>
              <w:rPr>
                <w:rFonts w:ascii="Arial" w:hAnsi="Arial"/>
                <w:sz w:val="17"/>
              </w:rPr>
              <w:t>Modest profit growth; does not by itself prove economic-profit improvement. [S11]</w:t>
            </w:r>
          </w:p>
        </w:tc>
      </w:tr>
      <w:tr>
        <w:trPr>
          <w:cantSplit/>
        </w:trPr>
        <w:tc>
          <w:tcPr>
            <w:tcW w:type="dxa" w:w="2662"/>
          </w:tcPr>
          <w:p>
            <w:pPr>
              <w:spacing w:after="100" w:before="80" w:line="245" w:lineRule="auto"/>
            </w:pPr>
            <w:r>
              <w:rPr>
                <w:rFonts w:ascii="Arial" w:hAnsi="Arial"/>
                <w:sz w:val="17"/>
              </w:rPr>
              <w:t>Telkom FY2025</w:t>
            </w:r>
          </w:p>
        </w:tc>
        <w:tc>
          <w:tcPr>
            <w:tcW w:type="dxa" w:w="4095"/>
          </w:tcPr>
          <w:p>
            <w:pPr>
              <w:spacing w:after="100" w:before="80" w:line="245" w:lineRule="auto"/>
            </w:pPr>
            <w:r>
              <w:rPr>
                <w:rFonts w:ascii="Arial" w:hAnsi="Arial"/>
                <w:sz w:val="17"/>
              </w:rPr>
              <w:t>Revenue IDR146.7tn; EBITDA IDR72.2tn; reported net income IDR17.8tn.</w:t>
            </w:r>
          </w:p>
        </w:tc>
        <w:tc>
          <w:tcPr>
            <w:tcW w:type="dxa" w:w="3481"/>
          </w:tcPr>
          <w:p>
            <w:pPr>
              <w:spacing w:after="100" w:before="80" w:line="245" w:lineRule="auto"/>
            </w:pPr>
            <w:r>
              <w:rPr>
                <w:rFonts w:ascii="Arial" w:hAnsi="Arial"/>
                <w:sz w:val="17"/>
              </w:rPr>
              <w:t>Reported earnings require the restatement and normalization bridge. [S12]</w:t>
            </w:r>
          </w:p>
        </w:tc>
      </w:tr>
      <w:tr>
        <w:trPr>
          <w:cantSplit/>
        </w:trPr>
        <w:tc>
          <w:tcPr>
            <w:tcW w:type="dxa" w:w="2662"/>
            <w:shd w:fill="F0F5F7"/>
          </w:tcPr>
          <w:p>
            <w:pPr>
              <w:spacing w:after="100" w:before="80" w:line="245" w:lineRule="auto"/>
            </w:pPr>
            <w:r>
              <w:rPr>
                <w:rFonts w:ascii="Arial" w:hAnsi="Arial"/>
                <w:sz w:val="17"/>
              </w:rPr>
              <w:t>PLN H1 revenue</w:t>
            </w:r>
          </w:p>
        </w:tc>
        <w:tc>
          <w:tcPr>
            <w:tcW w:type="dxa" w:w="4095"/>
            <w:shd w:fill="F0F5F7"/>
          </w:tcPr>
          <w:p>
            <w:pPr>
              <w:spacing w:after="100" w:before="80" w:line="245" w:lineRule="auto"/>
            </w:pPr>
            <w:r>
              <w:rPr>
                <w:rFonts w:ascii="Arial" w:hAnsi="Arial"/>
                <w:sz w:val="17"/>
              </w:rPr>
              <w:t>IDR281.89tn in H1 2025 → IDR327.15tn in H1 2026.</w:t>
            </w:r>
          </w:p>
        </w:tc>
        <w:tc>
          <w:tcPr>
            <w:tcW w:type="dxa" w:w="3481"/>
            <w:shd w:fill="F0F5F7"/>
          </w:tcPr>
          <w:p>
            <w:pPr>
              <w:spacing w:after="100" w:before="80" w:line="245" w:lineRule="auto"/>
            </w:pPr>
            <w:r>
              <w:rPr>
                <w:rFonts w:ascii="Arial" w:hAnsi="Arial"/>
                <w:sz w:val="17"/>
              </w:rPr>
              <w:t>Company reports +16.05%; growth must be split into volume, tariff, compensation and other effects. [S13]</w:t>
            </w:r>
          </w:p>
        </w:tc>
      </w:tr>
    </w:tbl>
    <w:p>
      <w:pPr>
        <w:spacing w:after="0"/>
      </w:pPr>
    </w:p>
    <w:p>
      <w:r>
        <w:t>The sample supports a “mixed outcomes” assessment, not a claim that all SOEs improved or deteriorated. Periods, ownership shares and accounting scopes differ. These figures must not be summed into Danantara earnings.</w:t>
      </w:r>
    </w:p>
    <w:p>
      <w:pPr>
        <w:pStyle w:val="Heading2"/>
      </w:pPr>
      <w:r>
        <w:t>Two important accounting controls</w:t>
      </w:r>
    </w:p>
    <w:p>
      <w:r>
        <w:t>BRI’s comparative column is explicitly reclassified/restated. Its bank-only ratios must not be described as group ratios. Telkom reports a 9.5% profit decline on its revised basis and normalized net income of IDR22.7tn. Do not recompute the change against an unreconciled old publication. [S10, S12]</w:t>
      </w:r>
    </w:p>
    <w:p>
      <w:r>
        <w:t>Accounting clean-up can reduce reported profit while improving reporting quality. Conversely, higher reported earnings may reflect revaluation, asset sales, favorable commodity prices or compensation timing. Evaluate both the statutory result and a consistently normalized cash-based bridge, retaining the cost of genuine recurring operations.</w:t>
      </w:r>
    </w:p>
    <w:p>
      <w:r>
        <w:br w:type="page"/>
      </w:r>
    </w:p>
    <w:p>
      <w:r>
        <w:rPr>
          <w:b/>
          <w:color w:val="007F82"/>
          <w:sz w:val="16"/>
        </w:rPr>
        <w:t>PERFORMANCE STUDY</w:t>
      </w:r>
    </w:p>
    <w:p>
      <w:pPr>
        <w:pStyle w:val="Heading1"/>
      </w:pPr>
      <w:r>
        <w:t>SOE value creation and operational efficiency</w:t>
      </w:r>
    </w:p>
    <w:p>
      <w:pPr>
        <w:pStyle w:val="Heading2"/>
      </w:pPr>
      <w:r>
        <w:t>A valid transformation test</w:t>
      </w:r>
    </w:p>
    <w:p>
      <w:r>
        <w:t>For non-financial SOEs, the central result is incremental economic profit: normalized NOPAT less a capital charge, compared with a credible without-intervention path. Pair it with real unit costs, service reliability and cash flow. For banks, use ROE relative to cost of equity, credit quality and capital headroom. Industrial EBITDA leverage ratios should not be applied to deposit-taking banks.</w:t>
      </w:r>
    </w:p>
    <w:p>
      <w:r>
        <w:t>The IMF toolkit supports vulnerability screening rather than a standalone success label. A profitable SOE can still pose refinancing or guarantee risk; a mandated service provider can record weak profits because its service obligations are undercompensated. OECD practice supports clear objectives and reporting of both commercial and public-policy performance. [S20–S23]</w:t>
      </w:r>
    </w:p>
    <w:tbl>
      <w:tblPr>
        <w:tblW w:type="auto" w:w="0"/>
        <w:tblLayout w:type="fixed"/>
        <w:tblLook w:firstColumn="1" w:firstRow="1" w:lastColumn="0" w:lastRow="0" w:noHBand="0" w:noVBand="1" w:val="04A0"/>
      </w:tblPr>
      <w:tblGrid>
        <w:gridCol w:w="3174"/>
        <w:gridCol w:w="7064"/>
      </w:tblGrid>
      <w:tr>
        <w:trPr>
          <w:tblHeader/>
          <w:cantSplit/>
        </w:trPr>
        <w:tc>
          <w:tcPr>
            <w:tcW w:type="dxa" w:w="3174"/>
            <w:shd w:fill="15344B"/>
          </w:tcPr>
          <w:p>
            <w:pPr>
              <w:spacing w:after="100" w:before="80" w:line="245" w:lineRule="auto"/>
            </w:pPr>
            <w:r>
              <w:rPr>
                <w:rFonts w:ascii="Arial" w:hAnsi="Arial"/>
                <w:b/>
                <w:color w:val="FFFFFF"/>
                <w:sz w:val="17"/>
              </w:rPr>
              <w:t>Operating segment</w:t>
            </w:r>
          </w:p>
        </w:tc>
        <w:tc>
          <w:tcPr>
            <w:tcW w:type="dxa" w:w="7064"/>
            <w:shd w:fill="15344B"/>
          </w:tcPr>
          <w:p>
            <w:pPr>
              <w:spacing w:after="100" w:before="80" w:line="245" w:lineRule="auto"/>
            </w:pPr>
            <w:r>
              <w:rPr>
                <w:rFonts w:ascii="Arial" w:hAnsi="Arial"/>
                <w:b/>
                <w:color w:val="FFFFFF"/>
                <w:sz w:val="17"/>
              </w:rPr>
              <w:t>Required sector measures</w:t>
            </w:r>
          </w:p>
        </w:tc>
      </w:tr>
      <w:tr>
        <w:trPr>
          <w:cantSplit/>
        </w:trPr>
        <w:tc>
          <w:tcPr>
            <w:tcW w:type="dxa" w:w="3174"/>
            <w:shd w:fill="F0F5F7"/>
          </w:tcPr>
          <w:p>
            <w:pPr>
              <w:spacing w:after="100" w:before="80" w:line="245" w:lineRule="auto"/>
            </w:pPr>
            <w:r>
              <w:rPr>
                <w:rFonts w:ascii="Arial" w:hAnsi="Arial"/>
                <w:sz w:val="17"/>
              </w:rPr>
              <w:t>Energy / refining / petrochemicals</w:t>
            </w:r>
          </w:p>
        </w:tc>
        <w:tc>
          <w:tcPr>
            <w:tcW w:type="dxa" w:w="7064"/>
            <w:shd w:fill="F0F5F7"/>
          </w:tcPr>
          <w:p>
            <w:pPr>
              <w:spacing w:after="100" w:before="80" w:line="245" w:lineRule="auto"/>
            </w:pPr>
            <w:r>
              <w:rPr>
                <w:rFonts w:ascii="Arial" w:hAnsi="Arial"/>
                <w:sz w:val="17"/>
              </w:rPr>
              <w:t>Utilization and yield; unplanned outage; margin normalized for feed/product prices; energy per unit; maintenance backlog; safety.</w:t>
            </w:r>
          </w:p>
        </w:tc>
      </w:tr>
      <w:tr>
        <w:trPr>
          <w:cantSplit/>
        </w:trPr>
        <w:tc>
          <w:tcPr>
            <w:tcW w:type="dxa" w:w="3174"/>
          </w:tcPr>
          <w:p>
            <w:pPr>
              <w:spacing w:after="100" w:before="80" w:line="245" w:lineRule="auto"/>
            </w:pPr>
            <w:r>
              <w:rPr>
                <w:rFonts w:ascii="Arial" w:hAnsi="Arial"/>
                <w:sz w:val="17"/>
              </w:rPr>
              <w:t>Utilities / infrastructure</w:t>
            </w:r>
          </w:p>
        </w:tc>
        <w:tc>
          <w:tcPr>
            <w:tcW w:type="dxa" w:w="7064"/>
          </w:tcPr>
          <w:p>
            <w:pPr>
              <w:spacing w:after="100" w:before="80" w:line="245" w:lineRule="auto"/>
            </w:pPr>
            <w:r>
              <w:rPr>
                <w:rFonts w:ascii="Arial" w:hAnsi="Arial"/>
                <w:sz w:val="17"/>
              </w:rPr>
              <w:t>Cost per kWh or service unit; losses; availability; outage duration; receivables/compensation; efficient service-cost recovery.</w:t>
            </w:r>
          </w:p>
        </w:tc>
      </w:tr>
      <w:tr>
        <w:trPr>
          <w:cantSplit/>
        </w:trPr>
        <w:tc>
          <w:tcPr>
            <w:tcW w:type="dxa" w:w="3174"/>
            <w:shd w:fill="F0F5F7"/>
          </w:tcPr>
          <w:p>
            <w:pPr>
              <w:spacing w:after="100" w:before="80" w:line="245" w:lineRule="auto"/>
            </w:pPr>
            <w:r>
              <w:rPr>
                <w:rFonts w:ascii="Arial" w:hAnsi="Arial"/>
                <w:sz w:val="17"/>
              </w:rPr>
              <w:t>Banks / financial services</w:t>
            </w:r>
          </w:p>
        </w:tc>
        <w:tc>
          <w:tcPr>
            <w:tcW w:type="dxa" w:w="7064"/>
            <w:shd w:fill="F0F5F7"/>
          </w:tcPr>
          <w:p>
            <w:pPr>
              <w:spacing w:after="100" w:before="80" w:line="245" w:lineRule="auto"/>
            </w:pPr>
            <w:r>
              <w:rPr>
                <w:rFonts w:ascii="Arial" w:hAnsi="Arial"/>
                <w:sz w:val="17"/>
              </w:rPr>
              <w:t>ROE–cost of equity; CIR; cost of risk; NPL and coverage; CET1 headroom; liquidity and related-party exposures.</w:t>
            </w:r>
          </w:p>
        </w:tc>
      </w:tr>
      <w:tr>
        <w:trPr>
          <w:cantSplit/>
        </w:trPr>
        <w:tc>
          <w:tcPr>
            <w:tcW w:type="dxa" w:w="3174"/>
          </w:tcPr>
          <w:p>
            <w:pPr>
              <w:spacing w:after="100" w:before="80" w:line="245" w:lineRule="auto"/>
            </w:pPr>
            <w:r>
              <w:rPr>
                <w:rFonts w:ascii="Arial" w:hAnsi="Arial"/>
                <w:sz w:val="17"/>
              </w:rPr>
              <w:t>Mining / metals</w:t>
            </w:r>
          </w:p>
        </w:tc>
        <w:tc>
          <w:tcPr>
            <w:tcW w:type="dxa" w:w="7064"/>
          </w:tcPr>
          <w:p>
            <w:pPr>
              <w:spacing w:after="100" w:before="80" w:line="245" w:lineRule="auto"/>
            </w:pPr>
            <w:r>
              <w:rPr>
                <w:rFonts w:ascii="Arial" w:hAnsi="Arial"/>
                <w:sz w:val="17"/>
              </w:rPr>
              <w:t>Unit cash cost; recovery rate; reserve/reliability assumptions; commodity-cycle normalization; downstream margin and energy intensity.</w:t>
            </w:r>
          </w:p>
        </w:tc>
      </w:tr>
      <w:tr>
        <w:trPr>
          <w:cantSplit/>
        </w:trPr>
        <w:tc>
          <w:tcPr>
            <w:tcW w:type="dxa" w:w="3174"/>
            <w:shd w:fill="F0F5F7"/>
          </w:tcPr>
          <w:p>
            <w:pPr>
              <w:spacing w:after="100" w:before="80" w:line="245" w:lineRule="auto"/>
            </w:pPr>
            <w:r>
              <w:rPr>
                <w:rFonts w:ascii="Arial" w:hAnsi="Arial"/>
                <w:sz w:val="17"/>
              </w:rPr>
              <w:t>Transport / maritime / logistics</w:t>
            </w:r>
          </w:p>
        </w:tc>
        <w:tc>
          <w:tcPr>
            <w:tcW w:type="dxa" w:w="7064"/>
            <w:shd w:fill="F0F5F7"/>
          </w:tcPr>
          <w:p>
            <w:pPr>
              <w:spacing w:after="100" w:before="80" w:line="245" w:lineRule="auto"/>
            </w:pPr>
            <w:r>
              <w:rPr>
                <w:rFonts w:ascii="Arial" w:hAnsi="Arial"/>
                <w:sz w:val="17"/>
              </w:rPr>
              <w:t>Capacity utilization; on-time reliability; dwell/turnaround time; operating cost per tonne-km or service unit.</w:t>
            </w:r>
          </w:p>
        </w:tc>
      </w:tr>
      <w:tr>
        <w:trPr>
          <w:cantSplit/>
        </w:trPr>
        <w:tc>
          <w:tcPr>
            <w:tcW w:type="dxa" w:w="3174"/>
          </w:tcPr>
          <w:p>
            <w:pPr>
              <w:spacing w:after="100" w:before="80" w:line="245" w:lineRule="auto"/>
            </w:pPr>
            <w:r>
              <w:rPr>
                <w:rFonts w:ascii="Arial" w:hAnsi="Arial"/>
                <w:sz w:val="17"/>
              </w:rPr>
              <w:t>Digital / telecom</w:t>
            </w:r>
          </w:p>
        </w:tc>
        <w:tc>
          <w:tcPr>
            <w:tcW w:type="dxa" w:w="7064"/>
          </w:tcPr>
          <w:p>
            <w:pPr>
              <w:spacing w:after="100" w:before="80" w:line="245" w:lineRule="auto"/>
            </w:pPr>
            <w:r>
              <w:rPr>
                <w:rFonts w:ascii="Arial" w:hAnsi="Arial"/>
                <w:sz w:val="17"/>
              </w:rPr>
              <w:t>Revenue and margin per customer/service; network utilization; uptime; churn; capex returns; comparable group cash generation.</w:t>
            </w:r>
          </w:p>
        </w:tc>
      </w:tr>
    </w:tbl>
    <w:p>
      <w:pPr>
        <w:spacing w:after="0"/>
      </w:pPr>
    </w:p>
    <w:p>
      <w:r>
        <w:t>The measures above are proposed sector adaptations. Set peer groups before observing results: comparable product mix, size, geography, regulation and capital intensity. Use median and upper-quartile operating peers, but do not copy a top-quartile leverage or service target without considering local obligations.</w:t>
      </w:r>
    </w:p>
    <w:tbl>
      <w:tblPr>
        <w:tblW w:type="auto" w:w="0"/>
        <w:tblLook w:firstColumn="1" w:firstRow="1" w:lastColumn="0" w:lastRow="0" w:noHBand="0" w:noVBand="1" w:val="04A0"/>
      </w:tblPr>
      <w:tblGrid>
        <w:gridCol w:w="10239"/>
      </w:tblGrid>
      <w:tr>
        <w:tc>
          <w:tcPr>
            <w:tcW w:type="dxa" w:w="10239"/>
            <w:shd w:fill="E9F3F3"/>
          </w:tcPr>
          <w:p>
            <w:r>
              <w:rPr>
                <w:b/>
                <w:color w:val="15344B"/>
              </w:rPr>
              <w:t>Reward recurring net benefits after transition costs. Do not reward fewer legal entities, higher dividend extraction or headcount reduction without verified productivity and service outcomes.</w:t>
            </w:r>
          </w:p>
        </w:tc>
      </w:tr>
    </w:tbl>
    <w:p>
      <w:pPr>
        <w:spacing w:after="20"/>
      </w:pPr>
    </w:p>
    <w:p>
      <w:r>
        <w:br w:type="page"/>
      </w:r>
    </w:p>
    <w:p>
      <w:r>
        <w:rPr>
          <w:b/>
          <w:color w:val="007F82"/>
          <w:sz w:val="16"/>
        </w:rPr>
        <w:t>PROPOSED METRIC DICTIONARY</w:t>
      </w:r>
    </w:p>
    <w:p>
      <w:pPr>
        <w:pStyle w:val="Heading1"/>
      </w:pPr>
      <w:r>
        <w:t>SOE metrics | 1–5</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O01 Non-financial SOE ROIC less WACC</w:t>
              <w:br/>
              <w:t>pp</w:t>
            </w:r>
          </w:p>
        </w:tc>
        <w:tc>
          <w:tcPr>
            <w:tcW w:type="dxa" w:w="3686"/>
            <w:shd w:fill="F0F5F7"/>
          </w:tcPr>
          <w:p>
            <w:pPr>
              <w:spacing w:after="100" w:before="80" w:line="245" w:lineRule="auto"/>
            </w:pPr>
            <w:r>
              <w:rPr>
                <w:rFonts w:ascii="Arial" w:hAnsi="Arial"/>
                <w:sz w:val="17"/>
              </w:rPr>
              <w:t>Normalized after-tax operating profit / average invested operating capital minus WACC.</w:t>
            </w:r>
          </w:p>
        </w:tc>
        <w:tc>
          <w:tcPr>
            <w:tcW w:type="dxa" w:w="4095"/>
            <w:shd w:fill="F0F5F7"/>
          </w:tcPr>
          <w:p>
            <w:pPr>
              <w:spacing w:after="100" w:before="80" w:line="245" w:lineRule="auto"/>
            </w:pPr>
            <w:r>
              <w:rPr>
                <w:rFonts w:ascii="Arial" w:hAnsi="Arial"/>
                <w:sz w:val="17"/>
              </w:rPr>
              <w:t>Sector and currency-specific cost of capital; matched invested-capital definitions. Exclude banks; adjust revaluations, leases, acquisitions and PSO consistently. [S17; S23]</w:t>
            </w:r>
          </w:p>
        </w:tc>
      </w:tr>
      <w:tr>
        <w:trPr>
          <w:cantSplit/>
        </w:trPr>
        <w:tc>
          <w:tcPr>
            <w:tcW w:type="dxa" w:w="2457"/>
          </w:tcPr>
          <w:p>
            <w:pPr>
              <w:spacing w:after="100" w:before="80" w:line="245" w:lineRule="auto"/>
            </w:pPr>
            <w:r>
              <w:rPr>
                <w:rFonts w:ascii="Arial" w:hAnsi="Arial"/>
                <w:sz w:val="17"/>
              </w:rPr>
              <w:t>O02 Incremental economic profit</w:t>
              <w:br/>
              <w:t>IDR bn</w:t>
            </w:r>
          </w:p>
        </w:tc>
        <w:tc>
          <w:tcPr>
            <w:tcW w:type="dxa" w:w="3686"/>
          </w:tcPr>
          <w:p>
            <w:pPr>
              <w:spacing w:after="100" w:before="80" w:line="245" w:lineRule="auto"/>
            </w:pPr>
            <w:r>
              <w:rPr>
                <w:rFonts w:ascii="Arial" w:hAnsi="Arial"/>
                <w:sz w:val="17"/>
              </w:rPr>
              <w:t>NOPAT − WACC × average invested capital, minus counterfactual economic profit.</w:t>
            </w:r>
          </w:p>
        </w:tc>
        <w:tc>
          <w:tcPr>
            <w:tcW w:type="dxa" w:w="4095"/>
          </w:tcPr>
          <w:p>
            <w:pPr>
              <w:spacing w:after="100" w:before="80" w:line="245" w:lineRule="auto"/>
            </w:pPr>
            <w:r>
              <w:rPr>
                <w:rFonts w:ascii="Arial" w:hAnsi="Arial"/>
                <w:sz w:val="17"/>
              </w:rPr>
              <w:t>Positive incremental result against independently approved baseline. Ownership transfers and capital injections are not value creation. [S23]</w:t>
            </w:r>
          </w:p>
        </w:tc>
      </w:tr>
      <w:tr>
        <w:trPr>
          <w:cantSplit/>
        </w:trPr>
        <w:tc>
          <w:tcPr>
            <w:tcW w:type="dxa" w:w="2457"/>
            <w:shd w:fill="F0F5F7"/>
          </w:tcPr>
          <w:p>
            <w:pPr>
              <w:spacing w:after="100" w:before="80" w:line="245" w:lineRule="auto"/>
            </w:pPr>
            <w:r>
              <w:rPr>
                <w:rFonts w:ascii="Arial" w:hAnsi="Arial"/>
                <w:sz w:val="17"/>
              </w:rPr>
              <w:t>O03 Comparable EBITDA margin</w:t>
              <w:br/>
              <w:t>%</w:t>
            </w:r>
          </w:p>
        </w:tc>
        <w:tc>
          <w:tcPr>
            <w:tcW w:type="dxa" w:w="3686"/>
            <w:shd w:fill="F0F5F7"/>
          </w:tcPr>
          <w:p>
            <w:pPr>
              <w:spacing w:after="100" w:before="80" w:line="245" w:lineRule="auto"/>
            </w:pPr>
            <w:r>
              <w:rPr>
                <w:rFonts w:ascii="Arial" w:hAnsi="Arial"/>
                <w:sz w:val="17"/>
              </w:rPr>
              <w:t>Comparable EBITDA / revenue, with bridge to statutory operating profit.</w:t>
            </w:r>
          </w:p>
        </w:tc>
        <w:tc>
          <w:tcPr>
            <w:tcW w:type="dxa" w:w="4095"/>
            <w:shd w:fill="F0F5F7"/>
          </w:tcPr>
          <w:p>
            <w:pPr>
              <w:spacing w:after="100" w:before="80" w:line="245" w:lineRule="auto"/>
            </w:pPr>
            <w:r>
              <w:rPr>
                <w:rFonts w:ascii="Arial" w:hAnsi="Arial"/>
                <w:sz w:val="17"/>
              </w:rPr>
              <w:t>Same-sector peer and approved transformation path. Exclude banks; show reported and normalized margins with adjustment reconciliation. [S23]</w:t>
            </w:r>
          </w:p>
        </w:tc>
      </w:tr>
      <w:tr>
        <w:trPr>
          <w:cantSplit/>
        </w:trPr>
        <w:tc>
          <w:tcPr>
            <w:tcW w:type="dxa" w:w="2457"/>
          </w:tcPr>
          <w:p>
            <w:pPr>
              <w:spacing w:after="100" w:before="80" w:line="245" w:lineRule="auto"/>
            </w:pPr>
            <w:r>
              <w:rPr>
                <w:rFonts w:ascii="Arial" w:hAnsi="Arial"/>
                <w:sz w:val="17"/>
              </w:rPr>
              <w:t>O04 Operating cash conversion</w:t>
              <w:br/>
              <w:t>x</w:t>
            </w:r>
          </w:p>
        </w:tc>
        <w:tc>
          <w:tcPr>
            <w:tcW w:type="dxa" w:w="3686"/>
          </w:tcPr>
          <w:p>
            <w:pPr>
              <w:spacing w:after="100" w:before="80" w:line="245" w:lineRule="auto"/>
            </w:pPr>
            <w:r>
              <w:rPr>
                <w:rFonts w:ascii="Arial" w:hAnsi="Arial"/>
                <w:sz w:val="17"/>
              </w:rPr>
              <w:t>Operating cash flow / EBITDA; supplement with cash tax, working capital and maintenance-capex bridge.</w:t>
            </w:r>
          </w:p>
        </w:tc>
        <w:tc>
          <w:tcPr>
            <w:tcW w:type="dxa" w:w="4095"/>
          </w:tcPr>
          <w:p>
            <w:pPr>
              <w:spacing w:after="100" w:before="80" w:line="245" w:lineRule="auto"/>
            </w:pPr>
            <w:r>
              <w:rPr>
                <w:rFonts w:ascii="Arial" w:hAnsi="Arial"/>
                <w:sz w:val="17"/>
              </w:rPr>
              <w:t>Trailing periods and sector working-capital cycle. Non-financial SOEs only; do not reward overdue suppliers or uncollected compensation. [S04; S23]</w:t>
            </w:r>
          </w:p>
        </w:tc>
      </w:tr>
      <w:tr>
        <w:trPr>
          <w:cantSplit/>
        </w:trPr>
        <w:tc>
          <w:tcPr>
            <w:tcW w:type="dxa" w:w="2457"/>
            <w:shd w:fill="F0F5F7"/>
          </w:tcPr>
          <w:p>
            <w:pPr>
              <w:spacing w:after="100" w:before="80" w:line="245" w:lineRule="auto"/>
            </w:pPr>
            <w:r>
              <w:rPr>
                <w:rFonts w:ascii="Arial" w:hAnsi="Arial"/>
                <w:sz w:val="17"/>
              </w:rPr>
              <w:t>O05 Real unit operating cost</w:t>
              <w:br/>
              <w:t>index</w:t>
            </w:r>
          </w:p>
        </w:tc>
        <w:tc>
          <w:tcPr>
            <w:tcW w:type="dxa" w:w="3686"/>
            <w:shd w:fill="F0F5F7"/>
          </w:tcPr>
          <w:p>
            <w:pPr>
              <w:spacing w:after="100" w:before="80" w:line="245" w:lineRule="auto"/>
            </w:pPr>
            <w:r>
              <w:rPr>
                <w:rFonts w:ascii="Arial" w:hAnsi="Arial"/>
                <w:sz w:val="17"/>
              </w:rPr>
              <w:t>Controllable operating costs at constant input prices / quality-adjusted physical output; baseline index 100.</w:t>
            </w:r>
          </w:p>
        </w:tc>
        <w:tc>
          <w:tcPr>
            <w:tcW w:type="dxa" w:w="4095"/>
            <w:shd w:fill="F0F5F7"/>
          </w:tcPr>
          <w:p>
            <w:pPr>
              <w:spacing w:after="100" w:before="80" w:line="245" w:lineRule="auto"/>
            </w:pPr>
            <w:r>
              <w:rPr>
                <w:rFonts w:ascii="Arial" w:hAnsi="Arial"/>
                <w:sz w:val="17"/>
              </w:rPr>
              <w:t>Cost frontier or peer quartile at equivalent service quality. Savings must not arise from deferred maintenance, safety or quality erosion. [S23]</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PROPOSED METRIC DICTIONARY</w:t>
      </w:r>
    </w:p>
    <w:p>
      <w:pPr>
        <w:pStyle w:val="Heading1"/>
      </w:pPr>
      <w:r>
        <w:t>SOE metrics | 6–10</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O06 Real value added per employee</w:t>
              <w:br/>
              <w:t>IDR mn/FTE</w:t>
            </w:r>
          </w:p>
        </w:tc>
        <w:tc>
          <w:tcPr>
            <w:tcW w:type="dxa" w:w="3686"/>
            <w:shd w:fill="F0F5F7"/>
          </w:tcPr>
          <w:p>
            <w:pPr>
              <w:spacing w:after="100" w:before="80" w:line="245" w:lineRule="auto"/>
            </w:pPr>
            <w:r>
              <w:rPr>
                <w:rFonts w:ascii="Arial" w:hAnsi="Arial"/>
                <w:sz w:val="17"/>
              </w:rPr>
              <w:t>Real gross value added / average full-time-equivalent employment.</w:t>
            </w:r>
          </w:p>
        </w:tc>
        <w:tc>
          <w:tcPr>
            <w:tcW w:type="dxa" w:w="4095"/>
            <w:shd w:fill="F0F5F7"/>
          </w:tcPr>
          <w:p>
            <w:pPr>
              <w:spacing w:after="100" w:before="80" w:line="245" w:lineRule="auto"/>
            </w:pPr>
            <w:r>
              <w:rPr>
                <w:rFonts w:ascii="Arial" w:hAnsi="Arial"/>
                <w:sz w:val="17"/>
              </w:rPr>
              <w:t>Matched industry, capital intensity and outsourcing treatment. Revenue per employee can be inflated by input-price changes or outsourcing. [S23; S29]</w:t>
            </w:r>
          </w:p>
        </w:tc>
      </w:tr>
      <w:tr>
        <w:trPr>
          <w:cantSplit/>
        </w:trPr>
        <w:tc>
          <w:tcPr>
            <w:tcW w:type="dxa" w:w="2457"/>
          </w:tcPr>
          <w:p>
            <w:pPr>
              <w:spacing w:after="100" w:before="80" w:line="245" w:lineRule="auto"/>
            </w:pPr>
            <w:r>
              <w:rPr>
                <w:rFonts w:ascii="Arial" w:hAnsi="Arial"/>
                <w:sz w:val="17"/>
              </w:rPr>
              <w:t>O07 Organic real revenue growth</w:t>
              <w:br/>
              <w:t>%</w:t>
            </w:r>
          </w:p>
        </w:tc>
        <w:tc>
          <w:tcPr>
            <w:tcW w:type="dxa" w:w="3686"/>
          </w:tcPr>
          <w:p>
            <w:pPr>
              <w:spacing w:after="100" w:before="80" w:line="245" w:lineRule="auto"/>
            </w:pPr>
            <w:r>
              <w:rPr>
                <w:rFonts w:ascii="Arial" w:hAnsi="Arial"/>
                <w:sz w:val="17"/>
              </w:rPr>
              <w:t>Like-for-like constant-price revenue growth excluding acquired/disposed businesses and accounting changes.</w:t>
            </w:r>
          </w:p>
        </w:tc>
        <w:tc>
          <w:tcPr>
            <w:tcW w:type="dxa" w:w="4095"/>
          </w:tcPr>
          <w:p>
            <w:pPr>
              <w:spacing w:after="100" w:before="80" w:line="245" w:lineRule="auto"/>
            </w:pPr>
            <w:r>
              <w:rPr>
                <w:rFonts w:ascii="Arial" w:hAnsi="Arial"/>
                <w:sz w:val="17"/>
              </w:rPr>
              <w:t>Sector market growth plus credible market-share objective. Separate price, volume, FX, consolidation and subsidy effects. [S23]</w:t>
            </w:r>
          </w:p>
        </w:tc>
      </w:tr>
      <w:tr>
        <w:trPr>
          <w:cantSplit/>
        </w:trPr>
        <w:tc>
          <w:tcPr>
            <w:tcW w:type="dxa" w:w="2457"/>
            <w:shd w:fill="F0F5F7"/>
          </w:tcPr>
          <w:p>
            <w:pPr>
              <w:spacing w:after="100" w:before="80" w:line="245" w:lineRule="auto"/>
            </w:pPr>
            <w:r>
              <w:rPr>
                <w:rFonts w:ascii="Arial" w:hAnsi="Arial"/>
                <w:sz w:val="17"/>
              </w:rPr>
              <w:t>O08 Non-financial net debt / EBITDA</w:t>
              <w:br/>
              <w:t>x</w:t>
            </w:r>
          </w:p>
        </w:tc>
        <w:tc>
          <w:tcPr>
            <w:tcW w:type="dxa" w:w="3686"/>
            <w:shd w:fill="F0F5F7"/>
          </w:tcPr>
          <w:p>
            <w:pPr>
              <w:spacing w:after="100" w:before="80" w:line="245" w:lineRule="auto"/>
            </w:pPr>
            <w:r>
              <w:rPr>
                <w:rFonts w:ascii="Arial" w:hAnsi="Arial"/>
                <w:sz w:val="17"/>
              </w:rPr>
              <w:t>Interest-bearing debt less unrestricted cash / trailing comparable EBITDA.</w:t>
            </w:r>
          </w:p>
        </w:tc>
        <w:tc>
          <w:tcPr>
            <w:tcW w:type="dxa" w:w="4095"/>
            <w:shd w:fill="F0F5F7"/>
          </w:tcPr>
          <w:p>
            <w:pPr>
              <w:spacing w:after="100" w:before="80" w:line="245" w:lineRule="auto"/>
            </w:pPr>
            <w:r>
              <w:rPr>
                <w:rFonts w:ascii="Arial" w:hAnsi="Arial"/>
                <w:sz w:val="17"/>
              </w:rPr>
              <w:t>Sector-specific covenant and rating headroom with stress buffer. Not meaningful for banks or negative EBITDA; use alternative solvency measures. [S22; S23]</w:t>
            </w:r>
          </w:p>
        </w:tc>
      </w:tr>
      <w:tr>
        <w:trPr>
          <w:cantSplit/>
        </w:trPr>
        <w:tc>
          <w:tcPr>
            <w:tcW w:type="dxa" w:w="2457"/>
          </w:tcPr>
          <w:p>
            <w:pPr>
              <w:spacing w:after="100" w:before="80" w:line="245" w:lineRule="auto"/>
            </w:pPr>
            <w:r>
              <w:rPr>
                <w:rFonts w:ascii="Arial" w:hAnsi="Arial"/>
                <w:sz w:val="17"/>
              </w:rPr>
              <w:t>O09 Verified net transformation benefits</w:t>
              <w:br/>
              <w:t>IDR bn</w:t>
            </w:r>
          </w:p>
        </w:tc>
        <w:tc>
          <w:tcPr>
            <w:tcW w:type="dxa" w:w="3686"/>
          </w:tcPr>
          <w:p>
            <w:pPr>
              <w:spacing w:after="100" w:before="80" w:line="245" w:lineRule="auto"/>
            </w:pPr>
            <w:r>
              <w:rPr>
                <w:rFonts w:ascii="Arial" w:hAnsi="Arial"/>
                <w:sz w:val="17"/>
              </w:rPr>
              <w:t>Realized cash benefits less implementation, severance, integration and recurring added costs.</w:t>
            </w:r>
          </w:p>
        </w:tc>
        <w:tc>
          <w:tcPr>
            <w:tcW w:type="dxa" w:w="4095"/>
          </w:tcPr>
          <w:p>
            <w:pPr>
              <w:spacing w:after="100" w:before="80" w:line="245" w:lineRule="auto"/>
            </w:pPr>
            <w:r>
              <w:rPr>
                <w:rFonts w:ascii="Arial" w:hAnsi="Arial"/>
                <w:sz w:val="17"/>
              </w:rPr>
              <w:t>Approved net-benefit plan, independently validated and time-bound. Eliminate intra-group transfers and lost-service costs; entity-count reduction is not a benefit. [S04]</w:t>
            </w:r>
          </w:p>
        </w:tc>
      </w:tr>
      <w:tr>
        <w:trPr>
          <w:cantSplit/>
        </w:trPr>
        <w:tc>
          <w:tcPr>
            <w:tcW w:type="dxa" w:w="2457"/>
            <w:shd w:fill="F0F5F7"/>
          </w:tcPr>
          <w:p>
            <w:pPr>
              <w:spacing w:after="100" w:before="80" w:line="245" w:lineRule="auto"/>
            </w:pPr>
            <w:r>
              <w:rPr>
                <w:rFonts w:ascii="Arial" w:hAnsi="Arial"/>
                <w:sz w:val="17"/>
              </w:rPr>
              <w:t>O10 Service reliability / quality attainment</w:t>
              <w:br/>
              <w:t>%</w:t>
            </w:r>
          </w:p>
        </w:tc>
        <w:tc>
          <w:tcPr>
            <w:tcW w:type="dxa" w:w="3686"/>
            <w:shd w:fill="F0F5F7"/>
          </w:tcPr>
          <w:p>
            <w:pPr>
              <w:spacing w:after="100" w:before="80" w:line="245" w:lineRule="auto"/>
            </w:pPr>
            <w:r>
              <w:rPr>
                <w:rFonts w:ascii="Arial" w:hAnsi="Arial"/>
                <w:sz w:val="17"/>
              </w:rPr>
              <w:t>Accepted sector-specific service outcomes / contracted service targets.</w:t>
            </w:r>
          </w:p>
        </w:tc>
        <w:tc>
          <w:tcPr>
            <w:tcW w:type="dxa" w:w="4095"/>
            <w:shd w:fill="F0F5F7"/>
          </w:tcPr>
          <w:p>
            <w:pPr>
              <w:spacing w:after="100" w:before="80" w:line="245" w:lineRule="auto"/>
            </w:pPr>
            <w:r>
              <w:rPr>
                <w:rFonts w:ascii="Arial" w:hAnsi="Arial"/>
                <w:sz w:val="17"/>
              </w:rPr>
              <w:t>Utility outage, port turnaround, safety and product-quality baselines as applicable. Use physical service metrics; a simple average must not conceal critical failures. [S20; S21]</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PROPOSED METRIC DICTIONARY</w:t>
      </w:r>
    </w:p>
    <w:p>
      <w:pPr>
        <w:pStyle w:val="Heading1"/>
      </w:pPr>
      <w:r>
        <w:t>SOE metrics | 11–15</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O11 Bank ROE less cost of equity</w:t>
              <w:br/>
              <w:t>pp</w:t>
            </w:r>
          </w:p>
        </w:tc>
        <w:tc>
          <w:tcPr>
            <w:tcW w:type="dxa" w:w="3686"/>
            <w:shd w:fill="F0F5F7"/>
          </w:tcPr>
          <w:p>
            <w:pPr>
              <w:spacing w:after="100" w:before="80" w:line="245" w:lineRule="auto"/>
            </w:pPr>
            <w:r>
              <w:rPr>
                <w:rFonts w:ascii="Arial" w:hAnsi="Arial"/>
                <w:sz w:val="17"/>
              </w:rPr>
              <w:t>Profit attributable to common equity / average common equity minus cost of equity.</w:t>
            </w:r>
          </w:p>
        </w:tc>
        <w:tc>
          <w:tcPr>
            <w:tcW w:type="dxa" w:w="4095"/>
            <w:shd w:fill="F0F5F7"/>
          </w:tcPr>
          <w:p>
            <w:pPr>
              <w:spacing w:after="100" w:before="80" w:line="245" w:lineRule="auto"/>
            </w:pPr>
            <w:r>
              <w:rPr>
                <w:rFonts w:ascii="Arial" w:hAnsi="Arial"/>
                <w:sz w:val="17"/>
              </w:rPr>
              <w:t>Comparable capital levels, business mix and credit cycle. Do not increase leverage merely to improve ROE; use regulatory capital constraints. [S23]</w:t>
            </w:r>
          </w:p>
        </w:tc>
      </w:tr>
      <w:tr>
        <w:trPr>
          <w:cantSplit/>
        </w:trPr>
        <w:tc>
          <w:tcPr>
            <w:tcW w:type="dxa" w:w="2457"/>
          </w:tcPr>
          <w:p>
            <w:pPr>
              <w:spacing w:after="100" w:before="80" w:line="245" w:lineRule="auto"/>
            </w:pPr>
            <w:r>
              <w:rPr>
                <w:rFonts w:ascii="Arial" w:hAnsi="Arial"/>
                <w:sz w:val="17"/>
              </w:rPr>
              <w:t>O12 Bank cost-to-income ratio</w:t>
              <w:br/>
              <w:t>%</w:t>
            </w:r>
          </w:p>
        </w:tc>
        <w:tc>
          <w:tcPr>
            <w:tcW w:type="dxa" w:w="3686"/>
          </w:tcPr>
          <w:p>
            <w:pPr>
              <w:spacing w:after="100" w:before="80" w:line="245" w:lineRule="auto"/>
            </w:pPr>
            <w:r>
              <w:rPr>
                <w:rFonts w:ascii="Arial" w:hAnsi="Arial"/>
                <w:sz w:val="17"/>
              </w:rPr>
              <w:t>Operating expense / operating income under a consistent bank definition.</w:t>
            </w:r>
          </w:p>
        </w:tc>
        <w:tc>
          <w:tcPr>
            <w:tcW w:type="dxa" w:w="4095"/>
          </w:tcPr>
          <w:p>
            <w:pPr>
              <w:spacing w:after="100" w:before="80" w:line="245" w:lineRule="auto"/>
            </w:pPr>
            <w:r>
              <w:rPr>
                <w:rFonts w:ascii="Arial" w:hAnsi="Arial"/>
                <w:sz w:val="17"/>
              </w:rPr>
              <w:t>Comparable business mix, service model and digitization investment stage. Distinguish CIR from BOPO and disclose treatment of provisions. [S10; S23]</w:t>
            </w:r>
          </w:p>
        </w:tc>
      </w:tr>
      <w:tr>
        <w:trPr>
          <w:cantSplit/>
        </w:trPr>
        <w:tc>
          <w:tcPr>
            <w:tcW w:type="dxa" w:w="2457"/>
            <w:shd w:fill="F0F5F7"/>
          </w:tcPr>
          <w:p>
            <w:pPr>
              <w:spacing w:after="100" w:before="80" w:line="245" w:lineRule="auto"/>
            </w:pPr>
            <w:r>
              <w:rPr>
                <w:rFonts w:ascii="Arial" w:hAnsi="Arial"/>
                <w:sz w:val="17"/>
              </w:rPr>
              <w:t>O13 Bank gross NPL ratio</w:t>
              <w:br/>
              <w:t>%</w:t>
            </w:r>
          </w:p>
        </w:tc>
        <w:tc>
          <w:tcPr>
            <w:tcW w:type="dxa" w:w="3686"/>
            <w:shd w:fill="F0F5F7"/>
          </w:tcPr>
          <w:p>
            <w:pPr>
              <w:spacing w:after="100" w:before="80" w:line="245" w:lineRule="auto"/>
            </w:pPr>
            <w:r>
              <w:rPr>
                <w:rFonts w:ascii="Arial" w:hAnsi="Arial"/>
                <w:sz w:val="17"/>
              </w:rPr>
              <w:t>Gross non-performing loans / gross loans; show cost of risk and coverage alongside.</w:t>
            </w:r>
          </w:p>
        </w:tc>
        <w:tc>
          <w:tcPr>
            <w:tcW w:type="dxa" w:w="4095"/>
            <w:shd w:fill="F0F5F7"/>
          </w:tcPr>
          <w:p>
            <w:pPr>
              <w:spacing w:after="100" w:before="80" w:line="245" w:lineRule="auto"/>
            </w:pPr>
            <w:r>
              <w:rPr>
                <w:rFonts w:ascii="Arial" w:hAnsi="Arial"/>
                <w:sz w:val="17"/>
              </w:rPr>
              <w:t>Matched credit mix, underwriting vintage and regulator definitions. Loan sales, write-offs and rapid loan growth can mask deterioration. [S10]</w:t>
            </w:r>
          </w:p>
        </w:tc>
      </w:tr>
      <w:tr>
        <w:trPr>
          <w:cantSplit/>
        </w:trPr>
        <w:tc>
          <w:tcPr>
            <w:tcW w:type="dxa" w:w="2457"/>
          </w:tcPr>
          <w:p>
            <w:pPr>
              <w:spacing w:after="100" w:before="80" w:line="245" w:lineRule="auto"/>
            </w:pPr>
            <w:r>
              <w:rPr>
                <w:rFonts w:ascii="Arial" w:hAnsi="Arial"/>
                <w:sz w:val="17"/>
              </w:rPr>
              <w:t>O14 Bank capital headroom</w:t>
              <w:br/>
              <w:t>pp</w:t>
            </w:r>
          </w:p>
        </w:tc>
        <w:tc>
          <w:tcPr>
            <w:tcW w:type="dxa" w:w="3686"/>
          </w:tcPr>
          <w:p>
            <w:pPr>
              <w:spacing w:after="100" w:before="80" w:line="245" w:lineRule="auto"/>
            </w:pPr>
            <w:r>
              <w:rPr>
                <w:rFonts w:ascii="Arial" w:hAnsi="Arial"/>
                <w:sz w:val="17"/>
              </w:rPr>
              <w:t>CET1 ratio minus applicable required CET1 including buffers.</w:t>
            </w:r>
          </w:p>
        </w:tc>
        <w:tc>
          <w:tcPr>
            <w:tcW w:type="dxa" w:w="4095"/>
          </w:tcPr>
          <w:p>
            <w:pPr>
              <w:spacing w:after="100" w:before="80" w:line="245" w:lineRule="auto"/>
            </w:pPr>
            <w:r>
              <w:rPr>
                <w:rFonts w:ascii="Arial" w:hAnsi="Arial"/>
                <w:sz w:val="17"/>
              </w:rPr>
              <w:t>Positive management buffer above applicable requirements after stress. Total CAR and Tier 1 are not interchangeable with CET1. [S10; S23]</w:t>
            </w:r>
          </w:p>
        </w:tc>
      </w:tr>
      <w:tr>
        <w:trPr>
          <w:cantSplit/>
        </w:trPr>
        <w:tc>
          <w:tcPr>
            <w:tcW w:type="dxa" w:w="2457"/>
            <w:shd w:fill="F0F5F7"/>
          </w:tcPr>
          <w:p>
            <w:pPr>
              <w:spacing w:after="100" w:before="80" w:line="245" w:lineRule="auto"/>
            </w:pPr>
            <w:r>
              <w:rPr>
                <w:rFonts w:ascii="Arial" w:hAnsi="Arial"/>
                <w:sz w:val="17"/>
              </w:rPr>
              <w:t>O15 Unfunded public-service mandate cost</w:t>
              <w:br/>
              <w:t>IDR bn</w:t>
            </w:r>
          </w:p>
        </w:tc>
        <w:tc>
          <w:tcPr>
            <w:tcW w:type="dxa" w:w="3686"/>
            <w:shd w:fill="F0F5F7"/>
          </w:tcPr>
          <w:p>
            <w:pPr>
              <w:spacing w:after="100" w:before="80" w:line="245" w:lineRule="auto"/>
            </w:pPr>
            <w:r>
              <w:rPr>
                <w:rFonts w:ascii="Arial" w:hAnsi="Arial"/>
                <w:sz w:val="17"/>
              </w:rPr>
              <w:t>Efficient verified public-service cost less funded compensation, with arrears aged separately.</w:t>
            </w:r>
          </w:p>
        </w:tc>
        <w:tc>
          <w:tcPr>
            <w:tcW w:type="dxa" w:w="4095"/>
            <w:shd w:fill="F0F5F7"/>
          </w:tcPr>
          <w:p>
            <w:pPr>
              <w:spacing w:after="100" w:before="80" w:line="245" w:lineRule="auto"/>
            </w:pPr>
            <w:r>
              <w:rPr>
                <w:rFonts w:ascii="Arial" w:hAnsi="Arial"/>
                <w:sz w:val="17"/>
              </w:rPr>
              <w:t>Explicitly budgeted service contract and timely reimbursement. Show commercial and mandated activity separately; subsidies are not efficiency gains. [S20; S21]</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PERFORMANCE STUDY</w:t>
      </w:r>
    </w:p>
    <w:p>
      <w:pPr>
        <w:pStyle w:val="Heading1"/>
      </w:pPr>
      <w:r>
        <w:t>Industrialization: delivery versus impact</w:t>
      </w:r>
    </w:p>
    <w:p>
      <w:pPr>
        <w:pStyle w:val="Heading2"/>
      </w:pPr>
      <w:r>
        <w:t>Project evidence is promising but largely pre-operation</w:t>
      </w:r>
    </w:p>
    <w:p>
      <w:r>
        <w:t>CA–EDC is intended to expand domestic chemicals capacity and has a stated 2027 operating target. Its conditional equity agreement establishes a financing step; verified net import substitution, incremental value added and realized investor return need subsequent evidence. [S06]</w:t>
      </w:r>
    </w:p>
    <w:p>
      <w:r>
        <w:t>Bogor Raya 1 has an announced IDR2.8tn project value and 1,500 tonnes/day waste capacity. Its mid-2028 operating target means intended processing, jobs and emissions benefits remain forecasts at the date of this study. Site-readiness, full funding, commissioning and operational records are essential next tests. [S07]</w:t>
      </w:r>
    </w:p>
    <w:p>
      <w:r>
        <w:t>The six Phase-I downstream programs and the eight Batch-II conditional WtE awards should be tracked individually. Do not combine program totals with their component plants or treat conditional awards as completed facilities. [S08, S30]</w:t>
      </w:r>
    </w:p>
    <w:p>
      <w:pPr>
        <w:pStyle w:val="Heading2"/>
      </w:pPr>
      <w:r>
        <w:t>Four tests for genuine industrial development</w:t>
      </w:r>
    </w:p>
    <w:p>
      <w:pPr>
        <w:pStyle w:val="ListBullet"/>
      </w:pPr>
      <w:r>
        <w:t>Additionality: would the project have occurred at the same scale, timing, quality and financing terms without Danantara? Identify the specific financing, coordination or technology constraint removed.</w:t>
      </w:r>
    </w:p>
    <w:p>
      <w:pPr>
        <w:pStyle w:val="ListBullet"/>
      </w:pPr>
      <w:r>
        <w:t>Competitiveness: can the plant produce at acceptable cost, quality and reliability after support tapers? Measure unit economics and contestable markets, not merely protected sales.</w:t>
      </w:r>
    </w:p>
    <w:p>
      <w:pPr>
        <w:pStyle w:val="ListBullet"/>
      </w:pPr>
      <w:r>
        <w:t>Capability: can domestic teams operate, improve and reproduce critical processes? Require verified design rights, process control, supplier qualification and commercial repeatability.</w:t>
      </w:r>
    </w:p>
    <w:p>
      <w:pPr>
        <w:pStyle w:val="ListBullet"/>
      </w:pPr>
      <w:r>
        <w:t>Distribution and durability: are jobs sustained, suppliers more productive, services affordable and environmental gains verified over the asset life?</w:t>
      </w:r>
    </w:p>
    <w:p>
      <w:r>
        <w:t>IFC distinguishes project outcomes from broader market effects, while IDB Invest links entry targets to supervision and final evaluation. Danantara should similarly test both the individual plant and whether an industrial ecosystem becomes more productive and resilient. [S24–S25, S27]</w:t>
      </w:r>
    </w:p>
    <w:p>
      <w:pPr>
        <w:pStyle w:val="Heading2"/>
      </w:pPr>
      <w:r>
        <w:t>Macroeconomic attribution</w:t>
      </w:r>
    </w:p>
    <w:p>
      <w:r>
        <w:t>BPS reports 2025 real GDP growth of 5.11%, versus 5.03% in 2024. That national change cannot be assigned to Danantara without a counterfactual and evidence of incremental output. A public-investment announcement is not an estimate of GDP added. [S14]</w:t>
      </w:r>
    </w:p>
    <w:p>
      <w:r>
        <w:br w:type="page"/>
      </w:r>
    </w:p>
    <w:p>
      <w:r>
        <w:rPr>
          <w:b/>
          <w:color w:val="007F82"/>
          <w:sz w:val="16"/>
        </w:rPr>
        <w:t>PROPOSED METRIC DICTIONARY</w:t>
      </w:r>
    </w:p>
    <w:p>
      <w:pPr>
        <w:pStyle w:val="Heading1"/>
      </w:pPr>
      <w:r>
        <w:t>Economic and industrial metrics | 1–6</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D01 Economic return above social hurdle</w:t>
              <w:br/>
              <w:t>pp</w:t>
            </w:r>
          </w:p>
        </w:tc>
        <w:tc>
          <w:tcPr>
            <w:tcW w:type="dxa" w:w="3686"/>
            <w:shd w:fill="F0F5F7"/>
          </w:tcPr>
          <w:p>
            <w:pPr>
              <w:spacing w:after="100" w:before="80" w:line="245" w:lineRule="auto"/>
            </w:pPr>
            <w:r>
              <w:rPr>
                <w:rFonts w:ascii="Arial" w:hAnsi="Arial"/>
                <w:sz w:val="17"/>
              </w:rPr>
              <w:t>EIRR of incremental economic resource flows minus approved social discount rate; disclose ENPV.</w:t>
            </w:r>
          </w:p>
        </w:tc>
        <w:tc>
          <w:tcPr>
            <w:tcW w:type="dxa" w:w="4095"/>
            <w:shd w:fill="F0F5F7"/>
          </w:tcPr>
          <w:p>
            <w:pPr>
              <w:spacing w:after="100" w:before="80" w:line="245" w:lineRule="auto"/>
            </w:pPr>
            <w:r>
              <w:rPr>
                <w:rFonts w:ascii="Arial" w:hAnsi="Arial"/>
                <w:sz w:val="17"/>
              </w:rPr>
              <w:t>ADB 2017 9% reference; eligible 6% exception only with justification; local policy approval required. Real economic rates are not nominal equity hurdles. Use ENPV if IRR is ambiguous. [S26]</w:t>
            </w:r>
          </w:p>
        </w:tc>
      </w:tr>
      <w:tr>
        <w:trPr>
          <w:cantSplit/>
        </w:trPr>
        <w:tc>
          <w:tcPr>
            <w:tcW w:type="dxa" w:w="2457"/>
          </w:tcPr>
          <w:p>
            <w:pPr>
              <w:spacing w:after="100" w:before="80" w:line="245" w:lineRule="auto"/>
            </w:pPr>
            <w:r>
              <w:rPr>
                <w:rFonts w:ascii="Arial" w:hAnsi="Arial"/>
                <w:sz w:val="17"/>
              </w:rPr>
              <w:t>D02 Additional domestic value added</w:t>
              <w:br/>
              <w:t>IDR bn real</w:t>
            </w:r>
          </w:p>
        </w:tc>
        <w:tc>
          <w:tcPr>
            <w:tcW w:type="dxa" w:w="3686"/>
          </w:tcPr>
          <w:p>
            <w:pPr>
              <w:spacing w:after="100" w:before="80" w:line="245" w:lineRule="auto"/>
            </w:pPr>
            <w:r>
              <w:rPr>
                <w:rFonts w:ascii="Arial" w:hAnsi="Arial"/>
                <w:sz w:val="17"/>
              </w:rPr>
              <w:t>Domestic value added with project minus credible without-project path, net of displacement and overlap.</w:t>
            </w:r>
          </w:p>
        </w:tc>
        <w:tc>
          <w:tcPr>
            <w:tcW w:type="dxa" w:w="4095"/>
          </w:tcPr>
          <w:p>
            <w:pPr>
              <w:spacing w:after="100" w:before="80" w:line="245" w:lineRule="auto"/>
            </w:pPr>
            <w:r>
              <w:rPr>
                <w:rFonts w:ascii="Arial" w:hAnsi="Arial"/>
                <w:sz w:val="17"/>
              </w:rPr>
              <w:t>Baseline, phased targets and independent contribution analysis. Gross sales, investment spending and import replacement are not GDP increments. [S24; S29]</w:t>
            </w:r>
          </w:p>
        </w:tc>
      </w:tr>
      <w:tr>
        <w:trPr>
          <w:cantSplit/>
        </w:trPr>
        <w:tc>
          <w:tcPr>
            <w:tcW w:type="dxa" w:w="2457"/>
            <w:shd w:fill="F0F5F7"/>
          </w:tcPr>
          <w:p>
            <w:pPr>
              <w:spacing w:after="100" w:before="80" w:line="245" w:lineRule="auto"/>
            </w:pPr>
            <w:r>
              <w:rPr>
                <w:rFonts w:ascii="Arial" w:hAnsi="Arial"/>
                <w:sz w:val="17"/>
              </w:rPr>
              <w:t>D03 Sustained additional employment</w:t>
              <w:br/>
              <w:t>FTE</w:t>
            </w:r>
          </w:p>
        </w:tc>
        <w:tc>
          <w:tcPr>
            <w:tcW w:type="dxa" w:w="3686"/>
            <w:shd w:fill="F0F5F7"/>
          </w:tcPr>
          <w:p>
            <w:pPr>
              <w:spacing w:after="100" w:before="80" w:line="245" w:lineRule="auto"/>
            </w:pPr>
            <w:r>
              <w:rPr>
                <w:rFonts w:ascii="Arial" w:hAnsi="Arial"/>
                <w:sz w:val="17"/>
              </w:rPr>
              <w:t>Ongoing direct FTE above counterfactual, net of displaced jobs; construction person-years separately.</w:t>
            </w:r>
          </w:p>
        </w:tc>
        <w:tc>
          <w:tcPr>
            <w:tcW w:type="dxa" w:w="4095"/>
            <w:shd w:fill="F0F5F7"/>
          </w:tcPr>
          <w:p>
            <w:pPr>
              <w:spacing w:after="100" w:before="80" w:line="245" w:lineRule="auto"/>
            </w:pPr>
            <w:r>
              <w:rPr>
                <w:rFonts w:ascii="Arial" w:hAnsi="Arial"/>
                <w:sz w:val="17"/>
              </w:rPr>
              <w:t>Sector job intensity and quality targets; wages, skills and inclusion tracked. Avoid counting a worker in contractor, project and supplier totals twice. [S24; S27]</w:t>
            </w:r>
          </w:p>
        </w:tc>
      </w:tr>
      <w:tr>
        <w:trPr>
          <w:cantSplit/>
        </w:trPr>
        <w:tc>
          <w:tcPr>
            <w:tcW w:type="dxa" w:w="2457"/>
          </w:tcPr>
          <w:p>
            <w:pPr>
              <w:spacing w:after="100" w:before="80" w:line="245" w:lineRule="auto"/>
            </w:pPr>
            <w:r>
              <w:rPr>
                <w:rFonts w:ascii="Arial" w:hAnsi="Arial"/>
                <w:sz w:val="17"/>
              </w:rPr>
              <w:t>D04 Net foreign-exchange contribution</w:t>
              <w:br/>
              <w:t>USD mn</w:t>
            </w:r>
          </w:p>
        </w:tc>
        <w:tc>
          <w:tcPr>
            <w:tcW w:type="dxa" w:w="3686"/>
          </w:tcPr>
          <w:p>
            <w:pPr>
              <w:spacing w:after="100" w:before="80" w:line="245" w:lineRule="auto"/>
            </w:pPr>
            <w:r>
              <w:rPr>
                <w:rFonts w:ascii="Arial" w:hAnsi="Arial"/>
                <w:sz w:val="17"/>
              </w:rPr>
              <w:t>Incremental exports + avoided imports − imported inputs/capex − external fees/profit remittances, per agreed horizon.</w:t>
            </w:r>
          </w:p>
        </w:tc>
        <w:tc>
          <w:tcPr>
            <w:tcW w:type="dxa" w:w="4095"/>
          </w:tcPr>
          <w:p>
            <w:pPr>
              <w:spacing w:after="100" w:before="80" w:line="245" w:lineRule="auto"/>
            </w:pPr>
            <w:r>
              <w:rPr>
                <w:rFonts w:ascii="Arial" w:hAnsi="Arial"/>
                <w:sz w:val="17"/>
              </w:rPr>
              <w:t>Same price/currency scenario and credible demand substitution. Present current account contribution and financing flows separately; no gross-import-savings claim. [S26]</w:t>
            </w:r>
          </w:p>
        </w:tc>
      </w:tr>
      <w:tr>
        <w:trPr>
          <w:cantSplit/>
        </w:trPr>
        <w:tc>
          <w:tcPr>
            <w:tcW w:type="dxa" w:w="2457"/>
            <w:shd w:fill="F0F5F7"/>
          </w:tcPr>
          <w:p>
            <w:pPr>
              <w:spacing w:after="100" w:before="80" w:line="245" w:lineRule="auto"/>
            </w:pPr>
            <w:r>
              <w:rPr>
                <w:rFonts w:ascii="Arial" w:hAnsi="Arial"/>
                <w:sz w:val="17"/>
              </w:rPr>
              <w:t>D05 Domestic value-added share</w:t>
              <w:br/>
              <w:t>%</w:t>
            </w:r>
          </w:p>
        </w:tc>
        <w:tc>
          <w:tcPr>
            <w:tcW w:type="dxa" w:w="3686"/>
            <w:shd w:fill="F0F5F7"/>
          </w:tcPr>
          <w:p>
            <w:pPr>
              <w:spacing w:after="100" w:before="80" w:line="245" w:lineRule="auto"/>
            </w:pPr>
            <w:r>
              <w:rPr>
                <w:rFonts w:ascii="Arial" w:hAnsi="Arial"/>
                <w:sz w:val="17"/>
              </w:rPr>
              <w:t>Verified domestic value added / production value under a consistent boundary.</w:t>
            </w:r>
          </w:p>
        </w:tc>
        <w:tc>
          <w:tcPr>
            <w:tcW w:type="dxa" w:w="4095"/>
            <w:shd w:fill="F0F5F7"/>
          </w:tcPr>
          <w:p>
            <w:pPr>
              <w:spacing w:after="100" w:before="80" w:line="245" w:lineRule="auto"/>
            </w:pPr>
            <w:r>
              <w:rPr>
                <w:rFonts w:ascii="Arial" w:hAnsi="Arial"/>
                <w:sz w:val="17"/>
              </w:rPr>
              <w:t>Competitive supplier development trajectory, quality and total-cost benchmarks. Not identical to TKDN certification or local supplier invoice value. [S29]</w:t>
            </w:r>
          </w:p>
        </w:tc>
      </w:tr>
      <w:tr>
        <w:trPr>
          <w:cantSplit/>
        </w:trPr>
        <w:tc>
          <w:tcPr>
            <w:tcW w:type="dxa" w:w="2457"/>
          </w:tcPr>
          <w:p>
            <w:pPr>
              <w:spacing w:after="100" w:before="80" w:line="245" w:lineRule="auto"/>
            </w:pPr>
            <w:r>
              <w:rPr>
                <w:rFonts w:ascii="Arial" w:hAnsi="Arial"/>
                <w:sz w:val="17"/>
              </w:rPr>
              <w:t>D06 Verified technology capability milestones</w:t>
              <w:br/>
              <w:t>%</w:t>
            </w:r>
          </w:p>
        </w:tc>
        <w:tc>
          <w:tcPr>
            <w:tcW w:type="dxa" w:w="3686"/>
          </w:tcPr>
          <w:p>
            <w:pPr>
              <w:spacing w:after="100" w:before="80" w:line="245" w:lineRule="auto"/>
            </w:pPr>
            <w:r>
              <w:rPr>
                <w:rFonts w:ascii="Arial" w:hAnsi="Arial"/>
                <w:sz w:val="17"/>
              </w:rPr>
              <w:t>Weighted capability milestones accepted / milestones due: design rights, process control, certified local supply and repeat sales.</w:t>
            </w:r>
          </w:p>
        </w:tc>
        <w:tc>
          <w:tcPr>
            <w:tcW w:type="dxa" w:w="4095"/>
          </w:tcPr>
          <w:p>
            <w:pPr>
              <w:spacing w:after="100" w:before="80" w:line="245" w:lineRule="auto"/>
            </w:pPr>
            <w:r>
              <w:rPr>
                <w:rFonts w:ascii="Arial" w:hAnsi="Arial"/>
                <w:sz w:val="17"/>
              </w:rPr>
              <w:t>Independent technical acceptance against explicit roadmap. Training, patent counts and MoUs alone do not demonstrate technology mastery. [S24; S25]</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PROPOSED METRIC DICTIONARY</w:t>
      </w:r>
    </w:p>
    <w:p>
      <w:pPr>
        <w:pStyle w:val="Heading1"/>
      </w:pPr>
      <w:r>
        <w:t>Economic and industrial metrics | 7–12</w:t>
      </w:r>
    </w:p>
    <w:tbl>
      <w:tblPr>
        <w:tblW w:type="auto" w:w="0"/>
        <w:tblLayout w:type="fixed"/>
        <w:tblLook w:firstColumn="1" w:firstRow="1" w:lastColumn="0" w:lastRow="0" w:noHBand="0" w:noVBand="1" w:val="04A0"/>
      </w:tblPr>
      <w:tblGrid>
        <w:gridCol w:w="2457"/>
        <w:gridCol w:w="3686"/>
        <w:gridCol w:w="4095"/>
      </w:tblGrid>
      <w:tr>
        <w:trPr>
          <w:tblHeader/>
          <w:cantSplit/>
        </w:trPr>
        <w:tc>
          <w:tcPr>
            <w:tcW w:type="dxa" w:w="2457"/>
            <w:shd w:fill="15344B"/>
          </w:tcPr>
          <w:p>
            <w:pPr>
              <w:spacing w:after="100" w:before="80" w:line="245" w:lineRule="auto"/>
            </w:pPr>
            <w:r>
              <w:rPr>
                <w:rFonts w:ascii="Arial" w:hAnsi="Arial"/>
                <w:b/>
                <w:color w:val="FFFFFF"/>
                <w:sz w:val="17"/>
              </w:rPr>
              <w:t>Metric / unit</w:t>
            </w:r>
          </w:p>
        </w:tc>
        <w:tc>
          <w:tcPr>
            <w:tcW w:type="dxa" w:w="3686"/>
            <w:shd w:fill="15344B"/>
          </w:tcPr>
          <w:p>
            <w:pPr>
              <w:spacing w:after="100" w:before="80" w:line="245" w:lineRule="auto"/>
            </w:pPr>
            <w:r>
              <w:rPr>
                <w:rFonts w:ascii="Arial" w:hAnsi="Arial"/>
                <w:b/>
                <w:color w:val="FFFFFF"/>
                <w:sz w:val="17"/>
              </w:rPr>
              <w:t>Measurement</w:t>
            </w:r>
          </w:p>
        </w:tc>
        <w:tc>
          <w:tcPr>
            <w:tcW w:type="dxa" w:w="4095"/>
            <w:shd w:fill="15344B"/>
          </w:tcPr>
          <w:p>
            <w:pPr>
              <w:spacing w:after="100" w:before="80" w:line="245" w:lineRule="auto"/>
            </w:pPr>
            <w:r>
              <w:rPr>
                <w:rFonts w:ascii="Arial" w:hAnsi="Arial"/>
                <w:b/>
                <w:color w:val="FFFFFF"/>
                <w:sz w:val="17"/>
              </w:rPr>
              <w:t>Benchmark and caution</w:t>
            </w:r>
          </w:p>
        </w:tc>
      </w:tr>
      <w:tr>
        <w:trPr>
          <w:cantSplit/>
        </w:trPr>
        <w:tc>
          <w:tcPr>
            <w:tcW w:type="dxa" w:w="2457"/>
            <w:shd w:fill="F0F5F7"/>
          </w:tcPr>
          <w:p>
            <w:pPr>
              <w:spacing w:after="100" w:before="80" w:line="245" w:lineRule="auto"/>
            </w:pPr>
            <w:r>
              <w:rPr>
                <w:rFonts w:ascii="Arial" w:hAnsi="Arial"/>
                <w:sz w:val="17"/>
              </w:rPr>
              <w:t>D07 Commercial capacity utilization</w:t>
              <w:br/>
              <w:t>%</w:t>
            </w:r>
          </w:p>
        </w:tc>
        <w:tc>
          <w:tcPr>
            <w:tcW w:type="dxa" w:w="3686"/>
            <w:shd w:fill="F0F5F7"/>
          </w:tcPr>
          <w:p>
            <w:pPr>
              <w:spacing w:after="100" w:before="80" w:line="245" w:lineRule="auto"/>
            </w:pPr>
            <w:r>
              <w:rPr>
                <w:rFonts w:ascii="Arial" w:hAnsi="Arial"/>
                <w:sz w:val="17"/>
              </w:rPr>
              <w:t>Saleable accepted output / practical available capacity after commissioning.</w:t>
            </w:r>
          </w:p>
        </w:tc>
        <w:tc>
          <w:tcPr>
            <w:tcW w:type="dxa" w:w="4095"/>
            <w:shd w:fill="F0F5F7"/>
          </w:tcPr>
          <w:p>
            <w:pPr>
              <w:spacing w:after="100" w:before="80" w:line="245" w:lineRule="auto"/>
            </w:pPr>
            <w:r>
              <w:rPr>
                <w:rFonts w:ascii="Arial" w:hAnsi="Arial"/>
                <w:sz w:val="17"/>
              </w:rPr>
              <w:t>Approved ramp-up and global unit-cost competitiveness. Separate nameplate, tested capacity and saleable production; no pre-COD output credit. [S24]</w:t>
            </w:r>
          </w:p>
        </w:tc>
      </w:tr>
      <w:tr>
        <w:trPr>
          <w:cantSplit/>
        </w:trPr>
        <w:tc>
          <w:tcPr>
            <w:tcW w:type="dxa" w:w="2457"/>
          </w:tcPr>
          <w:p>
            <w:pPr>
              <w:spacing w:after="100" w:before="80" w:line="245" w:lineRule="auto"/>
            </w:pPr>
            <w:r>
              <w:rPr>
                <w:rFonts w:ascii="Arial" w:hAnsi="Arial"/>
                <w:sz w:val="17"/>
              </w:rPr>
              <w:t>D08 On-time/on-budget commissioning</w:t>
              <w:br/>
              <w:t>%</w:t>
            </w:r>
          </w:p>
        </w:tc>
        <w:tc>
          <w:tcPr>
            <w:tcW w:type="dxa" w:w="3686"/>
          </w:tcPr>
          <w:p>
            <w:pPr>
              <w:spacing w:after="100" w:before="80" w:line="245" w:lineRule="auto"/>
            </w:pPr>
            <w:r>
              <w:rPr>
                <w:rFonts w:ascii="Arial" w:hAnsi="Arial"/>
                <w:sz w:val="17"/>
              </w:rPr>
              <w:t>Baseline-capital-weighted commissioned capacity meeting original cost and date criteria / capacity due.</w:t>
            </w:r>
          </w:p>
        </w:tc>
        <w:tc>
          <w:tcPr>
            <w:tcW w:type="dxa" w:w="4095"/>
          </w:tcPr>
          <w:p>
            <w:pPr>
              <w:spacing w:after="100" w:before="80" w:line="245" w:lineRule="auto"/>
            </w:pPr>
            <w:r>
              <w:rPr>
                <w:rFonts w:ascii="Arial" w:hAnsi="Arial"/>
                <w:sz w:val="17"/>
              </w:rPr>
              <w:t>Frozen investment-decision baseline plus separately disclosed approved changes. Rebaselining cannot erase overruns; report time and cost variances individually. [S27]</w:t>
            </w:r>
          </w:p>
        </w:tc>
      </w:tr>
      <w:tr>
        <w:trPr>
          <w:cantSplit/>
        </w:trPr>
        <w:tc>
          <w:tcPr>
            <w:tcW w:type="dxa" w:w="2457"/>
            <w:shd w:fill="F0F5F7"/>
          </w:tcPr>
          <w:p>
            <w:pPr>
              <w:spacing w:after="100" w:before="80" w:line="245" w:lineRule="auto"/>
            </w:pPr>
            <w:r>
              <w:rPr>
                <w:rFonts w:ascii="Arial" w:hAnsi="Arial"/>
                <w:sz w:val="17"/>
              </w:rPr>
              <w:t>D09 Supplier productivity improvement</w:t>
              <w:br/>
              <w:t>%</w:t>
            </w:r>
          </w:p>
        </w:tc>
        <w:tc>
          <w:tcPr>
            <w:tcW w:type="dxa" w:w="3686"/>
            <w:shd w:fill="F0F5F7"/>
          </w:tcPr>
          <w:p>
            <w:pPr>
              <w:spacing w:after="100" w:before="80" w:line="245" w:lineRule="auto"/>
            </w:pPr>
            <w:r>
              <w:rPr>
                <w:rFonts w:ascii="Arial" w:hAnsi="Arial"/>
                <w:sz w:val="17"/>
              </w:rPr>
              <w:t>Matched suppliers’ real value added per FTE change less comparison-group change.</w:t>
            </w:r>
          </w:p>
        </w:tc>
        <w:tc>
          <w:tcPr>
            <w:tcW w:type="dxa" w:w="4095"/>
            <w:shd w:fill="F0F5F7"/>
          </w:tcPr>
          <w:p>
            <w:pPr>
              <w:spacing w:after="100" w:before="80" w:line="245" w:lineRule="auto"/>
            </w:pPr>
            <w:r>
              <w:rPr>
                <w:rFonts w:ascii="Arial" w:hAnsi="Arial"/>
                <w:sz w:val="17"/>
              </w:rPr>
              <w:t>Credible supplier cohort and baseline; report estimation uncertainty. Selection effects can mimic improvement; disclose entry/exit and denominator. [S24; S25]</w:t>
            </w:r>
          </w:p>
        </w:tc>
      </w:tr>
      <w:tr>
        <w:trPr>
          <w:cantSplit/>
        </w:trPr>
        <w:tc>
          <w:tcPr>
            <w:tcW w:type="dxa" w:w="2457"/>
          </w:tcPr>
          <w:p>
            <w:pPr>
              <w:spacing w:after="100" w:before="80" w:line="245" w:lineRule="auto"/>
            </w:pPr>
            <w:r>
              <w:rPr>
                <w:rFonts w:ascii="Arial" w:hAnsi="Arial"/>
                <w:sz w:val="17"/>
              </w:rPr>
              <w:t>D10 Net lifecycle GHG reduction</w:t>
              <w:br/>
              <w:t>tCO2e/year</w:t>
            </w:r>
          </w:p>
        </w:tc>
        <w:tc>
          <w:tcPr>
            <w:tcW w:type="dxa" w:w="3686"/>
          </w:tcPr>
          <w:p>
            <w:pPr>
              <w:spacing w:after="100" w:before="80" w:line="245" w:lineRule="auto"/>
            </w:pPr>
            <w:r>
              <w:rPr>
                <w:rFonts w:ascii="Arial" w:hAnsi="Arial"/>
                <w:sz w:val="17"/>
              </w:rPr>
              <w:t>Baseline lifecycle emissions minus project lifecycle emissions, including material leakage and fossil content.</w:t>
            </w:r>
          </w:p>
        </w:tc>
        <w:tc>
          <w:tcPr>
            <w:tcW w:type="dxa" w:w="4095"/>
          </w:tcPr>
          <w:p>
            <w:pPr>
              <w:spacing w:after="100" w:before="80" w:line="245" w:lineRule="auto"/>
            </w:pPr>
            <w:r>
              <w:rPr>
                <w:rFonts w:ascii="Arial" w:hAnsi="Arial"/>
                <w:sz w:val="17"/>
              </w:rPr>
              <w:t>Recognized sector method, current baseline and independent verification. Avoid claiming designed avoidance as realized abatement; track absolute and intensity measures. [S24; S29]</w:t>
            </w:r>
          </w:p>
        </w:tc>
      </w:tr>
      <w:tr>
        <w:trPr>
          <w:cantSplit/>
        </w:trPr>
        <w:tc>
          <w:tcPr>
            <w:tcW w:type="dxa" w:w="2457"/>
            <w:shd w:fill="F0F5F7"/>
          </w:tcPr>
          <w:p>
            <w:pPr>
              <w:spacing w:after="100" w:before="80" w:line="245" w:lineRule="auto"/>
            </w:pPr>
            <w:r>
              <w:rPr>
                <w:rFonts w:ascii="Arial" w:hAnsi="Arial"/>
                <w:sz w:val="17"/>
              </w:rPr>
              <w:t>D11 Reliable affordable service delivered</w:t>
              <w:br/>
              <w:t>physical units</w:t>
            </w:r>
          </w:p>
        </w:tc>
        <w:tc>
          <w:tcPr>
            <w:tcW w:type="dxa" w:w="3686"/>
            <w:shd w:fill="F0F5F7"/>
          </w:tcPr>
          <w:p>
            <w:pPr>
              <w:spacing w:after="100" w:before="80" w:line="245" w:lineRule="auto"/>
            </w:pPr>
            <w:r>
              <w:rPr>
                <w:rFonts w:ascii="Arial" w:hAnsi="Arial"/>
                <w:sz w:val="17"/>
              </w:rPr>
              <w:t>Incremental users or service units meeting published quality, affordability and access thresholds.</w:t>
            </w:r>
          </w:p>
        </w:tc>
        <w:tc>
          <w:tcPr>
            <w:tcW w:type="dxa" w:w="4095"/>
            <w:shd w:fill="F0F5F7"/>
          </w:tcPr>
          <w:p>
            <w:pPr>
              <w:spacing w:after="100" w:before="80" w:line="245" w:lineRule="auto"/>
            </w:pPr>
            <w:r>
              <w:rPr>
                <w:rFonts w:ascii="Arial" w:hAnsi="Arial"/>
                <w:sz w:val="17"/>
              </w:rPr>
              <w:t>Sector-specific access gap and public-service contract. Connections or installed assets alone are insufficient; deduplicate beneficiaries. [S24; S27]</w:t>
            </w:r>
          </w:p>
        </w:tc>
      </w:tr>
      <w:tr>
        <w:trPr>
          <w:cantSplit/>
        </w:trPr>
        <w:tc>
          <w:tcPr>
            <w:tcW w:type="dxa" w:w="2457"/>
          </w:tcPr>
          <w:p>
            <w:pPr>
              <w:spacing w:after="100" w:before="80" w:line="245" w:lineRule="auto"/>
            </w:pPr>
            <w:r>
              <w:rPr>
                <w:rFonts w:ascii="Arial" w:hAnsi="Arial"/>
                <w:sz w:val="17"/>
              </w:rPr>
              <w:t>D12 Public support per additional outcome</w:t>
              <w:br/>
              <w:t>IDR/outcome</w:t>
            </w:r>
          </w:p>
        </w:tc>
        <w:tc>
          <w:tcPr>
            <w:tcW w:type="dxa" w:w="3686"/>
          </w:tcPr>
          <w:p>
            <w:pPr>
              <w:spacing w:after="100" w:before="80" w:line="245" w:lineRule="auto"/>
            </w:pPr>
            <w:r>
              <w:rPr>
                <w:rFonts w:ascii="Arial" w:hAnsi="Arial"/>
                <w:sz w:val="17"/>
              </w:rPr>
              <w:t>PV of grants, concessionality and expected guarantee cost / agreed incremental outcome.</w:t>
            </w:r>
          </w:p>
        </w:tc>
        <w:tc>
          <w:tcPr>
            <w:tcW w:type="dxa" w:w="4095"/>
          </w:tcPr>
          <w:p>
            <w:pPr>
              <w:spacing w:after="100" w:before="80" w:line="245" w:lineRule="auto"/>
            </w:pPr>
            <w:r>
              <w:rPr>
                <w:rFonts w:ascii="Arial" w:hAnsi="Arial"/>
                <w:sz w:val="17"/>
              </w:rPr>
              <w:t>Least-cost feasible alternative; same social discount and lifetime boundary. Select one outcome denominator; do not add monetized jobs to benefits already in ENPV. [S26; S28]</w:t>
            </w:r>
          </w:p>
        </w:tc>
      </w:tr>
    </w:tbl>
    <w:p>
      <w:pPr>
        <w:spacing w:after="0"/>
      </w:pPr>
    </w:p>
    <w:p>
      <w:r>
        <w:t>Owners, frequency, proposed weights and editable scoring fields appear in the workbook. All thresholds require a defined reporting scope and approval; a peer’s return or a generic sector ratio is not automatically a Danantara hurdle.</w:t>
      </w:r>
    </w:p>
    <w:p>
      <w:r>
        <w:br w:type="page"/>
      </w:r>
    </w:p>
    <w:p>
      <w:r>
        <w:rPr>
          <w:b/>
          <w:color w:val="007F82"/>
          <w:sz w:val="16"/>
        </w:rPr>
        <w:t>PERFORMANCE STUDY</w:t>
      </w:r>
    </w:p>
    <w:p>
      <w:pPr>
        <w:pStyle w:val="Heading1"/>
      </w:pPr>
      <w:r>
        <w:t>Apply the framework to strategic industries</w:t>
      </w:r>
    </w:p>
    <w:tbl>
      <w:tblPr>
        <w:tblW w:type="auto" w:w="0"/>
        <w:tblLayout w:type="fixed"/>
        <w:tblLook w:firstColumn="1" w:firstRow="1" w:lastColumn="0" w:lastRow="0" w:noHBand="0" w:noVBand="1" w:val="04A0"/>
      </w:tblPr>
      <w:tblGrid>
        <w:gridCol w:w="2457"/>
        <w:gridCol w:w="3481"/>
        <w:gridCol w:w="4300"/>
      </w:tblGrid>
      <w:tr>
        <w:trPr>
          <w:tblHeader/>
          <w:cantSplit/>
        </w:trPr>
        <w:tc>
          <w:tcPr>
            <w:tcW w:type="dxa" w:w="2457"/>
            <w:shd w:fill="15344B"/>
          </w:tcPr>
          <w:p>
            <w:pPr>
              <w:spacing w:after="100" w:before="80" w:line="245" w:lineRule="auto"/>
            </w:pPr>
            <w:r>
              <w:rPr>
                <w:rFonts w:ascii="Arial" w:hAnsi="Arial"/>
                <w:b/>
                <w:color w:val="FFFFFF"/>
                <w:sz w:val="17"/>
              </w:rPr>
              <w:t>Cluster</w:t>
            </w:r>
          </w:p>
        </w:tc>
        <w:tc>
          <w:tcPr>
            <w:tcW w:type="dxa" w:w="3481"/>
            <w:shd w:fill="15344B"/>
          </w:tcPr>
          <w:p>
            <w:pPr>
              <w:spacing w:after="100" w:before="80" w:line="245" w:lineRule="auto"/>
            </w:pPr>
            <w:r>
              <w:rPr>
                <w:rFonts w:ascii="Arial" w:hAnsi="Arial"/>
                <w:b/>
                <w:color w:val="FFFFFF"/>
                <w:sz w:val="17"/>
              </w:rPr>
              <w:t>Financial and operating tests</w:t>
            </w:r>
          </w:p>
        </w:tc>
        <w:tc>
          <w:tcPr>
            <w:tcW w:type="dxa" w:w="4300"/>
            <w:shd w:fill="15344B"/>
          </w:tcPr>
          <w:p>
            <w:pPr>
              <w:spacing w:after="100" w:before="80" w:line="245" w:lineRule="auto"/>
            </w:pPr>
            <w:r>
              <w:rPr>
                <w:rFonts w:ascii="Arial" w:hAnsi="Arial"/>
                <w:b/>
                <w:color w:val="FFFFFF"/>
                <w:sz w:val="17"/>
              </w:rPr>
              <w:t>Industrial capability / outcome tests</w:t>
            </w:r>
          </w:p>
        </w:tc>
      </w:tr>
      <w:tr>
        <w:trPr>
          <w:cantSplit/>
        </w:trPr>
        <w:tc>
          <w:tcPr>
            <w:tcW w:type="dxa" w:w="2457"/>
            <w:shd w:fill="F0F5F7"/>
          </w:tcPr>
          <w:p>
            <w:pPr>
              <w:spacing w:after="100" w:before="80" w:line="245" w:lineRule="auto"/>
            </w:pPr>
            <w:r>
              <w:rPr>
                <w:rFonts w:ascii="Arial" w:hAnsi="Arial"/>
                <w:sz w:val="17"/>
              </w:rPr>
              <w:t>Battery materials, recycling and storage</w:t>
            </w:r>
          </w:p>
        </w:tc>
        <w:tc>
          <w:tcPr>
            <w:tcW w:type="dxa" w:w="3481"/>
            <w:shd w:fill="F0F5F7"/>
          </w:tcPr>
          <w:p>
            <w:pPr>
              <w:spacing w:after="100" w:before="80" w:line="245" w:lineRule="auto"/>
            </w:pPr>
            <w:r>
              <w:rPr>
                <w:rFonts w:ascii="Arial" w:hAnsi="Arial"/>
                <w:sz w:val="17"/>
              </w:rPr>
              <w:t>Yield, recovery, delivered cost, qualification costs, working capital, offtake, IRR and scale-up capex.</w:t>
            </w:r>
          </w:p>
        </w:tc>
        <w:tc>
          <w:tcPr>
            <w:tcW w:type="dxa" w:w="4300"/>
            <w:shd w:fill="F0F5F7"/>
          </w:tcPr>
          <w:p>
            <w:pPr>
              <w:spacing w:after="100" w:before="80" w:line="245" w:lineRule="auto"/>
            </w:pPr>
            <w:r>
              <w:rPr>
                <w:rFonts w:ascii="Arial" w:hAnsi="Arial"/>
                <w:sz w:val="17"/>
              </w:rPr>
              <w:t>Battery-grade qualified output, verified local value added, operating IP rights, repeat sales and lifecycle emissions.</w:t>
            </w:r>
          </w:p>
        </w:tc>
      </w:tr>
      <w:tr>
        <w:trPr>
          <w:cantSplit/>
        </w:trPr>
        <w:tc>
          <w:tcPr>
            <w:tcW w:type="dxa" w:w="2457"/>
          </w:tcPr>
          <w:p>
            <w:pPr>
              <w:spacing w:after="100" w:before="80" w:line="245" w:lineRule="auto"/>
            </w:pPr>
            <w:r>
              <w:rPr>
                <w:rFonts w:ascii="Arial" w:hAnsi="Arial"/>
                <w:sz w:val="17"/>
              </w:rPr>
              <w:t>Alumina / aluminium / minerals</w:t>
            </w:r>
          </w:p>
        </w:tc>
        <w:tc>
          <w:tcPr>
            <w:tcW w:type="dxa" w:w="3481"/>
          </w:tcPr>
          <w:p>
            <w:pPr>
              <w:spacing w:after="100" w:before="80" w:line="245" w:lineRule="auto"/>
            </w:pPr>
            <w:r>
              <w:rPr>
                <w:rFonts w:ascii="Arial" w:hAnsi="Arial"/>
                <w:sz w:val="17"/>
              </w:rPr>
              <w:t>Ore and energy costs, recovery, utilization, logistics and downside metal-price returns.</w:t>
            </w:r>
          </w:p>
        </w:tc>
        <w:tc>
          <w:tcPr>
            <w:tcW w:type="dxa" w:w="4300"/>
          </w:tcPr>
          <w:p>
            <w:pPr>
              <w:spacing w:after="100" w:before="80" w:line="245" w:lineRule="auto"/>
            </w:pPr>
            <w:r>
              <w:rPr>
                <w:rFonts w:ascii="Arial" w:hAnsi="Arial"/>
                <w:sz w:val="17"/>
              </w:rPr>
              <w:t>Incremental domestic processing value, net FX after imported inputs, supplier capability and energy/carbon intensity.</w:t>
            </w:r>
          </w:p>
        </w:tc>
      </w:tr>
      <w:tr>
        <w:trPr>
          <w:cantSplit/>
        </w:trPr>
        <w:tc>
          <w:tcPr>
            <w:tcW w:type="dxa" w:w="2457"/>
            <w:shd w:fill="F0F5F7"/>
          </w:tcPr>
          <w:p>
            <w:pPr>
              <w:spacing w:after="100" w:before="80" w:line="245" w:lineRule="auto"/>
            </w:pPr>
            <w:r>
              <w:rPr>
                <w:rFonts w:ascii="Arial" w:hAnsi="Arial"/>
                <w:sz w:val="17"/>
              </w:rPr>
              <w:t>CA–EDC / chemicals</w:t>
            </w:r>
          </w:p>
        </w:tc>
        <w:tc>
          <w:tcPr>
            <w:tcW w:type="dxa" w:w="3481"/>
            <w:shd w:fill="F0F5F7"/>
          </w:tcPr>
          <w:p>
            <w:pPr>
              <w:spacing w:after="100" w:before="80" w:line="245" w:lineRule="auto"/>
            </w:pPr>
            <w:r>
              <w:rPr>
                <w:rFonts w:ascii="Arial" w:hAnsi="Arial"/>
                <w:sz w:val="17"/>
              </w:rPr>
              <w:t>Power/feedstock intensity, utilization, product spreads, safety and cash generation.</w:t>
            </w:r>
          </w:p>
        </w:tc>
        <w:tc>
          <w:tcPr>
            <w:tcW w:type="dxa" w:w="4300"/>
            <w:shd w:fill="F0F5F7"/>
          </w:tcPr>
          <w:p>
            <w:pPr>
              <w:spacing w:after="100" w:before="80" w:line="245" w:lineRule="auto"/>
            </w:pPr>
            <w:r>
              <w:rPr>
                <w:rFonts w:ascii="Arial" w:hAnsi="Arial"/>
                <w:sz w:val="17"/>
              </w:rPr>
              <w:t>Commercial import displacement, export competitiveness and reliable domestic supply.</w:t>
            </w:r>
          </w:p>
        </w:tc>
      </w:tr>
      <w:tr>
        <w:trPr>
          <w:cantSplit/>
        </w:trPr>
        <w:tc>
          <w:tcPr>
            <w:tcW w:type="dxa" w:w="2457"/>
          </w:tcPr>
          <w:p>
            <w:pPr>
              <w:spacing w:after="100" w:before="80" w:line="245" w:lineRule="auto"/>
            </w:pPr>
            <w:r>
              <w:rPr>
                <w:rFonts w:ascii="Arial" w:hAnsi="Arial"/>
                <w:sz w:val="17"/>
              </w:rPr>
              <w:t>Waste-to-energy / clean infrastructure</w:t>
            </w:r>
          </w:p>
        </w:tc>
        <w:tc>
          <w:tcPr>
            <w:tcW w:type="dxa" w:w="3481"/>
          </w:tcPr>
          <w:p>
            <w:pPr>
              <w:spacing w:after="100" w:before="80" w:line="245" w:lineRule="auto"/>
            </w:pPr>
            <w:r>
              <w:rPr>
                <w:rFonts w:ascii="Arial" w:hAnsi="Arial"/>
                <w:sz w:val="17"/>
              </w:rPr>
              <w:t>Whole-life service cost, contracted revenue, debt service and residual/waste disposal liabilities.</w:t>
            </w:r>
          </w:p>
        </w:tc>
        <w:tc>
          <w:tcPr>
            <w:tcW w:type="dxa" w:w="4300"/>
          </w:tcPr>
          <w:p>
            <w:pPr>
              <w:spacing w:after="100" w:before="80" w:line="245" w:lineRule="auto"/>
            </w:pPr>
            <w:r>
              <w:rPr>
                <w:rFonts w:ascii="Arial" w:hAnsi="Arial"/>
                <w:sz w:val="17"/>
              </w:rPr>
              <w:t>Waste actually processed, net lifecycle GHG, local air quality, affordability and recycling-system effects.</w:t>
            </w:r>
          </w:p>
        </w:tc>
      </w:tr>
      <w:tr>
        <w:trPr>
          <w:cantSplit/>
        </w:trPr>
        <w:tc>
          <w:tcPr>
            <w:tcW w:type="dxa" w:w="2457"/>
            <w:shd w:fill="F0F5F7"/>
          </w:tcPr>
          <w:p>
            <w:pPr>
              <w:spacing w:after="100" w:before="80" w:line="245" w:lineRule="auto"/>
            </w:pPr>
            <w:r>
              <w:rPr>
                <w:rFonts w:ascii="Arial" w:hAnsi="Arial"/>
                <w:sz w:val="17"/>
              </w:rPr>
              <w:t>Maritime / shipbuilding / logistics</w:t>
            </w:r>
          </w:p>
        </w:tc>
        <w:tc>
          <w:tcPr>
            <w:tcW w:type="dxa" w:w="3481"/>
            <w:shd w:fill="F0F5F7"/>
          </w:tcPr>
          <w:p>
            <w:pPr>
              <w:spacing w:after="100" w:before="80" w:line="245" w:lineRule="auto"/>
            </w:pPr>
            <w:r>
              <w:rPr>
                <w:rFonts w:ascii="Arial" w:hAnsi="Arial"/>
                <w:sz w:val="17"/>
              </w:rPr>
              <w:t>Orderbook quality, on-time delivery, lifecycle cost, repair turnaround and warranty liabilities.</w:t>
            </w:r>
          </w:p>
        </w:tc>
        <w:tc>
          <w:tcPr>
            <w:tcW w:type="dxa" w:w="4300"/>
            <w:shd w:fill="F0F5F7"/>
          </w:tcPr>
          <w:p>
            <w:pPr>
              <w:spacing w:after="100" w:before="80" w:line="245" w:lineRule="auto"/>
            </w:pPr>
            <w:r>
              <w:rPr>
                <w:rFonts w:ascii="Arial" w:hAnsi="Arial"/>
                <w:sz w:val="17"/>
              </w:rPr>
              <w:t>Certified design/manufacturing capability, domestic component value, export orders and logistics productivity.</w:t>
            </w:r>
          </w:p>
        </w:tc>
      </w:tr>
      <w:tr>
        <w:trPr>
          <w:cantSplit/>
        </w:trPr>
        <w:tc>
          <w:tcPr>
            <w:tcW w:type="dxa" w:w="2457"/>
          </w:tcPr>
          <w:p>
            <w:pPr>
              <w:spacing w:after="100" w:before="80" w:line="245" w:lineRule="auto"/>
            </w:pPr>
            <w:r>
              <w:rPr>
                <w:rFonts w:ascii="Arial" w:hAnsi="Arial"/>
                <w:sz w:val="17"/>
              </w:rPr>
              <w:t>Advanced technology / strategic manufacturing</w:t>
            </w:r>
          </w:p>
        </w:tc>
        <w:tc>
          <w:tcPr>
            <w:tcW w:type="dxa" w:w="3481"/>
          </w:tcPr>
          <w:p>
            <w:pPr>
              <w:spacing w:after="100" w:before="80" w:line="245" w:lineRule="auto"/>
            </w:pPr>
            <w:r>
              <w:rPr>
                <w:rFonts w:ascii="Arial" w:hAnsi="Arial"/>
                <w:sz w:val="17"/>
              </w:rPr>
              <w:t>Stage-gated R&amp;D capital, qualified demand, cost-down path and commercial scale readiness.</w:t>
            </w:r>
          </w:p>
        </w:tc>
        <w:tc>
          <w:tcPr>
            <w:tcW w:type="dxa" w:w="4300"/>
          </w:tcPr>
          <w:p>
            <w:pPr>
              <w:spacing w:after="100" w:before="80" w:line="245" w:lineRule="auto"/>
            </w:pPr>
            <w:r>
              <w:rPr>
                <w:rFonts w:ascii="Arial" w:hAnsi="Arial"/>
                <w:sz w:val="17"/>
              </w:rPr>
              <w:t>Technology absorption demonstrated through production quality, domestic engineering autonomy and competitive repeat orders.</w:t>
            </w:r>
          </w:p>
        </w:tc>
      </w:tr>
    </w:tbl>
    <w:p>
      <w:pPr>
        <w:spacing w:after="0"/>
      </w:pPr>
    </w:p>
    <w:p>
      <w:r>
        <w:t>This matrix is a recommended application, not a verified inventory of Danantara investments. It is especially relevant where a pilot or demonstration can be mistaken for an industrial success. A technical readiness milestone needs a corresponding customer, manufacturing, certification and financing milestone.</w:t>
      </w:r>
    </w:p>
    <w:p>
      <w:pPr>
        <w:pStyle w:val="Heading2"/>
      </w:pPr>
      <w:r>
        <w:t>Technology capability should be demonstrated</w:t>
      </w:r>
    </w:p>
    <w:p>
      <w:r>
        <w:t>Use an independent technical panel to accept critical milestones: repeatable process yield; qualified product at customer specifications; enforceable operating and improvement rights; safety certification; qualified local suppliers; and commercial orders at sustainable margins. Spending on R&amp;D, patent counts and training hours are inputs and should not replace these outcomes.</w:t>
      </w:r>
    </w:p>
    <w:p>
      <w:r>
        <w:t>For early-stage technologies, stage funding against uncertainty reduction. A commercial-scale investment should follow validated technical and market evidence, with a documented option to stop or redesign if scale-up economics fail.</w:t>
      </w:r>
    </w:p>
    <w:p>
      <w:r>
        <w:br w:type="page"/>
      </w:r>
    </w:p>
    <w:p>
      <w:r>
        <w:rPr>
          <w:b/>
          <w:color w:val="007F82"/>
          <w:sz w:val="16"/>
        </w:rPr>
        <w:t>ILLUSTRATIVE METHOD — NOT A DANANTARA PROJECT</w:t>
      </w:r>
    </w:p>
    <w:p>
      <w:pPr>
        <w:pStyle w:val="Heading1"/>
      </w:pPr>
      <w:r>
        <w:t>Financial return and economic return: worked example</w:t>
      </w:r>
    </w:p>
    <w:p>
      <w:r>
        <w:t>Consider a hypothetical infrastructure project with IDR100bn initial capex, ten annual net financial operating cash flows of IDR15bn, and no residual value. Financial discount rate is 12% nominal. For teaching clarity only, assume zero inflation so financial and economic cash flows can be compared in the same price basis. Economic net external benefit is IDR6bn/year; the illustrative social discount rate is 9%.</w:t>
      </w:r>
    </w:p>
    <w:tbl>
      <w:tblPr>
        <w:tblW w:type="auto" w:w="0"/>
        <w:tblLayout w:type="fixed"/>
        <w:tblLook w:firstColumn="1" w:firstRow="1" w:lastColumn="0" w:lastRow="0" w:noHBand="0" w:noVBand="1" w:val="04A0"/>
      </w:tblPr>
      <w:tblGrid>
        <w:gridCol w:w="3788"/>
        <w:gridCol w:w="2355"/>
        <w:gridCol w:w="4095"/>
      </w:tblGrid>
      <w:tr>
        <w:trPr>
          <w:tblHeader/>
          <w:cantSplit/>
        </w:trPr>
        <w:tc>
          <w:tcPr>
            <w:tcW w:type="dxa" w:w="3788"/>
            <w:shd w:fill="15344B"/>
          </w:tcPr>
          <w:p>
            <w:pPr>
              <w:spacing w:after="100" w:before="80" w:line="245" w:lineRule="auto"/>
            </w:pPr>
            <w:r>
              <w:rPr>
                <w:rFonts w:ascii="Arial" w:hAnsi="Arial"/>
                <w:b/>
                <w:color w:val="FFFFFF"/>
                <w:sz w:val="17"/>
              </w:rPr>
              <w:t>Measure</w:t>
            </w:r>
          </w:p>
        </w:tc>
        <w:tc>
          <w:tcPr>
            <w:tcW w:type="dxa" w:w="2355"/>
            <w:shd w:fill="15344B"/>
          </w:tcPr>
          <w:p>
            <w:pPr>
              <w:spacing w:after="100" w:before="80" w:line="245" w:lineRule="auto"/>
            </w:pPr>
            <w:r>
              <w:rPr>
                <w:rFonts w:ascii="Arial" w:hAnsi="Arial"/>
                <w:b/>
                <w:color w:val="FFFFFF"/>
                <w:sz w:val="17"/>
              </w:rPr>
              <w:t>Calculated result</w:t>
            </w:r>
          </w:p>
        </w:tc>
        <w:tc>
          <w:tcPr>
            <w:tcW w:type="dxa" w:w="4095"/>
            <w:shd w:fill="15344B"/>
          </w:tcPr>
          <w:p>
            <w:pPr>
              <w:spacing w:after="100" w:before="80" w:line="245" w:lineRule="auto"/>
            </w:pPr>
            <w:r>
              <w:rPr>
                <w:rFonts w:ascii="Arial" w:hAnsi="Arial"/>
                <w:b/>
                <w:color w:val="FFFFFF"/>
                <w:sz w:val="17"/>
              </w:rPr>
              <w:t>Interpretation</w:t>
            </w:r>
          </w:p>
        </w:tc>
      </w:tr>
      <w:tr>
        <w:trPr>
          <w:cantSplit/>
        </w:trPr>
        <w:tc>
          <w:tcPr>
            <w:tcW w:type="dxa" w:w="3788"/>
            <w:shd w:fill="F0F5F7"/>
          </w:tcPr>
          <w:p>
            <w:pPr>
              <w:spacing w:after="100" w:before="80" w:line="245" w:lineRule="auto"/>
            </w:pPr>
            <w:r>
              <w:rPr>
                <w:rFonts w:ascii="Arial" w:hAnsi="Arial"/>
                <w:sz w:val="17"/>
              </w:rPr>
              <w:t>Financial NPV @12%</w:t>
            </w:r>
          </w:p>
        </w:tc>
        <w:tc>
          <w:tcPr>
            <w:tcW w:type="dxa" w:w="2355"/>
            <w:shd w:fill="F0F5F7"/>
          </w:tcPr>
          <w:p>
            <w:pPr>
              <w:spacing w:after="100" w:before="80" w:line="245" w:lineRule="auto"/>
            </w:pPr>
            <w:r>
              <w:rPr>
                <w:rFonts w:ascii="Arial" w:hAnsi="Arial"/>
                <w:sz w:val="17"/>
              </w:rPr>
              <w:t>IDR-15.25bn</w:t>
            </w:r>
          </w:p>
        </w:tc>
        <w:tc>
          <w:tcPr>
            <w:tcW w:type="dxa" w:w="4095"/>
            <w:shd w:fill="F0F5F7"/>
          </w:tcPr>
          <w:p>
            <w:pPr>
              <w:spacing w:after="100" w:before="80" w:line="245" w:lineRule="auto"/>
            </w:pPr>
            <w:r>
              <w:rPr>
                <w:rFonts w:ascii="Arial" w:hAnsi="Arial"/>
                <w:sz w:val="17"/>
              </w:rPr>
              <w:t>Below the commercial hurdle on these assumptions.</w:t>
            </w:r>
          </w:p>
        </w:tc>
      </w:tr>
      <w:tr>
        <w:trPr>
          <w:cantSplit/>
        </w:trPr>
        <w:tc>
          <w:tcPr>
            <w:tcW w:type="dxa" w:w="3788"/>
          </w:tcPr>
          <w:p>
            <w:pPr>
              <w:spacing w:after="100" w:before="80" w:line="245" w:lineRule="auto"/>
            </w:pPr>
            <w:r>
              <w:rPr>
                <w:rFonts w:ascii="Arial" w:hAnsi="Arial"/>
                <w:sz w:val="17"/>
              </w:rPr>
              <w:t>Project financial IRR</w:t>
            </w:r>
          </w:p>
        </w:tc>
        <w:tc>
          <w:tcPr>
            <w:tcW w:type="dxa" w:w="2355"/>
          </w:tcPr>
          <w:p>
            <w:pPr>
              <w:spacing w:after="100" w:before="80" w:line="245" w:lineRule="auto"/>
            </w:pPr>
            <w:r>
              <w:rPr>
                <w:rFonts w:ascii="Arial" w:hAnsi="Arial"/>
                <w:sz w:val="17"/>
              </w:rPr>
              <w:t>8.14%</w:t>
            </w:r>
          </w:p>
        </w:tc>
        <w:tc>
          <w:tcPr>
            <w:tcW w:type="dxa" w:w="4095"/>
          </w:tcPr>
          <w:p>
            <w:pPr>
              <w:spacing w:after="100" w:before="80" w:line="245" w:lineRule="auto"/>
            </w:pPr>
            <w:r>
              <w:rPr>
                <w:rFonts w:ascii="Arial" w:hAnsi="Arial"/>
                <w:sz w:val="17"/>
              </w:rPr>
              <w:t>Not an equity IRR; financing cash flows excluded.</w:t>
            </w:r>
          </w:p>
        </w:tc>
      </w:tr>
      <w:tr>
        <w:trPr>
          <w:cantSplit/>
        </w:trPr>
        <w:tc>
          <w:tcPr>
            <w:tcW w:type="dxa" w:w="3788"/>
            <w:shd w:fill="F0F5F7"/>
          </w:tcPr>
          <w:p>
            <w:pPr>
              <w:spacing w:after="100" w:before="80" w:line="245" w:lineRule="auto"/>
            </w:pPr>
            <w:r>
              <w:rPr>
                <w:rFonts w:ascii="Arial" w:hAnsi="Arial"/>
                <w:sz w:val="17"/>
              </w:rPr>
              <w:t>Economic NPV @9%</w:t>
            </w:r>
          </w:p>
        </w:tc>
        <w:tc>
          <w:tcPr>
            <w:tcW w:type="dxa" w:w="2355"/>
            <w:shd w:fill="F0F5F7"/>
          </w:tcPr>
          <w:p>
            <w:pPr>
              <w:spacing w:after="100" w:before="80" w:line="245" w:lineRule="auto"/>
            </w:pPr>
            <w:r>
              <w:rPr>
                <w:rFonts w:ascii="Arial" w:hAnsi="Arial"/>
                <w:sz w:val="17"/>
              </w:rPr>
              <w:t>IDR34.77bn</w:t>
            </w:r>
          </w:p>
        </w:tc>
        <w:tc>
          <w:tcPr>
            <w:tcW w:type="dxa" w:w="4095"/>
            <w:shd w:fill="F0F5F7"/>
          </w:tcPr>
          <w:p>
            <w:pPr>
              <w:spacing w:after="100" w:before="80" w:line="245" w:lineRule="auto"/>
            </w:pPr>
            <w:r>
              <w:rPr>
                <w:rFonts w:ascii="Arial" w:hAnsi="Arial"/>
                <w:sz w:val="17"/>
              </w:rPr>
              <w:t>Positive only if the incremental external benefit is defensible.</w:t>
            </w:r>
          </w:p>
        </w:tc>
      </w:tr>
      <w:tr>
        <w:trPr>
          <w:cantSplit/>
        </w:trPr>
        <w:tc>
          <w:tcPr>
            <w:tcW w:type="dxa" w:w="3788"/>
          </w:tcPr>
          <w:p>
            <w:pPr>
              <w:spacing w:after="100" w:before="80" w:line="245" w:lineRule="auto"/>
            </w:pPr>
            <w:r>
              <w:rPr>
                <w:rFonts w:ascii="Arial" w:hAnsi="Arial"/>
                <w:sz w:val="17"/>
              </w:rPr>
              <w:t>Economic IRR</w:t>
            </w:r>
          </w:p>
        </w:tc>
        <w:tc>
          <w:tcPr>
            <w:tcW w:type="dxa" w:w="2355"/>
          </w:tcPr>
          <w:p>
            <w:pPr>
              <w:spacing w:after="100" w:before="80" w:line="245" w:lineRule="auto"/>
            </w:pPr>
            <w:r>
              <w:rPr>
                <w:rFonts w:ascii="Arial" w:hAnsi="Arial"/>
                <w:sz w:val="17"/>
              </w:rPr>
              <w:t>16.40%</w:t>
            </w:r>
          </w:p>
        </w:tc>
        <w:tc>
          <w:tcPr>
            <w:tcW w:type="dxa" w:w="4095"/>
          </w:tcPr>
          <w:p>
            <w:pPr>
              <w:spacing w:after="100" w:before="80" w:line="245" w:lineRule="auto"/>
            </w:pPr>
            <w:r>
              <w:rPr>
                <w:rFonts w:ascii="Arial" w:hAnsi="Arial"/>
                <w:sz w:val="17"/>
              </w:rPr>
              <w:t>Includes economic benefits unavailable to the investor.</w:t>
            </w:r>
          </w:p>
        </w:tc>
      </w:tr>
      <w:tr>
        <w:trPr>
          <w:cantSplit/>
        </w:trPr>
        <w:tc>
          <w:tcPr>
            <w:tcW w:type="dxa" w:w="3788"/>
            <w:shd w:fill="F0F5F7"/>
          </w:tcPr>
          <w:p>
            <w:pPr>
              <w:spacing w:after="100" w:before="80" w:line="245" w:lineRule="auto"/>
            </w:pPr>
            <w:r>
              <w:rPr>
                <w:rFonts w:ascii="Arial" w:hAnsi="Arial"/>
                <w:sz w:val="17"/>
              </w:rPr>
              <w:t>Illustrative upfront viability-gap grant</w:t>
            </w:r>
          </w:p>
        </w:tc>
        <w:tc>
          <w:tcPr>
            <w:tcW w:type="dxa" w:w="2355"/>
            <w:shd w:fill="F0F5F7"/>
          </w:tcPr>
          <w:p>
            <w:pPr>
              <w:spacing w:after="100" w:before="80" w:line="245" w:lineRule="auto"/>
            </w:pPr>
            <w:r>
              <w:rPr>
                <w:rFonts w:ascii="Arial" w:hAnsi="Arial"/>
                <w:sz w:val="17"/>
              </w:rPr>
              <w:t>IDR15.25bn</w:t>
            </w:r>
          </w:p>
        </w:tc>
        <w:tc>
          <w:tcPr>
            <w:tcW w:type="dxa" w:w="4095"/>
            <w:shd w:fill="F0F5F7"/>
          </w:tcPr>
          <w:p>
            <w:pPr>
              <w:spacing w:after="100" w:before="80" w:line="245" w:lineRule="auto"/>
            </w:pPr>
            <w:r>
              <w:rPr>
                <w:rFonts w:ascii="Arial" w:hAnsi="Arial"/>
                <w:sz w:val="17"/>
              </w:rPr>
              <w:t>Makes investor financial NPV zero; it is a public cost and a transfer in national economic analysis.</w:t>
            </w:r>
          </w:p>
        </w:tc>
      </w:tr>
    </w:tbl>
    <w:p>
      <w:pPr>
        <w:spacing w:after="0"/>
      </w:pPr>
    </w:p>
    <w:p>
      <w:r>
        <w:t>ADB’s 2017 guidance uses a 9% minimum economic return reference, with a possible 6% rate for specified social, poverty-targeted or primarily environmental projects. These are methodological precedents, not an adopted Indonesian or Danantara policy. Apply the approved social rate, real/nominal convention and project appraisal rules. [S26]</w:t>
      </w:r>
    </w:p>
    <w:p>
      <w:pPr>
        <w:pStyle w:val="Heading2"/>
      </w:pPr>
      <w:r>
        <w:t>What the example prevents</w:t>
      </w:r>
    </w:p>
    <w:p>
      <w:r>
        <w:t>A positive economic result cannot be presented as investor profit. A grant improves the investor’s financial case but does not manufacture an economic benefit. Taxes, subsidies and domestic interest are generally transfers within the national boundary; real resource costs, externalities and opportunity costs determine economic viability.</w:t>
      </w:r>
    </w:p>
    <w:p>
      <w:r>
        <w:t>The workbook recalculates both cases and sensitivities to cost, annual benefit, external benefit and delay. It is a method demonstration. A decision model requires taxes, working capital, inflation, financing, decommissioning, contingencies and residual values appropriate to the actual project.</w:t>
      </w:r>
    </w:p>
    <w:p>
      <w:r>
        <w:br w:type="page"/>
      </w:r>
    </w:p>
    <w:p>
      <w:r>
        <w:rPr>
          <w:b/>
          <w:color w:val="007F82"/>
          <w:sz w:val="16"/>
        </w:rPr>
        <w:t>PERFORMANCE STUDY</w:t>
      </w:r>
    </w:p>
    <w:p>
      <w:pPr>
        <w:pStyle w:val="Heading1"/>
      </w:pPr>
      <w:r>
        <w:t>Benchmarks, targets and a fair rating system</w:t>
      </w:r>
    </w:p>
    <w:p>
      <w:pPr>
        <w:pStyle w:val="Heading2"/>
      </w:pPr>
      <w:r>
        <w:t>Benchmark construction</w:t>
      </w:r>
    </w:p>
    <w:p>
      <w:r>
        <w:t>Use an approved policy portfolio for liquid investments; vintage/sector comparisons and PME for private investments; matched operating peers for SOEs; and counterfactual/least-cost comparisons for development projects. Benchmark changes must be prospective and explained. Annual results should be accompanied by inception-to-date and rolling multi-year outcomes where history permits.</w:t>
      </w:r>
    </w:p>
    <w:tbl>
      <w:tblPr>
        <w:tblW w:type="auto" w:w="0"/>
        <w:tblLayout w:type="fixed"/>
        <w:tblLook w:firstColumn="1" w:firstRow="1" w:lastColumn="0" w:lastRow="0" w:noHBand="0" w:noVBand="1" w:val="04A0"/>
      </w:tblPr>
      <w:tblGrid>
        <w:gridCol w:w="5119"/>
        <w:gridCol w:w="5119"/>
      </w:tblGrid>
      <w:tr>
        <w:trPr>
          <w:tblHeader/>
          <w:cantSplit/>
        </w:trPr>
        <w:tc>
          <w:tcPr>
            <w:tcW w:type="dxa" w:w="5119"/>
            <w:shd w:fill="15344B"/>
          </w:tcPr>
          <w:p>
            <w:pPr>
              <w:spacing w:after="100" w:before="80" w:line="245" w:lineRule="auto"/>
            </w:pPr>
            <w:r>
              <w:rPr>
                <w:rFonts w:ascii="Arial" w:hAnsi="Arial"/>
                <w:b/>
                <w:color w:val="FFFFFF"/>
                <w:sz w:val="17"/>
              </w:rPr>
              <w:t>Published reference</w:t>
            </w:r>
          </w:p>
        </w:tc>
        <w:tc>
          <w:tcPr>
            <w:tcW w:type="dxa" w:w="5119"/>
            <w:shd w:fill="15344B"/>
          </w:tcPr>
          <w:p>
            <w:pPr>
              <w:spacing w:after="100" w:before="80" w:line="245" w:lineRule="auto"/>
            </w:pPr>
            <w:r>
              <w:rPr>
                <w:rFonts w:ascii="Arial" w:hAnsi="Arial"/>
                <w:b/>
                <w:color w:val="FFFFFF"/>
                <w:sz w:val="17"/>
              </w:rPr>
              <w:t>How to use it</w:t>
            </w:r>
          </w:p>
        </w:tc>
      </w:tr>
      <w:tr>
        <w:trPr>
          <w:cantSplit/>
        </w:trPr>
        <w:tc>
          <w:tcPr>
            <w:tcW w:type="dxa" w:w="5119"/>
            <w:shd w:fill="F0F5F7"/>
          </w:tcPr>
          <w:p>
            <w:pPr>
              <w:spacing w:after="100" w:before="80" w:line="245" w:lineRule="auto"/>
            </w:pPr>
            <w:r>
              <w:rPr>
                <w:rFonts w:ascii="Arial" w:hAnsi="Arial"/>
                <w:sz w:val="17"/>
              </w:rPr>
              <w:t>Temasek, 31 March 2026: five-year TSR 4.6%, ten-year 7.1%, twenty-year 6.8% in SGD. [S18]</w:t>
            </w:r>
          </w:p>
        </w:tc>
        <w:tc>
          <w:tcPr>
            <w:tcW w:type="dxa" w:w="5119"/>
            <w:shd w:fill="F0F5F7"/>
          </w:tcPr>
          <w:p>
            <w:pPr>
              <w:spacing w:after="100" w:before="80" w:line="245" w:lineRule="auto"/>
            </w:pPr>
            <w:r>
              <w:rPr>
                <w:rFonts w:ascii="Arial" w:hAnsi="Arial"/>
                <w:sz w:val="17"/>
              </w:rPr>
              <w:t>Reporting practice comparator, not a universal return hurdle. Valuation-basis changes and the historical MTM transition must be considered.</w:t>
            </w:r>
          </w:p>
        </w:tc>
      </w:tr>
      <w:tr>
        <w:trPr>
          <w:cantSplit/>
        </w:trPr>
        <w:tc>
          <w:tcPr>
            <w:tcW w:type="dxa" w:w="5119"/>
          </w:tcPr>
          <w:p>
            <w:pPr>
              <w:spacing w:after="100" w:before="80" w:line="245" w:lineRule="auto"/>
            </w:pPr>
            <w:r>
              <w:rPr>
                <w:rFonts w:ascii="Arial" w:hAnsi="Arial"/>
                <w:sz w:val="17"/>
              </w:rPr>
              <w:t>Khazanah, FY2025: annual return 5.2%; seven-year annualized 6.1%. [S19]</w:t>
            </w:r>
          </w:p>
        </w:tc>
        <w:tc>
          <w:tcPr>
            <w:tcW w:type="dxa" w:w="5119"/>
          </w:tcPr>
          <w:p>
            <w:pPr>
              <w:spacing w:after="100" w:before="80" w:line="245" w:lineRule="auto"/>
            </w:pPr>
            <w:r>
              <w:rPr>
                <w:rFonts w:ascii="Arial" w:hAnsi="Arial"/>
                <w:sz w:val="17"/>
              </w:rPr>
              <w:t>Illustrates annual plus through-cycle reporting. Mandate, MYR exposure and portfolio composition differ.</w:t>
            </w:r>
          </w:p>
        </w:tc>
      </w:tr>
      <w:tr>
        <w:trPr>
          <w:cantSplit/>
        </w:trPr>
        <w:tc>
          <w:tcPr>
            <w:tcW w:type="dxa" w:w="5119"/>
            <w:shd w:fill="F0F5F7"/>
          </w:tcPr>
          <w:p>
            <w:pPr>
              <w:spacing w:after="100" w:before="80" w:line="245" w:lineRule="auto"/>
            </w:pPr>
            <w:r>
              <w:rPr>
                <w:rFonts w:ascii="Arial" w:hAnsi="Arial"/>
                <w:sz w:val="17"/>
              </w:rPr>
              <w:t>ADB economic analysis: 9% reference; limited 6% exceptions. [S26]</w:t>
            </w:r>
          </w:p>
        </w:tc>
        <w:tc>
          <w:tcPr>
            <w:tcW w:type="dxa" w:w="5119"/>
            <w:shd w:fill="F0F5F7"/>
          </w:tcPr>
          <w:p>
            <w:pPr>
              <w:spacing w:after="100" w:before="80" w:line="245" w:lineRule="auto"/>
            </w:pPr>
            <w:r>
              <w:rPr>
                <w:rFonts w:ascii="Arial" w:hAnsi="Arial"/>
                <w:sz w:val="17"/>
              </w:rPr>
              <w:t>Economic appraisal precedent, not an equity return target or proof of public-policy approval.</w:t>
            </w:r>
          </w:p>
        </w:tc>
      </w:tr>
    </w:tbl>
    <w:p>
      <w:pPr>
        <w:spacing w:after="0"/>
      </w:pPr>
    </w:p>
    <w:p>
      <w:pPr>
        <w:pStyle w:val="Heading2"/>
      </w:pPr>
      <w:r>
        <w:t>Proposed scoring controls</w:t>
      </w:r>
    </w:p>
    <w:p>
      <w:r>
        <w:t>The workbook proposes stream weights of 40% investment, 35% operations and 25% development solely as a governance starting point. A board may choose different weights after clarifying the mandate. The 39 operating/result metrics have explicit within-stream weights; six governance controls are gates, not bonus points.</w:t>
      </w:r>
    </w:p>
    <w:p>
      <w:r>
        <w:t>Each metric uses an approved bad, target and stretch anchor, scored 0, 80 and 100. Piecewise interpolation handles zero and negative targets without dividing by the target itself. Lower-is-better metrics reverse the ordering. Performance is accompanied by evidence eligibility and coverage.</w:t>
      </w:r>
    </w:p>
    <w:p>
      <w:r>
        <w:t>A proposed minimum of 80% of applicable metric weight must be rateable in each stream. All critical metrics and applicable gates must pass before a composite is published. Missing metrics stay NR, never zero. Exclusions require a reason and approval; weights may not be removed merely because a result is poor. Cohort/sector applicability must be fixed before scoring.</w:t>
      </w:r>
    </w:p>
    <w:tbl>
      <w:tblPr>
        <w:tblW w:type="auto" w:w="0"/>
        <w:tblLook w:firstColumn="1" w:firstRow="1" w:lastColumn="0" w:lastRow="0" w:noHBand="0" w:noVBand="1" w:val="04A0"/>
      </w:tblPr>
      <w:tblGrid>
        <w:gridCol w:w="10239"/>
      </w:tblGrid>
      <w:tr>
        <w:tc>
          <w:tcPr>
            <w:tcW w:type="dxa" w:w="10239"/>
            <w:shd w:fill="E9F3F3"/>
          </w:tcPr>
          <w:p>
            <w:r>
              <w:rPr>
                <w:b/>
                <w:color w:val="15344B"/>
              </w:rPr>
              <w:t>No current aggregate score is assigned. The proposed numerical system is ready for management data, but the required complete portfolio observations and approved benchmarks were not established in this public review.</w:t>
            </w:r>
          </w:p>
        </w:tc>
      </w:tr>
    </w:tbl>
    <w:p>
      <w:pPr>
        <w:spacing w:after="20"/>
      </w:pPr>
    </w:p>
    <w:p>
      <w:r>
        <w:br w:type="page"/>
      </w:r>
    </w:p>
    <w:p>
      <w:r>
        <w:rPr>
          <w:b/>
          <w:color w:val="007F82"/>
          <w:sz w:val="16"/>
        </w:rPr>
        <w:t>PERFORMANCE STUDY</w:t>
      </w:r>
    </w:p>
    <w:p>
      <w:pPr>
        <w:pStyle w:val="Heading1"/>
      </w:pPr>
      <w:r>
        <w:t>Attribution, aggregation and double-count controls</w:t>
      </w:r>
    </w:p>
    <w:p>
      <w:pPr>
        <w:pStyle w:val="Heading2"/>
      </w:pPr>
      <w:r>
        <w:t>A single capital ledger; three distinct result views</w:t>
      </w:r>
    </w:p>
    <w:p>
      <w:r>
        <w:t>Assign every entity, asset, project, location, financing instrument and phase a unique identifier. Reconcile a legal ownership tree and an economic exposure tree. Record both the controlling entity and the beneficial Danantara interest, including non-controlling shareholders. Intercompany transactions and intra-group holdings require elimination at group level.</w:t>
      </w:r>
    </w:p>
    <w:tbl>
      <w:tblPr>
        <w:tblW w:type="auto" w:w="0"/>
        <w:tblLayout w:type="fixed"/>
        <w:tblLook w:firstColumn="1" w:firstRow="1" w:lastColumn="0" w:lastRow="0" w:noHBand="0" w:noVBand="1" w:val="04A0"/>
      </w:tblPr>
      <w:tblGrid>
        <w:gridCol w:w="3993"/>
        <w:gridCol w:w="6245"/>
      </w:tblGrid>
      <w:tr>
        <w:trPr>
          <w:tblHeader/>
          <w:cantSplit/>
        </w:trPr>
        <w:tc>
          <w:tcPr>
            <w:tcW w:type="dxa" w:w="3993"/>
            <w:shd w:fill="15344B"/>
          </w:tcPr>
          <w:p>
            <w:pPr>
              <w:spacing w:after="100" w:before="80" w:line="245" w:lineRule="auto"/>
            </w:pPr>
            <w:r>
              <w:rPr>
                <w:rFonts w:ascii="Arial" w:hAnsi="Arial"/>
                <w:b/>
                <w:color w:val="FFFFFF"/>
                <w:sz w:val="17"/>
              </w:rPr>
              <w:t>Potential misstatement</w:t>
            </w:r>
          </w:p>
        </w:tc>
        <w:tc>
          <w:tcPr>
            <w:tcW w:type="dxa" w:w="6245"/>
            <w:shd w:fill="15344B"/>
          </w:tcPr>
          <w:p>
            <w:pPr>
              <w:spacing w:after="100" w:before="80" w:line="245" w:lineRule="auto"/>
            </w:pPr>
            <w:r>
              <w:rPr>
                <w:rFonts w:ascii="Arial" w:hAnsi="Arial"/>
                <w:b/>
                <w:color w:val="FFFFFF"/>
                <w:sz w:val="17"/>
              </w:rPr>
              <w:t>Required control</w:t>
            </w:r>
          </w:p>
        </w:tc>
      </w:tr>
      <w:tr>
        <w:trPr>
          <w:cantSplit/>
        </w:trPr>
        <w:tc>
          <w:tcPr>
            <w:tcW w:type="dxa" w:w="3993"/>
            <w:shd w:fill="F0F5F7"/>
          </w:tcPr>
          <w:p>
            <w:pPr>
              <w:spacing w:after="100" w:before="80" w:line="245" w:lineRule="auto"/>
            </w:pPr>
            <w:r>
              <w:rPr>
                <w:rFonts w:ascii="Arial" w:hAnsi="Arial"/>
                <w:sz w:val="17"/>
              </w:rPr>
              <w:t>Asset transfers called investment returns</w:t>
            </w:r>
          </w:p>
        </w:tc>
        <w:tc>
          <w:tcPr>
            <w:tcW w:type="dxa" w:w="6245"/>
            <w:shd w:fill="F0F5F7"/>
          </w:tcPr>
          <w:p>
            <w:pPr>
              <w:spacing w:after="100" w:before="80" w:line="245" w:lineRule="auto"/>
            </w:pPr>
            <w:r>
              <w:rPr>
                <w:rFonts w:ascii="Arial" w:hAnsi="Arial"/>
                <w:sz w:val="17"/>
              </w:rPr>
              <w:t>Bridge opening NAV + external capital + investment result − distributions to closing NAV; separately explain FX and perimeter changes.</w:t>
            </w:r>
          </w:p>
        </w:tc>
      </w:tr>
      <w:tr>
        <w:trPr>
          <w:cantSplit/>
        </w:trPr>
        <w:tc>
          <w:tcPr>
            <w:tcW w:type="dxa" w:w="3993"/>
          </w:tcPr>
          <w:p>
            <w:pPr>
              <w:spacing w:after="100" w:before="80" w:line="245" w:lineRule="auto"/>
            </w:pPr>
            <w:r>
              <w:rPr>
                <w:rFonts w:ascii="Arial" w:hAnsi="Arial"/>
                <w:sz w:val="17"/>
              </w:rPr>
              <w:t>SOE profit and its dividend both added as group income</w:t>
            </w:r>
          </w:p>
        </w:tc>
        <w:tc>
          <w:tcPr>
            <w:tcW w:type="dxa" w:w="6245"/>
          </w:tcPr>
          <w:p>
            <w:pPr>
              <w:spacing w:after="100" w:before="80" w:line="245" w:lineRule="auto"/>
            </w:pPr>
            <w:r>
              <w:rPr>
                <w:rFonts w:ascii="Arial" w:hAnsi="Arial"/>
                <w:sz w:val="17"/>
              </w:rPr>
              <w:t>Apply consolidation eliminations. Present cash remittance as a separate financing-capacity measure.</w:t>
            </w:r>
          </w:p>
        </w:tc>
      </w:tr>
      <w:tr>
        <w:trPr>
          <w:cantSplit/>
        </w:trPr>
        <w:tc>
          <w:tcPr>
            <w:tcW w:type="dxa" w:w="3993"/>
            <w:shd w:fill="F0F5F7"/>
          </w:tcPr>
          <w:p>
            <w:pPr>
              <w:spacing w:after="100" w:before="80" w:line="245" w:lineRule="auto"/>
            </w:pPr>
            <w:r>
              <w:rPr>
                <w:rFonts w:ascii="Arial" w:hAnsi="Arial"/>
                <w:sz w:val="17"/>
              </w:rPr>
              <w:t>Entire project cost called Danantara investment</w:t>
            </w:r>
          </w:p>
        </w:tc>
        <w:tc>
          <w:tcPr>
            <w:tcW w:type="dxa" w:w="6245"/>
            <w:shd w:fill="F0F5F7"/>
          </w:tcPr>
          <w:p>
            <w:pPr>
              <w:spacing w:after="100" w:before="80" w:line="245" w:lineRule="auto"/>
            </w:pPr>
            <w:r>
              <w:rPr>
                <w:rFonts w:ascii="Arial" w:hAnsi="Arial"/>
                <w:sz w:val="17"/>
              </w:rPr>
              <w:t>Record total capex, Danantara equity/debt, other public capital and private funding separately.</w:t>
            </w:r>
          </w:p>
        </w:tc>
      </w:tr>
      <w:tr>
        <w:trPr>
          <w:cantSplit/>
        </w:trPr>
        <w:tc>
          <w:tcPr>
            <w:tcW w:type="dxa" w:w="3993"/>
          </w:tcPr>
          <w:p>
            <w:pPr>
              <w:spacing w:after="100" w:before="80" w:line="245" w:lineRule="auto"/>
            </w:pPr>
            <w:r>
              <w:rPr>
                <w:rFonts w:ascii="Arial" w:hAnsi="Arial"/>
                <w:sz w:val="17"/>
              </w:rPr>
              <w:t>Same investment claimed by multiple co-financiers</w:t>
            </w:r>
          </w:p>
        </w:tc>
        <w:tc>
          <w:tcPr>
            <w:tcW w:type="dxa" w:w="6245"/>
          </w:tcPr>
          <w:p>
            <w:pPr>
              <w:spacing w:after="100" w:before="80" w:line="245" w:lineRule="auto"/>
            </w:pPr>
            <w:r>
              <w:rPr>
                <w:rFonts w:ascii="Arial" w:hAnsi="Arial"/>
                <w:sz w:val="17"/>
              </w:rPr>
              <w:t>Use explicit MDB-aligned attribution; distinguish direct mobilization, indirect cofinance and total financing. [S28]</w:t>
            </w:r>
          </w:p>
        </w:tc>
      </w:tr>
      <w:tr>
        <w:trPr>
          <w:cantSplit/>
        </w:trPr>
        <w:tc>
          <w:tcPr>
            <w:tcW w:type="dxa" w:w="3993"/>
            <w:shd w:fill="F0F5F7"/>
          </w:tcPr>
          <w:p>
            <w:pPr>
              <w:spacing w:after="100" w:before="80" w:line="245" w:lineRule="auto"/>
            </w:pPr>
            <w:r>
              <w:rPr>
                <w:rFonts w:ascii="Arial" w:hAnsi="Arial"/>
                <w:sz w:val="17"/>
              </w:rPr>
              <w:t>Project sales, supplier sales and GDP benefits summed</w:t>
            </w:r>
          </w:p>
        </w:tc>
        <w:tc>
          <w:tcPr>
            <w:tcW w:type="dxa" w:w="6245"/>
            <w:shd w:fill="F0F5F7"/>
          </w:tcPr>
          <w:p>
            <w:pPr>
              <w:spacing w:after="100" w:before="80" w:line="245" w:lineRule="auto"/>
            </w:pPr>
            <w:r>
              <w:rPr>
                <w:rFonts w:ascii="Arial" w:hAnsi="Arial"/>
                <w:sz w:val="17"/>
              </w:rPr>
              <w:t>Use value added and a reconciled input–output framework; deduct imports and intermediate transactions.</w:t>
            </w:r>
          </w:p>
        </w:tc>
      </w:tr>
      <w:tr>
        <w:trPr>
          <w:cantSplit/>
        </w:trPr>
        <w:tc>
          <w:tcPr>
            <w:tcW w:type="dxa" w:w="3993"/>
          </w:tcPr>
          <w:p>
            <w:pPr>
              <w:spacing w:after="100" w:before="80" w:line="245" w:lineRule="auto"/>
            </w:pPr>
            <w:r>
              <w:rPr>
                <w:rFonts w:ascii="Arial" w:hAnsi="Arial"/>
                <w:sz w:val="17"/>
              </w:rPr>
              <w:t>Gross job counts across the supply chain</w:t>
            </w:r>
          </w:p>
        </w:tc>
        <w:tc>
          <w:tcPr>
            <w:tcW w:type="dxa" w:w="6245"/>
          </w:tcPr>
          <w:p>
            <w:pPr>
              <w:spacing w:after="100" w:before="80" w:line="245" w:lineRule="auto"/>
            </w:pPr>
            <w:r>
              <w:rPr>
                <w:rFonts w:ascii="Arial" w:hAnsi="Arial"/>
                <w:sz w:val="17"/>
              </w:rPr>
              <w:t>Separate direct FTE, temporary person-years and modelled indirect jobs; identify overlap and displacement.</w:t>
            </w:r>
          </w:p>
        </w:tc>
      </w:tr>
      <w:tr>
        <w:trPr>
          <w:cantSplit/>
        </w:trPr>
        <w:tc>
          <w:tcPr>
            <w:tcW w:type="dxa" w:w="3993"/>
            <w:shd w:fill="F0F5F7"/>
          </w:tcPr>
          <w:p>
            <w:pPr>
              <w:spacing w:after="100" w:before="80" w:line="245" w:lineRule="auto"/>
            </w:pPr>
            <w:r>
              <w:rPr>
                <w:rFonts w:ascii="Arial" w:hAnsi="Arial"/>
                <w:sz w:val="17"/>
              </w:rPr>
              <w:t>A national GDP change called Danantara impact</w:t>
            </w:r>
          </w:p>
        </w:tc>
        <w:tc>
          <w:tcPr>
            <w:tcW w:type="dxa" w:w="6245"/>
            <w:shd w:fill="F0F5F7"/>
          </w:tcPr>
          <w:p>
            <w:pPr>
              <w:spacing w:after="100" w:before="80" w:line="245" w:lineRule="auto"/>
            </w:pPr>
            <w:r>
              <w:rPr>
                <w:rFonts w:ascii="Arial" w:hAnsi="Arial"/>
                <w:sz w:val="17"/>
              </w:rPr>
              <w:t>Specify without-project scenarios and report contribution ranges, not unsupported causal point estimates.</w:t>
            </w:r>
          </w:p>
        </w:tc>
      </w:tr>
    </w:tbl>
    <w:p>
      <w:pPr>
        <w:spacing w:after="0"/>
      </w:pPr>
    </w:p>
    <w:p>
      <w:pPr>
        <w:pStyle w:val="Heading2"/>
      </w:pPr>
      <w:r>
        <w:t>Minimum attribution design</w:t>
      </w:r>
    </w:p>
    <w:p>
      <w:r>
        <w:t>At project approval, freeze baseline data and the alternative scenario. At SOE intervention, record the change date and theory of change. Use matched peers, interrupted trends or difference-in-differences where assumptions are credible; otherwise use a transparent contribution analysis. Report sensitivity to demand, price, displacement and implementation delays.</w:t>
      </w:r>
    </w:p>
    <w:p>
      <w:r>
        <w:t>Development outcomes should be reported as both total project outcomes and Danantara’s estimated additional contribution. An ownership percentage is useful for financial attribution but is not automatically a causal impact share. Show uncertainty and distinguish measured outcomes from modelled spillovers.</w:t>
      </w:r>
    </w:p>
    <w:p>
      <w:r>
        <w:br w:type="page"/>
      </w:r>
    </w:p>
    <w:p>
      <w:r>
        <w:rPr>
          <w:b/>
          <w:color w:val="007F82"/>
          <w:sz w:val="16"/>
        </w:rPr>
        <w:t>PERFORMANCE STUDY</w:t>
      </w:r>
    </w:p>
    <w:p>
      <w:pPr>
        <w:pStyle w:val="Heading1"/>
      </w:pPr>
      <w:r>
        <w:t>Governance, ownership and assurance</w:t>
      </w:r>
    </w:p>
    <w:tbl>
      <w:tblPr>
        <w:tblW w:type="auto" w:w="0"/>
        <w:tblLayout w:type="fixed"/>
        <w:tblLook w:firstColumn="1" w:firstRow="1" w:lastColumn="0" w:lastRow="0" w:noHBand="0" w:noVBand="1" w:val="04A0"/>
      </w:tblPr>
      <w:tblGrid>
        <w:gridCol w:w="3276"/>
        <w:gridCol w:w="6962"/>
      </w:tblGrid>
      <w:tr>
        <w:trPr>
          <w:tblHeader/>
          <w:cantSplit/>
        </w:trPr>
        <w:tc>
          <w:tcPr>
            <w:tcW w:type="dxa" w:w="3276"/>
            <w:shd w:fill="15344B"/>
          </w:tcPr>
          <w:p>
            <w:pPr>
              <w:spacing w:after="100" w:before="80" w:line="245" w:lineRule="auto"/>
            </w:pPr>
            <w:r>
              <w:rPr>
                <w:rFonts w:ascii="Arial" w:hAnsi="Arial"/>
                <w:b/>
                <w:color w:val="FFFFFF"/>
                <w:sz w:val="17"/>
              </w:rPr>
              <w:t>Accountability level</w:t>
            </w:r>
          </w:p>
        </w:tc>
        <w:tc>
          <w:tcPr>
            <w:tcW w:type="dxa" w:w="6962"/>
            <w:shd w:fill="15344B"/>
          </w:tcPr>
          <w:p>
            <w:pPr>
              <w:spacing w:after="100" w:before="80" w:line="245" w:lineRule="auto"/>
            </w:pPr>
            <w:r>
              <w:rPr>
                <w:rFonts w:ascii="Arial" w:hAnsi="Arial"/>
                <w:b/>
                <w:color w:val="FFFFFF"/>
                <w:sz w:val="17"/>
              </w:rPr>
              <w:t>Recommended role</w:t>
            </w:r>
          </w:p>
        </w:tc>
      </w:tr>
      <w:tr>
        <w:trPr>
          <w:cantSplit/>
        </w:trPr>
        <w:tc>
          <w:tcPr>
            <w:tcW w:type="dxa" w:w="3276"/>
            <w:shd w:fill="F0F5F7"/>
          </w:tcPr>
          <w:p>
            <w:pPr>
              <w:spacing w:after="100" w:before="80" w:line="245" w:lineRule="auto"/>
            </w:pPr>
            <w:r>
              <w:rPr>
                <w:rFonts w:ascii="Arial" w:hAnsi="Arial"/>
                <w:sz w:val="17"/>
              </w:rPr>
              <w:t>BPI governing / supervisory bodies</w:t>
            </w:r>
          </w:p>
        </w:tc>
        <w:tc>
          <w:tcPr>
            <w:tcW w:type="dxa" w:w="6962"/>
            <w:shd w:fill="F0F5F7"/>
          </w:tcPr>
          <w:p>
            <w:pPr>
              <w:spacing w:after="100" w:before="80" w:line="245" w:lineRule="auto"/>
            </w:pPr>
            <w:r>
              <w:rPr>
                <w:rFonts w:ascii="Arial" w:hAnsi="Arial"/>
                <w:sz w:val="17"/>
              </w:rPr>
              <w:t>Approve mandate, risk appetite, portfolio weights, reserved matters and external disclosure; challenge aggregate results.</w:t>
            </w:r>
          </w:p>
        </w:tc>
      </w:tr>
      <w:tr>
        <w:trPr>
          <w:cantSplit/>
        </w:trPr>
        <w:tc>
          <w:tcPr>
            <w:tcW w:type="dxa" w:w="3276"/>
          </w:tcPr>
          <w:p>
            <w:pPr>
              <w:spacing w:after="100" w:before="80" w:line="245" w:lineRule="auto"/>
            </w:pPr>
            <w:r>
              <w:rPr>
                <w:rFonts w:ascii="Arial" w:hAnsi="Arial"/>
                <w:sz w:val="17"/>
              </w:rPr>
              <w:t>DIM and investment committee</w:t>
            </w:r>
          </w:p>
        </w:tc>
        <w:tc>
          <w:tcPr>
            <w:tcW w:type="dxa" w:w="6962"/>
          </w:tcPr>
          <w:p>
            <w:pPr>
              <w:spacing w:after="100" w:before="80" w:line="245" w:lineRule="auto"/>
            </w:pPr>
            <w:r>
              <w:rPr>
                <w:rFonts w:ascii="Arial" w:hAnsi="Arial"/>
                <w:sz w:val="17"/>
              </w:rPr>
              <w:t>Own investment proposals and portfolio returns; independent risk challenge and valuation review before decisions.</w:t>
            </w:r>
          </w:p>
        </w:tc>
      </w:tr>
      <w:tr>
        <w:trPr>
          <w:cantSplit/>
        </w:trPr>
        <w:tc>
          <w:tcPr>
            <w:tcW w:type="dxa" w:w="3276"/>
            <w:shd w:fill="F0F5F7"/>
          </w:tcPr>
          <w:p>
            <w:pPr>
              <w:spacing w:after="100" w:before="80" w:line="245" w:lineRule="auto"/>
            </w:pPr>
            <w:r>
              <w:rPr>
                <w:rFonts w:ascii="Arial" w:hAnsi="Arial"/>
                <w:sz w:val="17"/>
              </w:rPr>
              <w:t>DAM and SOE boards</w:t>
            </w:r>
          </w:p>
        </w:tc>
        <w:tc>
          <w:tcPr>
            <w:tcW w:type="dxa" w:w="6962"/>
            <w:shd w:fill="F0F5F7"/>
          </w:tcPr>
          <w:p>
            <w:pPr>
              <w:spacing w:after="100" w:before="80" w:line="245" w:lineRule="auto"/>
            </w:pPr>
            <w:r>
              <w:rPr>
                <w:rFonts w:ascii="Arial" w:hAnsi="Arial"/>
                <w:sz w:val="17"/>
              </w:rPr>
              <w:t>Agree transformation contracts; SOE boards retain enterprise accountability; verify net operating benefits.</w:t>
            </w:r>
          </w:p>
        </w:tc>
      </w:tr>
      <w:tr>
        <w:trPr>
          <w:cantSplit/>
        </w:trPr>
        <w:tc>
          <w:tcPr>
            <w:tcW w:type="dxa" w:w="3276"/>
          </w:tcPr>
          <w:p>
            <w:pPr>
              <w:spacing w:after="100" w:before="80" w:line="245" w:lineRule="auto"/>
            </w:pPr>
            <w:r>
              <w:rPr>
                <w:rFonts w:ascii="Arial" w:hAnsi="Arial"/>
                <w:sz w:val="17"/>
              </w:rPr>
              <w:t>DDMF and project sponsors</w:t>
            </w:r>
          </w:p>
        </w:tc>
        <w:tc>
          <w:tcPr>
            <w:tcW w:type="dxa" w:w="6962"/>
          </w:tcPr>
          <w:p>
            <w:pPr>
              <w:spacing w:after="100" w:before="80" w:line="245" w:lineRule="auto"/>
            </w:pPr>
            <w:r>
              <w:rPr>
                <w:rFonts w:ascii="Arial" w:hAnsi="Arial"/>
                <w:sz w:val="17"/>
              </w:rPr>
              <w:t>Own development appraisal, public-support transparency and delivery outcomes within actual legal mandates.</w:t>
            </w:r>
          </w:p>
        </w:tc>
      </w:tr>
      <w:tr>
        <w:trPr>
          <w:cantSplit/>
        </w:trPr>
        <w:tc>
          <w:tcPr>
            <w:tcW w:type="dxa" w:w="3276"/>
            <w:shd w:fill="F0F5F7"/>
          </w:tcPr>
          <w:p>
            <w:pPr>
              <w:spacing w:after="100" w:before="80" w:line="245" w:lineRule="auto"/>
            </w:pPr>
            <w:r>
              <w:rPr>
                <w:rFonts w:ascii="Arial" w:hAnsi="Arial"/>
                <w:sz w:val="17"/>
              </w:rPr>
              <w:t>Chief financial and risk functions</w:t>
            </w:r>
          </w:p>
        </w:tc>
        <w:tc>
          <w:tcPr>
            <w:tcW w:type="dxa" w:w="6962"/>
            <w:shd w:fill="F0F5F7"/>
          </w:tcPr>
          <w:p>
            <w:pPr>
              <w:spacing w:after="100" w:before="80" w:line="245" w:lineRule="auto"/>
            </w:pPr>
            <w:r>
              <w:rPr>
                <w:rFonts w:ascii="Arial" w:hAnsi="Arial"/>
                <w:sz w:val="17"/>
              </w:rPr>
              <w:t>Reconcile capital/returns; control liquidity and guarantees; validate benchmarks and stress scenarios.</w:t>
            </w:r>
          </w:p>
        </w:tc>
      </w:tr>
      <w:tr>
        <w:trPr>
          <w:cantSplit/>
        </w:trPr>
        <w:tc>
          <w:tcPr>
            <w:tcW w:type="dxa" w:w="3276"/>
          </w:tcPr>
          <w:p>
            <w:pPr>
              <w:spacing w:after="100" w:before="80" w:line="245" w:lineRule="auto"/>
            </w:pPr>
            <w:r>
              <w:rPr>
                <w:rFonts w:ascii="Arial" w:hAnsi="Arial"/>
                <w:sz w:val="17"/>
              </w:rPr>
              <w:t>Independent evaluation / audit</w:t>
            </w:r>
          </w:p>
        </w:tc>
        <w:tc>
          <w:tcPr>
            <w:tcW w:type="dxa" w:w="6962"/>
          </w:tcPr>
          <w:p>
            <w:pPr>
              <w:spacing w:after="100" w:before="80" w:line="245" w:lineRule="auto"/>
            </w:pPr>
            <w:r>
              <w:rPr>
                <w:rFonts w:ascii="Arial" w:hAnsi="Arial"/>
                <w:sz w:val="17"/>
              </w:rPr>
              <w:t>Validate baseline, data quality, attribution and completed-project outcomes; report independently of delivery teams.</w:t>
            </w:r>
          </w:p>
        </w:tc>
      </w:tr>
    </w:tbl>
    <w:p>
      <w:pPr>
        <w:spacing w:after="0"/>
      </w:pPr>
    </w:p>
    <w:p>
      <w:r>
        <w:t>These assignments are proposed functional responsibilities, not a statement of specific delegated signing authority. Actual approvals must follow current legal mandates, company articles and approved delegations. A project sponsor should not also be the sole independent validator of its own valuation or development results.</w:t>
      </w:r>
    </w:p>
    <w:p>
      <w:pPr>
        <w:pStyle w:val="Heading2"/>
      </w:pPr>
      <w:r>
        <w:t>Implication for a strategic-industry coordination arm</w:t>
      </w:r>
    </w:p>
    <w:p>
      <w:r>
        <w:t>The measurement gap does not by itself justify creating another holding company. DDMF already describes a development role. First test whether existing bodies have an integrated project register, independent appraisal and an accountable delivery owner. Where coordination remains weak, a formally mandated deputy or portfolio-delivery office can chair cross-arm delivery reviews without absorbing investment approval, SOE board duties or independent assurance.</w:t>
      </w:r>
    </w:p>
    <w:p>
      <w:pPr>
        <w:pStyle w:val="Heading2"/>
      </w:pPr>
      <w:r>
        <w:t>Performance-linked incentives</w:t>
      </w:r>
    </w:p>
    <w:p>
      <w:r>
        <w:t>Tie variable compensation to net value creation and verified operating/outcome improvements, with deferred assessment for long-cycle projects. Include risk and integrity conditions, adjustment for restatements and recovery of awards where applicable. Avoid reward formulas based mainly on funds raised, MoUs, capex spent or dividend extraction.</w:t>
      </w:r>
    </w:p>
    <w:p>
      <w:pPr>
        <w:pStyle w:val="Heading2"/>
      </w:pPr>
      <w:r>
        <w:t>Disclosure package</w:t>
      </w:r>
    </w:p>
    <w:p>
      <w:r>
        <w:t>Publish an annual aggregate report and quarterly operating updates: mandate by arm, consolidated financial statements, net returns and benchmarks, portfolio risks, public support, project stages, and development results. This follows the direction of OECD ownership/disclosure guidance and sovereign-fund accountability principles. [S16, S20–S21]</w:t>
      </w:r>
    </w:p>
    <w:p>
      <w:r>
        <w:br w:type="page"/>
      </w:r>
    </w:p>
    <w:p>
      <w:r>
        <w:rPr>
          <w:b/>
          <w:color w:val="007F82"/>
          <w:sz w:val="16"/>
        </w:rPr>
        <w:t>PERFORMANCE STUDY</w:t>
      </w:r>
    </w:p>
    <w:p>
      <w:pPr>
        <w:pStyle w:val="Heading1"/>
      </w:pPr>
      <w:r>
        <w:t>Risk tests that can overturn a positive headline</w:t>
      </w:r>
    </w:p>
    <w:tbl>
      <w:tblPr>
        <w:tblW w:type="auto" w:w="0"/>
        <w:tblLayout w:type="fixed"/>
        <w:tblLook w:firstColumn="1" w:firstRow="1" w:lastColumn="0" w:lastRow="0" w:noHBand="0" w:noVBand="1" w:val="04A0"/>
      </w:tblPr>
      <w:tblGrid>
        <w:gridCol w:w="2355"/>
        <w:gridCol w:w="4403"/>
        <w:gridCol w:w="3481"/>
      </w:tblGrid>
      <w:tr>
        <w:trPr>
          <w:tblHeader/>
          <w:cantSplit/>
        </w:trPr>
        <w:tc>
          <w:tcPr>
            <w:tcW w:type="dxa" w:w="2355"/>
            <w:shd w:fill="15344B"/>
          </w:tcPr>
          <w:p>
            <w:pPr>
              <w:spacing w:after="100" w:before="80" w:line="245" w:lineRule="auto"/>
            </w:pPr>
            <w:r>
              <w:rPr>
                <w:rFonts w:ascii="Arial" w:hAnsi="Arial"/>
                <w:b/>
                <w:color w:val="FFFFFF"/>
                <w:sz w:val="17"/>
              </w:rPr>
              <w:t>Risk</w:t>
            </w:r>
          </w:p>
        </w:tc>
        <w:tc>
          <w:tcPr>
            <w:tcW w:type="dxa" w:w="4403"/>
            <w:shd w:fill="15344B"/>
          </w:tcPr>
          <w:p>
            <w:pPr>
              <w:spacing w:after="100" w:before="80" w:line="245" w:lineRule="auto"/>
            </w:pPr>
            <w:r>
              <w:rPr>
                <w:rFonts w:ascii="Arial" w:hAnsi="Arial"/>
                <w:b/>
                <w:color w:val="FFFFFF"/>
                <w:sz w:val="17"/>
              </w:rPr>
              <w:t>Proposed test</w:t>
            </w:r>
          </w:p>
        </w:tc>
        <w:tc>
          <w:tcPr>
            <w:tcW w:type="dxa" w:w="3481"/>
            <w:shd w:fill="15344B"/>
          </w:tcPr>
          <w:p>
            <w:pPr>
              <w:spacing w:after="100" w:before="80" w:line="245" w:lineRule="auto"/>
            </w:pPr>
            <w:r>
              <w:rPr>
                <w:rFonts w:ascii="Arial" w:hAnsi="Arial"/>
                <w:b/>
                <w:color w:val="FFFFFF"/>
                <w:sz w:val="17"/>
              </w:rPr>
              <w:t>Decision response</w:t>
            </w:r>
          </w:p>
        </w:tc>
      </w:tr>
      <w:tr>
        <w:trPr>
          <w:cantSplit/>
        </w:trPr>
        <w:tc>
          <w:tcPr>
            <w:tcW w:type="dxa" w:w="2355"/>
            <w:shd w:fill="F0F5F7"/>
          </w:tcPr>
          <w:p>
            <w:pPr>
              <w:spacing w:after="100" w:before="80" w:line="245" w:lineRule="auto"/>
            </w:pPr>
            <w:r>
              <w:rPr>
                <w:rFonts w:ascii="Arial" w:hAnsi="Arial"/>
                <w:sz w:val="17"/>
              </w:rPr>
              <w:t>Currency / refinancing</w:t>
            </w:r>
          </w:p>
        </w:tc>
        <w:tc>
          <w:tcPr>
            <w:tcW w:type="dxa" w:w="4403"/>
            <w:shd w:fill="F0F5F7"/>
          </w:tcPr>
          <w:p>
            <w:pPr>
              <w:spacing w:after="100" w:before="80" w:line="245" w:lineRule="auto"/>
            </w:pPr>
            <w:r>
              <w:rPr>
                <w:rFonts w:ascii="Arial" w:hAnsi="Arial"/>
                <w:sz w:val="17"/>
              </w:rPr>
              <w:t>IDR depreciation of 15%; refinancing spread +200bp on debt actually repricing; restricted-cash review.</w:t>
            </w:r>
          </w:p>
        </w:tc>
        <w:tc>
          <w:tcPr>
            <w:tcW w:type="dxa" w:w="3481"/>
            <w:shd w:fill="F0F5F7"/>
          </w:tcPr>
          <w:p>
            <w:pPr>
              <w:spacing w:after="100" w:before="80" w:line="245" w:lineRule="auto"/>
            </w:pPr>
            <w:r>
              <w:rPr>
                <w:rFonts w:ascii="Arial" w:hAnsi="Arial"/>
                <w:sz w:val="17"/>
              </w:rPr>
              <w:t>Resize/hedge exposure, preserve liquidity, revise distribution policy.</w:t>
            </w:r>
          </w:p>
        </w:tc>
      </w:tr>
      <w:tr>
        <w:trPr>
          <w:cantSplit/>
        </w:trPr>
        <w:tc>
          <w:tcPr>
            <w:tcW w:type="dxa" w:w="2355"/>
          </w:tcPr>
          <w:p>
            <w:pPr>
              <w:spacing w:after="100" w:before="80" w:line="245" w:lineRule="auto"/>
            </w:pPr>
            <w:r>
              <w:rPr>
                <w:rFonts w:ascii="Arial" w:hAnsi="Arial"/>
                <w:sz w:val="17"/>
              </w:rPr>
              <w:t>Industrial cycle</w:t>
            </w:r>
          </w:p>
        </w:tc>
        <w:tc>
          <w:tcPr>
            <w:tcW w:type="dxa" w:w="4403"/>
          </w:tcPr>
          <w:p>
            <w:pPr>
              <w:spacing w:after="100" w:before="80" w:line="245" w:lineRule="auto"/>
            </w:pPr>
            <w:r>
              <w:rPr>
                <w:rFonts w:ascii="Arial" w:hAnsi="Arial"/>
                <w:sz w:val="17"/>
              </w:rPr>
              <w:t>Product price −20%, feed/power costs +15%, utilization below ramp-up plan.</w:t>
            </w:r>
          </w:p>
        </w:tc>
        <w:tc>
          <w:tcPr>
            <w:tcW w:type="dxa" w:w="3481"/>
          </w:tcPr>
          <w:p>
            <w:pPr>
              <w:spacing w:after="100" w:before="80" w:line="245" w:lineRule="auto"/>
            </w:pPr>
            <w:r>
              <w:rPr>
                <w:rFonts w:ascii="Arial" w:hAnsi="Arial"/>
                <w:sz w:val="17"/>
              </w:rPr>
              <w:t>Re-test margin, covenant headroom, offtake and staged capex.</w:t>
            </w:r>
          </w:p>
        </w:tc>
      </w:tr>
      <w:tr>
        <w:trPr>
          <w:cantSplit/>
        </w:trPr>
        <w:tc>
          <w:tcPr>
            <w:tcW w:type="dxa" w:w="2355"/>
            <w:shd w:fill="F0F5F7"/>
          </w:tcPr>
          <w:p>
            <w:pPr>
              <w:spacing w:after="100" w:before="80" w:line="245" w:lineRule="auto"/>
            </w:pPr>
            <w:r>
              <w:rPr>
                <w:rFonts w:ascii="Arial" w:hAnsi="Arial"/>
                <w:sz w:val="17"/>
              </w:rPr>
              <w:t>Construction</w:t>
            </w:r>
          </w:p>
        </w:tc>
        <w:tc>
          <w:tcPr>
            <w:tcW w:type="dxa" w:w="4403"/>
            <w:shd w:fill="F0F5F7"/>
          </w:tcPr>
          <w:p>
            <w:pPr>
              <w:spacing w:after="100" w:before="80" w:line="245" w:lineRule="auto"/>
            </w:pPr>
            <w:r>
              <w:rPr>
                <w:rFonts w:ascii="Arial" w:hAnsi="Arial"/>
                <w:sz w:val="17"/>
              </w:rPr>
              <w:t>Capex +20%, 12-month delay, contractor failure and delayed land readiness.</w:t>
            </w:r>
          </w:p>
        </w:tc>
        <w:tc>
          <w:tcPr>
            <w:tcW w:type="dxa" w:w="3481"/>
            <w:shd w:fill="F0F5F7"/>
          </w:tcPr>
          <w:p>
            <w:pPr>
              <w:spacing w:after="100" w:before="80" w:line="245" w:lineRule="auto"/>
            </w:pPr>
            <w:r>
              <w:rPr>
                <w:rFonts w:ascii="Arial" w:hAnsi="Arial"/>
                <w:sz w:val="17"/>
              </w:rPr>
              <w:t>Fund contingencies; independent engineer review; consider redesign or stop.</w:t>
            </w:r>
          </w:p>
        </w:tc>
      </w:tr>
      <w:tr>
        <w:trPr>
          <w:cantSplit/>
        </w:trPr>
        <w:tc>
          <w:tcPr>
            <w:tcW w:type="dxa" w:w="2355"/>
          </w:tcPr>
          <w:p>
            <w:pPr>
              <w:spacing w:after="100" w:before="80" w:line="245" w:lineRule="auto"/>
            </w:pPr>
            <w:r>
              <w:rPr>
                <w:rFonts w:ascii="Arial" w:hAnsi="Arial"/>
                <w:sz w:val="17"/>
              </w:rPr>
              <w:t>Fiscal / public-service</w:t>
            </w:r>
          </w:p>
        </w:tc>
        <w:tc>
          <w:tcPr>
            <w:tcW w:type="dxa" w:w="4403"/>
          </w:tcPr>
          <w:p>
            <w:pPr>
              <w:spacing w:after="100" w:before="80" w:line="245" w:lineRule="auto"/>
            </w:pPr>
            <w:r>
              <w:rPr>
                <w:rFonts w:ascii="Arial" w:hAnsi="Arial"/>
                <w:sz w:val="17"/>
              </w:rPr>
              <w:t>Compensation paid 180 days later; guarantees called; subsidy reduced.</w:t>
            </w:r>
          </w:p>
        </w:tc>
        <w:tc>
          <w:tcPr>
            <w:tcW w:type="dxa" w:w="3481"/>
          </w:tcPr>
          <w:p>
            <w:pPr>
              <w:spacing w:after="100" w:before="80" w:line="245" w:lineRule="auto"/>
            </w:pPr>
            <w:r>
              <w:rPr>
                <w:rFonts w:ascii="Arial" w:hAnsi="Arial"/>
                <w:sz w:val="17"/>
              </w:rPr>
              <w:t>Disclose contingent support; agree funded service contracts and liquidity buffers.</w:t>
            </w:r>
          </w:p>
        </w:tc>
      </w:tr>
      <w:tr>
        <w:trPr>
          <w:cantSplit/>
        </w:trPr>
        <w:tc>
          <w:tcPr>
            <w:tcW w:type="dxa" w:w="2355"/>
            <w:shd w:fill="F0F5F7"/>
          </w:tcPr>
          <w:p>
            <w:pPr>
              <w:spacing w:after="100" w:before="80" w:line="245" w:lineRule="auto"/>
            </w:pPr>
            <w:r>
              <w:rPr>
                <w:rFonts w:ascii="Arial" w:hAnsi="Arial"/>
                <w:sz w:val="17"/>
              </w:rPr>
              <w:t>Bank credit</w:t>
            </w:r>
          </w:p>
        </w:tc>
        <w:tc>
          <w:tcPr>
            <w:tcW w:type="dxa" w:w="4403"/>
            <w:shd w:fill="F0F5F7"/>
          </w:tcPr>
          <w:p>
            <w:pPr>
              <w:spacing w:after="100" w:before="80" w:line="245" w:lineRule="auto"/>
            </w:pPr>
            <w:r>
              <w:rPr>
                <w:rFonts w:ascii="Arial" w:hAnsi="Arial"/>
                <w:sz w:val="17"/>
              </w:rPr>
              <w:t>Credit migration, higher cost of risk and correlated SOE exposure.</w:t>
            </w:r>
          </w:p>
        </w:tc>
        <w:tc>
          <w:tcPr>
            <w:tcW w:type="dxa" w:w="3481"/>
            <w:shd w:fill="F0F5F7"/>
          </w:tcPr>
          <w:p>
            <w:pPr>
              <w:spacing w:after="100" w:before="80" w:line="245" w:lineRule="auto"/>
            </w:pPr>
            <w:r>
              <w:rPr>
                <w:rFonts w:ascii="Arial" w:hAnsi="Arial"/>
                <w:sz w:val="17"/>
              </w:rPr>
              <w:t>Assess CET1 and liquidity after losses; cap concentrated lending.</w:t>
            </w:r>
          </w:p>
        </w:tc>
      </w:tr>
      <w:tr>
        <w:trPr>
          <w:cantSplit/>
        </w:trPr>
        <w:tc>
          <w:tcPr>
            <w:tcW w:type="dxa" w:w="2355"/>
          </w:tcPr>
          <w:p>
            <w:pPr>
              <w:spacing w:after="100" w:before="80" w:line="245" w:lineRule="auto"/>
            </w:pPr>
            <w:r>
              <w:rPr>
                <w:rFonts w:ascii="Arial" w:hAnsi="Arial"/>
                <w:sz w:val="17"/>
              </w:rPr>
              <w:t>Technology / market</w:t>
            </w:r>
          </w:p>
        </w:tc>
        <w:tc>
          <w:tcPr>
            <w:tcW w:type="dxa" w:w="4403"/>
          </w:tcPr>
          <w:p>
            <w:pPr>
              <w:spacing w:after="100" w:before="80" w:line="245" w:lineRule="auto"/>
            </w:pPr>
            <w:r>
              <w:rPr>
                <w:rFonts w:ascii="Arial" w:hAnsi="Arial"/>
                <w:sz w:val="17"/>
              </w:rPr>
              <w:t>Pilot yield not replicated; qualification delayed; IP rights inadequate.</w:t>
            </w:r>
          </w:p>
        </w:tc>
        <w:tc>
          <w:tcPr>
            <w:tcW w:type="dxa" w:w="3481"/>
          </w:tcPr>
          <w:p>
            <w:pPr>
              <w:spacing w:after="100" w:before="80" w:line="245" w:lineRule="auto"/>
            </w:pPr>
            <w:r>
              <w:rPr>
                <w:rFonts w:ascii="Arial" w:hAnsi="Arial"/>
                <w:sz w:val="17"/>
              </w:rPr>
              <w:t>Link next funding to independently accepted capability milestones.</w:t>
            </w:r>
          </w:p>
        </w:tc>
      </w:tr>
      <w:tr>
        <w:trPr>
          <w:cantSplit/>
        </w:trPr>
        <w:tc>
          <w:tcPr>
            <w:tcW w:type="dxa" w:w="2355"/>
            <w:shd w:fill="F0F5F7"/>
          </w:tcPr>
          <w:p>
            <w:pPr>
              <w:spacing w:after="100" w:before="80" w:line="245" w:lineRule="auto"/>
            </w:pPr>
            <w:r>
              <w:rPr>
                <w:rFonts w:ascii="Arial" w:hAnsi="Arial"/>
                <w:sz w:val="17"/>
              </w:rPr>
              <w:t>Environmental / social</w:t>
            </w:r>
          </w:p>
        </w:tc>
        <w:tc>
          <w:tcPr>
            <w:tcW w:type="dxa" w:w="4403"/>
            <w:shd w:fill="F0F5F7"/>
          </w:tcPr>
          <w:p>
            <w:pPr>
              <w:spacing w:after="100" w:before="80" w:line="245" w:lineRule="auto"/>
            </w:pPr>
            <w:r>
              <w:rPr>
                <w:rFonts w:ascii="Arial" w:hAnsi="Arial"/>
                <w:sz w:val="17"/>
              </w:rPr>
              <w:t>Baseline emissions overstated; waste composition changes; safety or permit failure.</w:t>
            </w:r>
          </w:p>
        </w:tc>
        <w:tc>
          <w:tcPr>
            <w:tcW w:type="dxa" w:w="3481"/>
            <w:shd w:fill="F0F5F7"/>
          </w:tcPr>
          <w:p>
            <w:pPr>
              <w:spacing w:after="100" w:before="80" w:line="245" w:lineRule="auto"/>
            </w:pPr>
            <w:r>
              <w:rPr>
                <w:rFonts w:ascii="Arial" w:hAnsi="Arial"/>
                <w:sz w:val="17"/>
              </w:rPr>
              <w:t>Re-estimate benefits and liabilities; suspend where binding conditions fail.</w:t>
            </w:r>
          </w:p>
        </w:tc>
      </w:tr>
    </w:tbl>
    <w:p>
      <w:pPr>
        <w:spacing w:after="0"/>
      </w:pPr>
    </w:p>
    <w:p>
      <w:r>
        <w:t>All shocks above are illustrative starting assumptions, not forecasts or universal regulatory thresholds. Calibrate to each industry, instrument and approved risk appetite. A fixed-rate note does not incur a higher coupon immediately when market yields rise; model refinancing or floating-rate exposure specifically.</w:t>
      </w:r>
    </w:p>
    <w:p>
      <w:pPr>
        <w:pStyle w:val="Heading2"/>
      </w:pPr>
      <w:r>
        <w:t>Group-level stress aggregation</w:t>
      </w:r>
    </w:p>
    <w:p>
      <w:r>
        <w:t>Stress common factors simultaneously across holdings, projects and SOE banks. A project failure can reduce SOE dividends, weaken bank asset quality and trigger a guarantee at the same time. Look-through exposure and cash waterfall analysis are therefore necessary; separate legal entities do not eliminate correlated economic risk.</w:t>
      </w:r>
    </w:p>
    <w:p>
      <w:r>
        <w:t>Resources pledged or future receipts monetized through bonds, prepayments or securitizations still require analysis of obligations, recourse and forgone future revenue. Do not classify a financing structure as free or non-debt simply because it is outside a budget line or issued by a special-purpose vehicle.</w:t>
      </w:r>
    </w:p>
    <w:p>
      <w:r>
        <w:br w:type="page"/>
      </w:r>
    </w:p>
    <w:p>
      <w:r>
        <w:rPr>
          <w:b/>
          <w:color w:val="007F82"/>
          <w:sz w:val="16"/>
        </w:rPr>
        <w:t>PERFORMANCE STUDY</w:t>
      </w:r>
    </w:p>
    <w:p>
      <w:pPr>
        <w:pStyle w:val="Heading1"/>
      </w:pPr>
      <w:r>
        <w:t>Implementation priorities and review cadence</w:t>
      </w:r>
    </w:p>
    <w:tbl>
      <w:tblPr>
        <w:tblW w:type="auto" w:w="0"/>
        <w:tblLayout w:type="fixed"/>
        <w:tblLook w:firstColumn="1" w:firstRow="1" w:lastColumn="0" w:lastRow="0" w:noHBand="0" w:noVBand="1" w:val="04A0"/>
      </w:tblPr>
      <w:tblGrid>
        <w:gridCol w:w="1638"/>
        <w:gridCol w:w="4914"/>
        <w:gridCol w:w="3686"/>
      </w:tblGrid>
      <w:tr>
        <w:trPr>
          <w:tblHeader/>
          <w:cantSplit/>
        </w:trPr>
        <w:tc>
          <w:tcPr>
            <w:tcW w:type="dxa" w:w="1638"/>
            <w:shd w:fill="15344B"/>
          </w:tcPr>
          <w:p>
            <w:pPr>
              <w:spacing w:after="100" w:before="80" w:line="245" w:lineRule="auto"/>
            </w:pPr>
            <w:r>
              <w:rPr>
                <w:rFonts w:ascii="Arial" w:hAnsi="Arial"/>
                <w:b/>
                <w:color w:val="FFFFFF"/>
                <w:sz w:val="17"/>
              </w:rPr>
              <w:t>Timing</w:t>
            </w:r>
          </w:p>
        </w:tc>
        <w:tc>
          <w:tcPr>
            <w:tcW w:type="dxa" w:w="4914"/>
            <w:shd w:fill="15344B"/>
          </w:tcPr>
          <w:p>
            <w:pPr>
              <w:spacing w:after="100" w:before="80" w:line="245" w:lineRule="auto"/>
            </w:pPr>
            <w:r>
              <w:rPr>
                <w:rFonts w:ascii="Arial" w:hAnsi="Arial"/>
                <w:b/>
                <w:color w:val="FFFFFF"/>
                <w:sz w:val="17"/>
              </w:rPr>
              <w:t>Priority deliverable</w:t>
            </w:r>
          </w:p>
        </w:tc>
        <w:tc>
          <w:tcPr>
            <w:tcW w:type="dxa" w:w="3686"/>
            <w:shd w:fill="15344B"/>
          </w:tcPr>
          <w:p>
            <w:pPr>
              <w:spacing w:after="100" w:before="80" w:line="245" w:lineRule="auto"/>
            </w:pPr>
            <w:r>
              <w:rPr>
                <w:rFonts w:ascii="Arial" w:hAnsi="Arial"/>
                <w:b/>
                <w:color w:val="FFFFFF"/>
                <w:sz w:val="17"/>
              </w:rPr>
              <w:t>Accountable function / acceptance</w:t>
            </w:r>
          </w:p>
        </w:tc>
      </w:tr>
      <w:tr>
        <w:trPr>
          <w:cantSplit/>
        </w:trPr>
        <w:tc>
          <w:tcPr>
            <w:tcW w:type="dxa" w:w="1638"/>
            <w:shd w:fill="F0F5F7"/>
          </w:tcPr>
          <w:p>
            <w:pPr>
              <w:spacing w:after="100" w:before="80" w:line="245" w:lineRule="auto"/>
            </w:pPr>
            <w:r>
              <w:rPr>
                <w:rFonts w:ascii="Arial" w:hAnsi="Arial"/>
                <w:sz w:val="17"/>
              </w:rPr>
              <w:t>Days 1–30</w:t>
            </w:r>
          </w:p>
        </w:tc>
        <w:tc>
          <w:tcPr>
            <w:tcW w:type="dxa" w:w="4914"/>
            <w:shd w:fill="F0F5F7"/>
          </w:tcPr>
          <w:p>
            <w:pPr>
              <w:spacing w:after="100" w:before="80" w:line="245" w:lineRule="auto"/>
            </w:pPr>
            <w:r>
              <w:rPr>
                <w:rFonts w:ascii="Arial" w:hAnsi="Arial"/>
                <w:sz w:val="17"/>
              </w:rPr>
              <w:t>Approved ownership and project register; capital/perimeter bridge; data dictionary and three mandate statements.</w:t>
            </w:r>
          </w:p>
        </w:tc>
        <w:tc>
          <w:tcPr>
            <w:tcW w:type="dxa" w:w="3686"/>
            <w:shd w:fill="F0F5F7"/>
          </w:tcPr>
          <w:p>
            <w:pPr>
              <w:spacing w:after="100" w:before="80" w:line="245" w:lineRule="auto"/>
            </w:pPr>
            <w:r>
              <w:rPr>
                <w:rFonts w:ascii="Arial" w:hAnsi="Arial"/>
                <w:sz w:val="17"/>
              </w:rPr>
              <w:t>CFO + DAM/DIM/DDMF: complete scope, control dates, original baselines and unresolved items.</w:t>
            </w:r>
          </w:p>
        </w:tc>
      </w:tr>
      <w:tr>
        <w:trPr>
          <w:cantSplit/>
        </w:trPr>
        <w:tc>
          <w:tcPr>
            <w:tcW w:type="dxa" w:w="1638"/>
          </w:tcPr>
          <w:p>
            <w:pPr>
              <w:spacing w:after="100" w:before="80" w:line="245" w:lineRule="auto"/>
            </w:pPr>
            <w:r>
              <w:rPr>
                <w:rFonts w:ascii="Arial" w:hAnsi="Arial"/>
                <w:sz w:val="17"/>
              </w:rPr>
              <w:t>Days 1–30</w:t>
            </w:r>
          </w:p>
        </w:tc>
        <w:tc>
          <w:tcPr>
            <w:tcW w:type="dxa" w:w="4914"/>
          </w:tcPr>
          <w:p>
            <w:pPr>
              <w:spacing w:after="100" w:before="80" w:line="245" w:lineRule="auto"/>
            </w:pPr>
            <w:r>
              <w:rPr>
                <w:rFonts w:ascii="Arial" w:hAnsi="Arial"/>
                <w:sz w:val="17"/>
              </w:rPr>
              <w:t>Investor-return methodology and benchmark policy; critical risk and assurance gates.</w:t>
            </w:r>
          </w:p>
        </w:tc>
        <w:tc>
          <w:tcPr>
            <w:tcW w:type="dxa" w:w="3686"/>
          </w:tcPr>
          <w:p>
            <w:pPr>
              <w:spacing w:after="100" w:before="80" w:line="245" w:lineRule="auto"/>
            </w:pPr>
            <w:r>
              <w:rPr>
                <w:rFonts w:ascii="Arial" w:hAnsi="Arial"/>
                <w:sz w:val="17"/>
              </w:rPr>
              <w:t>Investment/risk committees: preapproved currency, cash-flow treatment, valuation and limits.</w:t>
            </w:r>
          </w:p>
        </w:tc>
      </w:tr>
      <w:tr>
        <w:trPr>
          <w:cantSplit/>
        </w:trPr>
        <w:tc>
          <w:tcPr>
            <w:tcW w:type="dxa" w:w="1638"/>
            <w:shd w:fill="F0F5F7"/>
          </w:tcPr>
          <w:p>
            <w:pPr>
              <w:spacing w:after="100" w:before="80" w:line="245" w:lineRule="auto"/>
            </w:pPr>
            <w:r>
              <w:rPr>
                <w:rFonts w:ascii="Arial" w:hAnsi="Arial"/>
                <w:sz w:val="17"/>
              </w:rPr>
              <w:t>Days 31–60</w:t>
            </w:r>
          </w:p>
        </w:tc>
        <w:tc>
          <w:tcPr>
            <w:tcW w:type="dxa" w:w="4914"/>
            <w:shd w:fill="F0F5F7"/>
          </w:tcPr>
          <w:p>
            <w:pPr>
              <w:spacing w:after="100" w:before="80" w:line="245" w:lineRule="auto"/>
            </w:pPr>
            <w:r>
              <w:rPr>
                <w:rFonts w:ascii="Arial" w:hAnsi="Arial"/>
                <w:sz w:val="17"/>
              </w:rPr>
              <w:t>Populate high-exposure SOEs and all active strategic projects; reconcile cash, commitments and physical milestones.</w:t>
            </w:r>
          </w:p>
        </w:tc>
        <w:tc>
          <w:tcPr>
            <w:tcW w:type="dxa" w:w="3686"/>
            <w:shd w:fill="F0F5F7"/>
          </w:tcPr>
          <w:p>
            <w:pPr>
              <w:spacing w:after="100" w:before="80" w:line="245" w:lineRule="auto"/>
            </w:pPr>
            <w:r>
              <w:rPr>
                <w:rFonts w:ascii="Arial" w:hAnsi="Arial"/>
                <w:sz w:val="17"/>
              </w:rPr>
              <w:t>Arm heads + project CFOs: source-backed actuals and explicit NR entries.</w:t>
            </w:r>
          </w:p>
        </w:tc>
      </w:tr>
      <w:tr>
        <w:trPr>
          <w:cantSplit/>
        </w:trPr>
        <w:tc>
          <w:tcPr>
            <w:tcW w:type="dxa" w:w="1638"/>
          </w:tcPr>
          <w:p>
            <w:pPr>
              <w:spacing w:after="100" w:before="80" w:line="245" w:lineRule="auto"/>
            </w:pPr>
            <w:r>
              <w:rPr>
                <w:rFonts w:ascii="Arial" w:hAnsi="Arial"/>
                <w:sz w:val="17"/>
              </w:rPr>
              <w:t>Days 31–60</w:t>
            </w:r>
          </w:p>
        </w:tc>
        <w:tc>
          <w:tcPr>
            <w:tcW w:type="dxa" w:w="4914"/>
          </w:tcPr>
          <w:p>
            <w:pPr>
              <w:spacing w:after="100" w:before="80" w:line="245" w:lineRule="auto"/>
            </w:pPr>
            <w:r>
              <w:rPr>
                <w:rFonts w:ascii="Arial" w:hAnsi="Arial"/>
                <w:sz w:val="17"/>
              </w:rPr>
              <w:t>Independent appraisal of largest fiscal/technology risks; define public-support and additionality cases.</w:t>
            </w:r>
          </w:p>
        </w:tc>
        <w:tc>
          <w:tcPr>
            <w:tcW w:type="dxa" w:w="3686"/>
          </w:tcPr>
          <w:p>
            <w:pPr>
              <w:spacing w:after="100" w:before="80" w:line="245" w:lineRule="auto"/>
            </w:pPr>
            <w:r>
              <w:rPr>
                <w:rFonts w:ascii="Arial" w:hAnsi="Arial"/>
                <w:sz w:val="17"/>
              </w:rPr>
              <w:t>DDMF/economists + risk: defensible counterfactual and downside case.</w:t>
            </w:r>
          </w:p>
        </w:tc>
      </w:tr>
      <w:tr>
        <w:trPr>
          <w:cantSplit/>
        </w:trPr>
        <w:tc>
          <w:tcPr>
            <w:tcW w:type="dxa" w:w="1638"/>
            <w:shd w:fill="F0F5F7"/>
          </w:tcPr>
          <w:p>
            <w:pPr>
              <w:spacing w:after="100" w:before="80" w:line="245" w:lineRule="auto"/>
            </w:pPr>
            <w:r>
              <w:rPr>
                <w:rFonts w:ascii="Arial" w:hAnsi="Arial"/>
                <w:sz w:val="17"/>
              </w:rPr>
              <w:t>Days 61–90</w:t>
            </w:r>
          </w:p>
        </w:tc>
        <w:tc>
          <w:tcPr>
            <w:tcW w:type="dxa" w:w="4914"/>
            <w:shd w:fill="F0F5F7"/>
          </w:tcPr>
          <w:p>
            <w:pPr>
              <w:spacing w:after="100" w:before="80" w:line="245" w:lineRule="auto"/>
            </w:pPr>
            <w:r>
              <w:rPr>
                <w:rFonts w:ascii="Arial" w:hAnsi="Arial"/>
                <w:sz w:val="17"/>
              </w:rPr>
              <w:t>First reconciled dashboard and independent assurance review; remediation of critical data/control gaps.</w:t>
            </w:r>
          </w:p>
        </w:tc>
        <w:tc>
          <w:tcPr>
            <w:tcW w:type="dxa" w:w="3686"/>
            <w:shd w:fill="F0F5F7"/>
          </w:tcPr>
          <w:p>
            <w:pPr>
              <w:spacing w:after="100" w:before="80" w:line="245" w:lineRule="auto"/>
            </w:pPr>
            <w:r>
              <w:rPr>
                <w:rFonts w:ascii="Arial" w:hAnsi="Arial"/>
                <w:sz w:val="17"/>
              </w:rPr>
              <w:t>CFO + audit/evaluation: coverage and qualification statement signed.</w:t>
            </w:r>
          </w:p>
        </w:tc>
      </w:tr>
      <w:tr>
        <w:trPr>
          <w:cantSplit/>
        </w:trPr>
        <w:tc>
          <w:tcPr>
            <w:tcW w:type="dxa" w:w="1638"/>
          </w:tcPr>
          <w:p>
            <w:pPr>
              <w:spacing w:after="100" w:before="80" w:line="245" w:lineRule="auto"/>
            </w:pPr>
            <w:r>
              <w:rPr>
                <w:rFonts w:ascii="Arial" w:hAnsi="Arial"/>
                <w:sz w:val="17"/>
              </w:rPr>
              <w:t>Months 4–12</w:t>
            </w:r>
          </w:p>
        </w:tc>
        <w:tc>
          <w:tcPr>
            <w:tcW w:type="dxa" w:w="4914"/>
          </w:tcPr>
          <w:p>
            <w:pPr>
              <w:spacing w:after="100" w:before="80" w:line="245" w:lineRule="auto"/>
            </w:pPr>
            <w:r>
              <w:rPr>
                <w:rFonts w:ascii="Arial" w:hAnsi="Arial"/>
                <w:sz w:val="17"/>
              </w:rPr>
              <w:t>Publish portfolio report; introduce completed-project evaluations and incentive calibration.</w:t>
            </w:r>
          </w:p>
        </w:tc>
        <w:tc>
          <w:tcPr>
            <w:tcW w:type="dxa" w:w="3686"/>
          </w:tcPr>
          <w:p>
            <w:pPr>
              <w:spacing w:after="100" w:before="80" w:line="245" w:lineRule="auto"/>
            </w:pPr>
            <w:r>
              <w:rPr>
                <w:rFonts w:ascii="Arial" w:hAnsi="Arial"/>
                <w:sz w:val="17"/>
              </w:rPr>
              <w:t>Governing bodies: transparent results, action tracking and lessons applied.</w:t>
            </w:r>
          </w:p>
        </w:tc>
      </w:tr>
    </w:tbl>
    <w:p>
      <w:pPr>
        <w:spacing w:after="0"/>
      </w:pPr>
    </w:p>
    <w:p>
      <w:pPr>
        <w:pStyle w:val="Heading2"/>
      </w:pPr>
      <w:r>
        <w:t>Cadence</w:t>
      </w:r>
    </w:p>
    <w:p>
      <w:r>
        <w:t>Monthly: liquidity, construction, operating exceptions and critical risks. Quarterly: investment returns, SOE transformation, project costs/schedules and evidence coverage. Annually: audited financials, outcome evaluation, peer review and capital reallocation. At commissioning and 12–24 months afterward: reassess technical performance, commercial ramp-up and benefits realization.</w:t>
      </w:r>
    </w:p>
    <w:p>
      <w:pPr>
        <w:pStyle w:val="Heading2"/>
      </w:pPr>
      <w:r>
        <w:t>First management data request</w:t>
      </w:r>
    </w:p>
    <w:p>
      <w:r>
        <w:t>Request audited group/arm statements; monthly NAV and dated cash flows; investment costs and valuation reports; leverage/guarantee register; SOE segment data and restatement bridges; PSO compensation; original project budgets and schedules; financing/disbursement records; offtake and independent progress certificates; workforce/supplier data; emissions baselines; and all counterfactual/benefit appraisals.</w:t>
      </w:r>
    </w:p>
    <w:tbl>
      <w:tblPr>
        <w:tblW w:type="auto" w:w="0"/>
        <w:tblLook w:firstColumn="1" w:firstRow="1" w:lastColumn="0" w:lastRow="0" w:noHBand="0" w:noVBand="1" w:val="04A0"/>
      </w:tblPr>
      <w:tblGrid>
        <w:gridCol w:w="10239"/>
      </w:tblGrid>
      <w:tr>
        <w:tc>
          <w:tcPr>
            <w:tcW w:type="dxa" w:w="10239"/>
            <w:shd w:fill="E9F3F3"/>
          </w:tcPr>
          <w:p>
            <w:r>
              <w:rPr>
                <w:b/>
                <w:color w:val="15344B"/>
              </w:rPr>
              <w:t>Immediate management objective: make each claimed financial or development result traceable to its capital, reporting period, baseline, responsible owner and independent verification.</w:t>
            </w:r>
          </w:p>
        </w:tc>
      </w:tr>
    </w:tbl>
    <w:p>
      <w:pPr>
        <w:spacing w:after="20"/>
      </w:pPr>
    </w:p>
    <w:p>
      <w:r>
        <w:br w:type="page"/>
      </w:r>
    </w:p>
    <w:p>
      <w:r>
        <w:rPr>
          <w:b/>
          <w:color w:val="007F82"/>
          <w:sz w:val="16"/>
        </w:rPr>
        <w:t>PERFORMANCE STUDY</w:t>
      </w:r>
    </w:p>
    <w:p>
      <w:pPr>
        <w:pStyle w:val="Heading1"/>
      </w:pPr>
      <w:r>
        <w:t>Technical notes and workbook guide</w:t>
      </w:r>
    </w:p>
    <w:p>
      <w:pPr>
        <w:pStyle w:val="Heading2"/>
      </w:pPr>
      <w:r>
        <w:t>Return and value formulas</w:t>
      </w:r>
    </w:p>
    <w:p>
      <w:r>
        <w:t>TWR geometrically links returns across intervals delimited by external cash flows. Net IRR uses dated net investor cash flows plus residual NAV; TVPI = (distributions + NAV) / paid-in capital, DPI = distributions / paid-in capital, and RVPI = NAV / paid-in capital. Economic profit = NOPAT − WACC × average invested capital. ENPV discounts incremental economic benefits less resource costs at an approved social rate. [S15, S17, S26]</w:t>
      </w:r>
    </w:p>
    <w:p>
      <w:r>
        <w:t>Use project free cash flow with WACC for enterprise/project appraisal and equity cash flow with cost of equity for equity appraisal. Match nominal cash flows to nominal discount rates, real to real, and currencies consistently. Where cash-flow sign changes produce multiple/no IRRs, rely on NPV, scenario analysis and explicitly defined modified measures.</w:t>
      </w:r>
    </w:p>
    <w:p>
      <w:pPr>
        <w:pStyle w:val="Heading2"/>
      </w:pPr>
      <w:r>
        <w:t>Workbook contents</w:t>
      </w:r>
    </w:p>
    <w:tbl>
      <w:tblPr>
        <w:tblW w:type="auto" w:w="0"/>
        <w:tblLayout w:type="fixed"/>
        <w:tblLook w:firstColumn="1" w:firstRow="1" w:lastColumn="0" w:lastRow="0" w:noHBand="0" w:noVBand="1" w:val="04A0"/>
      </w:tblPr>
      <w:tblGrid>
        <w:gridCol w:w="3583"/>
        <w:gridCol w:w="6655"/>
      </w:tblGrid>
      <w:tr>
        <w:trPr>
          <w:tblHeader/>
          <w:cantSplit/>
        </w:trPr>
        <w:tc>
          <w:tcPr>
            <w:tcW w:type="dxa" w:w="3583"/>
            <w:shd w:fill="15344B"/>
          </w:tcPr>
          <w:p>
            <w:pPr>
              <w:spacing w:after="100" w:before="80" w:line="245" w:lineRule="auto"/>
            </w:pPr>
            <w:r>
              <w:rPr>
                <w:rFonts w:ascii="Arial" w:hAnsi="Arial"/>
                <w:b/>
                <w:color w:val="FFFFFF"/>
                <w:sz w:val="17"/>
              </w:rPr>
              <w:t>Tab</w:t>
            </w:r>
          </w:p>
        </w:tc>
        <w:tc>
          <w:tcPr>
            <w:tcW w:type="dxa" w:w="6655"/>
            <w:shd w:fill="15344B"/>
          </w:tcPr>
          <w:p>
            <w:pPr>
              <w:spacing w:after="100" w:before="80" w:line="245" w:lineRule="auto"/>
            </w:pPr>
            <w:r>
              <w:rPr>
                <w:rFonts w:ascii="Arial" w:hAnsi="Arial"/>
                <w:b/>
                <w:color w:val="FFFFFF"/>
                <w:sz w:val="17"/>
              </w:rPr>
              <w:t>Use</w:t>
            </w:r>
          </w:p>
        </w:tc>
      </w:tr>
      <w:tr>
        <w:trPr>
          <w:cantSplit/>
        </w:trPr>
        <w:tc>
          <w:tcPr>
            <w:tcW w:type="dxa" w:w="3583"/>
            <w:shd w:fill="F0F5F7"/>
          </w:tcPr>
          <w:p>
            <w:pPr>
              <w:spacing w:after="100" w:before="80" w:line="245" w:lineRule="auto"/>
            </w:pPr>
            <w:r>
              <w:rPr>
                <w:rFonts w:ascii="Arial" w:hAnsi="Arial"/>
                <w:sz w:val="17"/>
              </w:rPr>
              <w:t>Read_Me / Dashboard</w:t>
            </w:r>
          </w:p>
        </w:tc>
        <w:tc>
          <w:tcPr>
            <w:tcW w:type="dxa" w:w="6655"/>
            <w:shd w:fill="F0F5F7"/>
          </w:tcPr>
          <w:p>
            <w:pPr>
              <w:spacing w:after="100" w:before="80" w:line="245" w:lineRule="auto"/>
            </w:pPr>
            <w:r>
              <w:rPr>
                <w:rFonts w:ascii="Arial" w:hAnsi="Arial"/>
                <w:sz w:val="17"/>
              </w:rPr>
              <w:t>Instructions, proposed settings, coverage and conditional ratings. NR is expected until adequate data are supplied.</w:t>
            </w:r>
          </w:p>
        </w:tc>
      </w:tr>
      <w:tr>
        <w:trPr>
          <w:cantSplit/>
        </w:trPr>
        <w:tc>
          <w:tcPr>
            <w:tcW w:type="dxa" w:w="3583"/>
          </w:tcPr>
          <w:p>
            <w:pPr>
              <w:spacing w:after="100" w:before="80" w:line="245" w:lineRule="auto"/>
            </w:pPr>
            <w:r>
              <w:rPr>
                <w:rFonts w:ascii="Arial" w:hAnsi="Arial"/>
                <w:sz w:val="17"/>
              </w:rPr>
              <w:t>KPI_Dictionary / Score_Input / Gates</w:t>
            </w:r>
          </w:p>
        </w:tc>
        <w:tc>
          <w:tcPr>
            <w:tcW w:type="dxa" w:w="6655"/>
          </w:tcPr>
          <w:p>
            <w:pPr>
              <w:spacing w:after="100" w:before="80" w:line="245" w:lineRule="auto"/>
            </w:pPr>
            <w:r>
              <w:rPr>
                <w:rFonts w:ascii="Arial" w:hAnsi="Arial"/>
                <w:sz w:val="17"/>
              </w:rPr>
              <w:t>45 definitions; 39 editable metric rows with weights, anchors and evidence eligibility; six assurance controls.</w:t>
            </w:r>
          </w:p>
        </w:tc>
      </w:tr>
      <w:tr>
        <w:trPr>
          <w:cantSplit/>
        </w:trPr>
        <w:tc>
          <w:tcPr>
            <w:tcW w:type="dxa" w:w="3583"/>
            <w:shd w:fill="F0F5F7"/>
          </w:tcPr>
          <w:p>
            <w:pPr>
              <w:spacing w:after="100" w:before="80" w:line="245" w:lineRule="auto"/>
            </w:pPr>
            <w:r>
              <w:rPr>
                <w:rFonts w:ascii="Arial" w:hAnsi="Arial"/>
                <w:sz w:val="17"/>
              </w:rPr>
              <w:t>SOE_Observations / Projects / Funding</w:t>
            </w:r>
          </w:p>
        </w:tc>
        <w:tc>
          <w:tcPr>
            <w:tcW w:type="dxa" w:w="6655"/>
            <w:shd w:fill="F0F5F7"/>
          </w:tcPr>
          <w:p>
            <w:pPr>
              <w:spacing w:after="100" w:before="80" w:line="245" w:lineRule="auto"/>
            </w:pPr>
            <w:r>
              <w:rPr>
                <w:rFonts w:ascii="Arial" w:hAnsi="Arial"/>
                <w:sz w:val="17"/>
              </w:rPr>
              <w:t>Source-backed examples and calculations. Samples and program totals are not aggregated into portfolio outcomes.</w:t>
            </w:r>
          </w:p>
        </w:tc>
      </w:tr>
      <w:tr>
        <w:trPr>
          <w:cantSplit/>
        </w:trPr>
        <w:tc>
          <w:tcPr>
            <w:tcW w:type="dxa" w:w="3583"/>
          </w:tcPr>
          <w:p>
            <w:pPr>
              <w:spacing w:after="100" w:before="80" w:line="245" w:lineRule="auto"/>
            </w:pPr>
            <w:r>
              <w:rPr>
                <w:rFonts w:ascii="Arial" w:hAnsi="Arial"/>
                <w:sz w:val="17"/>
              </w:rPr>
              <w:t>Impact_Model / Sensitivities</w:t>
            </w:r>
          </w:p>
        </w:tc>
        <w:tc>
          <w:tcPr>
            <w:tcW w:type="dxa" w:w="6655"/>
          </w:tcPr>
          <w:p>
            <w:pPr>
              <w:spacing w:after="100" w:before="80" w:line="245" w:lineRule="auto"/>
            </w:pPr>
            <w:r>
              <w:rPr>
                <w:rFonts w:ascii="Arial" w:hAnsi="Arial"/>
                <w:sz w:val="17"/>
              </w:rPr>
              <w:t>Illustrative financial/economic appraisal and case changes. Yellow inputs and blue font identify assumptions.</w:t>
            </w:r>
          </w:p>
        </w:tc>
      </w:tr>
      <w:tr>
        <w:trPr>
          <w:cantSplit/>
        </w:trPr>
        <w:tc>
          <w:tcPr>
            <w:tcW w:type="dxa" w:w="3583"/>
            <w:shd w:fill="F0F5F7"/>
          </w:tcPr>
          <w:p>
            <w:pPr>
              <w:spacing w:after="100" w:before="80" w:line="245" w:lineRule="auto"/>
            </w:pPr>
            <w:r>
              <w:rPr>
                <w:rFonts w:ascii="Arial" w:hAnsi="Arial"/>
                <w:sz w:val="17"/>
              </w:rPr>
              <w:t>Action_Plan / Sources</w:t>
            </w:r>
          </w:p>
        </w:tc>
        <w:tc>
          <w:tcPr>
            <w:tcW w:type="dxa" w:w="6655"/>
            <w:shd w:fill="F0F5F7"/>
          </w:tcPr>
          <w:p>
            <w:pPr>
              <w:spacing w:after="100" w:before="80" w:line="245" w:lineRule="auto"/>
            </w:pPr>
            <w:r>
              <w:rPr>
                <w:rFonts w:ascii="Arial" w:hAnsi="Arial"/>
                <w:sz w:val="17"/>
              </w:rPr>
              <w:t>Implementation actions and 31 public references, with dates and retrieval limitations.</w:t>
            </w:r>
          </w:p>
        </w:tc>
      </w:tr>
    </w:tbl>
    <w:p>
      <w:pPr>
        <w:spacing w:after="0"/>
      </w:pPr>
    </w:p>
    <w:p>
      <w:pPr>
        <w:pStyle w:val="Heading2"/>
      </w:pPr>
      <w:r>
        <w:t>Scoring mechanics</w:t>
      </w:r>
    </w:p>
    <w:p>
      <w:r>
        <w:t>Eligible observations require numeric actuals and ordered anchors, evidence A/B, comparable scope, an approved benchmark and a source. Target earns 80; stretch earns 100; the adverse anchor earns 0. Scores interpolate linearly and are capped at 0–100. Excluded metrics require an approved applicability rationale. The dashboard withholds results if any critical metric is missing or coverage is below 80%.</w:t>
      </w:r>
    </w:p>
    <w:p>
      <w:r>
        <w:t>The composite is withheld unless all three streams are rateable and all gates pass. An unresolved material gate prevents an unqualified overall score, even if some financial metrics are strong. Gates initially show Unknown because this public review is not a compliance audit.</w:t>
      </w:r>
    </w:p>
    <w:p>
      <w:r>
        <w:t>Amounts are kept in their source currencies. IDR tn = trillion rupiah; IDR bn = billion rupiah; pp = percentage points; bps = basis points; FTE = full-time equivalent; COD = commercial operation date; PSO = public-service obligation; PME = public-market equivalent; NPV means net present value except where a source explicitly uses net portfolio value.</w:t>
      </w:r>
    </w:p>
    <w:p>
      <w:r>
        <w:br w:type="page"/>
      </w:r>
    </w:p>
    <w:p>
      <w:r>
        <w:rPr>
          <w:b/>
          <w:color w:val="007F82"/>
          <w:sz w:val="16"/>
        </w:rPr>
        <w:t>PRIMARY SOURCES AND RETRIEVAL NOTES</w:t>
      </w:r>
    </w:p>
    <w:p>
      <w:pPr>
        <w:pStyle w:val="Heading1"/>
      </w:pPr>
      <w:r>
        <w:t>References | 1–11</w:t>
      </w:r>
    </w:p>
    <w:p>
      <w:r>
        <w:rPr>
          <w:b/>
          <w:sz w:val="18"/>
        </w:rPr>
        <w:t xml:space="preserve">S01 | Danantara Indonesia — </w:t>
      </w:r>
      <w:r>
        <w:rPr>
          <w:sz w:val="18"/>
        </w:rPr>
        <w:t xml:space="preserve">Official website: ecosystem and reports landing page. accessed 6 Oct 2026. </w:t>
      </w:r>
      <w:hyperlink r:id="rId11">
        <w:r>
          <w:rPr>
            <w:color w:val="007F82"/>
          </w:rPr>
          <w:t>Open source</w:t>
        </w:r>
      </w:hyperlink>
      <w:r>
        <w:rPr>
          <w:sz w:val="18"/>
        </w:rPr>
        <w:br/>
        <w:t>Reports link displayed Coming Soon; dynamic zero counters excluded.</w:t>
      </w:r>
    </w:p>
    <w:p>
      <w:r>
        <w:rPr>
          <w:b/>
          <w:sz w:val="18"/>
        </w:rPr>
        <w:t xml:space="preserve">S02 | Danantara Indonesia — </w:t>
      </w:r>
      <w:r>
        <w:rPr>
          <w:sz w:val="18"/>
        </w:rPr>
        <w:t xml:space="preserve">SOEs complete FY2025 statements; consolidation continues. 2 Jul 2026. </w:t>
      </w:r>
      <w:hyperlink r:id="rId12">
        <w:r>
          <w:rPr>
            <w:color w:val="007F82"/>
          </w:rPr>
          <w:t>Open source</w:t>
        </w:r>
      </w:hyperlink>
      <w:r>
        <w:rPr>
          <w:sz w:val="18"/>
        </w:rPr>
        <w:br/>
        <w:t>Management disclosure; selected SOE highlights, not an aggregate audited performance series.</w:t>
      </w:r>
    </w:p>
    <w:p>
      <w:r>
        <w:rPr>
          <w:b/>
          <w:sz w:val="18"/>
        </w:rPr>
        <w:t xml:space="preserve">S03 | Danantara Indonesia — </w:t>
      </w:r>
      <w:r>
        <w:rPr>
          <w:sz w:val="18"/>
        </w:rPr>
        <w:t xml:space="preserve">2026 work plan and budget. 1 Dec 2025. </w:t>
      </w:r>
      <w:hyperlink r:id="rId13">
        <w:r>
          <w:rPr>
            <w:color w:val="007F82"/>
          </w:rPr>
          <w:t>Open source</w:t>
        </w:r>
      </w:hyperlink>
      <w:r>
        <w:rPr>
          <w:sz w:val="18"/>
        </w:rPr>
        <w:br/>
        <w:t>Strategic intent and forecasts.</w:t>
      </w:r>
    </w:p>
    <w:p>
      <w:r>
        <w:rPr>
          <w:b/>
          <w:sz w:val="18"/>
        </w:rPr>
        <w:t xml:space="preserve">S04 | Danantara Indonesia — </w:t>
      </w:r>
      <w:r>
        <w:rPr>
          <w:sz w:val="18"/>
        </w:rPr>
        <w:t xml:space="preserve">Governance reset and strengthening SOE fundamentals. 5 Mar 2026. </w:t>
      </w:r>
      <w:hyperlink r:id="rId14">
        <w:r>
          <w:rPr>
            <w:color w:val="007F82"/>
          </w:rPr>
          <w:t>Open source</w:t>
        </w:r>
      </w:hyperlink>
      <w:r>
        <w:rPr>
          <w:sz w:val="18"/>
        </w:rPr>
        <w:br/>
        <w:t>Policy initiative; not proof of realized efficiency gains.</w:t>
      </w:r>
    </w:p>
    <w:p>
      <w:r>
        <w:rPr>
          <w:b/>
          <w:sz w:val="18"/>
        </w:rPr>
        <w:t xml:space="preserve">S05 | Danantara Indonesia — </w:t>
      </w:r>
      <w:r>
        <w:rPr>
          <w:sz w:val="18"/>
        </w:rPr>
        <w:t xml:space="preserve">USD1.5 billion international bond issuance. 12 Jun 2026. </w:t>
      </w:r>
      <w:hyperlink r:id="rId15">
        <w:r>
          <w:rPr>
            <w:color w:val="007F82"/>
          </w:rPr>
          <w:t>Open source</w:t>
        </w:r>
      </w:hyperlink>
      <w:r>
        <w:rPr>
          <w:sz w:val="18"/>
        </w:rPr>
        <w:br/>
        <w:t>Issue yields and issuer-reported spreads; orderbook is peak demand.</w:t>
      </w:r>
    </w:p>
    <w:p>
      <w:r>
        <w:rPr>
          <w:b/>
          <w:sz w:val="18"/>
        </w:rPr>
        <w:t xml:space="preserve">S06 | Danantara Indonesia — </w:t>
      </w:r>
      <w:r>
        <w:rPr>
          <w:sz w:val="18"/>
        </w:rPr>
        <w:t xml:space="preserve">Danantara and INA sign CA–EDC investment agreement. 3 Mar 2026. </w:t>
      </w:r>
      <w:hyperlink r:id="rId16">
        <w:r>
          <w:rPr>
            <w:color w:val="007F82"/>
          </w:rPr>
          <w:t>Open source</w:t>
        </w:r>
      </w:hyperlink>
      <w:r>
        <w:rPr>
          <w:sz w:val="18"/>
        </w:rPr>
        <w:br/>
        <w:t>Conditional agreement and expected capacities; joint investment amount.</w:t>
      </w:r>
    </w:p>
    <w:p>
      <w:r>
        <w:rPr>
          <w:b/>
          <w:sz w:val="18"/>
        </w:rPr>
        <w:t xml:space="preserve">S07 | Danantara Indonesia — </w:t>
      </w:r>
      <w:r>
        <w:rPr>
          <w:sz w:val="18"/>
        </w:rPr>
        <w:t xml:space="preserve">Construction of PSEL Bogor Raya 1 begins. 17 Sep 2026. </w:t>
      </w:r>
      <w:hyperlink r:id="rId17">
        <w:r>
          <w:rPr>
            <w:color w:val="007F82"/>
          </w:rPr>
          <w:t>Open source</w:t>
        </w:r>
      </w:hyperlink>
      <w:r>
        <w:rPr>
          <w:sz w:val="18"/>
        </w:rPr>
        <w:br/>
        <w:t>Construction inauguration and PPA; operations targeted for mid-2028.</w:t>
      </w:r>
    </w:p>
    <w:p>
      <w:r>
        <w:rPr>
          <w:b/>
          <w:sz w:val="18"/>
        </w:rPr>
        <w:t xml:space="preserve">S08 | MIND ID — </w:t>
      </w:r>
      <w:r>
        <w:rPr>
          <w:sz w:val="18"/>
        </w:rPr>
        <w:t xml:space="preserve">Six Phase-I downstream projects, announced investment up to USD7 billion. event 6 Feb 2026. </w:t>
      </w:r>
      <w:hyperlink r:id="rId18">
        <w:r>
          <w:rPr>
            <w:color w:val="007F82"/>
          </w:rPr>
          <w:t>Open source</w:t>
        </w:r>
      </w:hyperlink>
      <w:r>
        <w:rPr>
          <w:sz w:val="18"/>
        </w:rPr>
        <w:br/>
        <w:t>Page header says 3 Feb; narrative dates event 6 Feb. Amount is total project value.</w:t>
      </w:r>
    </w:p>
    <w:p>
      <w:r>
        <w:rPr>
          <w:b/>
          <w:sz w:val="18"/>
        </w:rPr>
        <w:t xml:space="preserve">S09 | Danantara Indonesia — </w:t>
      </w:r>
      <w:r>
        <w:rPr>
          <w:sz w:val="18"/>
        </w:rPr>
        <w:t xml:space="preserve">Danantara Development Management Fund: mandate and approach. accessed 6 Oct 2026. </w:t>
      </w:r>
      <w:hyperlink r:id="rId19">
        <w:r>
          <w:rPr>
            <w:color w:val="007F82"/>
          </w:rPr>
          <w:t>Open source</w:t>
        </w:r>
      </w:hyperlink>
      <w:r>
        <w:rPr>
          <w:sz w:val="18"/>
        </w:rPr>
        <w:br/>
        <w:t>Development holding and project-preparation/structuring/mobilization/delivery functions.</w:t>
      </w:r>
    </w:p>
    <w:p>
      <w:r>
        <w:rPr>
          <w:b/>
          <w:sz w:val="18"/>
        </w:rPr>
        <w:t xml:space="preserve">S10 | BRI Investor Relations — </w:t>
      </w:r>
      <w:r>
        <w:rPr>
          <w:sz w:val="18"/>
        </w:rPr>
        <w:t xml:space="preserve">Financial highlights extracted from 2025 annual report. FY2025; accessed 6 Oct 2026. </w:t>
      </w:r>
      <w:hyperlink r:id="rId20">
        <w:r>
          <w:rPr>
            <w:color w:val="007F82"/>
          </w:rPr>
          <w:t>Open source</w:t>
        </w:r>
      </w:hyperlink>
      <w:r>
        <w:rPr>
          <w:sz w:val="18"/>
        </w:rPr>
        <w:br/>
        <w:t>FY2024 comparator is reclassified/restated; bank-only ratios distinguished from group profit.</w:t>
      </w:r>
    </w:p>
    <w:p>
      <w:r>
        <w:rPr>
          <w:b/>
          <w:sz w:val="18"/>
        </w:rPr>
        <w:t xml:space="preserve">S11 | Bank Mandiri — </w:t>
      </w:r>
      <w:r>
        <w:rPr>
          <w:sz w:val="18"/>
        </w:rPr>
        <w:t xml:space="preserve">Annual report 2025. 2026. </w:t>
      </w:r>
      <w:hyperlink r:id="rId21">
        <w:r>
          <w:rPr>
            <w:color w:val="007F82"/>
          </w:rPr>
          <w:t>Open source</w:t>
        </w:r>
      </w:hyperlink>
      <w:r>
        <w:rPr>
          <w:sz w:val="18"/>
        </w:rPr>
        <w:br/>
        <w:t>Target-versus-realization section: parent-attributable consolidated profit. Retrieval limited to indexed extract.</w:t>
      </w:r>
    </w:p>
    <w:p>
      <w:r>
        <w:t>Access date for all online sources: 6 October 2026. Source dates are publication/event dates as specified. Calculations, recommendations, scoring weights and sector applications are the study author’s analysis. No proprietary institutional rating is reproduced or claimed.</w:t>
      </w:r>
    </w:p>
    <w:p>
      <w:r>
        <w:br w:type="page"/>
      </w:r>
    </w:p>
    <w:p>
      <w:r>
        <w:rPr>
          <w:b/>
          <w:color w:val="007F82"/>
          <w:sz w:val="16"/>
        </w:rPr>
        <w:t>PRIMARY SOURCES AND RETRIEVAL NOTES</w:t>
      </w:r>
    </w:p>
    <w:p>
      <w:pPr>
        <w:pStyle w:val="Heading1"/>
      </w:pPr>
      <w:r>
        <w:t>References | 12–22</w:t>
      </w:r>
    </w:p>
    <w:p>
      <w:r>
        <w:rPr>
          <w:b/>
          <w:sz w:val="18"/>
        </w:rPr>
        <w:t xml:space="preserve">S12 | Telkom Indonesia — </w:t>
      </w:r>
      <w:r>
        <w:rPr>
          <w:sz w:val="18"/>
        </w:rPr>
        <w:t xml:space="preserve">FY2025 results and accounting restatement. 12 May 2026. </w:t>
      </w:r>
      <w:hyperlink r:id="rId22">
        <w:r>
          <w:rPr>
            <w:color w:val="007F82"/>
          </w:rPr>
          <w:t>Open source</w:t>
        </w:r>
      </w:hyperlink>
      <w:r>
        <w:rPr>
          <w:sz w:val="18"/>
        </w:rPr>
        <w:br/>
        <w:t>Reported and normalized earnings differ; earlier periods restated.</w:t>
      </w:r>
    </w:p>
    <w:p>
      <w:r>
        <w:rPr>
          <w:b/>
          <w:sz w:val="18"/>
        </w:rPr>
        <w:t xml:space="preserve">S13 | PLN — </w:t>
      </w:r>
      <w:r>
        <w:rPr>
          <w:sz w:val="18"/>
        </w:rPr>
        <w:t xml:space="preserve">First-half 2026 operating performance. 4 Aug 2026. </w:t>
      </w:r>
      <w:hyperlink r:id="rId23">
        <w:r>
          <w:rPr>
            <w:color w:val="007F82"/>
          </w:rPr>
          <w:t>Open source</w:t>
        </w:r>
      </w:hyperlink>
      <w:r>
        <w:rPr>
          <w:sz w:val="18"/>
        </w:rPr>
        <w:br/>
        <w:t>Official indexed release provides revenue and operating profit; do not treat as audited full-year result.</w:t>
      </w:r>
    </w:p>
    <w:p>
      <w:r>
        <w:rPr>
          <w:b/>
          <w:sz w:val="18"/>
        </w:rPr>
        <w:t xml:space="preserve">S14 | BPS — </w:t>
      </w:r>
      <w:r>
        <w:rPr>
          <w:sz w:val="18"/>
        </w:rPr>
        <w:t xml:space="preserve">Indonesia economic growth in 2025. 5 Feb 2026. </w:t>
      </w:r>
      <w:hyperlink r:id="rId24">
        <w:r>
          <w:rPr>
            <w:color w:val="007F82"/>
          </w:rPr>
          <w:t>Open source</w:t>
        </w:r>
      </w:hyperlink>
      <w:r>
        <w:rPr>
          <w:sz w:val="18"/>
        </w:rPr>
        <w:br/>
        <w:t>National context; not a Danantara attribution estimate.</w:t>
      </w:r>
    </w:p>
    <w:p>
      <w:r>
        <w:rPr>
          <w:b/>
          <w:sz w:val="18"/>
        </w:rPr>
        <w:t xml:space="preserve">S15 | CFA Institute / GIPS — </w:t>
      </w:r>
      <w:r>
        <w:rPr>
          <w:sz w:val="18"/>
        </w:rPr>
        <w:t xml:space="preserve">GIPS Standards Handbook for Asset Owners. 2020 standards; accessed 6 Oct 2026. </w:t>
      </w:r>
      <w:hyperlink r:id="rId25">
        <w:r>
          <w:rPr>
            <w:color w:val="007F82"/>
          </w:rPr>
          <w:t>Open source</w:t>
        </w:r>
      </w:hyperlink>
      <w:r>
        <w:rPr>
          <w:sz w:val="18"/>
        </w:rPr>
        <w:br/>
        <w:t>Return calculation, benchmarks, valuation and reporting; no compliance certification implied.</w:t>
      </w:r>
    </w:p>
    <w:p>
      <w:r>
        <w:rPr>
          <w:b/>
          <w:sz w:val="18"/>
        </w:rPr>
        <w:t xml:space="preserve">S16 | IFSWF — </w:t>
      </w:r>
      <w:r>
        <w:rPr>
          <w:sz w:val="18"/>
        </w:rPr>
        <w:t xml:space="preserve">Santiago Principles. 2008. </w:t>
      </w:r>
      <w:hyperlink r:id="rId26">
        <w:r>
          <w:rPr>
            <w:color w:val="007F82"/>
          </w:rPr>
          <w:t>Open source</w:t>
        </w:r>
      </w:hyperlink>
      <w:r>
        <w:rPr>
          <w:sz w:val="18"/>
        </w:rPr>
        <w:br/>
        <w:t>Principles-based governance, investment and risk reporting; especially principles 18–23.</w:t>
      </w:r>
    </w:p>
    <w:p>
      <w:r>
        <w:rPr>
          <w:b/>
          <w:sz w:val="18"/>
        </w:rPr>
        <w:t xml:space="preserve">S17 | Temasek — </w:t>
      </w:r>
      <w:r>
        <w:rPr>
          <w:sz w:val="18"/>
        </w:rPr>
        <w:t xml:space="preserve">Investment approach and risk-adjusted cost of capital. accessed 6 Oct 2026. </w:t>
      </w:r>
      <w:hyperlink r:id="rId27">
        <w:r>
          <w:rPr>
            <w:color w:val="007F82"/>
          </w:rPr>
          <w:t>Open source</w:t>
        </w:r>
      </w:hyperlink>
      <w:r>
        <w:rPr>
          <w:sz w:val="18"/>
        </w:rPr>
        <w:br/>
        <w:t>Cost-of-capital comparison and portfolio comparability caveats.</w:t>
      </w:r>
    </w:p>
    <w:p>
      <w:r>
        <w:rPr>
          <w:b/>
          <w:sz w:val="18"/>
        </w:rPr>
        <w:t xml:space="preserve">S18 | Temasek — </w:t>
      </w:r>
      <w:r>
        <w:rPr>
          <w:sz w:val="18"/>
        </w:rPr>
        <w:t xml:space="preserve">Temasek Review 2026: portfolio value and returns. 8 Jul 2026. </w:t>
      </w:r>
      <w:hyperlink r:id="rId28">
        <w:r>
          <w:rPr>
            <w:color w:val="007F82"/>
          </w:rPr>
          <w:t>Open source</w:t>
        </w:r>
      </w:hyperlink>
      <w:r>
        <w:rPr>
          <w:sz w:val="18"/>
        </w:rPr>
        <w:br/>
        <w:t>Returns in SGD; MTM methodology and historical transition caveats apply.</w:t>
      </w:r>
    </w:p>
    <w:p>
      <w:r>
        <w:rPr>
          <w:b/>
          <w:sz w:val="18"/>
        </w:rPr>
        <w:t xml:space="preserve">S19 | Khazanah Nasional — </w:t>
      </w:r>
      <w:r>
        <w:rPr>
          <w:sz w:val="18"/>
        </w:rPr>
        <w:t xml:space="preserve">Khazanah Annual Review 2026 / FY2025 results. 10 Feb 2026. </w:t>
      </w:r>
      <w:hyperlink r:id="rId29">
        <w:r>
          <w:rPr>
            <w:color w:val="007F82"/>
          </w:rPr>
          <w:t>Open source</w:t>
        </w:r>
      </w:hyperlink>
      <w:r>
        <w:rPr>
          <w:sz w:val="18"/>
        </w:rPr>
        <w:br/>
        <w:t>Official search extract: FY2025 5.2%, seven-year annualized 6.1%; full page fetch timed out.</w:t>
      </w:r>
    </w:p>
    <w:p>
      <w:r>
        <w:rPr>
          <w:b/>
          <w:sz w:val="18"/>
        </w:rPr>
        <w:t xml:space="preserve">S20 | OECD — </w:t>
      </w:r>
      <w:r>
        <w:rPr>
          <w:sz w:val="18"/>
        </w:rPr>
        <w:t xml:space="preserve">SOE Guidelines 2024: state role as owner. 2024. </w:t>
      </w:r>
      <w:hyperlink r:id="rId30">
        <w:r>
          <w:rPr>
            <w:color w:val="007F82"/>
          </w:rPr>
          <w:t>Open source</w:t>
        </w:r>
      </w:hyperlink>
      <w:r>
        <w:rPr>
          <w:sz w:val="18"/>
        </w:rPr>
        <w:br/>
        <w:t>Mandates, board autonomy, financial targets and monitoring.</w:t>
      </w:r>
    </w:p>
    <w:p>
      <w:r>
        <w:rPr>
          <w:b/>
          <w:sz w:val="18"/>
        </w:rPr>
        <w:t xml:space="preserve">S21 | OECD — </w:t>
      </w:r>
      <w:r>
        <w:rPr>
          <w:sz w:val="18"/>
        </w:rPr>
        <w:t xml:space="preserve">SOE Guidelines 2024: disclosure and accountability. 2024. </w:t>
      </w:r>
      <w:hyperlink r:id="rId31">
        <w:r>
          <w:rPr>
            <w:color w:val="007F82"/>
          </w:rPr>
          <w:t>Open source</w:t>
        </w:r>
      </w:hyperlink>
      <w:r>
        <w:rPr>
          <w:sz w:val="18"/>
        </w:rPr>
        <w:br/>
        <w:t>Annual aggregate SOE reporting, financial and non-financial objectives.</w:t>
      </w:r>
    </w:p>
    <w:p>
      <w:r>
        <w:rPr>
          <w:b/>
          <w:sz w:val="18"/>
        </w:rPr>
        <w:t xml:space="preserve">S22 | IMF — </w:t>
      </w:r>
      <w:r>
        <w:rPr>
          <w:sz w:val="18"/>
        </w:rPr>
        <w:t xml:space="preserve">SOE Health Check Tool. accessed 6 Oct 2026. </w:t>
      </w:r>
      <w:hyperlink r:id="rId32">
        <w:r>
          <w:rPr>
            <w:color w:val="007F82"/>
          </w:rPr>
          <w:t>Open source</w:t>
        </w:r>
      </w:hyperlink>
      <w:r>
        <w:rPr>
          <w:sz w:val="18"/>
        </w:rPr>
        <w:br/>
        <w:t>Financial vulnerability of non-financial SOEs, with links to stress testing.</w:t>
      </w:r>
    </w:p>
    <w:p>
      <w:r>
        <w:t>Access date for all online sources: 6 October 2026. Source dates are publication/event dates as specified. Calculations, recommendations, scoring weights and sector applications are the study author’s analysis. No proprietary institutional rating is reproduced or claimed.</w:t>
      </w:r>
    </w:p>
    <w:p>
      <w:r>
        <w:br w:type="page"/>
      </w:r>
    </w:p>
    <w:p>
      <w:r>
        <w:rPr>
          <w:b/>
          <w:color w:val="007F82"/>
          <w:sz w:val="16"/>
        </w:rPr>
        <w:t>PRIMARY SOURCES AND RETRIEVAL NOTES</w:t>
      </w:r>
    </w:p>
    <w:p>
      <w:pPr>
        <w:pStyle w:val="Heading1"/>
      </w:pPr>
      <w:r>
        <w:t>References | 23–31</w:t>
      </w:r>
    </w:p>
    <w:p>
      <w:r>
        <w:rPr>
          <w:b/>
          <w:sz w:val="18"/>
        </w:rPr>
        <w:t xml:space="preserve">S23 | IMF — </w:t>
      </w:r>
      <w:r>
        <w:rPr>
          <w:sz w:val="18"/>
        </w:rPr>
        <w:t xml:space="preserve">How to Assess Fiscal Risks from SOEs: Benchmarking and Stress Testing. 2021. </w:t>
      </w:r>
      <w:hyperlink r:id="rId33">
        <w:r>
          <w:rPr>
            <w:color w:val="007F82"/>
          </w:rPr>
          <w:t>Open source</w:t>
        </w:r>
      </w:hyperlink>
      <w:r>
        <w:rPr>
          <w:sz w:val="18"/>
        </w:rPr>
        <w:br/>
        <w:t>Financial ratios, sector comparisons, efficiency and government flows.</w:t>
      </w:r>
    </w:p>
    <w:p>
      <w:r>
        <w:rPr>
          <w:b/>
          <w:sz w:val="18"/>
        </w:rPr>
        <w:t xml:space="preserve">S24 | IFC — </w:t>
      </w:r>
      <w:r>
        <w:rPr>
          <w:sz w:val="18"/>
        </w:rPr>
        <w:t xml:space="preserve">Anticipated Impact Measurement and Monitoring. updated Apr 2026. </w:t>
      </w:r>
      <w:hyperlink r:id="rId34">
        <w:r>
          <w:rPr>
            <w:color w:val="007F82"/>
          </w:rPr>
          <w:t>Open source</w:t>
        </w:r>
      </w:hyperlink>
      <w:r>
        <w:rPr>
          <w:sz w:val="18"/>
        </w:rPr>
        <w:br/>
        <w:t>Expected impact, project and market outcomes, monitoring.</w:t>
      </w:r>
    </w:p>
    <w:p>
      <w:r>
        <w:rPr>
          <w:b/>
          <w:sz w:val="18"/>
        </w:rPr>
        <w:t xml:space="preserve">S25 | IFC — </w:t>
      </w:r>
      <w:r>
        <w:rPr>
          <w:sz w:val="18"/>
        </w:rPr>
        <w:t xml:space="preserve">AIMM dimensions. updated Jan 2025. </w:t>
      </w:r>
      <w:hyperlink r:id="rId35">
        <w:r>
          <w:rPr>
            <w:color w:val="007F82"/>
          </w:rPr>
          <w:t>Open source</w:t>
        </w:r>
      </w:hyperlink>
      <w:r>
        <w:rPr>
          <w:sz w:val="18"/>
        </w:rPr>
        <w:br/>
        <w:t>Stakeholder, economy, environment and market effects; impact risk.</w:t>
      </w:r>
    </w:p>
    <w:p>
      <w:r>
        <w:rPr>
          <w:b/>
          <w:sz w:val="18"/>
        </w:rPr>
        <w:t xml:space="preserve">S26 | ADB — </w:t>
      </w:r>
      <w:r>
        <w:rPr>
          <w:sz w:val="18"/>
        </w:rPr>
        <w:t xml:space="preserve">Guidelines for the Economic Analysis of Projects. Mar 2017. </w:t>
      </w:r>
      <w:hyperlink r:id="rId36">
        <w:r>
          <w:rPr>
            <w:color w:val="007F82"/>
          </w:rPr>
          <w:t>Open source</w:t>
        </w:r>
      </w:hyperlink>
      <w:r>
        <w:rPr>
          <w:sz w:val="18"/>
        </w:rPr>
        <w:br/>
        <w:t>Paragraphs 16 and 194; financial/economic distinction; 9% default, limited 6% exceptions.</w:t>
      </w:r>
    </w:p>
    <w:p>
      <w:r>
        <w:rPr>
          <w:b/>
          <w:sz w:val="18"/>
        </w:rPr>
        <w:t xml:space="preserve">S27 | IDB Invest — </w:t>
      </w:r>
      <w:r>
        <w:rPr>
          <w:sz w:val="18"/>
        </w:rPr>
        <w:t xml:space="preserve">Impact Management Framework / DELTA. accessed 6 Oct 2026. </w:t>
      </w:r>
      <w:hyperlink r:id="rId37">
        <w:r>
          <w:rPr>
            <w:color w:val="007F82"/>
          </w:rPr>
          <w:t>Open source</w:t>
        </w:r>
      </w:hyperlink>
      <w:r>
        <w:rPr>
          <w:sz w:val="18"/>
        </w:rPr>
        <w:br/>
        <w:t>Financial contribution and impact ratings, annual supervision, independent validation.</w:t>
      </w:r>
    </w:p>
    <w:p>
      <w:r>
        <w:rPr>
          <w:b/>
          <w:sz w:val="18"/>
        </w:rPr>
        <w:t xml:space="preserve">S28 | MDBs / World Bank — </w:t>
      </w:r>
      <w:r>
        <w:rPr>
          <w:sz w:val="18"/>
        </w:rPr>
        <w:t xml:space="preserve">Private investment mobilization reference guide. Jun 2018. </w:t>
      </w:r>
      <w:hyperlink r:id="rId38">
        <w:r>
          <w:rPr>
            <w:color w:val="007F82"/>
          </w:rPr>
          <w:t>Open source</w:t>
        </w:r>
      </w:hyperlink>
      <w:r>
        <w:rPr>
          <w:sz w:val="18"/>
        </w:rPr>
        <w:br/>
        <w:t>Direct/indirect mobilization, definitions and attribution to avoid double counting.</w:t>
      </w:r>
    </w:p>
    <w:p>
      <w:r>
        <w:rPr>
          <w:b/>
          <w:sz w:val="18"/>
        </w:rPr>
        <w:t xml:space="preserve">S29 | UNIDO — </w:t>
      </w:r>
      <w:r>
        <w:rPr>
          <w:sz w:val="18"/>
        </w:rPr>
        <w:t xml:space="preserve">Database descriptions: industrial SDG indicators. accessed 6 Oct 2026. </w:t>
      </w:r>
      <w:hyperlink r:id="rId39">
        <w:r>
          <w:rPr>
            <w:color w:val="007F82"/>
          </w:rPr>
          <w:t>Open source</w:t>
        </w:r>
      </w:hyperlink>
      <w:r>
        <w:rPr>
          <w:sz w:val="18"/>
        </w:rPr>
        <w:br/>
        <w:t>Manufacturing value added, employment, technology intensity and CO2 intensity.</w:t>
      </w:r>
    </w:p>
    <w:p>
      <w:r>
        <w:rPr>
          <w:b/>
          <w:sz w:val="18"/>
        </w:rPr>
        <w:t xml:space="preserve">S30 | Danantara Indonesia — </w:t>
      </w:r>
      <w:r>
        <w:rPr>
          <w:sz w:val="18"/>
        </w:rPr>
        <w:t xml:space="preserve">Batch II WtE conditional awards. 21 Jul 2026. </w:t>
      </w:r>
      <w:hyperlink r:id="rId40">
        <w:r>
          <w:rPr>
            <w:color w:val="007F82"/>
          </w:rPr>
          <w:t>Open source</w:t>
        </w:r>
      </w:hyperlink>
      <w:r>
        <w:rPr>
          <w:sz w:val="18"/>
        </w:rPr>
        <w:br/>
        <w:t>Eight conditional awards; not eight operational plants.</w:t>
      </w:r>
    </w:p>
    <w:p>
      <w:r>
        <w:rPr>
          <w:b/>
          <w:sz w:val="18"/>
        </w:rPr>
        <w:t xml:space="preserve">S31 | Danantara Indonesia — </w:t>
      </w:r>
      <w:r>
        <w:rPr>
          <w:sz w:val="18"/>
        </w:rPr>
        <w:t xml:space="preserve">Investor-relations publications directory. accessed 6 Oct 2026. </w:t>
      </w:r>
      <w:hyperlink r:id="rId41">
        <w:r>
          <w:rPr>
            <w:color w:val="007F82"/>
          </w:rPr>
          <w:t>Open source</w:t>
        </w:r>
      </w:hyperlink>
      <w:r>
        <w:rPr>
          <w:sz w:val="18"/>
        </w:rPr>
        <w:br/>
        <w:t>Newsletters/letters directory, not a complete return series.</w:t>
      </w:r>
    </w:p>
    <w:p>
      <w:r>
        <w:t>Access date for all online sources: 6 October 2026. Source dates are publication/event dates as specified. Calculations, recommendations, scoring weights and sector applications are the study author’s analysis. No proprietary institutional rating is reproduced or claimed.</w:t>
      </w:r>
    </w:p>
    <w:sectPr w:rsidR="00FC693F" w:rsidRPr="0006063C" w:rsidSect="00034616">
      <w:headerReference w:type="default" r:id="rId9"/>
      <w:footerReference w:type="default" r:id="rId10"/>
      <w:pgSz w:w="11909" w:h="16834"/>
      <w:pgMar w:top="864" w:right="835" w:bottom="936" w:left="8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6 October 2026  |  Public-evidence assessment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7F82"/>
        <w:sz w:val="16"/>
      </w:rPr>
      <w:t>DANANTARA  /  PERFORMANCE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rial" w:hAnsi="Arial"/>
      <w:b/>
      <w:bCs/>
      <w:color w:val="15344B"/>
      <w:sz w:val="42"/>
      <w:szCs w:val="28"/>
    </w:rPr>
  </w:style>
  <w:style w:type="paragraph" w:styleId="Heading2">
    <w:name w:val="heading 2"/>
    <w:basedOn w:val="Normal"/>
    <w:next w:val="Normal"/>
    <w:link w:val="Heading2Char"/>
    <w:uiPriority w:val="9"/>
    <w:unhideWhenUsed/>
    <w:qFormat/>
    <w:rsid w:val="00FC693F"/>
    <w:pPr>
      <w:keepNext/>
      <w:keepLines/>
      <w:spacing w:before="100" w:after="160"/>
      <w:outlineLvl w:val="1"/>
    </w:pPr>
    <w:rPr>
      <w:rFonts w:asciiTheme="majorHAnsi" w:eastAsiaTheme="majorEastAsia" w:hAnsiTheme="majorHAnsi" w:cstheme="majorBidi" w:ascii="Arial" w:hAnsi="Arial"/>
      <w:b/>
      <w:bCs/>
      <w:color w:val="007F8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00"/>
      <w:contextualSpacing/>
    </w:pPr>
    <w:rPr>
      <w:rFonts w:asciiTheme="majorHAnsi" w:eastAsiaTheme="majorEastAsia" w:hAnsiTheme="majorHAnsi" w:cstheme="majorBidi" w:ascii="Arial" w:hAnsi="Arial"/>
      <w:color w:val="1534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nantaraindonesia.co.id/" TargetMode="External"/><Relationship Id="rId12" Type="http://schemas.openxmlformats.org/officeDocument/2006/relationships/hyperlink" Target="https://www.danantaraindonesia.co.id/id/media-center/press-releases/soe-financial-statements-2025-danantara" TargetMode="External"/><Relationship Id="rId13" Type="http://schemas.openxmlformats.org/officeDocument/2006/relationships/hyperlink" Target="https://www.danantaraindonesia.co.id/id/media-center/press-releases/danantara-indonesia-outlines-2026-work-plan-and-budget-at-meeting-with-house-commission-xi-focus-on-strategic-investments-capacity" TargetMode="External"/><Relationship Id="rId14" Type="http://schemas.openxmlformats.org/officeDocument/2006/relationships/hyperlink" Target="https://www.danantaraindonesia.co.id/id/media-center/press-releases/danantara-indonesia-undertakes-governance-reset-and-strengthens-soe-fundamentals" TargetMode="External"/><Relationship Id="rId15" Type="http://schemas.openxmlformats.org/officeDocument/2006/relationships/hyperlink" Target="https://www.danantaraindonesia.co.id/media-center/press-releases/danantara-indonesia-usd-1-5-billion-international-bond-issuance" TargetMode="External"/><Relationship Id="rId16" Type="http://schemas.openxmlformats.org/officeDocument/2006/relationships/hyperlink" Target="https://www.danantaraindonesia.co.id/id/media-center/press-releases/reducing-import-dependency-danantara-and-ina-sign-investment-agreement-in-chandra-asri-groups-ca-edc-project" TargetMode="External"/><Relationship Id="rId17" Type="http://schemas.openxmlformats.org/officeDocument/2006/relationships/hyperlink" Target="https://www.danantaraindonesia.co.id/media-center/press-releases/psel-bogor-raya-1-construction" TargetMode="External"/><Relationship Id="rId18" Type="http://schemas.openxmlformats.org/officeDocument/2006/relationships/hyperlink" Target="https://www.mind.id/news/danantara-indonesia-serentak-resmikan-6-proyek-hilirisasi-fase-i-dengan-total-nilai-investasi-hingga-us-7-miliar" TargetMode="External"/><Relationship Id="rId19" Type="http://schemas.openxmlformats.org/officeDocument/2006/relationships/hyperlink" Target="https://www.danantaraindonesia.co.id/ddmf" TargetMode="External"/><Relationship Id="rId20" Type="http://schemas.openxmlformats.org/officeDocument/2006/relationships/hyperlink" Target="https://www.ir-bri.com/financial_highlights.html" TargetMode="External"/><Relationship Id="rId21" Type="http://schemas.openxmlformats.org/officeDocument/2006/relationships/hyperlink" Target="https://www.bankmandiri.co.id/documents/20143/571784404/%5BFINAL%2B-%2B2904%5D%2BLAPORAN%2BTAHUNAN%2BBMRI%2B2025.pdf/e9d9763e-f4ed-5ee4-9ffc-610b9a8cda01?t=1777513851841&amp;version=1.0" TargetMode="External"/><Relationship Id="rId22" Type="http://schemas.openxmlformats.org/officeDocument/2006/relationships/hyperlink" Target="https://www.telkom.co.id/sites/berita/id_ID/news/laporan-keuangan-telkom-tahun-buku-2025-telkom-telkom-bukukan-kinerja-fy25-resilience-perkuat-fundamental-dan-hasilkan-total-shareholder-return-357-3767" TargetMode="External"/><Relationship Id="rId23" Type="http://schemas.openxmlformats.org/officeDocument/2006/relationships/hyperlink" Target="https://www.pln.co.id/article-hadapi-ketidakpastian-global-pln-pertahankan-kinerja-perusahaan-solid-pada-semester-i-2026" TargetMode="External"/><Relationship Id="rId24" Type="http://schemas.openxmlformats.org/officeDocument/2006/relationships/hyperlink" Target="https://www.bps.go.id/assets/pressrelease/2026/02/05/2546/ekonomi-indonesia-tahun-2025-tumbuh-5-11-persen.html" TargetMode="External"/><Relationship Id="rId25" Type="http://schemas.openxmlformats.org/officeDocument/2006/relationships/hyperlink" Target="https://www.gipsstandards.org/standards/gips-standards-for-asset-owners/gips-standards-handbook-for-asset-owners/" TargetMode="External"/><Relationship Id="rId26" Type="http://schemas.openxmlformats.org/officeDocument/2006/relationships/hyperlink" Target="https://ifswf.org/sites/default/files/santiagoprinciples_0_0.pdf" TargetMode="External"/><Relationship Id="rId27" Type="http://schemas.openxmlformats.org/officeDocument/2006/relationships/hyperlink" Target="https://www.temasek.com.sg/en/our-investments/investment-approach" TargetMode="External"/><Relationship Id="rId28" Type="http://schemas.openxmlformats.org/officeDocument/2006/relationships/hyperlink" Target="https://www.temasek.com.sg/en/news-and-resources/news-room/news/2026/temasek-net-portfolio-value-grows-to-518b-up-49b-from-last-year" TargetMode="External"/><Relationship Id="rId29" Type="http://schemas.openxmlformats.org/officeDocument/2006/relationships/hyperlink" Target="https://www.khazanah.com.my/newsroom/press-releases/khazanah-demonstrates-resilience-in-2025-amidst-global-volatility/?lang=ms" TargetMode="External"/><Relationship Id="rId30" Type="http://schemas.openxmlformats.org/officeDocument/2006/relationships/hyperlink" Target="https://www.oecd.org/en/publications/oecd-guidelines-on-corporate-governance-of-state-owned-enterprises-2024_18a24f43-en/full-report/component-6.html" TargetMode="External"/><Relationship Id="rId31" Type="http://schemas.openxmlformats.org/officeDocument/2006/relationships/hyperlink" Target="https://www.oecd.org/en/publications/oecd-guidelines-on-corporate-governance-of-state-owned-enterprises-2024_18a24f43-en/full-report/component-9.html" TargetMode="External"/><Relationship Id="rId32" Type="http://schemas.openxmlformats.org/officeDocument/2006/relationships/hyperlink" Target="https://www.imf.org/en/topics/fiscal-policies/fiscal-risks/fiscal-risks-toolkit/fiscal-risks-toolkit-soe-hct" TargetMode="External"/><Relationship Id="rId33" Type="http://schemas.openxmlformats.org/officeDocument/2006/relationships/hyperlink" Target="https://www.elibrary.imf.org/view/journals/061/2021/009/article-A001-en.xml" TargetMode="External"/><Relationship Id="rId34" Type="http://schemas.openxmlformats.org/officeDocument/2006/relationships/hyperlink" Target="https://www.ifc.org/en/our-impact/measuring-and-monitoring" TargetMode="External"/><Relationship Id="rId35" Type="http://schemas.openxmlformats.org/officeDocument/2006/relationships/hyperlink" Target="https://www.ifc.org/en/our-impact/measuring-and-monitoring/aimm-dimensions" TargetMode="External"/><Relationship Id="rId36" Type="http://schemas.openxmlformats.org/officeDocument/2006/relationships/hyperlink" Target="https://www.adb.org/sites/default/files/institutional-document/32256/economic-analysis-projects.pdf" TargetMode="External"/><Relationship Id="rId37" Type="http://schemas.openxmlformats.org/officeDocument/2006/relationships/hyperlink" Target="https://idbinvest.org/en/impact-management-framework" TargetMode="External"/><Relationship Id="rId38" Type="http://schemas.openxmlformats.org/officeDocument/2006/relationships/hyperlink" Target="https://documents1.worldbank.org/curated/en/813091529416636675/pdf/WP-PUBLIC-DocumentsPrivInvestMob-Draft-Ref-Guide-Master-June2018-v3.pdf" TargetMode="External"/><Relationship Id="rId39" Type="http://schemas.openxmlformats.org/officeDocument/2006/relationships/hyperlink" Target="https://stat.unido.org/data/database-descriptions" TargetMode="External"/><Relationship Id="rId40" Type="http://schemas.openxmlformats.org/officeDocument/2006/relationships/hyperlink" Target="https://www.danantaraindonesia.co.id/id/media-center/press-releases/dim-cloa-batch-ii-wte-partners" TargetMode="External"/><Relationship Id="rId41" Type="http://schemas.openxmlformats.org/officeDocument/2006/relationships/hyperlink" Target="https://www.danantaraindonesia.co.id/investor-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Performance Study — Investment, SOE Operations and Industrialization</dc:title>
  <dc:subject>Public-evidence assessment as of 6 October 2026</dc:subject>
  <dc:creator>Prepared for Hery Haerudin</dc:creator>
  <cp:keywords/>
  <dc:description>generated by python-docx</dc:description>
  <cp:lastModifiedBy/>
  <cp:revision>1</cp:revision>
  <dcterms:created xsi:type="dcterms:W3CDTF">2013-12-23T23:15:00Z</dcterms:created>
  <dcterms:modified xsi:type="dcterms:W3CDTF">2013-12-23T23:15:00Z</dcterms:modified>
  <cp:category/>
</cp:coreProperties>
</file>