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26215C"/>
          <w:sz w:val="40"/>
          <w:szCs w:val="40"/>
        </w:rPr>
        <w:t xml:space="preserve">CAHIER DES CHARGES FONCTIONNEL ET TECHNIQUE</w:t>
      </w:r>
    </w:p>
    <w:p>
      <w:pPr>
        <w:spacing w:after="300"/>
        <w:jc w:val="center"/>
      </w:pPr>
      <w:r>
        <w:rPr>
          <w:b/>
          <w:bCs/>
          <w:color w:val="534AB7"/>
          <w:sz w:val="30"/>
          <w:szCs w:val="30"/>
        </w:rPr>
        <w:t xml:space="preserve">CityFlow AI — Version Vibeathon (MVP)</w:t>
      </w:r>
    </w:p>
    <w:p>
      <w:pPr>
        <w:spacing w:after="100"/>
        <w:jc w:val="center"/>
      </w:pPr>
      <w:r>
        <w:rPr>
          <w:i/>
          <w:iCs/>
          <w:sz w:val="22"/>
          <w:szCs w:val="22"/>
        </w:rPr>
        <w:t xml:space="preserve">Thème du Vibeathon : « IA et Environnement — innover pour un environnement inclusif »</w:t>
      </w:r>
    </w:p>
    <w:p>
      <w:pPr>
        <w:spacing w:after="600"/>
        <w:jc w:val="center"/>
      </w:pPr>
      <w:r>
        <w:rPr>
          <w:color w:val="5F5E5A"/>
          <w:sz w:val="20"/>
          <w:szCs w:val="20"/>
        </w:rPr>
        <w:t xml:space="preserve">Document adapté aux choix de conception validés — juillet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A7517" w:sz="6"/>
              <w:left w:val="single" w:color="BA7517" w:sz="6"/>
              <w:bottom w:val="single" w:color="BA7517" w:sz="6"/>
              <w:right w:val="single" w:color="BA7517" w:sz="6"/>
            </w:tcBorders>
            <w:shd w:fill="FAEEDA" w:color="auto" w:val="clear"/>
            <w:tcMar>
              <w:top w:type="dxa" w:w="150"/>
              <w:left w:type="dxa" w:w="200"/>
              <w:bottom w:type="dxa" w:w="150"/>
              <w:right w:type="dxa" w:w="200"/>
            </w:tcMar>
          </w:tcPr>
          <w:p>
            <w:pPr>
              <w:spacing w:after="80"/>
            </w:pPr>
            <w:r>
              <w:rPr>
                <w:b/>
                <w:bCs/>
                <w:sz w:val="20"/>
                <w:szCs w:val="20"/>
              </w:rPr>
              <w:t xml:space="preserve">Note de cadrage</w:t>
            </w:r>
          </w:p>
          <w:p>
            <w:pPr>
              <w:spacing w:after="80"/>
            </w:pPr>
            <w:r>
              <w:rPr>
                <w:b w:val="false"/>
                <w:bCs w:val="false"/>
                <w:sz w:val="20"/>
                <w:szCs w:val="20"/>
              </w:rPr>
              <w:t xml:space="preserve">Ce document reprend la trame d'un cahier des charges CDCFT générique et l'adapte intégralement aux choix réellement validés en phase de conception :</w:t>
            </w:r>
          </w:p>
          <w:p>
            <w:pPr>
              <w:spacing w:after="80"/>
            </w:pPr>
            <w:r>
              <w:rPr>
                <w:b w:val="false"/>
                <w:bCs w:val="false"/>
                <w:sz w:val="20"/>
                <w:szCs w:val="20"/>
              </w:rPr>
              <w:t xml:space="preserve">• Stack technique : Django + Django REST Framework (backend) — remplace FastAPI. Flutter Web / Django Admin personnalisé pour le dashboard autorités — remplace React. PostgreSQL comme base de données, sans Redis/PostGIS/WebSocket en MVP.</w:t>
            </w:r>
          </w:p>
          <w:p>
            <w:pPr>
              <w:spacing w:after="80"/>
            </w:pPr>
            <w:r>
              <w:rPr>
                <w:b w:val="false"/>
                <w:bCs w:val="false"/>
                <w:sz w:val="20"/>
                <w:szCs w:val="20"/>
              </w:rPr>
              <w:t xml:space="preserve">• Périmètre MVP resserré à 4 fonctionnalités (section 5), plutôt qu'un système complet à 4 modules IA.</w:t>
            </w:r>
          </w:p>
          <w:p>
            <w:pPr>
              <w:spacing w:after="80"/>
            </w:pPr>
            <w:r>
              <w:rPr>
                <w:b w:val="false"/>
                <w:bCs w:val="false"/>
                <w:sz w:val="20"/>
                <w:szCs w:val="20"/>
              </w:rPr>
              <w:t xml:space="preserve">• Horizon de prédiction fixé à T+15 minutes.</w:t>
            </w:r>
          </w:p>
          <w:p>
            <w:pPr>
              <w:spacing w:after="80"/>
            </w:pPr>
            <w:r>
              <w:rPr>
                <w:b w:val="false"/>
                <w:bCs w:val="false"/>
                <w:sz w:val="20"/>
                <w:szCs w:val="20"/>
              </w:rPr>
              <w:t xml:space="preserve">• Données de démonstration : historique simulé et 10 utilisateurs fictifs, faute de données réelles disponibles à ce stade.</w:t>
            </w:r>
          </w:p>
          <w:p>
            <w:pPr>
              <w:spacing w:after="0"/>
            </w:pPr>
            <w:r>
              <w:rPr>
                <w:b w:val="false"/>
                <w:bCs w:val="false"/>
                <w:sz w:val="20"/>
                <w:szCs w:val="20"/>
              </w:rPr>
              <w:t xml:space="preserve">• Planning calé sur le pipeline en 8 étapes du bootcamp (Besoin → Release) plutôt que sur un sprint générique de 30 jours.</w:t>
            </w:r>
          </w:p>
        </w:tc>
      </w:tr>
    </w:tbl>
    <w:p>
      <w:r>
        <w:br w:type="page"/>
      </w:r>
    </w:p>
    <w:p>
      <w:pPr>
        <w:pStyle w:val="Heading1"/>
        <w:spacing w:after="200" w:before="400"/>
      </w:pPr>
      <w:r>
        <w:t xml:space="preserve">1. Analyse stratégique du problème</w:t>
      </w:r>
    </w:p>
    <w:p>
      <w:pPr>
        <w:pStyle w:val="Heading2"/>
        <w:spacing w:after="120" w:before="280"/>
      </w:pPr>
      <w:r>
        <w:t xml:space="preserve">Contexte Côte d'Ivoire</w:t>
      </w:r>
    </w:p>
    <w:p>
      <w:pPr>
        <w:spacing w:after="160"/>
      </w:pPr>
      <w:r>
        <w:t xml:space="preserve">Abidjan connaît une croissance urbaine rapide qui concentre l'essentiel des déplacements sur un nombre limité d'axes structurants (Boulevard Latrille, Autoroute du Nord, Pont Houphouët-Boigny...). Ces axes saturent aux heures de pointe. La saison des pluies aggrave la situation : inondations récurrentes, coupures temporaires de routes, ralentissements imprévisibles. Les solutions existantes (Google Maps, Waze) sont réactives et peu adaptées aux réalités locales ; FER FM informe sans optimiser ; les initiatives locales comme Kelway restent peu maintenues et à couverture limitée.</w:t>
      </w:r>
    </w:p>
    <w:p>
      <w:pPr>
        <w:pStyle w:val="Heading2"/>
        <w:spacing w:after="120" w:before="280"/>
      </w:pPr>
      <w:r>
        <w:t xml:space="preserve">Problème principal</w:t>
      </w:r>
    </w:p>
    <w:p>
      <w:pPr>
        <w:spacing w:after="160"/>
      </w:pPr>
      <w:r>
        <w:t xml:space="preserve">Absence d'un système prédictif de mobilité adapté aux réalités ivoiriennes (climat tropical, événements locaux) et utile à la fois aux citoyens et aux autorités.</w:t>
      </w:r>
    </w:p>
    <w:p>
      <w:pPr>
        <w:pStyle w:val="Heading2"/>
        <w:spacing w:after="120" w:before="280"/>
      </w:pPr>
      <w:r>
        <w:t xml:space="preserve">Problèmes secondaires, causes racines et conséquences</w:t>
      </w:r>
    </w:p>
    <w:p>
      <w:pPr>
        <w:pStyle w:val="ListParagraph"/>
        <w:numPr>
          <w:ilvl w:val="0"/>
          <w:numId w:val="1"/>
        </w:numPr>
        <w:spacing w:after="80"/>
      </w:pPr>
      <w:r>
        <w:t xml:space="preserve">Aucun lien structurel entre données trafic et données météo</w:t>
      </w:r>
    </w:p>
    <w:p>
      <w:pPr>
        <w:pStyle w:val="ListParagraph"/>
        <w:numPr>
          <w:ilvl w:val="0"/>
          <w:numId w:val="1"/>
        </w:numPr>
        <w:spacing w:after="80"/>
      </w:pPr>
      <w:r>
        <w:t xml:space="preserve">Peu d'aide à la décision pour les autorités locales</w:t>
      </w:r>
    </w:p>
    <w:p>
      <w:pPr>
        <w:pStyle w:val="ListParagraph"/>
        <w:numPr>
          <w:ilvl w:val="0"/>
          <w:numId w:val="1"/>
        </w:numPr>
        <w:spacing w:after="80"/>
      </w:pPr>
      <w:r>
        <w:t xml:space="preserve">Signalements citoyens dispersés, non centralisés, non fiabilisés</w:t>
      </w:r>
    </w:p>
    <w:p>
      <w:pPr>
        <w:spacing w:after="160"/>
      </w:pPr>
      <w:r>
        <w:t xml:space="preserve">Causes racines : absence d'exploitation de l'historique de circulation ; aucun outil ne combine trafic, météo et signalement citoyen ; les solutions existantes sont conçues pour des marchés occidentaux et ignorent les spécificités locales.</w:t>
      </w:r>
    </w:p>
    <w:p>
      <w:pPr>
        <w:spacing w:after="160"/>
      </w:pPr>
      <w:r>
        <w:t xml:space="preserve">Conséquences : temps perdu au quotidien, surconsommation de carburant, émissions de CO2 évitables, risques accrus lors des inondations, décisions publiques tardives ou mal ciblées.</w:t>
      </w:r>
    </w:p>
    <w:p>
      <w:pPr>
        <w:pStyle w:val="Heading2"/>
        <w:spacing w:after="120" w:before="280"/>
      </w:pPr>
      <w:r>
        <w:t xml:space="preserve">Matrice problème / cause / impact / gravité / opportunité 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400"/>
        <w:gridCol w:w="1100"/>
        <w:gridCol w:w="1100"/>
      </w:tblGrid>
      <w:tr>
        <w:trPr>
          <w:tblHeader/>
        </w:trPr>
        <w:tc>
          <w:tcPr>
            <w:tcW w:type="dxa" w:w="3200"/>
            <w:shd w:fill="534AB7" w:color="auto" w:val="clear"/>
            <w:tcMar>
              <w:top w:type="dxa" w:w="100"/>
              <w:left w:type="dxa" w:w="120"/>
              <w:bottom w:type="dxa" w:w="100"/>
              <w:right w:type="dxa" w:w="120"/>
            </w:tcMar>
            <w:vAlign w:val="center"/>
          </w:tcPr>
          <w:p>
            <w:r>
              <w:rPr>
                <w:b/>
                <w:bCs/>
                <w:color w:val="FFFFFF"/>
                <w:sz w:val="20"/>
                <w:szCs w:val="20"/>
              </w:rPr>
              <w:t xml:space="preserve">Problème</w:t>
            </w:r>
          </w:p>
        </w:tc>
        <w:tc>
          <w:tcPr>
            <w:tcW w:type="dxa" w:w="2200"/>
            <w:shd w:fill="534AB7" w:color="auto" w:val="clear"/>
            <w:tcMar>
              <w:top w:type="dxa" w:w="100"/>
              <w:left w:type="dxa" w:w="120"/>
              <w:bottom w:type="dxa" w:w="100"/>
              <w:right w:type="dxa" w:w="120"/>
            </w:tcMar>
            <w:vAlign w:val="center"/>
          </w:tcPr>
          <w:p>
            <w:r>
              <w:rPr>
                <w:b/>
                <w:bCs/>
                <w:color w:val="FFFFFF"/>
                <w:sz w:val="20"/>
                <w:szCs w:val="20"/>
              </w:rPr>
              <w:t xml:space="preserve">Cause</w:t>
            </w:r>
          </w:p>
        </w:tc>
        <w:tc>
          <w:tcPr>
            <w:tcW w:type="dxa" w:w="2400"/>
            <w:shd w:fill="534AB7" w:color="auto" w:val="clear"/>
            <w:tcMar>
              <w:top w:type="dxa" w:w="100"/>
              <w:left w:type="dxa" w:w="120"/>
              <w:bottom w:type="dxa" w:w="100"/>
              <w:right w:type="dxa" w:w="120"/>
            </w:tcMar>
            <w:vAlign w:val="center"/>
          </w:tcPr>
          <w:p>
            <w:r>
              <w:rPr>
                <w:b/>
                <w:bCs/>
                <w:color w:val="FFFFFF"/>
                <w:sz w:val="20"/>
                <w:szCs w:val="20"/>
              </w:rPr>
              <w:t xml:space="preserve">Impact</w:t>
            </w:r>
          </w:p>
        </w:tc>
        <w:tc>
          <w:tcPr>
            <w:tcW w:type="dxa" w:w="1100"/>
            <w:shd w:fill="534AB7" w:color="auto" w:val="clear"/>
            <w:tcMar>
              <w:top w:type="dxa" w:w="100"/>
              <w:left w:type="dxa" w:w="120"/>
              <w:bottom w:type="dxa" w:w="100"/>
              <w:right w:type="dxa" w:w="120"/>
            </w:tcMar>
            <w:vAlign w:val="center"/>
          </w:tcPr>
          <w:p>
            <w:r>
              <w:rPr>
                <w:b/>
                <w:bCs/>
                <w:color w:val="FFFFFF"/>
                <w:sz w:val="20"/>
                <w:szCs w:val="20"/>
              </w:rPr>
              <w:t xml:space="preserve">Gravité /10</w:t>
            </w:r>
          </w:p>
        </w:tc>
        <w:tc>
          <w:tcPr>
            <w:tcW w:type="dxa" w:w="1100"/>
            <w:shd w:fill="534AB7" w:color="auto" w:val="clear"/>
            <w:tcMar>
              <w:top w:type="dxa" w:w="100"/>
              <w:left w:type="dxa" w:w="120"/>
              <w:bottom w:type="dxa" w:w="100"/>
              <w:right w:type="dxa" w:w="120"/>
            </w:tcMar>
            <w:vAlign w:val="center"/>
          </w:tcPr>
          <w:p>
            <w:r>
              <w:rPr>
                <w:b/>
                <w:bCs/>
                <w:color w:val="FFFFFF"/>
                <w:sz w:val="20"/>
                <w:szCs w:val="20"/>
              </w:rPr>
              <w:t xml:space="preserve">Opportunité IA /10</w:t>
            </w:r>
          </w:p>
        </w:tc>
      </w:tr>
      <w:tr>
        <w:tc>
          <w:tcPr>
            <w:tcW w:type="dxa" w:w="3200"/>
            <w:shd w:fill="EEEDFE" w:color="auto" w:val="clear"/>
            <w:tcMar>
              <w:top w:type="dxa" w:w="90"/>
              <w:left w:type="dxa" w:w="120"/>
              <w:bottom w:type="dxa" w:w="90"/>
              <w:right w:type="dxa" w:w="120"/>
            </w:tcMar>
            <w:vAlign w:val="center"/>
          </w:tcPr>
          <w:p>
            <w:r>
              <w:rPr>
                <w:sz w:val="19"/>
                <w:szCs w:val="19"/>
              </w:rPr>
              <w:t xml:space="preserve">Absence de prédiction du trafic</w:t>
            </w:r>
          </w:p>
        </w:tc>
        <w:tc>
          <w:tcPr>
            <w:tcW w:type="dxa" w:w="2200"/>
            <w:shd w:fill="EEEDFE" w:color="auto" w:val="clear"/>
            <w:tcMar>
              <w:top w:type="dxa" w:w="90"/>
              <w:left w:type="dxa" w:w="120"/>
              <w:bottom w:type="dxa" w:w="90"/>
              <w:right w:type="dxa" w:w="120"/>
            </w:tcMar>
            <w:vAlign w:val="center"/>
          </w:tcPr>
          <w:p>
            <w:r>
              <w:rPr>
                <w:sz w:val="19"/>
                <w:szCs w:val="19"/>
              </w:rPr>
              <w:t xml:space="preserve">Historique non exploité</w:t>
            </w:r>
          </w:p>
        </w:tc>
        <w:tc>
          <w:tcPr>
            <w:tcW w:type="dxa" w:w="2400"/>
            <w:shd w:fill="EEEDFE" w:color="auto" w:val="clear"/>
            <w:tcMar>
              <w:top w:type="dxa" w:w="90"/>
              <w:left w:type="dxa" w:w="120"/>
              <w:bottom w:type="dxa" w:w="90"/>
              <w:right w:type="dxa" w:w="120"/>
            </w:tcMar>
            <w:vAlign w:val="center"/>
          </w:tcPr>
          <w:p>
            <w:r>
              <w:rPr>
                <w:sz w:val="19"/>
                <w:szCs w:val="19"/>
              </w:rPr>
              <w:t xml:space="preserve">Temps perdu, stress, carburant gaspillé</w:t>
            </w:r>
          </w:p>
        </w:tc>
        <w:tc>
          <w:tcPr>
            <w:tcW w:type="dxa" w:w="1100"/>
            <w:shd w:fill="EEEDFE" w:color="auto" w:val="clear"/>
            <w:tcMar>
              <w:top w:type="dxa" w:w="90"/>
              <w:left w:type="dxa" w:w="120"/>
              <w:bottom w:type="dxa" w:w="90"/>
              <w:right w:type="dxa" w:w="120"/>
            </w:tcMar>
            <w:vAlign w:val="center"/>
          </w:tcPr>
          <w:p>
            <w:r>
              <w:rPr>
                <w:sz w:val="19"/>
                <w:szCs w:val="19"/>
              </w:rPr>
              <w:t xml:space="preserve">8</w:t>
            </w:r>
          </w:p>
        </w:tc>
        <w:tc>
          <w:tcPr>
            <w:tcW w:type="dxa" w:w="1100"/>
            <w:shd w:fill="EEEDFE" w:color="auto" w:val="clear"/>
            <w:tcMar>
              <w:top w:type="dxa" w:w="90"/>
              <w:left w:type="dxa" w:w="120"/>
              <w:bottom w:type="dxa" w:w="90"/>
              <w:right w:type="dxa" w:w="120"/>
            </w:tcMar>
            <w:vAlign w:val="center"/>
          </w:tcPr>
          <w:p>
            <w:r>
              <w:rPr>
                <w:sz w:val="19"/>
                <w:szCs w:val="19"/>
              </w:rPr>
              <w:t xml:space="preserve">9</w:t>
            </w:r>
          </w:p>
        </w:tc>
      </w:tr>
      <w:tr>
        <w:tc>
          <w:tcPr>
            <w:tcW w:type="dxa" w:w="3200"/>
            <w:shd w:fill="FFFFFF" w:color="auto" w:val="clear"/>
            <w:tcMar>
              <w:top w:type="dxa" w:w="90"/>
              <w:left w:type="dxa" w:w="120"/>
              <w:bottom w:type="dxa" w:w="90"/>
              <w:right w:type="dxa" w:w="120"/>
            </w:tcMar>
            <w:vAlign w:val="center"/>
          </w:tcPr>
          <w:p>
            <w:r>
              <w:rPr>
                <w:sz w:val="19"/>
                <w:szCs w:val="19"/>
              </w:rPr>
              <w:t xml:space="preserve">Inondations non anticipées</w:t>
            </w:r>
          </w:p>
        </w:tc>
        <w:tc>
          <w:tcPr>
            <w:tcW w:type="dxa" w:w="2200"/>
            <w:shd w:fill="FFFFFF" w:color="auto" w:val="clear"/>
            <w:tcMar>
              <w:top w:type="dxa" w:w="90"/>
              <w:left w:type="dxa" w:w="120"/>
              <w:bottom w:type="dxa" w:w="90"/>
              <w:right w:type="dxa" w:w="120"/>
            </w:tcMar>
            <w:vAlign w:val="center"/>
          </w:tcPr>
          <w:p>
            <w:r>
              <w:rPr>
                <w:sz w:val="19"/>
                <w:szCs w:val="19"/>
              </w:rPr>
              <w:t xml:space="preserve">Pas de lien météo-circulation</w:t>
            </w:r>
          </w:p>
        </w:tc>
        <w:tc>
          <w:tcPr>
            <w:tcW w:type="dxa" w:w="2400"/>
            <w:shd w:fill="FFFFFF" w:color="auto" w:val="clear"/>
            <w:tcMar>
              <w:top w:type="dxa" w:w="90"/>
              <w:left w:type="dxa" w:w="120"/>
              <w:bottom w:type="dxa" w:w="90"/>
              <w:right w:type="dxa" w:w="120"/>
            </w:tcMar>
            <w:vAlign w:val="center"/>
          </w:tcPr>
          <w:p>
            <w:r>
              <w:rPr>
                <w:sz w:val="19"/>
                <w:szCs w:val="19"/>
              </w:rPr>
              <w:t xml:space="preserve">Routes bloquées, risques sécurité</w:t>
            </w:r>
          </w:p>
        </w:tc>
        <w:tc>
          <w:tcPr>
            <w:tcW w:type="dxa" w:w="1100"/>
            <w:shd w:fill="FFFFFF" w:color="auto" w:val="clear"/>
            <w:tcMar>
              <w:top w:type="dxa" w:w="90"/>
              <w:left w:type="dxa" w:w="120"/>
              <w:bottom w:type="dxa" w:w="90"/>
              <w:right w:type="dxa" w:w="120"/>
            </w:tcMar>
            <w:vAlign w:val="center"/>
          </w:tcPr>
          <w:p>
            <w:r>
              <w:rPr>
                <w:sz w:val="19"/>
                <w:szCs w:val="19"/>
              </w:rPr>
              <w:t xml:space="preserve">7</w:t>
            </w:r>
          </w:p>
        </w:tc>
        <w:tc>
          <w:tcPr>
            <w:tcW w:type="dxa" w:w="1100"/>
            <w:shd w:fill="FFFFFF" w:color="auto" w:val="clear"/>
            <w:tcMar>
              <w:top w:type="dxa" w:w="90"/>
              <w:left w:type="dxa" w:w="120"/>
              <w:bottom w:type="dxa" w:w="90"/>
              <w:right w:type="dxa" w:w="120"/>
            </w:tcMar>
            <w:vAlign w:val="center"/>
          </w:tcPr>
          <w:p>
            <w:r>
              <w:rPr>
                <w:sz w:val="19"/>
                <w:szCs w:val="19"/>
              </w:rPr>
              <w:t xml:space="preserve">8</w:t>
            </w:r>
          </w:p>
        </w:tc>
      </w:tr>
      <w:tr>
        <w:tc>
          <w:tcPr>
            <w:tcW w:type="dxa" w:w="3200"/>
            <w:shd w:fill="EEEDFE" w:color="auto" w:val="clear"/>
            <w:tcMar>
              <w:top w:type="dxa" w:w="90"/>
              <w:left w:type="dxa" w:w="120"/>
              <w:bottom w:type="dxa" w:w="90"/>
              <w:right w:type="dxa" w:w="120"/>
            </w:tcMar>
            <w:vAlign w:val="center"/>
          </w:tcPr>
          <w:p>
            <w:r>
              <w:rPr>
                <w:sz w:val="19"/>
                <w:szCs w:val="19"/>
              </w:rPr>
              <w:t xml:space="preserve">Signalements dispersés</w:t>
            </w:r>
          </w:p>
        </w:tc>
        <w:tc>
          <w:tcPr>
            <w:tcW w:type="dxa" w:w="2200"/>
            <w:shd w:fill="EEEDFE" w:color="auto" w:val="clear"/>
            <w:tcMar>
              <w:top w:type="dxa" w:w="90"/>
              <w:left w:type="dxa" w:w="120"/>
              <w:bottom w:type="dxa" w:w="90"/>
              <w:right w:type="dxa" w:w="120"/>
            </w:tcMar>
            <w:vAlign w:val="center"/>
          </w:tcPr>
          <w:p>
            <w:r>
              <w:rPr>
                <w:sz w:val="19"/>
                <w:szCs w:val="19"/>
              </w:rPr>
              <w:t xml:space="preserve">Pas d'outil de centralisation</w:t>
            </w:r>
          </w:p>
        </w:tc>
        <w:tc>
          <w:tcPr>
            <w:tcW w:type="dxa" w:w="2400"/>
            <w:shd w:fill="EEEDFE" w:color="auto" w:val="clear"/>
            <w:tcMar>
              <w:top w:type="dxa" w:w="90"/>
              <w:left w:type="dxa" w:w="120"/>
              <w:bottom w:type="dxa" w:w="90"/>
              <w:right w:type="dxa" w:w="120"/>
            </w:tcMar>
            <w:vAlign w:val="center"/>
          </w:tcPr>
          <w:p>
            <w:r>
              <w:rPr>
                <w:sz w:val="19"/>
                <w:szCs w:val="19"/>
              </w:rPr>
              <w:t xml:space="preserve">Informations obsolètes ou dupliquées</w:t>
            </w:r>
          </w:p>
        </w:tc>
        <w:tc>
          <w:tcPr>
            <w:tcW w:type="dxa" w:w="1100"/>
            <w:shd w:fill="EEEDFE" w:color="auto" w:val="clear"/>
            <w:tcMar>
              <w:top w:type="dxa" w:w="90"/>
              <w:left w:type="dxa" w:w="120"/>
              <w:bottom w:type="dxa" w:w="90"/>
              <w:right w:type="dxa" w:w="120"/>
            </w:tcMar>
            <w:vAlign w:val="center"/>
          </w:tcPr>
          <w:p>
            <w:r>
              <w:rPr>
                <w:sz w:val="19"/>
                <w:szCs w:val="19"/>
              </w:rPr>
              <w:t xml:space="preserve">6</w:t>
            </w:r>
          </w:p>
        </w:tc>
        <w:tc>
          <w:tcPr>
            <w:tcW w:type="dxa" w:w="1100"/>
            <w:shd w:fill="EEEDFE" w:color="auto" w:val="clear"/>
            <w:tcMar>
              <w:top w:type="dxa" w:w="90"/>
              <w:left w:type="dxa" w:w="120"/>
              <w:bottom w:type="dxa" w:w="90"/>
              <w:right w:type="dxa" w:w="120"/>
            </w:tcMar>
            <w:vAlign w:val="center"/>
          </w:tcPr>
          <w:p>
            <w:r>
              <w:rPr>
                <w:sz w:val="19"/>
                <w:szCs w:val="19"/>
              </w:rPr>
              <w:t xml:space="preserve">7</w:t>
            </w:r>
          </w:p>
        </w:tc>
      </w:tr>
      <w:tr>
        <w:tc>
          <w:tcPr>
            <w:tcW w:type="dxa" w:w="3200"/>
            <w:shd w:fill="FFFFFF" w:color="auto" w:val="clear"/>
            <w:tcMar>
              <w:top w:type="dxa" w:w="90"/>
              <w:left w:type="dxa" w:w="120"/>
              <w:bottom w:type="dxa" w:w="90"/>
              <w:right w:type="dxa" w:w="120"/>
            </w:tcMar>
            <w:vAlign w:val="center"/>
          </w:tcPr>
          <w:p>
            <w:r>
              <w:rPr>
                <w:sz w:val="19"/>
                <w:szCs w:val="19"/>
              </w:rPr>
              <w:t xml:space="preserve">Autorités sans vue agrégée</w:t>
            </w:r>
          </w:p>
        </w:tc>
        <w:tc>
          <w:tcPr>
            <w:tcW w:type="dxa" w:w="2200"/>
            <w:shd w:fill="FFFFFF" w:color="auto" w:val="clear"/>
            <w:tcMar>
              <w:top w:type="dxa" w:w="90"/>
              <w:left w:type="dxa" w:w="120"/>
              <w:bottom w:type="dxa" w:w="90"/>
              <w:right w:type="dxa" w:w="120"/>
            </w:tcMar>
            <w:vAlign w:val="center"/>
          </w:tcPr>
          <w:p>
            <w:r>
              <w:rPr>
                <w:sz w:val="19"/>
                <w:szCs w:val="19"/>
              </w:rPr>
              <w:t xml:space="preserve">Pas de dashboard décisionnel</w:t>
            </w:r>
          </w:p>
        </w:tc>
        <w:tc>
          <w:tcPr>
            <w:tcW w:type="dxa" w:w="2400"/>
            <w:shd w:fill="FFFFFF" w:color="auto" w:val="clear"/>
            <w:tcMar>
              <w:top w:type="dxa" w:w="90"/>
              <w:left w:type="dxa" w:w="120"/>
              <w:bottom w:type="dxa" w:w="90"/>
              <w:right w:type="dxa" w:w="120"/>
            </w:tcMar>
            <w:vAlign w:val="center"/>
          </w:tcPr>
          <w:p>
            <w:r>
              <w:rPr>
                <w:sz w:val="19"/>
                <w:szCs w:val="19"/>
              </w:rPr>
              <w:t xml:space="preserve">Décisions tardives, mal ciblées</w:t>
            </w:r>
          </w:p>
        </w:tc>
        <w:tc>
          <w:tcPr>
            <w:tcW w:type="dxa" w:w="1100"/>
            <w:shd w:fill="FFFFFF" w:color="auto" w:val="clear"/>
            <w:tcMar>
              <w:top w:type="dxa" w:w="90"/>
              <w:left w:type="dxa" w:w="120"/>
              <w:bottom w:type="dxa" w:w="90"/>
              <w:right w:type="dxa" w:w="120"/>
            </w:tcMar>
            <w:vAlign w:val="center"/>
          </w:tcPr>
          <w:p>
            <w:r>
              <w:rPr>
                <w:sz w:val="19"/>
                <w:szCs w:val="19"/>
              </w:rPr>
              <w:t xml:space="preserve">7</w:t>
            </w:r>
          </w:p>
        </w:tc>
        <w:tc>
          <w:tcPr>
            <w:tcW w:type="dxa" w:w="1100"/>
            <w:shd w:fill="FFFFFF" w:color="auto" w:val="clear"/>
            <w:tcMar>
              <w:top w:type="dxa" w:w="90"/>
              <w:left w:type="dxa" w:w="120"/>
              <w:bottom w:type="dxa" w:w="90"/>
              <w:right w:type="dxa" w:w="120"/>
            </w:tcMar>
            <w:vAlign w:val="center"/>
          </w:tcPr>
          <w:p>
            <w:r>
              <w:rPr>
                <w:sz w:val="19"/>
                <w:szCs w:val="19"/>
              </w:rPr>
              <w:t xml:space="preserve">8</w:t>
            </w:r>
          </w:p>
        </w:tc>
      </w:tr>
    </w:tbl>
    <w:p>
      <w:pPr>
        <w:spacing w:after="200"/>
      </w:pPr>
    </w:p>
    <w:p>
      <w:pPr>
        <w:pStyle w:val="Heading1"/>
        <w:spacing w:after="200" w:before="400"/>
      </w:pPr>
      <w:r>
        <w:t xml:space="preserve">2. Vision produit</w:t>
      </w:r>
    </w:p>
    <w:p>
      <w:pPr>
        <w:spacing w:after="160"/>
      </w:pPr>
      <w:r>
        <w:t xml:space="preserve">CityFlow AI : « le cerveau numérique de la mobilité urbaine » d'Abidjan.</w:t>
      </w:r>
    </w:p>
    <w:p>
      <w:pPr>
        <w:pStyle w:val="Heading2"/>
        <w:spacing w:after="120" w:before="280"/>
      </w:pPr>
      <w:r>
        <w:t xml:space="preserve">Vision long terme</w:t>
      </w:r>
    </w:p>
    <w:p>
      <w:pPr>
        <w:spacing w:after="160"/>
      </w:pPr>
      <w:r>
        <w:t xml:space="preserve">Devenir l'infrastructure de référence pour la gestion intelligente de la mobilité en Côte d'Ivoire, avec une extension envisageable à d'autres villes ivoiriennes puis ouest-africaines. Cette vision dépasse le périmètre du MVP et constitue la feuille de route post-compétition.</w:t>
      </w:r>
    </w:p>
    <w:p>
      <w:pPr>
        <w:pStyle w:val="Heading2"/>
        <w:spacing w:after="120" w:before="280"/>
      </w:pPr>
      <w:r>
        <w:t xml:space="preserve">Valeur par acteur</w:t>
      </w:r>
    </w:p>
    <w:p>
      <w:pPr>
        <w:pStyle w:val="ListParagraph"/>
        <w:numPr>
          <w:ilvl w:val="0"/>
          <w:numId w:val="1"/>
        </w:numPr>
        <w:spacing w:after="80"/>
      </w:pPr>
      <w:r>
        <w:t xml:space="preserve">Citoyen : anticiper plutôt que subir, éviter les zones à risque, participer activement via le signalement</w:t>
      </w:r>
    </w:p>
    <w:p>
      <w:pPr>
        <w:pStyle w:val="ListParagraph"/>
        <w:numPr>
          <w:ilvl w:val="0"/>
          <w:numId w:val="1"/>
        </w:numPr>
        <w:spacing w:after="80"/>
      </w:pPr>
      <w:r>
        <w:t xml:space="preserve">État / autorités locales : outil d'aide à la décision fondé sur des données, priorisation objective des interventions</w:t>
      </w:r>
    </w:p>
    <w:p>
      <w:pPr>
        <w:pStyle w:val="ListParagraph"/>
        <w:numPr>
          <w:ilvl w:val="0"/>
          <w:numId w:val="1"/>
        </w:numPr>
        <w:spacing w:after="80"/>
      </w:pPr>
      <w:r>
        <w:t xml:space="preserve">Entreprises (vision future, hors MVP) : optimisation logistique, partenariats data</w:t>
      </w:r>
    </w:p>
    <w:p>
      <w:pPr>
        <w:spacing w:after="200"/>
      </w:pPr>
    </w:p>
    <w:p>
      <w:pPr>
        <w:pStyle w:val="Heading1"/>
        <w:spacing w:after="200" w:before="400"/>
      </w:pPr>
      <w:r>
        <w:t xml:space="preserve">3. Parties prenantes</w:t>
      </w:r>
    </w:p>
    <w:p>
      <w:pPr>
        <w:spacing w:after="160"/>
      </w:pPr>
      <w:r>
        <w:t xml:space="preserve">Le MVP se concentre volontairement sur deux catégories d'acteurs pour rester démontrable en une semaine : le citoyen (B2C) et l'autorité locale (B2G). Les segments B2B (transporteurs, logistique, assurances) ne sont pas traités dans cette version et relèvent de la feuille de route.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600"/>
        <w:gridCol w:w="2200"/>
      </w:tblGrid>
      <w:tr>
        <w:trPr>
          <w:tblHeader/>
        </w:trPr>
        <w:tc>
          <w:tcPr>
            <w:tcW w:type="dxa" w:w="3000"/>
            <w:shd w:fill="534AB7" w:color="auto" w:val="clear"/>
            <w:tcMar>
              <w:top w:type="dxa" w:w="100"/>
              <w:left w:type="dxa" w:w="120"/>
              <w:bottom w:type="dxa" w:w="100"/>
              <w:right w:type="dxa" w:w="120"/>
            </w:tcMar>
            <w:vAlign w:val="center"/>
          </w:tcPr>
          <w:p>
            <w:r>
              <w:rPr>
                <w:b/>
                <w:bCs/>
                <w:color w:val="FFFFFF"/>
                <w:sz w:val="20"/>
                <w:szCs w:val="20"/>
              </w:rPr>
              <w:t xml:space="preserve">Acteur (persona MVP)</w:t>
            </w:r>
          </w:p>
        </w:tc>
        <w:tc>
          <w:tcPr>
            <w:tcW w:type="dxa" w:w="2200"/>
            <w:shd w:fill="534AB7" w:color="auto" w:val="clear"/>
            <w:tcMar>
              <w:top w:type="dxa" w:w="100"/>
              <w:left w:type="dxa" w:w="120"/>
              <w:bottom w:type="dxa" w:w="100"/>
              <w:right w:type="dxa" w:w="120"/>
            </w:tcMar>
            <w:vAlign w:val="center"/>
          </w:tcPr>
          <w:p>
            <w:r>
              <w:rPr>
                <w:b/>
                <w:bCs/>
                <w:color w:val="FFFFFF"/>
                <w:sz w:val="20"/>
                <w:szCs w:val="20"/>
              </w:rPr>
              <w:t xml:space="preserve">Besoin</w:t>
            </w:r>
          </w:p>
        </w:tc>
        <w:tc>
          <w:tcPr>
            <w:tcW w:type="dxa" w:w="2600"/>
            <w:shd w:fill="534AB7" w:color="auto" w:val="clear"/>
            <w:tcMar>
              <w:top w:type="dxa" w:w="100"/>
              <w:left w:type="dxa" w:w="120"/>
              <w:bottom w:type="dxa" w:w="100"/>
              <w:right w:type="dxa" w:w="120"/>
            </w:tcMar>
            <w:vAlign w:val="center"/>
          </w:tcPr>
          <w:p>
            <w:r>
              <w:rPr>
                <w:b/>
                <w:bCs/>
                <w:color w:val="FFFFFF"/>
                <w:sz w:val="20"/>
                <w:szCs w:val="20"/>
              </w:rPr>
              <w:t xml:space="preserve">Problème actuel</w:t>
            </w:r>
          </w:p>
        </w:tc>
        <w:tc>
          <w:tcPr>
            <w:tcW w:type="dxa" w:w="2200"/>
            <w:shd w:fill="534AB7" w:color="auto" w:val="clear"/>
            <w:tcMar>
              <w:top w:type="dxa" w:w="100"/>
              <w:left w:type="dxa" w:w="120"/>
              <w:bottom w:type="dxa" w:w="100"/>
              <w:right w:type="dxa" w:w="120"/>
            </w:tcMar>
            <w:vAlign w:val="center"/>
          </w:tcPr>
          <w:p>
            <w:r>
              <w:rPr>
                <w:b/>
                <w:bCs/>
                <w:color w:val="FFFFFF"/>
                <w:sz w:val="20"/>
                <w:szCs w:val="20"/>
              </w:rPr>
              <w:t xml:space="preserve">Bénéfice attendu</w:t>
            </w:r>
          </w:p>
        </w:tc>
      </w:tr>
      <w:tr>
        <w:tc>
          <w:tcPr>
            <w:tcW w:type="dxa" w:w="3000"/>
            <w:shd w:fill="EEEDFE" w:color="auto" w:val="clear"/>
            <w:tcMar>
              <w:top w:type="dxa" w:w="90"/>
              <w:left w:type="dxa" w:w="120"/>
              <w:bottom w:type="dxa" w:w="90"/>
              <w:right w:type="dxa" w:w="120"/>
            </w:tcMar>
            <w:vAlign w:val="center"/>
          </w:tcPr>
          <w:p>
            <w:r>
              <w:rPr>
                <w:sz w:val="19"/>
                <w:szCs w:val="19"/>
              </w:rPr>
              <w:t xml:space="preserve">Citoyen — ex. Awa, chauffeuse VTC à Cocody</w:t>
            </w:r>
          </w:p>
        </w:tc>
        <w:tc>
          <w:tcPr>
            <w:tcW w:type="dxa" w:w="2200"/>
            <w:shd w:fill="EEEDFE" w:color="auto" w:val="clear"/>
            <w:tcMar>
              <w:top w:type="dxa" w:w="90"/>
              <w:left w:type="dxa" w:w="120"/>
              <w:bottom w:type="dxa" w:w="90"/>
              <w:right w:type="dxa" w:w="120"/>
            </w:tcMar>
            <w:vAlign w:val="center"/>
          </w:tcPr>
          <w:p>
            <w:r>
              <w:rPr>
                <w:sz w:val="19"/>
                <w:szCs w:val="19"/>
              </w:rPr>
              <w:t xml:space="preserve">Anticiper son trajet</w:t>
            </w:r>
          </w:p>
        </w:tc>
        <w:tc>
          <w:tcPr>
            <w:tcW w:type="dxa" w:w="2600"/>
            <w:shd w:fill="EEEDFE" w:color="auto" w:val="clear"/>
            <w:tcMar>
              <w:top w:type="dxa" w:w="90"/>
              <w:left w:type="dxa" w:w="120"/>
              <w:bottom w:type="dxa" w:w="90"/>
              <w:right w:type="dxa" w:w="120"/>
            </w:tcMar>
            <w:vAlign w:val="center"/>
          </w:tcPr>
          <w:p>
            <w:r>
              <w:rPr>
                <w:sz w:val="19"/>
                <w:szCs w:val="19"/>
              </w:rPr>
              <w:t xml:space="preserve">Découvre le bouchon ou la pluie une fois dedans</w:t>
            </w:r>
          </w:p>
        </w:tc>
        <w:tc>
          <w:tcPr>
            <w:tcW w:type="dxa" w:w="2200"/>
            <w:shd w:fill="EEEDFE" w:color="auto" w:val="clear"/>
            <w:tcMar>
              <w:top w:type="dxa" w:w="90"/>
              <w:left w:type="dxa" w:w="120"/>
              <w:bottom w:type="dxa" w:w="90"/>
              <w:right w:type="dxa" w:w="120"/>
            </w:tcMar>
            <w:vAlign w:val="center"/>
          </w:tcPr>
          <w:p>
            <w:r>
              <w:rPr>
                <w:sz w:val="19"/>
                <w:szCs w:val="19"/>
              </w:rPr>
              <w:t xml:space="preserve">Gain de temps, sécurité, sérénité</w:t>
            </w:r>
          </w:p>
        </w:tc>
      </w:tr>
      <w:tr>
        <w:tc>
          <w:tcPr>
            <w:tcW w:type="dxa" w:w="3000"/>
            <w:shd w:fill="FFFFFF" w:color="auto" w:val="clear"/>
            <w:tcMar>
              <w:top w:type="dxa" w:w="90"/>
              <w:left w:type="dxa" w:w="120"/>
              <w:bottom w:type="dxa" w:w="90"/>
              <w:right w:type="dxa" w:w="120"/>
            </w:tcMar>
            <w:vAlign w:val="center"/>
          </w:tcPr>
          <w:p>
            <w:r>
              <w:rPr>
                <w:sz w:val="19"/>
                <w:szCs w:val="19"/>
              </w:rPr>
              <w:t xml:space="preserve">Autorité — ex. agent de la Direction des Transports</w:t>
            </w:r>
          </w:p>
        </w:tc>
        <w:tc>
          <w:tcPr>
            <w:tcW w:type="dxa" w:w="2200"/>
            <w:shd w:fill="FFFFFF" w:color="auto" w:val="clear"/>
            <w:tcMar>
              <w:top w:type="dxa" w:w="90"/>
              <w:left w:type="dxa" w:w="120"/>
              <w:bottom w:type="dxa" w:w="90"/>
              <w:right w:type="dxa" w:w="120"/>
            </w:tcMar>
            <w:vAlign w:val="center"/>
          </w:tcPr>
          <w:p>
            <w:r>
              <w:rPr>
                <w:sz w:val="19"/>
                <w:szCs w:val="19"/>
              </w:rPr>
              <w:t xml:space="preserve">Prioriser les interventions</w:t>
            </w:r>
          </w:p>
        </w:tc>
        <w:tc>
          <w:tcPr>
            <w:tcW w:type="dxa" w:w="2600"/>
            <w:shd w:fill="FFFFFF" w:color="auto" w:val="clear"/>
            <w:tcMar>
              <w:top w:type="dxa" w:w="90"/>
              <w:left w:type="dxa" w:w="120"/>
              <w:bottom w:type="dxa" w:w="90"/>
              <w:right w:type="dxa" w:w="120"/>
            </w:tcMar>
            <w:vAlign w:val="center"/>
          </w:tcPr>
          <w:p>
            <w:r>
              <w:rPr>
                <w:sz w:val="19"/>
                <w:szCs w:val="19"/>
              </w:rPr>
              <w:t xml:space="preserve">Pas de vue agrégée fiable en temps réel</w:t>
            </w:r>
          </w:p>
        </w:tc>
        <w:tc>
          <w:tcPr>
            <w:tcW w:type="dxa" w:w="2200"/>
            <w:shd w:fill="FFFFFF" w:color="auto" w:val="clear"/>
            <w:tcMar>
              <w:top w:type="dxa" w:w="90"/>
              <w:left w:type="dxa" w:w="120"/>
              <w:bottom w:type="dxa" w:w="90"/>
              <w:right w:type="dxa" w:w="120"/>
            </w:tcMar>
            <w:vAlign w:val="center"/>
          </w:tcPr>
          <w:p>
            <w:r>
              <w:rPr>
                <w:sz w:val="19"/>
                <w:szCs w:val="19"/>
              </w:rPr>
              <w:t xml:space="preserve">Décisions plus rapides et mieux ciblées</w:t>
            </w:r>
          </w:p>
        </w:tc>
      </w:tr>
    </w:tbl>
    <w:p>
      <w:pPr>
        <w:spacing w:after="200"/>
      </w:pPr>
    </w:p>
    <w:p>
      <w:pPr>
        <w:pStyle w:val="Heading1"/>
        <w:spacing w:after="200" w:before="400"/>
      </w:pPr>
      <w:r>
        <w:t xml:space="preserve">4. Architecture fonctionnelle</w:t>
      </w:r>
    </w:p>
    <w:p>
      <w:pPr>
        <w:pStyle w:val="Heading2"/>
        <w:spacing w:after="120" w:before="280"/>
      </w:pPr>
      <w:r>
        <w:t xml:space="preserve">Couche citoyenne — application Flutter</w:t>
      </w:r>
    </w:p>
    <w:p>
      <w:pPr>
        <w:spacing w:after="160"/>
      </w:pPr>
      <w:r>
        <w:t xml:space="preserve">Fonctions livrées dans le MVP :</w:t>
      </w:r>
    </w:p>
    <w:p>
      <w:pPr>
        <w:pStyle w:val="ListParagraph"/>
        <w:numPr>
          <w:ilvl w:val="0"/>
          <w:numId w:val="1"/>
        </w:numPr>
        <w:spacing w:after="80"/>
      </w:pPr>
      <w:r>
        <w:t xml:space="preserve">Visualisation de la prédiction de congestion à T+15 minutes, par segment</w:t>
      </w:r>
    </w:p>
    <w:p>
      <w:pPr>
        <w:pStyle w:val="ListParagraph"/>
        <w:numPr>
          <w:ilvl w:val="0"/>
          <w:numId w:val="1"/>
        </w:numPr>
        <w:spacing w:after="80"/>
      </w:pPr>
      <w:r>
        <w:t xml:space="preserve">Alertes environnementales (risque pluie / inondation)</w:t>
      </w:r>
    </w:p>
    <w:p>
      <w:pPr>
        <w:pStyle w:val="ListParagraph"/>
        <w:numPr>
          <w:ilvl w:val="0"/>
          <w:numId w:val="1"/>
        </w:numPr>
        <w:spacing w:after="80"/>
      </w:pPr>
      <w:r>
        <w:t xml:space="preserve">Signalement communautaire en 2 clics, avec dédoublonnage automatique</w:t>
      </w:r>
    </w:p>
    <w:p>
      <w:pPr>
        <w:spacing w:after="160"/>
      </w:pPr>
      <w:r>
        <w:rPr>
          <w:i/>
          <w:iCs/>
          <w:color w:val="5F5E5A"/>
        </w:rPr>
        <w:t xml:space="preserve">Fonctions hors MVP (feuille de route) : navigation turn-by-turn complète, mode économie de carburant, assistant vocal.</w:t>
      </w:r>
    </w:p>
    <w:p>
      <w:pPr>
        <w:pStyle w:val="Heading2"/>
        <w:spacing w:after="120" w:before="280"/>
      </w:pPr>
      <w:r>
        <w:t xml:space="preserve">Couche intelligence IA</w:t>
      </w:r>
    </w:p>
    <w:p>
      <w:pPr>
        <w:spacing w:after="160"/>
      </w:pPr>
      <w:r>
        <w:t xml:space="preserve">Moteur de prédiction interne, exécuté côté backend Django. Un job périodique (toutes les 5 minutes) recalcule les scores de congestion et les stocke ; les endpoints de lecture restent rapides et fiables pour la démonstration. Chaque prédiction est accompagnée de ses facteurs explicatifs (transparence).</w:t>
      </w:r>
    </w:p>
    <w:p>
      <w:pPr>
        <w:pStyle w:val="Heading2"/>
        <w:spacing w:after="120" w:before="280"/>
      </w:pPr>
      <w:r>
        <w:t xml:space="preserve">Couche gouvernance — dashboard autorités</w:t>
      </w:r>
    </w:p>
    <w:p>
      <w:pPr>
        <w:spacing w:after="160"/>
      </w:pPr>
      <w:r>
        <w:rPr>
          <w:i/>
          <w:iCs/>
        </w:rPr>
        <w:t xml:space="preserve">Réalisée en Flutter Web ou, à défaut, en Django Admin personnalisé — ce choix remplace le React initialement envisagé, pour tenir le délai d'une semaine sans complexifier la stack.</w:t>
      </w:r>
    </w:p>
    <w:p>
      <w:pPr>
        <w:pStyle w:val="ListParagraph"/>
        <w:numPr>
          <w:ilvl w:val="0"/>
          <w:numId w:val="1"/>
        </w:numPr>
        <w:spacing w:after="80"/>
      </w:pPr>
      <w:r>
        <w:t xml:space="preserve">Carte des 5 zones les plus critiques</w:t>
      </w:r>
    </w:p>
    <w:p>
      <w:pPr>
        <w:pStyle w:val="ListParagraph"/>
        <w:numPr>
          <w:ilvl w:val="0"/>
          <w:numId w:val="1"/>
        </w:numPr>
        <w:spacing w:after="80"/>
      </w:pPr>
      <w:r>
        <w:t xml:space="preserve">Vue agrégée congestion + signalements + risque météo</w:t>
      </w:r>
    </w:p>
    <w:p>
      <w:pPr>
        <w:pStyle w:val="ListParagraph"/>
        <w:numPr>
          <w:ilvl w:val="0"/>
          <w:numId w:val="1"/>
        </w:numPr>
        <w:spacing w:after="80"/>
      </w:pPr>
      <w:r>
        <w:t xml:space="preserve">Export CSV</w:t>
      </w:r>
    </w:p>
    <w:p>
      <w:pPr>
        <w:spacing w:after="160"/>
      </w:pPr>
      <w:r>
        <w:rPr>
          <w:i/>
          <w:iCs/>
          <w:color w:val="5F5E5A"/>
        </w:rPr>
        <w:t xml:space="preserve">Hors MVP (feuille de route) : heatmap complète temps réel, simulation urbaine (digital twin — voir section 6).</w:t>
      </w:r>
    </w:p>
    <w:p>
      <w:pPr>
        <w:spacing w:after="200"/>
      </w:pPr>
    </w:p>
    <w:p>
      <w:pPr>
        <w:pStyle w:val="Heading1"/>
        <w:spacing w:after="200" w:before="400"/>
      </w:pPr>
      <w:r>
        <w:t xml:space="preserve">5. Modules IA à implémenter (périmètre MVP réel)</w:t>
      </w:r>
    </w:p>
    <w:p>
      <w:pPr>
        <w:pStyle w:val="Heading2"/>
        <w:spacing w:after="120" w:before="280"/>
      </w:pPr>
      <w:r>
        <w:t xml:space="preserve">IA trafic — implémentée</w:t>
      </w:r>
    </w:p>
    <w:p>
      <w:pPr>
        <w:spacing w:after="160"/>
      </w:pPr>
      <w:r>
        <w:t xml:space="preserve">Objectif : prédire la congestion à T+15 minutes. Entrées : historique simulé, heure, jour de semaine, météo simulée. Sortie : score de congestion 0-100 accompagné de ses facteurs.</w:t>
      </w:r>
    </w:p>
    <w:p>
      <w:pPr>
        <w:pStyle w:val="Heading2"/>
        <w:spacing w:after="120" w:before="280"/>
      </w:pPr>
      <w:r>
        <w:t xml:space="preserve">IA risques environnementaux — implémentée (version simplifiée)</w:t>
      </w:r>
    </w:p>
    <w:p>
      <w:pPr>
        <w:spacing w:after="160"/>
      </w:pPr>
      <w:r>
        <w:t xml:space="preserve">Objectif : détecter le risque d'inondation par segment. Entrée : intensité de pluie simulée et statut zone_inondable du segment. Sortie : alerte activée/désactivée avec niveau de risque.</w:t>
      </w:r>
    </w:p>
    <w:p>
      <w:pPr>
        <w:pStyle w:val="Heading2"/>
        <w:spacing w:after="120" w:before="280"/>
      </w:pPr>
      <w:r>
        <w:t xml:space="preserve">IA d'optimisation d'itinéraire — hors MVP (feuille de route)</w:t>
      </w:r>
    </w:p>
    <w:p>
      <w:pPr>
        <w:spacing w:after="160"/>
      </w:pPr>
      <w:r>
        <w:t xml:space="preserve">Nécessiterait un graphe routier complet et un moteur de routing multi-critères (temps, sécurité, météo). Hors de portée sur une semaine ; conservé comme évolution V2.</w:t>
      </w:r>
    </w:p>
    <w:p>
      <w:pPr>
        <w:pStyle w:val="Heading2"/>
        <w:spacing w:after="120" w:before="280"/>
      </w:pPr>
      <w:r>
        <w:t xml:space="preserve">IA comportementale — hors MVP (feuille de route)</w:t>
      </w:r>
    </w:p>
    <w:p>
      <w:pPr>
        <w:spacing w:after="160"/>
      </w:pPr>
      <w:r>
        <w:t xml:space="preserve">L'apprentissage des habitudes utilisateurs nécessite un historique réel sur plusieurs semaines, incompatible avec un MVP reposant sur 10 utilisateurs fictifs et des données simulées.</w:t>
      </w:r>
    </w:p>
    <w:p>
      <w:pPr>
        <w:spacing w:after="200"/>
      </w:pPr>
    </w:p>
    <w:p>
      <w:pPr>
        <w:pStyle w:val="Heading1"/>
        <w:spacing w:after="200" w:before="400"/>
      </w:pPr>
      <w:r>
        <w:t xml:space="preserve">6. Digital Twin de la ville — hors MVP</w:t>
      </w:r>
    </w:p>
    <w:p>
      <w:pPr>
        <w:spacing w:after="160"/>
      </w:pPr>
      <w:r>
        <w:t xml:space="preserve">Conservé comme vision à long terme : la ville modélisée comme un graphe (nœuds = carrefours, arêtes = routes, attributs = vitesse / capacité / risque), permettant de simuler l'effet de la fermeture d'une route avant travaux. Cette fonctionnalité, techniquement ambitieuse, est hors de portée en une semaine (données géographiques complètes et moteur de simulation requis). Elle doit être présentée au jury comme une feuille de route V2, et non comme un livrable du MVP — l'honnêteté sur ce point renforce la crédibilité du projet plutôt que de l'affaiblir.</w:t>
      </w:r>
    </w:p>
    <w:p>
      <w:pPr>
        <w:spacing w:after="200"/>
      </w:pPr>
    </w:p>
    <w:p>
      <w:pPr>
        <w:pStyle w:val="Heading1"/>
        <w:spacing w:after="200" w:before="400"/>
      </w:pPr>
      <w:r>
        <w:t xml:space="preserve">7. Architecture technique</w:t>
      </w:r>
    </w:p>
    <w:p>
      <w:pPr>
        <w:spacing w:after="160"/>
      </w:pPr>
      <w:r>
        <w:t xml:space="preserve">Stack réellement retenue pour le MVP (corrigée par rapport à la version initiale du cahier des charges)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00"/>
      </w:tblGrid>
      <w:tr>
        <w:trPr>
          <w:tblHeader/>
        </w:trPr>
        <w:tc>
          <w:tcPr>
            <w:tcW w:type="dxa" w:w="2600"/>
            <w:shd w:fill="534AB7" w:color="auto" w:val="clear"/>
            <w:tcMar>
              <w:top w:type="dxa" w:w="100"/>
              <w:left w:type="dxa" w:w="120"/>
              <w:bottom w:type="dxa" w:w="100"/>
              <w:right w:type="dxa" w:w="120"/>
            </w:tcMar>
            <w:vAlign w:val="center"/>
          </w:tcPr>
          <w:p>
            <w:r>
              <w:rPr>
                <w:b/>
                <w:bCs/>
                <w:color w:val="FFFFFF"/>
                <w:sz w:val="20"/>
                <w:szCs w:val="20"/>
              </w:rPr>
              <w:t xml:space="preserve">Brique</w:t>
            </w:r>
          </w:p>
        </w:tc>
        <w:tc>
          <w:tcPr>
            <w:tcW w:type="dxa" w:w="3400"/>
            <w:shd w:fill="534AB7" w:color="auto" w:val="clear"/>
            <w:tcMar>
              <w:top w:type="dxa" w:w="100"/>
              <w:left w:type="dxa" w:w="120"/>
              <w:bottom w:type="dxa" w:w="100"/>
              <w:right w:type="dxa" w:w="120"/>
            </w:tcMar>
            <w:vAlign w:val="center"/>
          </w:tcPr>
          <w:p>
            <w:r>
              <w:rPr>
                <w:b/>
                <w:bCs/>
                <w:color w:val="FFFFFF"/>
                <w:sz w:val="20"/>
                <w:szCs w:val="20"/>
              </w:rPr>
              <w:t xml:space="preserve">Choix retenu</w:t>
            </w:r>
          </w:p>
        </w:tc>
        <w:tc>
          <w:tcPr>
            <w:tcW w:type="dxa" w:w="3000"/>
            <w:shd w:fill="534AB7" w:color="auto" w:val="clear"/>
            <w:tcMar>
              <w:top w:type="dxa" w:w="100"/>
              <w:left w:type="dxa" w:w="120"/>
              <w:bottom w:type="dxa" w:w="100"/>
              <w:right w:type="dxa" w:w="120"/>
            </w:tcMar>
            <w:vAlign w:val="center"/>
          </w:tcPr>
          <w:p>
            <w:r>
              <w:rPr>
                <w:b/>
                <w:bCs/>
                <w:color w:val="FFFFFF"/>
                <w:sz w:val="20"/>
                <w:szCs w:val="20"/>
              </w:rPr>
              <w:t xml:space="preserve">Alternative initiale écartée</w:t>
            </w:r>
          </w:p>
        </w:tc>
      </w:tr>
      <w:tr>
        <w:tc>
          <w:tcPr>
            <w:tcW w:type="dxa" w:w="2600"/>
            <w:shd w:fill="EEEDFE" w:color="auto" w:val="clear"/>
            <w:tcMar>
              <w:top w:type="dxa" w:w="90"/>
              <w:left w:type="dxa" w:w="120"/>
              <w:bottom w:type="dxa" w:w="90"/>
              <w:right w:type="dxa" w:w="120"/>
            </w:tcMar>
            <w:vAlign w:val="center"/>
          </w:tcPr>
          <w:p>
            <w:r>
              <w:rPr>
                <w:sz w:val="19"/>
                <w:szCs w:val="19"/>
              </w:rPr>
              <w:t xml:space="preserve">Frontend mobile</w:t>
            </w:r>
          </w:p>
        </w:tc>
        <w:tc>
          <w:tcPr>
            <w:tcW w:type="dxa" w:w="3400"/>
            <w:shd w:fill="EEEDFE" w:color="auto" w:val="clear"/>
            <w:tcMar>
              <w:top w:type="dxa" w:w="90"/>
              <w:left w:type="dxa" w:w="120"/>
              <w:bottom w:type="dxa" w:w="90"/>
              <w:right w:type="dxa" w:w="120"/>
            </w:tcMar>
            <w:vAlign w:val="center"/>
          </w:tcPr>
          <w:p>
            <w:r>
              <w:rPr>
                <w:sz w:val="19"/>
                <w:szCs w:val="19"/>
              </w:rPr>
              <w:t xml:space="preserve">Flutter</w:t>
            </w:r>
          </w:p>
        </w:tc>
        <w:tc>
          <w:tcPr>
            <w:tcW w:type="dxa" w:w="3000"/>
            <w:shd w:fill="EEEDFE" w:color="auto" w:val="clear"/>
            <w:tcMar>
              <w:top w:type="dxa" w:w="90"/>
              <w:left w:type="dxa" w:w="120"/>
              <w:bottom w:type="dxa" w:w="90"/>
              <w:right w:type="dxa" w:w="120"/>
            </w:tcMar>
            <w:vAlign w:val="center"/>
          </w:tcPr>
          <w:p>
            <w:r>
              <w:rPr>
                <w:sz w:val="19"/>
                <w:szCs w:val="19"/>
              </w:rPr>
              <w:t xml:space="preserve">— (inchangé)</w:t>
            </w:r>
          </w:p>
        </w:tc>
      </w:tr>
      <w:tr>
        <w:tc>
          <w:tcPr>
            <w:tcW w:type="dxa" w:w="2600"/>
            <w:shd w:fill="FFFFFF" w:color="auto" w:val="clear"/>
            <w:tcMar>
              <w:top w:type="dxa" w:w="90"/>
              <w:left w:type="dxa" w:w="120"/>
              <w:bottom w:type="dxa" w:w="90"/>
              <w:right w:type="dxa" w:w="120"/>
            </w:tcMar>
            <w:vAlign w:val="center"/>
          </w:tcPr>
          <w:p>
            <w:r>
              <w:rPr>
                <w:sz w:val="19"/>
                <w:szCs w:val="19"/>
              </w:rPr>
              <w:t xml:space="preserve">Dashboard autorités</w:t>
            </w:r>
          </w:p>
        </w:tc>
        <w:tc>
          <w:tcPr>
            <w:tcW w:type="dxa" w:w="3400"/>
            <w:shd w:fill="FFFFFF" w:color="auto" w:val="clear"/>
            <w:tcMar>
              <w:top w:type="dxa" w:w="90"/>
              <w:left w:type="dxa" w:w="120"/>
              <w:bottom w:type="dxa" w:w="90"/>
              <w:right w:type="dxa" w:w="120"/>
            </w:tcMar>
            <w:vAlign w:val="center"/>
          </w:tcPr>
          <w:p>
            <w:r>
              <w:rPr>
                <w:sz w:val="19"/>
                <w:szCs w:val="19"/>
              </w:rPr>
              <w:t xml:space="preserve">Flutter Web / Django Admin personnalisé</w:t>
            </w:r>
          </w:p>
        </w:tc>
        <w:tc>
          <w:tcPr>
            <w:tcW w:type="dxa" w:w="3000"/>
            <w:shd w:fill="FFFFFF" w:color="auto" w:val="clear"/>
            <w:tcMar>
              <w:top w:type="dxa" w:w="90"/>
              <w:left w:type="dxa" w:w="120"/>
              <w:bottom w:type="dxa" w:w="90"/>
              <w:right w:type="dxa" w:w="120"/>
            </w:tcMar>
            <w:vAlign w:val="center"/>
          </w:tcPr>
          <w:p>
            <w:r>
              <w:rPr>
                <w:sz w:val="19"/>
                <w:szCs w:val="19"/>
              </w:rPr>
              <w:t xml:space="preserve">React</w:t>
            </w:r>
          </w:p>
        </w:tc>
      </w:tr>
      <w:tr>
        <w:tc>
          <w:tcPr>
            <w:tcW w:type="dxa" w:w="2600"/>
            <w:shd w:fill="EEEDFE" w:color="auto" w:val="clear"/>
            <w:tcMar>
              <w:top w:type="dxa" w:w="90"/>
              <w:left w:type="dxa" w:w="120"/>
              <w:bottom w:type="dxa" w:w="90"/>
              <w:right w:type="dxa" w:w="120"/>
            </w:tcMar>
            <w:vAlign w:val="center"/>
          </w:tcPr>
          <w:p>
            <w:r>
              <w:rPr>
                <w:sz w:val="19"/>
                <w:szCs w:val="19"/>
              </w:rPr>
              <w:t xml:space="preserve">Backend</w:t>
            </w:r>
          </w:p>
        </w:tc>
        <w:tc>
          <w:tcPr>
            <w:tcW w:type="dxa" w:w="3400"/>
            <w:shd w:fill="EEEDFE" w:color="auto" w:val="clear"/>
            <w:tcMar>
              <w:top w:type="dxa" w:w="90"/>
              <w:left w:type="dxa" w:w="120"/>
              <w:bottom w:type="dxa" w:w="90"/>
              <w:right w:type="dxa" w:w="120"/>
            </w:tcMar>
            <w:vAlign w:val="center"/>
          </w:tcPr>
          <w:p>
            <w:r>
              <w:rPr>
                <w:sz w:val="19"/>
                <w:szCs w:val="19"/>
              </w:rPr>
              <w:t xml:space="preserve">Django + Django REST Framework</w:t>
            </w:r>
          </w:p>
        </w:tc>
        <w:tc>
          <w:tcPr>
            <w:tcW w:type="dxa" w:w="3000"/>
            <w:shd w:fill="EEEDFE" w:color="auto" w:val="clear"/>
            <w:tcMar>
              <w:top w:type="dxa" w:w="90"/>
              <w:left w:type="dxa" w:w="120"/>
              <w:bottom w:type="dxa" w:w="90"/>
              <w:right w:type="dxa" w:w="120"/>
            </w:tcMar>
            <w:vAlign w:val="center"/>
          </w:tcPr>
          <w:p>
            <w:r>
              <w:rPr>
                <w:sz w:val="19"/>
                <w:szCs w:val="19"/>
              </w:rPr>
              <w:t xml:space="preserve">FastAPI</w:t>
            </w:r>
          </w:p>
        </w:tc>
      </w:tr>
      <w:tr>
        <w:tc>
          <w:tcPr>
            <w:tcW w:type="dxa" w:w="2600"/>
            <w:shd w:fill="FFFFFF" w:color="auto" w:val="clear"/>
            <w:tcMar>
              <w:top w:type="dxa" w:w="90"/>
              <w:left w:type="dxa" w:w="120"/>
              <w:bottom w:type="dxa" w:w="90"/>
              <w:right w:type="dxa" w:w="120"/>
            </w:tcMar>
            <w:vAlign w:val="center"/>
          </w:tcPr>
          <w:p>
            <w:r>
              <w:rPr>
                <w:sz w:val="19"/>
                <w:szCs w:val="19"/>
              </w:rPr>
              <w:t xml:space="preserve">Base de données</w:t>
            </w:r>
          </w:p>
        </w:tc>
        <w:tc>
          <w:tcPr>
            <w:tcW w:type="dxa" w:w="3400"/>
            <w:shd w:fill="FFFFFF" w:color="auto" w:val="clear"/>
            <w:tcMar>
              <w:top w:type="dxa" w:w="90"/>
              <w:left w:type="dxa" w:w="120"/>
              <w:bottom w:type="dxa" w:w="90"/>
              <w:right w:type="dxa" w:w="120"/>
            </w:tcMar>
            <w:vAlign w:val="center"/>
          </w:tcPr>
          <w:p>
            <w:r>
              <w:rPr>
                <w:sz w:val="19"/>
                <w:szCs w:val="19"/>
              </w:rPr>
              <w:t xml:space="preserve">PostgreSQL</w:t>
            </w:r>
          </w:p>
        </w:tc>
        <w:tc>
          <w:tcPr>
            <w:tcW w:type="dxa" w:w="3000"/>
            <w:shd w:fill="FFFFFF" w:color="auto" w:val="clear"/>
            <w:tcMar>
              <w:top w:type="dxa" w:w="90"/>
              <w:left w:type="dxa" w:w="120"/>
              <w:bottom w:type="dxa" w:w="90"/>
              <w:right w:type="dxa" w:w="120"/>
            </w:tcMar>
            <w:vAlign w:val="center"/>
          </w:tcPr>
          <w:p>
            <w:r>
              <w:rPr>
                <w:sz w:val="19"/>
                <w:szCs w:val="19"/>
              </w:rPr>
              <w:t xml:space="preserve">PostgreSQL/PostGIS + Redis + WebSocket</w:t>
            </w:r>
          </w:p>
        </w:tc>
      </w:tr>
    </w:tbl>
    <w:p>
      <w:pPr>
        <w:spacing w:after="160"/>
      </w:pPr>
      <w:r>
        <w:t xml:space="preserve">Justification : Django REST Framework permet de modéliser rapidement les entités et d'exposer une API cohérente aux deux clients ; l'admin Django intégré accélère la mise en place du dashboard autorités. PostGIS, Redis et WebSocket auraient apporté du temps réel avancé et des calculs géospatiaux complexes, mais représentent une complexité disproportionnée pour un MVP d'une semaine reposant sur des données simulées.</w:t>
      </w:r>
    </w:p>
    <w:p>
      <w:pPr>
        <w:pStyle w:val="Heading2"/>
        <w:spacing w:after="120" w:before="280"/>
      </w:pPr>
      <w:r>
        <w:t xml:space="preserve">Flux général</w:t>
      </w:r>
    </w:p>
    <w:p>
      <w:pPr>
        <w:spacing w:after="160"/>
      </w:pPr>
      <w:r>
        <w:t xml:space="preserve">App citoyens (Flutter) et Dashboard autorités (Flutter Web / Django Admin) → Backend Django REST API (Auth, Endpoints, Module IA prédictif T+15min) → PostgreSQL (segments, historique, signalements, prédictions), alimenté en amont par les données simulées (historique trafic, météo, 10 utilisateurs fictifs).</w:t>
      </w:r>
    </w:p>
    <w:p>
      <w:pPr>
        <w:spacing w:after="200"/>
      </w:pPr>
    </w:p>
    <w:p>
      <w:pPr>
        <w:pStyle w:val="Heading1"/>
        <w:spacing w:after="200" w:before="400"/>
      </w:pPr>
      <w:r>
        <w:t xml:space="preserve">8. Modèle de données</w:t>
      </w:r>
    </w:p>
    <w:p>
      <w:pPr>
        <w:spacing w:after="160"/>
      </w:pPr>
      <w:r>
        <w:t xml:space="preserve">Six entités suffisent au périmètre MVP — contre huit dans la version générique initiale, « Historique déplacement » étant couvert par TrafficRecord et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00"/>
      </w:tblGrid>
      <w:tr>
        <w:trPr>
          <w:tblHeader/>
        </w:trPr>
        <w:tc>
          <w:tcPr>
            <w:tcW w:type="dxa" w:w="2000"/>
            <w:shd w:fill="534AB7" w:color="auto" w:val="clear"/>
            <w:tcMar>
              <w:top w:type="dxa" w:w="100"/>
              <w:left w:type="dxa" w:w="120"/>
              <w:bottom w:type="dxa" w:w="100"/>
              <w:right w:type="dxa" w:w="120"/>
            </w:tcMar>
            <w:vAlign w:val="center"/>
          </w:tcPr>
          <w:p>
            <w:r>
              <w:rPr>
                <w:b/>
                <w:bCs/>
                <w:color w:val="FFFFFF"/>
                <w:sz w:val="20"/>
                <w:szCs w:val="20"/>
              </w:rPr>
              <w:t xml:space="preserve">Entité</w:t>
            </w:r>
          </w:p>
        </w:tc>
        <w:tc>
          <w:tcPr>
            <w:tcW w:type="dxa" w:w="4200"/>
            <w:shd w:fill="534AB7" w:color="auto" w:val="clear"/>
            <w:tcMar>
              <w:top w:type="dxa" w:w="100"/>
              <w:left w:type="dxa" w:w="120"/>
              <w:bottom w:type="dxa" w:w="100"/>
              <w:right w:type="dxa" w:w="120"/>
            </w:tcMar>
            <w:vAlign w:val="center"/>
          </w:tcPr>
          <w:p>
            <w:r>
              <w:rPr>
                <w:b/>
                <w:bCs/>
                <w:color w:val="FFFFFF"/>
                <w:sz w:val="20"/>
                <w:szCs w:val="20"/>
              </w:rPr>
              <w:t xml:space="preserve">Champs clés</w:t>
            </w:r>
          </w:p>
        </w:tc>
        <w:tc>
          <w:tcPr>
            <w:tcW w:type="dxa" w:w="2800"/>
            <w:shd w:fill="534AB7" w:color="auto" w:val="clear"/>
            <w:tcMar>
              <w:top w:type="dxa" w:w="100"/>
              <w:left w:type="dxa" w:w="120"/>
              <w:bottom w:type="dxa" w:w="100"/>
              <w:right w:type="dxa" w:w="120"/>
            </w:tcMar>
            <w:vAlign w:val="center"/>
          </w:tcPr>
          <w:p>
            <w:r>
              <w:rPr>
                <w:b/>
                <w:bCs/>
                <w:color w:val="FFFFFF"/>
                <w:sz w:val="20"/>
                <w:szCs w:val="20"/>
              </w:rPr>
              <w:t xml:space="preserve">Rôle</w:t>
            </w:r>
          </w:p>
        </w:tc>
      </w:tr>
      <w:tr>
        <w:tc>
          <w:tcPr>
            <w:tcW w:type="dxa" w:w="2000"/>
            <w:shd w:fill="EEEDFE" w:color="auto" w:val="clear"/>
            <w:tcMar>
              <w:top w:type="dxa" w:w="90"/>
              <w:left w:type="dxa" w:w="120"/>
              <w:bottom w:type="dxa" w:w="90"/>
              <w:right w:type="dxa" w:w="120"/>
            </w:tcMar>
            <w:vAlign w:val="center"/>
          </w:tcPr>
          <w:p>
            <w:r>
              <w:rPr>
                <w:sz w:val="19"/>
                <w:szCs w:val="19"/>
              </w:rPr>
              <w:t xml:space="preserve">User</w:t>
            </w:r>
          </w:p>
        </w:tc>
        <w:tc>
          <w:tcPr>
            <w:tcW w:type="dxa" w:w="4200"/>
            <w:shd w:fill="EEEDFE" w:color="auto" w:val="clear"/>
            <w:tcMar>
              <w:top w:type="dxa" w:w="90"/>
              <w:left w:type="dxa" w:w="120"/>
              <w:bottom w:type="dxa" w:w="90"/>
              <w:right w:type="dxa" w:w="120"/>
            </w:tcMar>
            <w:vAlign w:val="center"/>
          </w:tcPr>
          <w:p>
            <w:r>
              <w:rPr>
                <w:sz w:val="19"/>
                <w:szCs w:val="19"/>
              </w:rPr>
              <w:t xml:space="preserve">id, rôle (citoyen/autorité), zone</w:t>
            </w:r>
          </w:p>
        </w:tc>
        <w:tc>
          <w:tcPr>
            <w:tcW w:type="dxa" w:w="2800"/>
            <w:shd w:fill="EEEDFE" w:color="auto" w:val="clear"/>
            <w:tcMar>
              <w:top w:type="dxa" w:w="90"/>
              <w:left w:type="dxa" w:w="120"/>
              <w:bottom w:type="dxa" w:w="90"/>
              <w:right w:type="dxa" w:w="120"/>
            </w:tcMar>
            <w:vAlign w:val="center"/>
          </w:tcPr>
          <w:p>
            <w:r>
              <w:rPr>
                <w:sz w:val="19"/>
                <w:szCs w:val="19"/>
              </w:rPr>
              <w:t xml:space="preserve">Distingue les deux personas</w:t>
            </w:r>
          </w:p>
        </w:tc>
      </w:tr>
      <w:tr>
        <w:tc>
          <w:tcPr>
            <w:tcW w:type="dxa" w:w="2000"/>
            <w:shd w:fill="FFFFFF" w:color="auto" w:val="clear"/>
            <w:tcMar>
              <w:top w:type="dxa" w:w="90"/>
              <w:left w:type="dxa" w:w="120"/>
              <w:bottom w:type="dxa" w:w="90"/>
              <w:right w:type="dxa" w:w="120"/>
            </w:tcMar>
            <w:vAlign w:val="center"/>
          </w:tcPr>
          <w:p>
            <w:r>
              <w:rPr>
                <w:sz w:val="19"/>
                <w:szCs w:val="19"/>
              </w:rPr>
              <w:t xml:space="preserve">RoadSegment</w:t>
            </w:r>
          </w:p>
        </w:tc>
        <w:tc>
          <w:tcPr>
            <w:tcW w:type="dxa" w:w="4200"/>
            <w:shd w:fill="FFFFFF" w:color="auto" w:val="clear"/>
            <w:tcMar>
              <w:top w:type="dxa" w:w="90"/>
              <w:left w:type="dxa" w:w="120"/>
              <w:bottom w:type="dxa" w:w="90"/>
              <w:right w:type="dxa" w:w="120"/>
            </w:tcMar>
            <w:vAlign w:val="center"/>
          </w:tcPr>
          <w:p>
            <w:r>
              <w:rPr>
                <w:sz w:val="19"/>
                <w:szCs w:val="19"/>
              </w:rPr>
              <w:t xml:space="preserve">id, nom, coordonnées GPS, zone_inondable</w:t>
            </w:r>
          </w:p>
        </w:tc>
        <w:tc>
          <w:tcPr>
            <w:tcW w:type="dxa" w:w="2800"/>
            <w:shd w:fill="FFFFFF" w:color="auto" w:val="clear"/>
            <w:tcMar>
              <w:top w:type="dxa" w:w="90"/>
              <w:left w:type="dxa" w:w="120"/>
              <w:bottom w:type="dxa" w:w="90"/>
              <w:right w:type="dxa" w:w="120"/>
            </w:tcMar>
            <w:vAlign w:val="center"/>
          </w:tcPr>
          <w:p>
            <w:r>
              <w:rPr>
                <w:sz w:val="19"/>
                <w:szCs w:val="19"/>
              </w:rPr>
              <w:t xml:space="preserve">Base de la carte et des prédictions</w:t>
            </w:r>
          </w:p>
        </w:tc>
      </w:tr>
      <w:tr>
        <w:tc>
          <w:tcPr>
            <w:tcW w:type="dxa" w:w="2000"/>
            <w:shd w:fill="EEEDFE" w:color="auto" w:val="clear"/>
            <w:tcMar>
              <w:top w:type="dxa" w:w="90"/>
              <w:left w:type="dxa" w:w="120"/>
              <w:bottom w:type="dxa" w:w="90"/>
              <w:right w:type="dxa" w:w="120"/>
            </w:tcMar>
            <w:vAlign w:val="center"/>
          </w:tcPr>
          <w:p>
            <w:r>
              <w:rPr>
                <w:sz w:val="19"/>
                <w:szCs w:val="19"/>
              </w:rPr>
              <w:t xml:space="preserve">TrafficRecord</w:t>
            </w:r>
          </w:p>
        </w:tc>
        <w:tc>
          <w:tcPr>
            <w:tcW w:type="dxa" w:w="4200"/>
            <w:shd w:fill="EEEDFE" w:color="auto" w:val="clear"/>
            <w:tcMar>
              <w:top w:type="dxa" w:w="90"/>
              <w:left w:type="dxa" w:w="120"/>
              <w:bottom w:type="dxa" w:w="90"/>
              <w:right w:type="dxa" w:w="120"/>
            </w:tcMar>
            <w:vAlign w:val="center"/>
          </w:tcPr>
          <w:p>
            <w:r>
              <w:rPr>
                <w:sz w:val="19"/>
                <w:szCs w:val="19"/>
              </w:rPr>
              <w:t xml:space="preserve">segment_id, timestamp, niveau_congestion, source</w:t>
            </w:r>
          </w:p>
        </w:tc>
        <w:tc>
          <w:tcPr>
            <w:tcW w:type="dxa" w:w="2800"/>
            <w:shd w:fill="EEEDFE" w:color="auto" w:val="clear"/>
            <w:tcMar>
              <w:top w:type="dxa" w:w="90"/>
              <w:left w:type="dxa" w:w="120"/>
              <w:bottom w:type="dxa" w:w="90"/>
              <w:right w:type="dxa" w:w="120"/>
            </w:tcMar>
            <w:vAlign w:val="center"/>
          </w:tcPr>
          <w:p>
            <w:r>
              <w:rPr>
                <w:sz w:val="19"/>
                <w:szCs w:val="19"/>
              </w:rPr>
              <w:t xml:space="preserve">Historique et données simulées</w:t>
            </w:r>
          </w:p>
        </w:tc>
      </w:tr>
      <w:tr>
        <w:tc>
          <w:tcPr>
            <w:tcW w:type="dxa" w:w="2000"/>
            <w:shd w:fill="FFFFFF" w:color="auto" w:val="clear"/>
            <w:tcMar>
              <w:top w:type="dxa" w:w="90"/>
              <w:left w:type="dxa" w:w="120"/>
              <w:bottom w:type="dxa" w:w="90"/>
              <w:right w:type="dxa" w:w="120"/>
            </w:tcMar>
            <w:vAlign w:val="center"/>
          </w:tcPr>
          <w:p>
            <w:r>
              <w:rPr>
                <w:sz w:val="19"/>
                <w:szCs w:val="19"/>
              </w:rPr>
              <w:t xml:space="preserve">WeatherEvent</w:t>
            </w:r>
          </w:p>
        </w:tc>
        <w:tc>
          <w:tcPr>
            <w:tcW w:type="dxa" w:w="4200"/>
            <w:shd w:fill="FFFFFF" w:color="auto" w:val="clear"/>
            <w:tcMar>
              <w:top w:type="dxa" w:w="90"/>
              <w:left w:type="dxa" w:w="120"/>
              <w:bottom w:type="dxa" w:w="90"/>
              <w:right w:type="dxa" w:w="120"/>
            </w:tcMar>
            <w:vAlign w:val="center"/>
          </w:tcPr>
          <w:p>
            <w:r>
              <w:rPr>
                <w:sz w:val="19"/>
                <w:szCs w:val="19"/>
              </w:rPr>
              <w:t xml:space="preserve">zone, type, intensité, timestamp</w:t>
            </w:r>
          </w:p>
        </w:tc>
        <w:tc>
          <w:tcPr>
            <w:tcW w:type="dxa" w:w="2800"/>
            <w:shd w:fill="FFFFFF" w:color="auto" w:val="clear"/>
            <w:tcMar>
              <w:top w:type="dxa" w:w="90"/>
              <w:left w:type="dxa" w:w="120"/>
              <w:bottom w:type="dxa" w:w="90"/>
              <w:right w:type="dxa" w:w="120"/>
            </w:tcMar>
            <w:vAlign w:val="center"/>
          </w:tcPr>
          <w:p>
            <w:r>
              <w:rPr>
                <w:sz w:val="19"/>
                <w:szCs w:val="19"/>
              </w:rPr>
              <w:t xml:space="preserve">Alimente le module environnemental</w:t>
            </w:r>
          </w:p>
        </w:tc>
      </w:tr>
      <w:tr>
        <w:tc>
          <w:tcPr>
            <w:tcW w:type="dxa" w:w="2000"/>
            <w:shd w:fill="EEEDFE" w:color="auto" w:val="clear"/>
            <w:tcMar>
              <w:top w:type="dxa" w:w="90"/>
              <w:left w:type="dxa" w:w="120"/>
              <w:bottom w:type="dxa" w:w="90"/>
              <w:right w:type="dxa" w:w="120"/>
            </w:tcMar>
            <w:vAlign w:val="center"/>
          </w:tcPr>
          <w:p>
            <w:r>
              <w:rPr>
                <w:sz w:val="19"/>
                <w:szCs w:val="19"/>
              </w:rPr>
              <w:t xml:space="preserve">Report</w:t>
            </w:r>
          </w:p>
        </w:tc>
        <w:tc>
          <w:tcPr>
            <w:tcW w:type="dxa" w:w="4200"/>
            <w:shd w:fill="EEEDFE" w:color="auto" w:val="clear"/>
            <w:tcMar>
              <w:top w:type="dxa" w:w="90"/>
              <w:left w:type="dxa" w:w="120"/>
              <w:bottom w:type="dxa" w:w="90"/>
              <w:right w:type="dxa" w:w="120"/>
            </w:tcMar>
            <w:vAlign w:val="center"/>
          </w:tcPr>
          <w:p>
            <w:r>
              <w:rPr>
                <w:sz w:val="19"/>
                <w:szCs w:val="19"/>
              </w:rPr>
              <w:t xml:space="preserve">user_id, segment_id, type, gravité, statut</w:t>
            </w:r>
          </w:p>
        </w:tc>
        <w:tc>
          <w:tcPr>
            <w:tcW w:type="dxa" w:w="2800"/>
            <w:shd w:fill="EEEDFE" w:color="auto" w:val="clear"/>
            <w:tcMar>
              <w:top w:type="dxa" w:w="90"/>
              <w:left w:type="dxa" w:w="120"/>
              <w:bottom w:type="dxa" w:w="90"/>
              <w:right w:type="dxa" w:w="120"/>
            </w:tcMar>
            <w:vAlign w:val="center"/>
          </w:tcPr>
          <w:p>
            <w:r>
              <w:rPr>
                <w:sz w:val="19"/>
                <w:szCs w:val="19"/>
              </w:rPr>
              <w:t xml:space="preserve">Signalements citoyens</w:t>
            </w:r>
          </w:p>
        </w:tc>
      </w:tr>
      <w:tr>
        <w:tc>
          <w:tcPr>
            <w:tcW w:type="dxa" w:w="2000"/>
            <w:shd w:fill="FFFFFF" w:color="auto" w:val="clear"/>
            <w:tcMar>
              <w:top w:type="dxa" w:w="90"/>
              <w:left w:type="dxa" w:w="120"/>
              <w:bottom w:type="dxa" w:w="90"/>
              <w:right w:type="dxa" w:w="120"/>
            </w:tcMar>
            <w:vAlign w:val="center"/>
          </w:tcPr>
          <w:p>
            <w:r>
              <w:rPr>
                <w:sz w:val="19"/>
                <w:szCs w:val="19"/>
              </w:rPr>
              <w:t xml:space="preserve">Prediction</w:t>
            </w:r>
          </w:p>
        </w:tc>
        <w:tc>
          <w:tcPr>
            <w:tcW w:type="dxa" w:w="4200"/>
            <w:shd w:fill="FFFFFF" w:color="auto" w:val="clear"/>
            <w:tcMar>
              <w:top w:type="dxa" w:w="90"/>
              <w:left w:type="dxa" w:w="120"/>
              <w:bottom w:type="dxa" w:w="90"/>
              <w:right w:type="dxa" w:w="120"/>
            </w:tcMar>
            <w:vAlign w:val="center"/>
          </w:tcPr>
          <w:p>
            <w:r>
              <w:rPr>
                <w:sz w:val="19"/>
                <w:szCs w:val="19"/>
              </w:rPr>
              <w:t xml:space="preserve">segment_id, horizon_min=15, score_prédit, facteurs (JSON)</w:t>
            </w:r>
          </w:p>
        </w:tc>
        <w:tc>
          <w:tcPr>
            <w:tcW w:type="dxa" w:w="2800"/>
            <w:shd w:fill="FFFFFF" w:color="auto" w:val="clear"/>
            <w:tcMar>
              <w:top w:type="dxa" w:w="90"/>
              <w:left w:type="dxa" w:w="120"/>
              <w:bottom w:type="dxa" w:w="90"/>
              <w:right w:type="dxa" w:w="120"/>
            </w:tcMar>
            <w:vAlign w:val="center"/>
          </w:tcPr>
          <w:p>
            <w:r>
              <w:rPr>
                <w:sz w:val="19"/>
                <w:szCs w:val="19"/>
              </w:rPr>
              <w:t xml:space="preserve">Sortie du module IA</w:t>
            </w:r>
          </w:p>
        </w:tc>
      </w:tr>
    </w:tbl>
    <w:p>
      <w:pPr>
        <w:spacing w:after="200"/>
      </w:pPr>
    </w:p>
    <w:p>
      <w:pPr>
        <w:pStyle w:val="Heading1"/>
        <w:spacing w:after="200" w:before="400"/>
      </w:pPr>
      <w:r>
        <w:t xml:space="preserve">9. Sécurité</w:t>
      </w:r>
    </w:p>
    <w:p>
      <w:pPr>
        <w:pStyle w:val="ListParagraph"/>
        <w:numPr>
          <w:ilvl w:val="0"/>
          <w:numId w:val="1"/>
        </w:numPr>
        <w:spacing w:after="80"/>
      </w:pPr>
      <w:r>
        <w:t xml:space="preserve">Authentification par JWT (djangorestframework-simplejwt)</w:t>
      </w:r>
    </w:p>
    <w:p>
      <w:pPr>
        <w:pStyle w:val="ListParagraph"/>
        <w:numPr>
          <w:ilvl w:val="0"/>
          <w:numId w:val="1"/>
        </w:numPr>
        <w:spacing w:after="80"/>
      </w:pPr>
      <w:r>
        <w:t xml:space="preserve">Rôles différenciés citoyen / autorité, contrôlés au niveau des permissions DRF</w:t>
      </w:r>
    </w:p>
    <w:p>
      <w:pPr>
        <w:pStyle w:val="ListParagraph"/>
        <w:numPr>
          <w:ilvl w:val="0"/>
          <w:numId w:val="1"/>
        </w:numPr>
        <w:spacing w:after="80"/>
      </w:pPr>
      <w:r>
        <w:t xml:space="preserve">HTTPS en production</w:t>
      </w:r>
    </w:p>
    <w:p>
      <w:pPr>
        <w:pStyle w:val="ListParagraph"/>
        <w:numPr>
          <w:ilvl w:val="0"/>
          <w:numId w:val="1"/>
        </w:numPr>
        <w:spacing w:after="80"/>
      </w:pPr>
      <w:r>
        <w:t xml:space="preserve">Anonymisation basique des identifiants dans les données simulées — bonne pratique conservée même en démonstration</w:t>
      </w:r>
    </w:p>
    <w:p>
      <w:pPr>
        <w:pStyle w:val="ListParagraph"/>
        <w:numPr>
          <w:ilvl w:val="0"/>
          <w:numId w:val="1"/>
        </w:numPr>
        <w:spacing w:after="80"/>
      </w:pPr>
      <w:r>
        <w:t xml:space="preserve">Pas de stockage de données personnelles au-delà du strict nécessaire au fonctionnement du MVP</w:t>
      </w:r>
    </w:p>
    <w:p>
      <w:pPr>
        <w:spacing w:after="200"/>
      </w:pPr>
    </w:p>
    <w:p>
      <w:pPr>
        <w:pStyle w:val="Heading1"/>
        <w:spacing w:after="200" w:before="400"/>
      </w:pPr>
      <w:r>
        <w:t xml:space="preserve">10. Planning MVP compétition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A7517" w:sz="6"/>
              <w:left w:val="single" w:color="BA7517" w:sz="6"/>
              <w:bottom w:val="single" w:color="BA7517" w:sz="6"/>
              <w:right w:val="single" w:color="BA7517" w:sz="6"/>
            </w:tcBorders>
            <w:shd w:fill="FAEEDA" w:color="auto" w:val="clear"/>
            <w:tcMar>
              <w:top w:type="dxa" w:w="150"/>
              <w:left w:type="dxa" w:w="200"/>
              <w:bottom w:type="dxa" w:w="150"/>
              <w:right w:type="dxa" w:w="200"/>
            </w:tcMar>
          </w:tcPr>
          <w:p>
            <w:pPr>
              <w:spacing w:after="80"/>
            </w:pPr>
            <w:r>
              <w:rPr>
                <w:b/>
                <w:bCs/>
                <w:sz w:val="20"/>
                <w:szCs w:val="20"/>
              </w:rPr>
              <w:t xml:space="preserve">Hypothèse de planning</w:t>
            </w:r>
          </w:p>
          <w:p>
            <w:pPr>
              <w:spacing w:after="0"/>
            </w:pPr>
            <w:r>
              <w:rPr>
                <w:b w:val="false"/>
                <w:bCs w:val="false"/>
                <w:sz w:val="20"/>
                <w:szCs w:val="20"/>
              </w:rPr>
              <w:t xml:space="preserve">En l'absence de calendrier officiel communiqué pour le Vibeathon, ce planning suppose un format pluri-hebdomadaire aligné sur le pipeline du bootcamp (cadrage → construction → livraison). À ajuster aux dates réelles de la compétition.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4200"/>
        <w:gridCol w:w="1600"/>
      </w:tblGrid>
      <w:tr>
        <w:trPr>
          <w:tblHeader/>
        </w:trPr>
        <w:tc>
          <w:tcPr>
            <w:tcW w:type="dxa" w:w="1600"/>
            <w:shd w:fill="534AB7" w:color="auto" w:val="clear"/>
            <w:tcMar>
              <w:top w:type="dxa" w:w="100"/>
              <w:left w:type="dxa" w:w="120"/>
              <w:bottom w:type="dxa" w:w="100"/>
              <w:right w:type="dxa" w:w="120"/>
            </w:tcMar>
            <w:vAlign w:val="center"/>
          </w:tcPr>
          <w:p>
            <w:r>
              <w:rPr>
                <w:b/>
                <w:bCs/>
                <w:color w:val="FFFFFF"/>
                <w:sz w:val="20"/>
                <w:szCs w:val="20"/>
              </w:rPr>
              <w:t xml:space="preserve">Période</w:t>
            </w:r>
          </w:p>
        </w:tc>
        <w:tc>
          <w:tcPr>
            <w:tcW w:type="dxa" w:w="1600"/>
            <w:shd w:fill="534AB7" w:color="auto" w:val="clear"/>
            <w:tcMar>
              <w:top w:type="dxa" w:w="100"/>
              <w:left w:type="dxa" w:w="120"/>
              <w:bottom w:type="dxa" w:w="100"/>
              <w:right w:type="dxa" w:w="120"/>
            </w:tcMar>
            <w:vAlign w:val="center"/>
          </w:tcPr>
          <w:p>
            <w:r>
              <w:rPr>
                <w:b/>
                <w:bCs/>
                <w:color w:val="FFFFFF"/>
                <w:sz w:val="20"/>
                <w:szCs w:val="20"/>
              </w:rPr>
              <w:t xml:space="preserve">Statut</w:t>
            </w:r>
          </w:p>
        </w:tc>
        <w:tc>
          <w:tcPr>
            <w:tcW w:type="dxa" w:w="4200"/>
            <w:shd w:fill="534AB7" w:color="auto" w:val="clear"/>
            <w:tcMar>
              <w:top w:type="dxa" w:w="100"/>
              <w:left w:type="dxa" w:w="120"/>
              <w:bottom w:type="dxa" w:w="100"/>
              <w:right w:type="dxa" w:w="120"/>
            </w:tcMar>
            <w:vAlign w:val="center"/>
          </w:tcPr>
          <w:p>
            <w:r>
              <w:rPr>
                <w:b/>
                <w:bCs/>
                <w:color w:val="FFFFFF"/>
                <w:sz w:val="20"/>
                <w:szCs w:val="20"/>
              </w:rPr>
              <w:t xml:space="preserve">Objectif</w:t>
            </w:r>
          </w:p>
        </w:tc>
        <w:tc>
          <w:tcPr>
            <w:tcW w:type="dxa" w:w="1600"/>
            <w:shd w:fill="534AB7" w:color="auto" w:val="clear"/>
            <w:tcMar>
              <w:top w:type="dxa" w:w="100"/>
              <w:left w:type="dxa" w:w="120"/>
              <w:bottom w:type="dxa" w:w="100"/>
              <w:right w:type="dxa" w:w="120"/>
            </w:tcMar>
            <w:vAlign w:val="center"/>
          </w:tcPr>
          <w:p>
            <w:r>
              <w:rPr>
                <w:b/>
                <w:bCs/>
                <w:color w:val="FFFFFF"/>
                <w:sz w:val="20"/>
                <w:szCs w:val="20"/>
              </w:rPr>
              <w:t xml:space="preserve">Étapes du pipeline</w:t>
            </w:r>
          </w:p>
        </w:tc>
      </w:tr>
      <w:tr>
        <w:tc>
          <w:tcPr>
            <w:tcW w:type="dxa" w:w="1600"/>
            <w:shd w:fill="EEEDFE" w:color="auto" w:val="clear"/>
            <w:tcMar>
              <w:top w:type="dxa" w:w="90"/>
              <w:left w:type="dxa" w:w="120"/>
              <w:bottom w:type="dxa" w:w="90"/>
              <w:right w:type="dxa" w:w="120"/>
            </w:tcMar>
            <w:vAlign w:val="center"/>
          </w:tcPr>
          <w:p>
            <w:r>
              <w:rPr>
                <w:sz w:val="19"/>
                <w:szCs w:val="19"/>
              </w:rPr>
              <w:t xml:space="preserve">Semaine 1</w:t>
            </w:r>
          </w:p>
        </w:tc>
        <w:tc>
          <w:tcPr>
            <w:tcW w:type="dxa" w:w="1600"/>
            <w:shd w:fill="EEEDFE" w:color="auto" w:val="clear"/>
            <w:tcMar>
              <w:top w:type="dxa" w:w="90"/>
              <w:left w:type="dxa" w:w="120"/>
              <w:bottom w:type="dxa" w:w="90"/>
              <w:right w:type="dxa" w:w="120"/>
            </w:tcMar>
            <w:vAlign w:val="center"/>
          </w:tcPr>
          <w:p>
            <w:r>
              <w:rPr>
                <w:sz w:val="19"/>
                <w:szCs w:val="19"/>
              </w:rPr>
              <w:t xml:space="preserve">Réalisée</w:t>
            </w:r>
          </w:p>
        </w:tc>
        <w:tc>
          <w:tcPr>
            <w:tcW w:type="dxa" w:w="4200"/>
            <w:shd w:fill="EEEDFE" w:color="auto" w:val="clear"/>
            <w:tcMar>
              <w:top w:type="dxa" w:w="90"/>
              <w:left w:type="dxa" w:w="120"/>
              <w:bottom w:type="dxa" w:w="90"/>
              <w:right w:type="dxa" w:w="120"/>
            </w:tcMar>
            <w:vAlign w:val="center"/>
          </w:tcPr>
          <w:p>
            <w:r>
              <w:rPr>
                <w:sz w:val="19"/>
                <w:szCs w:val="19"/>
              </w:rPr>
              <w:t xml:space="preserve">Besoin, specs, architecture, modèle de données</w:t>
            </w:r>
          </w:p>
        </w:tc>
        <w:tc>
          <w:tcPr>
            <w:tcW w:type="dxa" w:w="1600"/>
            <w:shd w:fill="EEEDFE" w:color="auto" w:val="clear"/>
            <w:tcMar>
              <w:top w:type="dxa" w:w="90"/>
              <w:left w:type="dxa" w:w="120"/>
              <w:bottom w:type="dxa" w:w="90"/>
              <w:right w:type="dxa" w:w="120"/>
            </w:tcMar>
            <w:vAlign w:val="center"/>
          </w:tcPr>
          <w:p>
            <w:r>
              <w:rPr>
                <w:sz w:val="19"/>
                <w:szCs w:val="19"/>
              </w:rPr>
              <w:t xml:space="preserve">Étapes 1 à 3</w:t>
            </w:r>
          </w:p>
        </w:tc>
      </w:tr>
      <w:tr>
        <w:tc>
          <w:tcPr>
            <w:tcW w:type="dxa" w:w="1600"/>
            <w:shd w:fill="FFFFFF" w:color="auto" w:val="clear"/>
            <w:tcMar>
              <w:top w:type="dxa" w:w="90"/>
              <w:left w:type="dxa" w:w="120"/>
              <w:bottom w:type="dxa" w:w="90"/>
              <w:right w:type="dxa" w:w="120"/>
            </w:tcMar>
            <w:vAlign w:val="center"/>
          </w:tcPr>
          <w:p>
            <w:r>
              <w:rPr>
                <w:sz w:val="19"/>
                <w:szCs w:val="19"/>
              </w:rPr>
              <w:t xml:space="preserve">Semaine 2</w:t>
            </w:r>
          </w:p>
        </w:tc>
        <w:tc>
          <w:tcPr>
            <w:tcW w:type="dxa" w:w="1600"/>
            <w:shd w:fill="FFFFFF" w:color="auto" w:val="clear"/>
            <w:tcMar>
              <w:top w:type="dxa" w:w="90"/>
              <w:left w:type="dxa" w:w="120"/>
              <w:bottom w:type="dxa" w:w="90"/>
              <w:right w:type="dxa" w:w="120"/>
            </w:tcMar>
            <w:vAlign w:val="center"/>
          </w:tcPr>
          <w:p>
            <w:r>
              <w:rPr>
                <w:sz w:val="19"/>
                <w:szCs w:val="19"/>
              </w:rPr>
              <w:t xml:space="preserve">En cours</w:t>
            </w:r>
          </w:p>
        </w:tc>
        <w:tc>
          <w:tcPr>
            <w:tcW w:type="dxa" w:w="4200"/>
            <w:shd w:fill="FFFFFF" w:color="auto" w:val="clear"/>
            <w:tcMar>
              <w:top w:type="dxa" w:w="90"/>
              <w:left w:type="dxa" w:w="120"/>
              <w:bottom w:type="dxa" w:w="90"/>
              <w:right w:type="dxa" w:w="120"/>
            </w:tcMar>
            <w:vAlign w:val="center"/>
          </w:tcPr>
          <w:p>
            <w:r>
              <w:rPr>
                <w:sz w:val="19"/>
                <w:szCs w:val="19"/>
              </w:rPr>
              <w:t xml:space="preserve">Modèles Django, module IA, endpoints, données simulées</w:t>
            </w:r>
          </w:p>
        </w:tc>
        <w:tc>
          <w:tcPr>
            <w:tcW w:type="dxa" w:w="1600"/>
            <w:shd w:fill="FFFFFF" w:color="auto" w:val="clear"/>
            <w:tcMar>
              <w:top w:type="dxa" w:w="90"/>
              <w:left w:type="dxa" w:w="120"/>
              <w:bottom w:type="dxa" w:w="90"/>
              <w:right w:type="dxa" w:w="120"/>
            </w:tcMar>
            <w:vAlign w:val="center"/>
          </w:tcPr>
          <w:p>
            <w:r>
              <w:rPr>
                <w:sz w:val="19"/>
                <w:szCs w:val="19"/>
              </w:rPr>
              <w:t xml:space="preserve">Étape 4</w:t>
            </w:r>
          </w:p>
        </w:tc>
      </w:tr>
      <w:tr>
        <w:tc>
          <w:tcPr>
            <w:tcW w:type="dxa" w:w="1600"/>
            <w:shd w:fill="EEEDFE" w:color="auto" w:val="clear"/>
            <w:tcMar>
              <w:top w:type="dxa" w:w="90"/>
              <w:left w:type="dxa" w:w="120"/>
              <w:bottom w:type="dxa" w:w="90"/>
              <w:right w:type="dxa" w:w="120"/>
            </w:tcMar>
            <w:vAlign w:val="center"/>
          </w:tcPr>
          <w:p>
            <w:r>
              <w:rPr>
                <w:sz w:val="19"/>
                <w:szCs w:val="19"/>
              </w:rPr>
              <w:t xml:space="preserve">Semaine 3</w:t>
            </w:r>
          </w:p>
        </w:tc>
        <w:tc>
          <w:tcPr>
            <w:tcW w:type="dxa" w:w="1600"/>
            <w:shd w:fill="EEEDFE" w:color="auto" w:val="clear"/>
            <w:tcMar>
              <w:top w:type="dxa" w:w="90"/>
              <w:left w:type="dxa" w:w="120"/>
              <w:bottom w:type="dxa" w:w="90"/>
              <w:right w:type="dxa" w:w="120"/>
            </w:tcMar>
            <w:vAlign w:val="center"/>
          </w:tcPr>
          <w:p>
            <w:r>
              <w:rPr>
                <w:sz w:val="19"/>
                <w:szCs w:val="19"/>
              </w:rPr>
              <w:t xml:space="preserve">À venir</w:t>
            </w:r>
          </w:p>
        </w:tc>
        <w:tc>
          <w:tcPr>
            <w:tcW w:type="dxa" w:w="4200"/>
            <w:shd w:fill="EEEDFE" w:color="auto" w:val="clear"/>
            <w:tcMar>
              <w:top w:type="dxa" w:w="90"/>
              <w:left w:type="dxa" w:w="120"/>
              <w:bottom w:type="dxa" w:w="90"/>
              <w:right w:type="dxa" w:w="120"/>
            </w:tcMar>
            <w:vAlign w:val="center"/>
          </w:tcPr>
          <w:p>
            <w:r>
              <w:rPr>
                <w:sz w:val="19"/>
                <w:szCs w:val="19"/>
              </w:rPr>
              <w:t xml:space="preserve">Tests unitaires/intégration, CI/CD, revue de code</w:t>
            </w:r>
          </w:p>
        </w:tc>
        <w:tc>
          <w:tcPr>
            <w:tcW w:type="dxa" w:w="1600"/>
            <w:shd w:fill="EEEDFE" w:color="auto" w:val="clear"/>
            <w:tcMar>
              <w:top w:type="dxa" w:w="90"/>
              <w:left w:type="dxa" w:w="120"/>
              <w:bottom w:type="dxa" w:w="90"/>
              <w:right w:type="dxa" w:w="120"/>
            </w:tcMar>
            <w:vAlign w:val="center"/>
          </w:tcPr>
          <w:p>
            <w:r>
              <w:rPr>
                <w:sz w:val="19"/>
                <w:szCs w:val="19"/>
              </w:rPr>
              <w:t xml:space="preserve">Étapes 5 à 6</w:t>
            </w:r>
          </w:p>
        </w:tc>
      </w:tr>
      <w:tr>
        <w:tc>
          <w:tcPr>
            <w:tcW w:type="dxa" w:w="1600"/>
            <w:shd w:fill="FFFFFF" w:color="auto" w:val="clear"/>
            <w:tcMar>
              <w:top w:type="dxa" w:w="90"/>
              <w:left w:type="dxa" w:w="120"/>
              <w:bottom w:type="dxa" w:w="90"/>
              <w:right w:type="dxa" w:w="120"/>
            </w:tcMar>
            <w:vAlign w:val="center"/>
          </w:tcPr>
          <w:p>
            <w:r>
              <w:rPr>
                <w:sz w:val="19"/>
                <w:szCs w:val="19"/>
              </w:rPr>
              <w:t xml:space="preserve">Semaine 4</w:t>
            </w:r>
          </w:p>
        </w:tc>
        <w:tc>
          <w:tcPr>
            <w:tcW w:type="dxa" w:w="1600"/>
            <w:shd w:fill="FFFFFF" w:color="auto" w:val="clear"/>
            <w:tcMar>
              <w:top w:type="dxa" w:w="90"/>
              <w:left w:type="dxa" w:w="120"/>
              <w:bottom w:type="dxa" w:w="90"/>
              <w:right w:type="dxa" w:w="120"/>
            </w:tcMar>
            <w:vAlign w:val="center"/>
          </w:tcPr>
          <w:p>
            <w:r>
              <w:rPr>
                <w:sz w:val="19"/>
                <w:szCs w:val="19"/>
              </w:rPr>
              <w:t xml:space="preserve">À venir</w:t>
            </w:r>
          </w:p>
        </w:tc>
        <w:tc>
          <w:tcPr>
            <w:tcW w:type="dxa" w:w="4200"/>
            <w:shd w:fill="FFFFFF" w:color="auto" w:val="clear"/>
            <w:tcMar>
              <w:top w:type="dxa" w:w="90"/>
              <w:left w:type="dxa" w:w="120"/>
              <w:bottom w:type="dxa" w:w="90"/>
              <w:right w:type="dxa" w:w="120"/>
            </w:tcMar>
            <w:vAlign w:val="center"/>
          </w:tcPr>
          <w:p>
            <w:r>
              <w:rPr>
                <w:sz w:val="19"/>
                <w:szCs w:val="19"/>
              </w:rPr>
              <w:t xml:space="preserve">Déploiement, versioning, préparation du pitch jury</w:t>
            </w:r>
          </w:p>
        </w:tc>
        <w:tc>
          <w:tcPr>
            <w:tcW w:type="dxa" w:w="1600"/>
            <w:shd w:fill="FFFFFF" w:color="auto" w:val="clear"/>
            <w:tcMar>
              <w:top w:type="dxa" w:w="90"/>
              <w:left w:type="dxa" w:w="120"/>
              <w:bottom w:type="dxa" w:w="90"/>
              <w:right w:type="dxa" w:w="120"/>
            </w:tcMar>
            <w:vAlign w:val="center"/>
          </w:tcPr>
          <w:p>
            <w:r>
              <w:rPr>
                <w:sz w:val="19"/>
                <w:szCs w:val="19"/>
              </w:rPr>
              <w:t xml:space="preserve">Étapes 7 à 8</w:t>
            </w:r>
          </w:p>
        </w:tc>
      </w:tr>
    </w:tbl>
    <w:p>
      <w:pPr>
        <w:spacing w:after="200"/>
      </w:pPr>
    </w:p>
    <w:p>
      <w:pPr>
        <w:pStyle w:val="Heading1"/>
        <w:spacing w:after="200" w:before="400"/>
      </w:pPr>
      <w:r>
        <w:t xml:space="preserve">11. Faisabilité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600"/>
      </w:tblGrid>
      <w:tr>
        <w:trPr>
          <w:tblHeader/>
        </w:trPr>
        <w:tc>
          <w:tcPr>
            <w:tcW w:type="dxa" w:w="2000"/>
            <w:shd w:fill="534AB7" w:color="auto" w:val="clear"/>
            <w:tcMar>
              <w:top w:type="dxa" w:w="100"/>
              <w:left w:type="dxa" w:w="120"/>
              <w:bottom w:type="dxa" w:w="100"/>
              <w:right w:type="dxa" w:w="120"/>
            </w:tcMar>
            <w:vAlign w:val="center"/>
          </w:tcPr>
          <w:p>
            <w:r>
              <w:rPr>
                <w:b/>
                <w:bCs/>
                <w:color w:val="FFFFFF"/>
                <w:sz w:val="20"/>
                <w:szCs w:val="20"/>
              </w:rPr>
              <w:t xml:space="preserve">Critère</w:t>
            </w:r>
          </w:p>
        </w:tc>
        <w:tc>
          <w:tcPr>
            <w:tcW w:type="dxa" w:w="1400"/>
            <w:shd w:fill="534AB7" w:color="auto" w:val="clear"/>
            <w:tcMar>
              <w:top w:type="dxa" w:w="100"/>
              <w:left w:type="dxa" w:w="120"/>
              <w:bottom w:type="dxa" w:w="100"/>
              <w:right w:type="dxa" w:w="120"/>
            </w:tcMar>
            <w:vAlign w:val="center"/>
          </w:tcPr>
          <w:p>
            <w:r>
              <w:rPr>
                <w:b/>
                <w:bCs/>
                <w:color w:val="FFFFFF"/>
                <w:sz w:val="20"/>
                <w:szCs w:val="20"/>
              </w:rPr>
              <w:t xml:space="preserve">Score</w:t>
            </w:r>
          </w:p>
        </w:tc>
        <w:tc>
          <w:tcPr>
            <w:tcW w:type="dxa" w:w="5600"/>
            <w:shd w:fill="534AB7" w:color="auto" w:val="clear"/>
            <w:tcMar>
              <w:top w:type="dxa" w:w="100"/>
              <w:left w:type="dxa" w:w="120"/>
              <w:bottom w:type="dxa" w:w="100"/>
              <w:right w:type="dxa" w:w="120"/>
            </w:tcMar>
            <w:vAlign w:val="center"/>
          </w:tcPr>
          <w:p>
            <w:r>
              <w:rPr>
                <w:b/>
                <w:bCs/>
                <w:color w:val="FFFFFF"/>
                <w:sz w:val="20"/>
                <w:szCs w:val="20"/>
              </w:rPr>
              <w:t xml:space="preserve">Explication</w:t>
            </w:r>
          </w:p>
        </w:tc>
      </w:tr>
      <w:tr>
        <w:tc>
          <w:tcPr>
            <w:tcW w:type="dxa" w:w="2000"/>
            <w:shd w:fill="EEEDFE" w:color="auto" w:val="clear"/>
            <w:tcMar>
              <w:top w:type="dxa" w:w="90"/>
              <w:left w:type="dxa" w:w="120"/>
              <w:bottom w:type="dxa" w:w="90"/>
              <w:right w:type="dxa" w:w="120"/>
            </w:tcMar>
            <w:vAlign w:val="center"/>
          </w:tcPr>
          <w:p>
            <w:r>
              <w:rPr>
                <w:sz w:val="19"/>
                <w:szCs w:val="19"/>
              </w:rPr>
              <w:t xml:space="preserve">Technique</w:t>
            </w:r>
          </w:p>
        </w:tc>
        <w:tc>
          <w:tcPr>
            <w:tcW w:type="dxa" w:w="1400"/>
            <w:shd w:fill="EEEDFE" w:color="auto" w:val="clear"/>
            <w:tcMar>
              <w:top w:type="dxa" w:w="90"/>
              <w:left w:type="dxa" w:w="120"/>
              <w:bottom w:type="dxa" w:w="90"/>
              <w:right w:type="dxa" w:w="120"/>
            </w:tcMar>
            <w:vAlign w:val="center"/>
          </w:tcPr>
          <w:p>
            <w:r>
              <w:rPr>
                <w:sz w:val="19"/>
                <w:szCs w:val="19"/>
              </w:rPr>
              <w:t xml:space="preserve">80 %</w:t>
            </w:r>
          </w:p>
        </w:tc>
        <w:tc>
          <w:tcPr>
            <w:tcW w:type="dxa" w:w="5600"/>
            <w:shd w:fill="EEEDFE" w:color="auto" w:val="clear"/>
            <w:tcMar>
              <w:top w:type="dxa" w:w="90"/>
              <w:left w:type="dxa" w:w="120"/>
              <w:bottom w:type="dxa" w:w="90"/>
              <w:right w:type="dxa" w:w="120"/>
            </w:tcMar>
            <w:vAlign w:val="center"/>
          </w:tcPr>
          <w:p>
            <w:r>
              <w:rPr>
                <w:sz w:val="19"/>
                <w:szCs w:val="19"/>
              </w:rPr>
              <w:t xml:space="preserve">Stack maîtrisée, périmètre volontairement réduit à 4 fonctionnalités</w:t>
            </w:r>
          </w:p>
        </w:tc>
      </w:tr>
      <w:tr>
        <w:tc>
          <w:tcPr>
            <w:tcW w:type="dxa" w:w="2000"/>
            <w:shd w:fill="FFFFFF" w:color="auto" w:val="clear"/>
            <w:tcMar>
              <w:top w:type="dxa" w:w="90"/>
              <w:left w:type="dxa" w:w="120"/>
              <w:bottom w:type="dxa" w:w="90"/>
              <w:right w:type="dxa" w:w="120"/>
            </w:tcMar>
            <w:vAlign w:val="center"/>
          </w:tcPr>
          <w:p>
            <w:r>
              <w:rPr>
                <w:sz w:val="19"/>
                <w:szCs w:val="19"/>
              </w:rPr>
              <w:t xml:space="preserve">Économique</w:t>
            </w:r>
          </w:p>
        </w:tc>
        <w:tc>
          <w:tcPr>
            <w:tcW w:type="dxa" w:w="1400"/>
            <w:shd w:fill="FFFFFF" w:color="auto" w:val="clear"/>
            <w:tcMar>
              <w:top w:type="dxa" w:w="90"/>
              <w:left w:type="dxa" w:w="120"/>
              <w:bottom w:type="dxa" w:w="90"/>
              <w:right w:type="dxa" w:w="120"/>
            </w:tcMar>
            <w:vAlign w:val="center"/>
          </w:tcPr>
          <w:p>
            <w:r>
              <w:rPr>
                <w:sz w:val="19"/>
                <w:szCs w:val="19"/>
              </w:rPr>
              <w:t xml:space="preserve">60 %</w:t>
            </w:r>
          </w:p>
        </w:tc>
        <w:tc>
          <w:tcPr>
            <w:tcW w:type="dxa" w:w="5600"/>
            <w:shd w:fill="FFFFFF" w:color="auto" w:val="clear"/>
            <w:tcMar>
              <w:top w:type="dxa" w:w="90"/>
              <w:left w:type="dxa" w:w="120"/>
              <w:bottom w:type="dxa" w:w="90"/>
              <w:right w:type="dxa" w:w="120"/>
            </w:tcMar>
            <w:vAlign w:val="center"/>
          </w:tcPr>
          <w:p>
            <w:r>
              <w:rPr>
                <w:sz w:val="19"/>
                <w:szCs w:val="19"/>
              </w:rPr>
              <w:t xml:space="preserve">Modèle économique à valider post-MVP (partenariats B2G/B2B en vision)</w:t>
            </w:r>
          </w:p>
        </w:tc>
      </w:tr>
      <w:tr>
        <w:tc>
          <w:tcPr>
            <w:tcW w:type="dxa" w:w="2000"/>
            <w:shd w:fill="EEEDFE" w:color="auto" w:val="clear"/>
            <w:tcMar>
              <w:top w:type="dxa" w:w="90"/>
              <w:left w:type="dxa" w:w="120"/>
              <w:bottom w:type="dxa" w:w="90"/>
              <w:right w:type="dxa" w:w="120"/>
            </w:tcMar>
            <w:vAlign w:val="center"/>
          </w:tcPr>
          <w:p>
            <w:r>
              <w:rPr>
                <w:sz w:val="19"/>
                <w:szCs w:val="19"/>
              </w:rPr>
              <w:t xml:space="preserve">Déploiement</w:t>
            </w:r>
          </w:p>
        </w:tc>
        <w:tc>
          <w:tcPr>
            <w:tcW w:type="dxa" w:w="1400"/>
            <w:shd w:fill="EEEDFE" w:color="auto" w:val="clear"/>
            <w:tcMar>
              <w:top w:type="dxa" w:w="90"/>
              <w:left w:type="dxa" w:w="120"/>
              <w:bottom w:type="dxa" w:w="90"/>
              <w:right w:type="dxa" w:w="120"/>
            </w:tcMar>
            <w:vAlign w:val="center"/>
          </w:tcPr>
          <w:p>
            <w:r>
              <w:rPr>
                <w:sz w:val="19"/>
                <w:szCs w:val="19"/>
              </w:rPr>
              <w:t xml:space="preserve">70 %</w:t>
            </w:r>
          </w:p>
        </w:tc>
        <w:tc>
          <w:tcPr>
            <w:tcW w:type="dxa" w:w="5600"/>
            <w:shd w:fill="EEEDFE" w:color="auto" w:val="clear"/>
            <w:tcMar>
              <w:top w:type="dxa" w:w="90"/>
              <w:left w:type="dxa" w:w="120"/>
              <w:bottom w:type="dxa" w:w="90"/>
              <w:right w:type="dxa" w:w="120"/>
            </w:tcMar>
            <w:vAlign w:val="center"/>
          </w:tcPr>
          <w:p>
            <w:r>
              <w:rPr>
                <w:sz w:val="19"/>
                <w:szCs w:val="19"/>
              </w:rPr>
              <w:t xml:space="preserve">Déploiement simple (Heroku/Render/VPS), pas d'infrastructure lourde requise pour la démo</w:t>
            </w:r>
          </w:p>
        </w:tc>
      </w:tr>
      <w:tr>
        <w:tc>
          <w:tcPr>
            <w:tcW w:type="dxa" w:w="2000"/>
            <w:shd w:fill="FFFFFF" w:color="auto" w:val="clear"/>
            <w:tcMar>
              <w:top w:type="dxa" w:w="90"/>
              <w:left w:type="dxa" w:w="120"/>
              <w:bottom w:type="dxa" w:w="90"/>
              <w:right w:type="dxa" w:w="120"/>
            </w:tcMar>
            <w:vAlign w:val="center"/>
          </w:tcPr>
          <w:p>
            <w:r>
              <w:rPr>
                <w:sz w:val="19"/>
                <w:szCs w:val="19"/>
              </w:rPr>
              <w:t xml:space="preserve">Adoption</w:t>
            </w:r>
          </w:p>
        </w:tc>
        <w:tc>
          <w:tcPr>
            <w:tcW w:type="dxa" w:w="1400"/>
            <w:shd w:fill="FFFFFF" w:color="auto" w:val="clear"/>
            <w:tcMar>
              <w:top w:type="dxa" w:w="90"/>
              <w:left w:type="dxa" w:w="120"/>
              <w:bottom w:type="dxa" w:w="90"/>
              <w:right w:type="dxa" w:w="120"/>
            </w:tcMar>
            <w:vAlign w:val="center"/>
          </w:tcPr>
          <w:p>
            <w:r>
              <w:rPr>
                <w:sz w:val="19"/>
                <w:szCs w:val="19"/>
              </w:rPr>
              <w:t xml:space="preserve">65 %</w:t>
            </w:r>
          </w:p>
        </w:tc>
        <w:tc>
          <w:tcPr>
            <w:tcW w:type="dxa" w:w="5600"/>
            <w:shd w:fill="FFFFFF" w:color="auto" w:val="clear"/>
            <w:tcMar>
              <w:top w:type="dxa" w:w="90"/>
              <w:left w:type="dxa" w:w="120"/>
              <w:bottom w:type="dxa" w:w="90"/>
              <w:right w:type="dxa" w:w="120"/>
            </w:tcMar>
            <w:vAlign w:val="center"/>
          </w:tcPr>
          <w:p>
            <w:r>
              <w:rPr>
                <w:sz w:val="19"/>
                <w:szCs w:val="19"/>
              </w:rPr>
              <w:t xml:space="preserve">Dépendra de la qualité des données réelles obtenues après la compétition</w:t>
            </w:r>
          </w:p>
        </w:tc>
      </w:tr>
      <w:tr>
        <w:tc>
          <w:tcPr>
            <w:tcW w:type="dxa" w:w="2000"/>
            <w:shd w:fill="EEEDFE" w:color="auto" w:val="clear"/>
            <w:tcMar>
              <w:top w:type="dxa" w:w="90"/>
              <w:left w:type="dxa" w:w="120"/>
              <w:bottom w:type="dxa" w:w="90"/>
              <w:right w:type="dxa" w:w="120"/>
            </w:tcMar>
            <w:vAlign w:val="center"/>
          </w:tcPr>
          <w:p>
            <w:r>
              <w:rPr>
                <w:sz w:val="19"/>
                <w:szCs w:val="19"/>
              </w:rPr>
              <w:t xml:space="preserve">Impact</w:t>
            </w:r>
          </w:p>
        </w:tc>
        <w:tc>
          <w:tcPr>
            <w:tcW w:type="dxa" w:w="1400"/>
            <w:shd w:fill="EEEDFE" w:color="auto" w:val="clear"/>
            <w:tcMar>
              <w:top w:type="dxa" w:w="90"/>
              <w:left w:type="dxa" w:w="120"/>
              <w:bottom w:type="dxa" w:w="90"/>
              <w:right w:type="dxa" w:w="120"/>
            </w:tcMar>
            <w:vAlign w:val="center"/>
          </w:tcPr>
          <w:p>
            <w:r>
              <w:rPr>
                <w:sz w:val="19"/>
                <w:szCs w:val="19"/>
              </w:rPr>
              <w:t xml:space="preserve">85 %</w:t>
            </w:r>
          </w:p>
        </w:tc>
        <w:tc>
          <w:tcPr>
            <w:tcW w:type="dxa" w:w="5600"/>
            <w:shd w:fill="EEEDFE" w:color="auto" w:val="clear"/>
            <w:tcMar>
              <w:top w:type="dxa" w:w="90"/>
              <w:left w:type="dxa" w:w="120"/>
              <w:bottom w:type="dxa" w:w="90"/>
              <w:right w:type="dxa" w:w="120"/>
            </w:tcMar>
            <w:vAlign w:val="center"/>
          </w:tcPr>
          <w:p>
            <w:r>
              <w:rPr>
                <w:sz w:val="19"/>
                <w:szCs w:val="19"/>
              </w:rPr>
              <w:t xml:space="preserve">Fort ancrage local et alignement direct avec le thème environnemental et inclusif</w:t>
            </w:r>
          </w:p>
        </w:tc>
      </w:tr>
    </w:tbl>
    <w:p>
      <w:pPr>
        <w:spacing w:after="200"/>
      </w:pPr>
    </w:p>
    <w:p>
      <w:pPr>
        <w:pStyle w:val="Heading1"/>
        <w:spacing w:after="200" w:before="400"/>
      </w:pPr>
      <w:r>
        <w:t xml:space="preserve">12. Stratégie de démonstration jury</w:t>
      </w:r>
    </w:p>
    <w:p>
      <w:pPr>
        <w:spacing w:after="160"/>
      </w:pPr>
      <w:r>
        <w:t xml:space="preserve">Scénario : « Awa veut aller de Cocody à Plateau. »</w:t>
      </w:r>
    </w:p>
    <w:p>
      <w:pPr>
        <w:pStyle w:val="ListParagraph"/>
        <w:numPr>
          <w:ilvl w:val="0"/>
          <w:numId w:val="1"/>
        </w:numPr>
        <w:spacing w:after="80"/>
      </w:pPr>
      <w:r>
        <w:t xml:space="preserve">Elle ouvre l'application et voit le score de congestion prédit à T+15 minutes sur son trajet</w:t>
      </w:r>
    </w:p>
    <w:p>
      <w:pPr>
        <w:pStyle w:val="ListParagraph"/>
        <w:numPr>
          <w:ilvl w:val="0"/>
          <w:numId w:val="1"/>
        </w:numPr>
        <w:spacing w:after="80"/>
      </w:pPr>
      <w:r>
        <w:t xml:space="preserve">Une alerte pluie / inondation apparaît sur un segment historiquement inondable</w:t>
      </w:r>
    </w:p>
    <w:p>
      <w:pPr>
        <w:pStyle w:val="ListParagraph"/>
        <w:numPr>
          <w:ilvl w:val="0"/>
          <w:numId w:val="1"/>
        </w:numPr>
        <w:spacing w:after="80"/>
      </w:pPr>
      <w:r>
        <w:t xml:space="preserve">Elle signale un ralentissement supplémentaire, automatiquement fusionné avec un signalement existant</w:t>
      </w:r>
    </w:p>
    <w:p>
      <w:pPr>
        <w:pStyle w:val="ListParagraph"/>
        <w:numPr>
          <w:ilvl w:val="0"/>
          <w:numId w:val="1"/>
        </w:numPr>
        <w:spacing w:after="80"/>
      </w:pPr>
      <w:r>
        <w:t xml:space="preserve">Côté autorité, l'agent voit ce segment remonter dans le top 5 des zones critiques de son dashboard et peut décider d'une intervention</w:t>
      </w:r>
    </w:p>
    <w:p>
      <w:pPr>
        <w:spacing w:after="200"/>
      </w:pPr>
    </w:p>
    <w:p>
      <w:pPr>
        <w:pStyle w:val="Heading1"/>
        <w:spacing w:after="200" w:before="400"/>
      </w:pPr>
      <w:r>
        <w:t xml:space="preserve">13. Analyse concurrentielle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00"/>
      </w:tblGrid>
      <w:tr>
        <w:trPr>
          <w:tblHeader/>
        </w:trPr>
        <w:tc>
          <w:tcPr>
            <w:tcW w:type="dxa" w:w="2200"/>
            <w:shd w:fill="534AB7" w:color="auto" w:val="clear"/>
            <w:tcMar>
              <w:top w:type="dxa" w:w="100"/>
              <w:left w:type="dxa" w:w="120"/>
              <w:bottom w:type="dxa" w:w="100"/>
              <w:right w:type="dxa" w:w="120"/>
            </w:tcMar>
            <w:vAlign w:val="center"/>
          </w:tcPr>
          <w:p>
            <w:r>
              <w:rPr>
                <w:b/>
                <w:bCs/>
                <w:color w:val="FFFFFF"/>
                <w:sz w:val="20"/>
                <w:szCs w:val="20"/>
              </w:rPr>
              <w:t xml:space="preserve">Solution</w:t>
            </w:r>
          </w:p>
        </w:tc>
        <w:tc>
          <w:tcPr>
            <w:tcW w:type="dxa" w:w="3800"/>
            <w:shd w:fill="534AB7" w:color="auto" w:val="clear"/>
            <w:tcMar>
              <w:top w:type="dxa" w:w="100"/>
              <w:left w:type="dxa" w:w="120"/>
              <w:bottom w:type="dxa" w:w="100"/>
              <w:right w:type="dxa" w:w="120"/>
            </w:tcMar>
            <w:vAlign w:val="center"/>
          </w:tcPr>
          <w:p>
            <w:r>
              <w:rPr>
                <w:b/>
                <w:bCs/>
                <w:color w:val="FFFFFF"/>
                <w:sz w:val="20"/>
                <w:szCs w:val="20"/>
              </w:rPr>
              <w:t xml:space="preserve">Ce qu'elle fait</w:t>
            </w:r>
          </w:p>
        </w:tc>
        <w:tc>
          <w:tcPr>
            <w:tcW w:type="dxa" w:w="3000"/>
            <w:shd w:fill="534AB7" w:color="auto" w:val="clear"/>
            <w:tcMar>
              <w:top w:type="dxa" w:w="100"/>
              <w:left w:type="dxa" w:w="120"/>
              <w:bottom w:type="dxa" w:w="100"/>
              <w:right w:type="dxa" w:w="120"/>
            </w:tcMar>
            <w:vAlign w:val="center"/>
          </w:tcPr>
          <w:p>
            <w:r>
              <w:rPr>
                <w:b/>
                <w:bCs/>
                <w:color w:val="FFFFFF"/>
                <w:sz w:val="20"/>
                <w:szCs w:val="20"/>
              </w:rPr>
              <w:t xml:space="preserve">Limites</w:t>
            </w:r>
          </w:p>
        </w:tc>
      </w:tr>
      <w:tr>
        <w:tc>
          <w:tcPr>
            <w:tcW w:type="dxa" w:w="2200"/>
            <w:shd w:fill="EEEDFE" w:color="auto" w:val="clear"/>
            <w:tcMar>
              <w:top w:type="dxa" w:w="90"/>
              <w:left w:type="dxa" w:w="120"/>
              <w:bottom w:type="dxa" w:w="90"/>
              <w:right w:type="dxa" w:w="120"/>
            </w:tcMar>
            <w:vAlign w:val="center"/>
          </w:tcPr>
          <w:p>
            <w:r>
              <w:rPr>
                <w:sz w:val="19"/>
                <w:szCs w:val="19"/>
              </w:rPr>
              <w:t xml:space="preserve">Google Maps</w:t>
            </w:r>
          </w:p>
        </w:tc>
        <w:tc>
          <w:tcPr>
            <w:tcW w:type="dxa" w:w="3800"/>
            <w:shd w:fill="EEEDFE" w:color="auto" w:val="clear"/>
            <w:tcMar>
              <w:top w:type="dxa" w:w="90"/>
              <w:left w:type="dxa" w:w="120"/>
              <w:bottom w:type="dxa" w:w="90"/>
              <w:right w:type="dxa" w:w="120"/>
            </w:tcMar>
            <w:vAlign w:val="center"/>
          </w:tcPr>
          <w:p>
            <w:r>
              <w:rPr>
                <w:sz w:val="19"/>
                <w:szCs w:val="19"/>
              </w:rPr>
              <w:t xml:space="preserve">Navigation, estimation du trafic</w:t>
            </w:r>
          </w:p>
        </w:tc>
        <w:tc>
          <w:tcPr>
            <w:tcW w:type="dxa" w:w="3000"/>
            <w:shd w:fill="EEEDFE" w:color="auto" w:val="clear"/>
            <w:tcMar>
              <w:top w:type="dxa" w:w="90"/>
              <w:left w:type="dxa" w:w="120"/>
              <w:bottom w:type="dxa" w:w="90"/>
              <w:right w:type="dxa" w:w="120"/>
            </w:tcMar>
            <w:vAlign w:val="center"/>
          </w:tcPr>
          <w:p>
            <w:r>
              <w:rPr>
                <w:sz w:val="19"/>
                <w:szCs w:val="19"/>
              </w:rPr>
              <w:t xml:space="preserve">Peu adaptée aux réalités locales</w:t>
            </w:r>
          </w:p>
        </w:tc>
      </w:tr>
      <w:tr>
        <w:tc>
          <w:tcPr>
            <w:tcW w:type="dxa" w:w="2200"/>
            <w:shd w:fill="FFFFFF" w:color="auto" w:val="clear"/>
            <w:tcMar>
              <w:top w:type="dxa" w:w="90"/>
              <w:left w:type="dxa" w:w="120"/>
              <w:bottom w:type="dxa" w:w="90"/>
              <w:right w:type="dxa" w:w="120"/>
            </w:tcMar>
            <w:vAlign w:val="center"/>
          </w:tcPr>
          <w:p>
            <w:r>
              <w:rPr>
                <w:sz w:val="19"/>
                <w:szCs w:val="19"/>
              </w:rPr>
              <w:t xml:space="preserve">Waze</w:t>
            </w:r>
          </w:p>
        </w:tc>
        <w:tc>
          <w:tcPr>
            <w:tcW w:type="dxa" w:w="3800"/>
            <w:shd w:fill="FFFFFF" w:color="auto" w:val="clear"/>
            <w:tcMar>
              <w:top w:type="dxa" w:w="90"/>
              <w:left w:type="dxa" w:w="120"/>
              <w:bottom w:type="dxa" w:w="90"/>
              <w:right w:type="dxa" w:w="120"/>
            </w:tcMar>
            <w:vAlign w:val="center"/>
          </w:tcPr>
          <w:p>
            <w:r>
              <w:rPr>
                <w:sz w:val="19"/>
                <w:szCs w:val="19"/>
              </w:rPr>
              <w:t xml:space="preserve">Signalement communautaire, trafic temps réel</w:t>
            </w:r>
          </w:p>
        </w:tc>
        <w:tc>
          <w:tcPr>
            <w:tcW w:type="dxa" w:w="3000"/>
            <w:shd w:fill="FFFFFF" w:color="auto" w:val="clear"/>
            <w:tcMar>
              <w:top w:type="dxa" w:w="90"/>
              <w:left w:type="dxa" w:w="120"/>
              <w:bottom w:type="dxa" w:w="90"/>
              <w:right w:type="dxa" w:w="120"/>
            </w:tcMar>
            <w:vAlign w:val="center"/>
          </w:tcPr>
          <w:p>
            <w:r>
              <w:rPr>
                <w:sz w:val="19"/>
                <w:szCs w:val="19"/>
              </w:rPr>
              <w:t xml:space="preserve">Dépend fortement de la taille de sa communauté locale</w:t>
            </w:r>
          </w:p>
        </w:tc>
      </w:tr>
      <w:tr>
        <w:tc>
          <w:tcPr>
            <w:tcW w:type="dxa" w:w="2200"/>
            <w:shd w:fill="EEEDFE" w:color="auto" w:val="clear"/>
            <w:tcMar>
              <w:top w:type="dxa" w:w="90"/>
              <w:left w:type="dxa" w:w="120"/>
              <w:bottom w:type="dxa" w:w="90"/>
              <w:right w:type="dxa" w:w="120"/>
            </w:tcMar>
            <w:vAlign w:val="center"/>
          </w:tcPr>
          <w:p>
            <w:r>
              <w:rPr>
                <w:sz w:val="19"/>
                <w:szCs w:val="19"/>
              </w:rPr>
              <w:t xml:space="preserve">FER FM</w:t>
            </w:r>
          </w:p>
        </w:tc>
        <w:tc>
          <w:tcPr>
            <w:tcW w:type="dxa" w:w="3800"/>
            <w:shd w:fill="EEEDFE" w:color="auto" w:val="clear"/>
            <w:tcMar>
              <w:top w:type="dxa" w:w="90"/>
              <w:left w:type="dxa" w:w="120"/>
              <w:bottom w:type="dxa" w:w="90"/>
              <w:right w:type="dxa" w:w="120"/>
            </w:tcMar>
            <w:vAlign w:val="center"/>
          </w:tcPr>
          <w:p>
            <w:r>
              <w:rPr>
                <w:sz w:val="19"/>
                <w:szCs w:val="19"/>
              </w:rPr>
              <w:t xml:space="preserve">Informations routières, sécurité routière</w:t>
            </w:r>
          </w:p>
        </w:tc>
        <w:tc>
          <w:tcPr>
            <w:tcW w:type="dxa" w:w="3000"/>
            <w:shd w:fill="EEEDFE" w:color="auto" w:val="clear"/>
            <w:tcMar>
              <w:top w:type="dxa" w:w="90"/>
              <w:left w:type="dxa" w:w="120"/>
              <w:bottom w:type="dxa" w:w="90"/>
              <w:right w:type="dxa" w:w="120"/>
            </w:tcMar>
            <w:vAlign w:val="center"/>
          </w:tcPr>
          <w:p>
            <w:r>
              <w:rPr>
                <w:sz w:val="19"/>
                <w:szCs w:val="19"/>
              </w:rPr>
              <w:t xml:space="preserve">Informe mais n'optimise pas avec de l'IA</w:t>
            </w:r>
          </w:p>
        </w:tc>
      </w:tr>
      <w:tr>
        <w:tc>
          <w:tcPr>
            <w:tcW w:type="dxa" w:w="2200"/>
            <w:shd w:fill="FFFFFF" w:color="auto" w:val="clear"/>
            <w:tcMar>
              <w:top w:type="dxa" w:w="90"/>
              <w:left w:type="dxa" w:w="120"/>
              <w:bottom w:type="dxa" w:w="90"/>
              <w:right w:type="dxa" w:w="120"/>
            </w:tcMar>
            <w:vAlign w:val="center"/>
          </w:tcPr>
          <w:p>
            <w:r>
              <w:rPr>
                <w:sz w:val="19"/>
                <w:szCs w:val="19"/>
              </w:rPr>
              <w:t xml:space="preserve">Kelway (initiative locale)</w:t>
            </w:r>
          </w:p>
        </w:tc>
        <w:tc>
          <w:tcPr>
            <w:tcW w:type="dxa" w:w="3800"/>
            <w:shd w:fill="FFFFFF" w:color="auto" w:val="clear"/>
            <w:tcMar>
              <w:top w:type="dxa" w:w="90"/>
              <w:left w:type="dxa" w:w="120"/>
              <w:bottom w:type="dxa" w:w="90"/>
              <w:right w:type="dxa" w:w="120"/>
            </w:tcMar>
            <w:vAlign w:val="center"/>
          </w:tcPr>
          <w:p>
            <w:r>
              <w:rPr>
                <w:sz w:val="19"/>
                <w:szCs w:val="19"/>
              </w:rPr>
              <w:t xml:space="preserve">Signalement communautaire</w:t>
            </w:r>
          </w:p>
        </w:tc>
        <w:tc>
          <w:tcPr>
            <w:tcW w:type="dxa" w:w="3000"/>
            <w:shd w:fill="FFFFFF" w:color="auto" w:val="clear"/>
            <w:tcMar>
              <w:top w:type="dxa" w:w="90"/>
              <w:left w:type="dxa" w:w="120"/>
              <w:bottom w:type="dxa" w:w="90"/>
              <w:right w:type="dxa" w:w="120"/>
            </w:tcMar>
            <w:vAlign w:val="center"/>
          </w:tcPr>
          <w:p>
            <w:r>
              <w:rPr>
                <w:sz w:val="19"/>
                <w:szCs w:val="19"/>
              </w:rPr>
              <w:t xml:space="preserve">Peu maintenue, couverture limitée</w:t>
            </w:r>
          </w:p>
        </w:tc>
      </w:tr>
      <w:tr>
        <w:tc>
          <w:tcPr>
            <w:tcW w:type="dxa" w:w="2200"/>
            <w:shd w:fill="EEEDFE" w:color="auto" w:val="clear"/>
            <w:tcMar>
              <w:top w:type="dxa" w:w="90"/>
              <w:left w:type="dxa" w:w="120"/>
              <w:bottom w:type="dxa" w:w="90"/>
              <w:right w:type="dxa" w:w="120"/>
            </w:tcMar>
            <w:vAlign w:val="center"/>
          </w:tcPr>
          <w:p>
            <w:r>
              <w:rPr>
                <w:sz w:val="19"/>
                <w:szCs w:val="19"/>
              </w:rPr>
              <w:t xml:space="preserve">CityFlow AI</w:t>
            </w:r>
          </w:p>
        </w:tc>
        <w:tc>
          <w:tcPr>
            <w:tcW w:type="dxa" w:w="3800"/>
            <w:shd w:fill="EEEDFE" w:color="auto" w:val="clear"/>
            <w:tcMar>
              <w:top w:type="dxa" w:w="90"/>
              <w:left w:type="dxa" w:w="120"/>
              <w:bottom w:type="dxa" w:w="90"/>
              <w:right w:type="dxa" w:w="120"/>
            </w:tcMar>
            <w:vAlign w:val="center"/>
          </w:tcPr>
          <w:p>
            <w:r>
              <w:rPr>
                <w:sz w:val="19"/>
                <w:szCs w:val="19"/>
              </w:rPr>
              <w:t xml:space="preserve">Prédiction T+15min + lien météo/inondation + signalement + dashboard autorités</w:t>
            </w:r>
          </w:p>
        </w:tc>
        <w:tc>
          <w:tcPr>
            <w:tcW w:type="dxa" w:w="3000"/>
            <w:shd w:fill="EEEDFE" w:color="auto" w:val="clear"/>
            <w:tcMar>
              <w:top w:type="dxa" w:w="90"/>
              <w:left w:type="dxa" w:w="120"/>
              <w:bottom w:type="dxa" w:w="90"/>
              <w:right w:type="dxa" w:w="120"/>
            </w:tcMar>
            <w:vAlign w:val="center"/>
          </w:tcPr>
          <w:p>
            <w:r>
              <w:rPr>
                <w:sz w:val="19"/>
                <w:szCs w:val="19"/>
              </w:rPr>
              <w:t xml:space="preserve">MVP reposant sur données simulées à ce stade</w:t>
            </w:r>
          </w:p>
        </w:tc>
      </w:tr>
    </w:tbl>
    <w:p>
      <w:pPr>
        <w:spacing w:after="160"/>
      </w:pPr>
      <w:r>
        <w:t xml:space="preserve">Différenciation : CityFlow AI n'est pas positionné comme un concurrent direct de Google Maps ou Waze, mais comme une infrastructure d'aide à la décision pour la mobilité intelligente, ancrée dans les réalités ivoiriennes (pluies, inondations) et ouverte aux autorités locales.</w:t>
      </w:r>
    </w:p>
    <w:p>
      <w:pPr>
        <w:spacing w:after="200"/>
      </w:pPr>
    </w:p>
    <w:p>
      <w:pPr>
        <w:pStyle w:val="Heading1"/>
        <w:spacing w:after="200" w:before="400"/>
      </w:pPr>
      <w:r>
        <w:t xml:space="preserve">14. Potentiel startup (vision, hors MVP)</w:t>
      </w:r>
    </w:p>
    <w:p>
      <w:pPr>
        <w:spacing w:after="160"/>
      </w:pPr>
      <w:r>
        <w:t xml:space="preserve">À présenter uniquement comme vision, non comme livrable de la compétition :</w:t>
      </w:r>
    </w:p>
    <w:p>
      <w:pPr>
        <w:pStyle w:val="ListParagraph"/>
        <w:numPr>
          <w:ilvl w:val="0"/>
          <w:numId w:val="1"/>
        </w:numPr>
        <w:spacing w:after="80"/>
      </w:pPr>
      <w:r>
        <w:t xml:space="preserve">Partenariats B2G envisageables (mairies, ministère des Transports)</w:t>
      </w:r>
    </w:p>
    <w:p>
      <w:pPr>
        <w:pStyle w:val="ListParagraph"/>
        <w:numPr>
          <w:ilvl w:val="0"/>
          <w:numId w:val="1"/>
        </w:numPr>
        <w:spacing w:after="80"/>
      </w:pPr>
      <w:r>
        <w:t xml:space="preserve">API B2B pour la logistique, envisageable post-MVP</w:t>
      </w:r>
    </w:p>
    <w:p>
      <w:pPr>
        <w:pStyle w:val="ListParagraph"/>
        <w:numPr>
          <w:ilvl w:val="0"/>
          <w:numId w:val="1"/>
        </w:numPr>
        <w:spacing w:after="80"/>
      </w:pPr>
      <w:r>
        <w:t xml:space="preserve">Extension à d'autres villes ivoiriennes, puis ouest-africaines</w:t>
      </w:r>
    </w:p>
    <w:p>
      <w:pPr>
        <w:spacing w:after="200"/>
      </w:pPr>
    </w:p>
    <w:p>
      <w:pPr>
        <w:pStyle w:val="Heading1"/>
        <w:spacing w:after="200" w:before="400"/>
      </w:pPr>
      <w:r>
        <w:t xml:space="preserve">15. Conclusion jury — pourquoi ce projet mérite de gagner</w:t>
      </w:r>
    </w:p>
    <w:p>
      <w:pPr>
        <w:pStyle w:val="ListParagraph"/>
        <w:numPr>
          <w:ilvl w:val="0"/>
          <w:numId w:val="1"/>
        </w:numPr>
        <w:spacing w:after="80"/>
      </w:pPr>
      <w:r>
        <w:t xml:space="preserve">Ancrage réel dans le thème du Vibeathon : lien explicite pluie/inondation-circulation (environnement) et participation citoyenne au signalement (inclusion)</w:t>
      </w:r>
    </w:p>
    <w:p>
      <w:pPr>
        <w:pStyle w:val="ListParagraph"/>
        <w:numPr>
          <w:ilvl w:val="0"/>
          <w:numId w:val="1"/>
        </w:numPr>
        <w:spacing w:after="80"/>
      </w:pPr>
      <w:r>
        <w:t xml:space="preserve">MVP réaliste et démontrable : 4 fonctionnalités choisies, pas de fonctionnalités irréalisables promises</w:t>
      </w:r>
    </w:p>
    <w:p>
      <w:pPr>
        <w:pStyle w:val="ListParagraph"/>
        <w:numPr>
          <w:ilvl w:val="0"/>
          <w:numId w:val="1"/>
        </w:numPr>
        <w:spacing w:after="80"/>
      </w:pPr>
      <w:r>
        <w:t xml:space="preserve">Transparence méthodologique : le module IA est explicable (facteurs visibles), assumé comme un prototype statistique sur données simulées plutôt qu'une boîte noire surqualifiée</w:t>
      </w:r>
    </w:p>
    <w:p>
      <w:pPr>
        <w:pStyle w:val="ListParagraph"/>
        <w:numPr>
          <w:ilvl w:val="0"/>
          <w:numId w:val="1"/>
        </w:numPr>
        <w:spacing w:after="80"/>
      </w:pPr>
      <w:r>
        <w:t xml:space="preserve">Double bénéficiaire : citoyen et autorité locale, ce qui montre un impact au-delà de l'usager individuel</w:t>
      </w:r>
    </w:p>
    <w:p>
      <w:pPr>
        <w:spacing w:after="160"/>
      </w:pPr>
      <w:r>
        <w:t xml:space="preserve">Regard critique assumé : les données sont simulées, le modèle de prédiction est volontairement simple, et plusieurs fonctionnalités ambitieuses (digital twin, IA comportementale, optimisation d'itinéraire complète) sont explicitement placées en feuille de route plutôt que présentées comme acquises. Ce choix de sincérité sur le périmètre est un argument de crédibilité face au jury, pas une faiblesse à dissimuler.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2026-07-05T20:28:27.250Z</dcterms:created>
  <dcterms:modified xsi:type="dcterms:W3CDTF">2026-07-05T20:28:27.251Z</dcterms:modified>
</cp:coreProperties>
</file>

<file path=docProps/custom.xml><?xml version="1.0" encoding="utf-8"?>
<Properties xmlns="http://schemas.openxmlformats.org/officeDocument/2006/custom-properties" xmlns:vt="http://schemas.openxmlformats.org/officeDocument/2006/docPropsVTypes"/>
</file>