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FA8DC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EMOD modeling.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H. Mahasedra Ratsimbarison (notes from The Institute for Disease Modeling (IDM) website)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“The Institute for Disease Modeling (IDM) develops disease modeling software that is thoroughly tested and shared with the research community to advance the understanding of disease dynamics.”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“This software helps determine the combination of health policies and intervention strategies that can lead to disease eradication.”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Epidemiological MODeling software (EMOD) : “an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u w:val="single"/>
            <w:rtl w:val="0"/>
          </w:rPr>
          <w:t xml:space="preserve">agent-based model</w:t>
        </w:r>
      </w:hyperlink>
      <w:r w:rsidDel="00000000" w:rsidR="00000000" w:rsidRPr="00000000">
        <w:rPr>
          <w:rtl w:val="0"/>
        </w:rPr>
        <w:t xml:space="preserve"> (ABM) that simulates the simultaneous interactions of agents in an effort to recreate complex phenomena.”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EMOD “can be installed on computers running Windows (Windows 10, Windows Server 12, and Windows HPC Server 12 (64-bit)) or Linux (CentOS 7.1).”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dmod.org/docs/general/glossary.html#term-agent-based-model" TargetMode="External"/><Relationship Id="rId7" Type="http://schemas.openxmlformats.org/officeDocument/2006/relationships/hyperlink" Target="https://idmod.org/docs/general/glossary.html#term-agent-based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