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D85C6"/>
  <w:body>
    <w:p w:rsidR="00000000" w:rsidDel="00000000" w:rsidP="00000000" w:rsidRDefault="00000000" w:rsidRPr="00000000" w14:paraId="00000001">
      <w:pPr>
        <w:rPr/>
      </w:pPr>
      <w:r w:rsidDel="00000000" w:rsidR="00000000" w:rsidRPr="00000000">
        <w:rPr>
          <w:rtl w:val="0"/>
        </w:rPr>
        <w:t xml:space="preserve">About </w:t>
      </w:r>
      <w:hyperlink r:id="rId6">
        <w:r w:rsidDel="00000000" w:rsidR="00000000" w:rsidRPr="00000000">
          <w:rPr>
            <w:color w:val="cccccc"/>
            <w:rtl w:val="0"/>
          </w:rPr>
          <w:t xml:space="preserve">covid19_inference_forecast</w:t>
        </w:r>
      </w:hyperlink>
      <w:r w:rsidDel="00000000" w:rsidR="00000000" w:rsidRPr="00000000">
        <w:rPr>
          <w:color w:val="cccccc"/>
          <w:rtl w:val="0"/>
        </w:rPr>
        <w:t xml:space="preserve">/</w:t>
      </w:r>
      <w:hyperlink r:id="rId7">
        <w:r w:rsidDel="00000000" w:rsidR="00000000" w:rsidRPr="00000000">
          <w:rPr>
            <w:color w:val="cccccc"/>
            <w:rtl w:val="0"/>
          </w:rPr>
          <w:t xml:space="preserve">scripts</w:t>
        </w:r>
      </w:hyperlink>
      <w:r w:rsidDel="00000000" w:rsidR="00000000" w:rsidRPr="00000000">
        <w:rPr>
          <w:color w:val="cccccc"/>
          <w:rtl w:val="0"/>
        </w:rPr>
        <w:t xml:space="preserve">/</w:t>
      </w:r>
      <w:hyperlink r:id="rId8">
        <w:r w:rsidDel="00000000" w:rsidR="00000000" w:rsidRPr="00000000">
          <w:rPr>
            <w:color w:val="cccccc"/>
            <w:rtl w:val="0"/>
          </w:rPr>
          <w:t xml:space="preserve">paper</w:t>
        </w:r>
      </w:hyperlink>
      <w:r w:rsidDel="00000000" w:rsidR="00000000" w:rsidRPr="00000000">
        <w:rPr>
          <w:rtl w:val="0"/>
        </w:rPr>
        <w:t xml:space="preserve">/Corona_germany_simple_model.ipynb</w:t>
      </w:r>
    </w:p>
    <w:p w:rsidR="00000000" w:rsidDel="00000000" w:rsidP="00000000" w:rsidRDefault="00000000" w:rsidRPr="00000000" w14:paraId="00000002">
      <w:pPr>
        <w:rPr>
          <w:b w:val="1"/>
        </w:rPr>
      </w:pPr>
      <w:r w:rsidDel="00000000" w:rsidR="00000000" w:rsidRPr="00000000">
        <w:rPr>
          <w:rtl w:val="0"/>
        </w:rPr>
        <w:t xml:space="preserve">It is a simple model (without change points) used in the paper</w:t>
      </w:r>
      <w:r w:rsidDel="00000000" w:rsidR="00000000" w:rsidRPr="00000000">
        <w:rPr>
          <w:b w:val="1"/>
          <w:rtl w:val="0"/>
        </w:rPr>
        <w:t xml:space="preserve"> </w:t>
      </w:r>
      <w:r w:rsidDel="00000000" w:rsidR="00000000" w:rsidRPr="00000000">
        <w:rPr>
          <w:b w:val="1"/>
          <w:rtl w:val="0"/>
        </w:rPr>
        <w:t xml:space="preserve">Inferring COVID-19 spreading rates and potential change points for case number forecasts.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simpler model,which assumed a stationary λ and was fitted only with data until March 15th (Fig. 1 A).” (p. 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Structure of the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Run the simulation: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In[5]</w:t>
      </w:r>
    </w:p>
    <w:p w:rsidR="00000000" w:rsidDel="00000000" w:rsidP="00000000" w:rsidRDefault="00000000" w:rsidRPr="00000000" w14:paraId="0000000A">
      <w:pPr>
        <w:rPr/>
      </w:pPr>
      <w:r w:rsidDel="00000000" w:rsidR="00000000" w:rsidRPr="00000000">
        <w:rPr>
          <w:rtl w:val="0"/>
        </w:rPr>
        <w:t xml:space="preserve">[</w:t>
      </w:r>
      <w:r w:rsidDel="00000000" w:rsidR="00000000" w:rsidRPr="00000000">
        <w:rPr>
          <w:b w:val="1"/>
          <w:rtl w:val="0"/>
        </w:rPr>
        <w:t xml:space="preserve"> Import</w:t>
      </w:r>
      <w:r w:rsidDel="00000000" w:rsidR="00000000" w:rsidRPr="00000000">
        <w:rPr>
          <w:rtl w:val="0"/>
        </w:rPr>
        <w:t xml:space="preserve"> common Python libraries and modules : pandas, numpy, matplotlib.pyplot, scipy.stats, matplotlib, pickle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Input data</w:t>
      </w:r>
      <w:r w:rsidDel="00000000" w:rsidR="00000000" w:rsidRPr="00000000">
        <w:rPr>
          <w:rtl w:val="0"/>
        </w:rPr>
        <w:t xml:space="preserve">: Load the data (confirmed_cases_url, deaths_url) from John Hopkins datacentre.</w:t>
      </w:r>
    </w:p>
    <w:p w:rsidR="00000000" w:rsidDel="00000000" w:rsidP="00000000" w:rsidRDefault="00000000" w:rsidRPr="00000000" w14:paraId="0000000D">
      <w:pPr>
        <w:rPr/>
      </w:pPr>
      <w:r w:rsidDel="00000000" w:rsidR="00000000" w:rsidRPr="00000000">
        <w:rPr>
          <w:b w:val="1"/>
          <w:rtl w:val="0"/>
        </w:rPr>
        <w:t xml:space="preserve">Output &amp; data</w:t>
      </w:r>
      <w:r w:rsidDel="00000000" w:rsidR="00000000" w:rsidRPr="00000000">
        <w:rPr>
          <w:rtl w:val="0"/>
        </w:rPr>
        <w:t xml:space="preserve">: Variable to save figures and data.</w:t>
      </w:r>
    </w:p>
    <w:p w:rsidR="00000000" w:rsidDel="00000000" w:rsidP="00000000" w:rsidRDefault="00000000" w:rsidRPr="00000000" w14:paraId="0000000E">
      <w:pPr>
        <w:rPr/>
      </w:pPr>
      <w:r w:rsidDel="00000000" w:rsidR="00000000" w:rsidRPr="00000000">
        <w:rPr>
          <w:rtl w:val="0"/>
        </w:rPr>
        <w:t xml:space="preserve">path_to_save = '../../figures/'</w:t>
      </w:r>
    </w:p>
    <w:p w:rsidR="00000000" w:rsidDel="00000000" w:rsidP="00000000" w:rsidRDefault="00000000" w:rsidRPr="00000000" w14:paraId="0000000F">
      <w:pPr>
        <w:rPr/>
      </w:pPr>
      <w:r w:rsidDel="00000000" w:rsidR="00000000" w:rsidRPr="00000000">
        <w:rPr>
          <w:rtl w:val="0"/>
        </w:rPr>
        <w:t xml:space="preserve">path_data =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In[2] Construction of inferred new reported case </w:t>
      </w:r>
    </w:p>
    <w:p w:rsidR="00000000" w:rsidDel="00000000" w:rsidP="00000000" w:rsidRDefault="00000000" w:rsidRPr="00000000" w14:paraId="00000012">
      <w:pPr>
        <w:rPr/>
      </w:pPr>
      <w:r w:rsidDel="00000000" w:rsidR="00000000" w:rsidRPr="00000000">
        <w:rPr>
          <w:rtl w:val="0"/>
        </w:rPr>
        <w:t xml:space="preserve">[</w:t>
      </w:r>
      <w:r w:rsidDel="00000000" w:rsidR="00000000" w:rsidRPr="00000000">
        <w:rPr>
          <w:b w:val="1"/>
          <w:rtl w:val="0"/>
        </w:rPr>
        <w:t xml:space="preserve">def</w:t>
      </w:r>
      <w:r w:rsidDel="00000000" w:rsidR="00000000" w:rsidRPr="00000000">
        <w:rPr>
          <w:rtl w:val="0"/>
        </w:rPr>
        <w:t xml:space="preserve"> delay_cases()  with:</w:t>
      </w:r>
    </w:p>
    <w:p w:rsidR="00000000" w:rsidDel="00000000" w:rsidP="00000000" w:rsidRDefault="00000000" w:rsidRPr="00000000" w14:paraId="00000013">
      <w:pPr>
        <w:rPr/>
      </w:pPr>
      <w:r w:rsidDel="00000000" w:rsidR="00000000" w:rsidRPr="00000000">
        <w:rPr>
          <w:rtl w:val="0"/>
        </w:rPr>
        <w:t xml:space="preserve">Arguments: </w:t>
      </w:r>
    </w:p>
    <w:p w:rsidR="00000000" w:rsidDel="00000000" w:rsidP="00000000" w:rsidRDefault="00000000" w:rsidRPr="00000000" w14:paraId="00000014">
      <w:pPr>
        <w:rPr/>
      </w:pPr>
      <w:r w:rsidDel="00000000" w:rsidR="00000000" w:rsidRPr="00000000">
        <w:rPr>
          <w:rtl w:val="0"/>
        </w:rPr>
        <w:t xml:space="preserve">And output</w:t>
      </w:r>
      <w:r w:rsidDel="00000000" w:rsidR="00000000" w:rsidRPr="00000000">
        <w:rPr>
          <w:b w:val="1"/>
          <w:rtl w:val="0"/>
        </w:rPr>
        <w:t xml:space="preserve"> inferred_cases</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In[3]: Forecasting</w:t>
      </w:r>
    </w:p>
    <w:p w:rsidR="00000000" w:rsidDel="00000000" w:rsidP="00000000" w:rsidRDefault="00000000" w:rsidRPr="00000000" w14:paraId="00000017">
      <w:pPr>
        <w:rPr/>
      </w:pPr>
      <w:r w:rsidDel="00000000" w:rsidR="00000000" w:rsidRPr="00000000">
        <w:rPr>
          <w:rtl w:val="0"/>
        </w:rPr>
        <w:t xml:space="preserve">[Imported libraries and modules : pymc3 (on Bayesian statistical modeling),  theano.tensor, theano (for manipulating and evaluating mathematical expressions, especially matrix-valued ones), datetime,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[Initial and final time conditions of the fitting and the prediction.: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Output (run the sim):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Plotting:</w:t>
      </w:r>
    </w:p>
    <w:p w:rsidR="00000000" w:rsidDel="00000000" w:rsidP="00000000" w:rsidRDefault="00000000" w:rsidRPr="00000000" w14:paraId="00000020">
      <w:pPr>
        <w:rPr/>
      </w:pPr>
      <w:r w:rsidDel="00000000" w:rsidR="00000000" w:rsidRPr="00000000">
        <w:rPr>
          <w:rtl w:val="0"/>
        </w:rPr>
        <w:t xml:space="preserve">In [38]</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Output (plotting):</w:t>
      </w:r>
    </w:p>
    <w:p w:rsidR="00000000" w:rsidDel="00000000" w:rsidP="00000000" w:rsidRDefault="00000000" w:rsidRPr="00000000" w14:paraId="00000023">
      <w:pPr>
        <w:rPr/>
      </w:pPr>
      <w:r w:rsidDel="00000000" w:rsidR="00000000" w:rsidRPr="00000000">
        <w:rPr>
          <w:rtl w:val="0"/>
        </w:rPr>
        <w:t xml:space="preserve">2 lines: </w:t>
        <w:tab/>
        <w:t xml:space="preserve">effective m: 1.283 +- 0.043</w:t>
      </w:r>
    </w:p>
    <w:p w:rsidR="00000000" w:rsidDel="00000000" w:rsidP="00000000" w:rsidRDefault="00000000" w:rsidRPr="00000000" w14:paraId="00000024">
      <w:pPr>
        <w:ind w:left="720" w:firstLine="720"/>
        <w:rPr/>
      </w:pPr>
      <w:r w:rsidDel="00000000" w:rsidR="00000000" w:rsidRPr="00000000">
        <w:rPr>
          <w:rtl w:val="0"/>
        </w:rPr>
        <w:t xml:space="preserve">λ: 0.407 [0.317, 0.513]</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and 6 figures: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Figs joined:</w:t>
      </w:r>
    </w:p>
    <w:p w:rsidR="00000000" w:rsidDel="00000000" w:rsidP="00000000" w:rsidRDefault="00000000" w:rsidRPr="00000000" w14:paraId="00000029">
      <w:pPr>
        <w:rPr/>
      </w:pPr>
      <w:r w:rsidDel="00000000" w:rsidR="00000000" w:rsidRPr="00000000">
        <w:rPr>
          <w:rtl w:val="0"/>
        </w:rPr>
        <w:t xml:space="preserve">In [42]</w:t>
      </w:r>
    </w:p>
    <w:p w:rsidR="00000000" w:rsidDel="00000000" w:rsidP="00000000" w:rsidRDefault="00000000" w:rsidRPr="00000000" w14:paraId="0000002A">
      <w:pPr>
        <w:rPr/>
      </w:pPr>
      <w:r w:rsidDel="00000000" w:rsidR="00000000" w:rsidRPr="00000000">
        <w:rPr>
          <w:rtl w:val="0"/>
        </w:rPr>
        <w:t xml:space="preserve">Output (Figs joined):</w:t>
      </w:r>
    </w:p>
    <w:p w:rsidR="00000000" w:rsidDel="00000000" w:rsidP="00000000" w:rsidRDefault="00000000" w:rsidRPr="00000000" w14:paraId="0000002B">
      <w:pPr>
        <w:rPr/>
      </w:pPr>
      <w:r w:rsidDel="00000000" w:rsidR="00000000" w:rsidRPr="00000000">
        <w:rPr>
          <w:rtl w:val="0"/>
        </w:rPr>
        <w:t xml:space="preserve">2 lines: 3012.8599625379575</w:t>
      </w:r>
    </w:p>
    <w:p w:rsidR="00000000" w:rsidDel="00000000" w:rsidP="00000000" w:rsidRDefault="00000000" w:rsidRPr="00000000" w14:paraId="0000002C">
      <w:pPr>
        <w:ind w:firstLine="720"/>
        <w:rPr/>
      </w:pPr>
      <w:r w:rsidDel="00000000" w:rsidR="00000000" w:rsidRPr="00000000">
        <w:rPr>
          <w:rtl w:val="0"/>
        </w:rPr>
        <w:t xml:space="preserve">(25, 25)</w:t>
      </w:r>
    </w:p>
    <w:p w:rsidR="00000000" w:rsidDel="00000000" w:rsidP="00000000" w:rsidRDefault="00000000" w:rsidRPr="00000000" w14:paraId="0000002D">
      <w:pPr>
        <w:ind w:left="0" w:firstLine="0"/>
        <w:rPr/>
      </w:pPr>
      <w:r w:rsidDel="00000000" w:rsidR="00000000" w:rsidRPr="00000000">
        <w:rPr>
          <w:rtl w:val="0"/>
        </w:rPr>
        <w:t xml:space="preserve">and 10 figures.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Main construction of In[2]: delay_cases </w:t>
      </w:r>
    </w:p>
    <w:p w:rsidR="00000000" w:rsidDel="00000000" w:rsidP="00000000" w:rsidRDefault="00000000" w:rsidRPr="00000000" w14:paraId="00000031">
      <w:pPr>
        <w:rPr/>
      </w:pPr>
      <w:r w:rsidDel="00000000" w:rsidR="00000000" w:rsidRPr="00000000">
        <w:rPr>
          <w:rtl w:val="0"/>
        </w:rPr>
        <w:t xml:space="preserve">Arguments/parameters of delay_cases </w:t>
      </w:r>
    </w:p>
    <w:p w:rsidR="00000000" w:rsidDel="00000000" w:rsidP="00000000" w:rsidRDefault="00000000" w:rsidRPr="00000000" w14:paraId="00000032">
      <w:pPr>
        <w:rPr/>
      </w:pPr>
      <w:r w:rsidDel="00000000" w:rsidR="00000000" w:rsidRPr="00000000">
        <w:rPr>
          <w:rtl w:val="0"/>
        </w:rPr>
        <w:t xml:space="preserve">new_I_t, </w:t>
      </w:r>
    </w:p>
    <w:p w:rsidR="00000000" w:rsidDel="00000000" w:rsidP="00000000" w:rsidRDefault="00000000" w:rsidRPr="00000000" w14:paraId="00000033">
      <w:pPr>
        <w:rPr/>
      </w:pPr>
      <w:r w:rsidDel="00000000" w:rsidR="00000000" w:rsidRPr="00000000">
        <w:rPr>
          <w:rtl w:val="0"/>
        </w:rPr>
        <w:t xml:space="preserve">len_new_I_t, </w:t>
      </w:r>
    </w:p>
    <w:p w:rsidR="00000000" w:rsidDel="00000000" w:rsidP="00000000" w:rsidRDefault="00000000" w:rsidRPr="00000000" w14:paraId="00000034">
      <w:pPr>
        <w:rPr/>
      </w:pPr>
      <w:r w:rsidDel="00000000" w:rsidR="00000000" w:rsidRPr="00000000">
        <w:rPr>
          <w:rtl w:val="0"/>
        </w:rPr>
        <w:t xml:space="preserve">len_new_cases_obs ,</w:t>
      </w:r>
    </w:p>
    <w:p w:rsidR="00000000" w:rsidDel="00000000" w:rsidP="00000000" w:rsidRDefault="00000000" w:rsidRPr="00000000" w14:paraId="00000035">
      <w:pPr>
        <w:rPr/>
      </w:pPr>
      <w:r w:rsidDel="00000000" w:rsidR="00000000" w:rsidRPr="00000000">
        <w:rPr>
          <w:rtl w:val="0"/>
        </w:rPr>
        <w:t xml:space="preserve">delay, </w:t>
      </w:r>
    </w:p>
    <w:p w:rsidR="00000000" w:rsidDel="00000000" w:rsidP="00000000" w:rsidRDefault="00000000" w:rsidRPr="00000000" w14:paraId="00000036">
      <w:pPr>
        <w:rPr/>
      </w:pPr>
      <w:r w:rsidDel="00000000" w:rsidR="00000000" w:rsidRPr="00000000">
        <w:rPr>
          <w:rtl w:val="0"/>
        </w:rPr>
        <w:t xml:space="preserve">delay_arr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Initial values of the parameters: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Used predefined commands:</w:t>
      </w:r>
    </w:p>
    <w:p w:rsidR="00000000" w:rsidDel="00000000" w:rsidP="00000000" w:rsidRDefault="00000000" w:rsidRPr="00000000" w14:paraId="0000003B">
      <w:pPr>
        <w:rPr/>
      </w:pPr>
      <w:r w:rsidDel="00000000" w:rsidR="00000000" w:rsidRPr="00000000">
        <w:rPr>
          <w:rtl w:val="0"/>
        </w:rPr>
        <w:t xml:space="preserve">1/ theano.tensor.maximum(</w:t>
      </w:r>
      <w:r w:rsidDel="00000000" w:rsidR="00000000" w:rsidRPr="00000000">
        <w:rPr>
          <w:i w:val="1"/>
          <w:rtl w:val="0"/>
        </w:rPr>
        <w:t xml:space="preserve">a</w:t>
      </w:r>
      <w:r w:rsidDel="00000000" w:rsidR="00000000" w:rsidRPr="00000000">
        <w:rPr>
          <w:rtl w:val="0"/>
        </w:rPr>
        <w:t xml:space="preserve">, </w:t>
      </w:r>
      <w:r w:rsidDel="00000000" w:rsidR="00000000" w:rsidRPr="00000000">
        <w:rPr>
          <w:i w:val="1"/>
          <w:rtl w:val="0"/>
        </w:rPr>
        <w:t xml:space="preserve">b</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Returns a variable representing the maximum element by element of a and b </w:t>
      </w:r>
      <w:hyperlink r:id="rId9">
        <w:r w:rsidDel="00000000" w:rsidR="00000000" w:rsidRPr="00000000">
          <w:rPr>
            <w:u w:val="single"/>
            <w:rtl w:val="0"/>
          </w:rPr>
          <w:t xml:space="preserve">[source]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theano.tensor.abs_(</w:t>
      </w:r>
      <w:r w:rsidDel="00000000" w:rsidR="00000000" w:rsidRPr="00000000">
        <w:rPr>
          <w:i w:val="1"/>
          <w:rtl w:val="0"/>
        </w:rPr>
        <w:t xml:space="preserve">a</w:t>
      </w:r>
      <w:r w:rsidDel="00000000" w:rsidR="00000000" w:rsidRPr="00000000">
        <w:rPr>
          <w:rtl w:val="0"/>
        </w:rPr>
        <w:t xml:space="preserve">) Returns a variable representing the absolute of a, ie |a|.</w:t>
      </w:r>
    </w:p>
    <w:p w:rsidR="00000000" w:rsidDel="00000000" w:rsidP="00000000" w:rsidRDefault="00000000" w:rsidRPr="00000000" w14:paraId="0000003D">
      <w:pPr>
        <w:rPr>
          <w:u w:val="single"/>
        </w:rPr>
      </w:pPr>
      <w:hyperlink r:id="rId10">
        <w:r w:rsidDel="00000000" w:rsidR="00000000" w:rsidRPr="00000000">
          <w:rPr>
            <w:u w:val="single"/>
            <w:rtl w:val="0"/>
          </w:rPr>
          <w:t xml:space="preserve">[source]</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theano.tensor.dot(</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For 2-D arrays it is equivalent to matrix multiplication, and for 1-D arrays to inner product of vectors (without complex conjugation). For N dimensions it is a sum product over the last axis of a and the second-to-last of b: </w:t>
      </w:r>
      <w:hyperlink r:id="rId11">
        <w:r w:rsidDel="00000000" w:rsidR="00000000" w:rsidRPr="00000000">
          <w:rPr>
            <w:rtl w:val="0"/>
          </w:rPr>
          <w:t xml:space="preserve">[source]</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4/The '</w:t>
      </w:r>
      <w:r w:rsidDel="00000000" w:rsidR="00000000" w:rsidRPr="00000000">
        <w:rPr>
          <w:b w:val="1"/>
          <w:rtl w:val="0"/>
        </w:rPr>
        <w:t xml:space="preserve">with</w:t>
      </w:r>
      <w:r w:rsidDel="00000000" w:rsidR="00000000" w:rsidRPr="00000000">
        <w:rPr>
          <w:rtl w:val="0"/>
        </w:rPr>
        <w:t xml:space="preserve">' statement clarifies code that previously would use try...finally blocks to ensure that clean-up code is executed. In this section, I'll discuss the statement as it will commonly be used. In the next section, I'll examine the implementation details and show how to write objects for use with this statement.</w:t>
      </w:r>
    </w:p>
    <w:p w:rsidR="00000000" w:rsidDel="00000000" w:rsidP="00000000" w:rsidRDefault="00000000" w:rsidRPr="00000000" w14:paraId="00000041">
      <w:pPr>
        <w:spacing w:after="240" w:before="240" w:lineRule="auto"/>
        <w:rPr/>
      </w:pPr>
      <w:r w:rsidDel="00000000" w:rsidR="00000000" w:rsidRPr="00000000">
        <w:rPr>
          <w:rtl w:val="0"/>
        </w:rPr>
        <w:t xml:space="preserve">The 'with' statement is a new control-flow structure whose basic structure is:</w:t>
      </w:r>
    </w:p>
    <w:p w:rsidR="00000000" w:rsidDel="00000000" w:rsidP="00000000" w:rsidRDefault="00000000" w:rsidRPr="00000000" w14:paraId="00000042">
      <w:pPr>
        <w:rPr/>
      </w:pPr>
      <w:r w:rsidDel="00000000" w:rsidR="00000000" w:rsidRPr="00000000">
        <w:rPr>
          <w:rtl w:val="0"/>
        </w:rPr>
        <w:t xml:space="preserve">with expression [as variable]:</w:t>
      </w:r>
    </w:p>
    <w:p w:rsidR="00000000" w:rsidDel="00000000" w:rsidP="00000000" w:rsidRDefault="00000000" w:rsidRPr="00000000" w14:paraId="00000043">
      <w:pPr>
        <w:rPr/>
      </w:pPr>
      <w:r w:rsidDel="00000000" w:rsidR="00000000" w:rsidRPr="00000000">
        <w:rPr>
          <w:rtl w:val="0"/>
        </w:rPr>
        <w:t xml:space="preserve">    with-block</w:t>
      </w:r>
    </w:p>
    <w:p w:rsidR="00000000" w:rsidDel="00000000" w:rsidP="00000000" w:rsidRDefault="00000000" w:rsidRPr="00000000" w14:paraId="00000044">
      <w:pPr>
        <w:spacing w:after="240" w:before="240" w:lineRule="auto"/>
        <w:rPr/>
      </w:pPr>
      <w:r w:rsidDel="00000000" w:rsidR="00000000" w:rsidRPr="00000000">
        <w:rPr>
          <w:rtl w:val="0"/>
        </w:rPr>
        <w:t xml:space="preserve">The expression is evaluated, and it should result in an object that supports the context management protocol (that is, has __enter__() and __exit__() methods.</w:t>
      </w:r>
    </w:p>
    <w:p w:rsidR="00000000" w:rsidDel="00000000" w:rsidP="00000000" w:rsidRDefault="00000000" w:rsidRPr="00000000" w14:paraId="00000045">
      <w:pPr>
        <w:spacing w:after="240" w:before="240" w:lineRule="auto"/>
        <w:rPr/>
      </w:pPr>
      <w:r w:rsidDel="00000000" w:rsidR="00000000" w:rsidRPr="00000000">
        <w:rPr>
          <w:rtl w:val="0"/>
        </w:rPr>
        <w:t xml:space="preserve">The object's __enter__() is called before with-block is executed and therefore can run set-up code. It also may return a value that is bound to the name variable, if given. (Note carefully that variable is </w:t>
      </w:r>
      <w:r w:rsidDel="00000000" w:rsidR="00000000" w:rsidRPr="00000000">
        <w:rPr>
          <w:i w:val="1"/>
          <w:rtl w:val="0"/>
        </w:rPr>
        <w:t xml:space="preserve">not</w:t>
      </w:r>
      <w:r w:rsidDel="00000000" w:rsidR="00000000" w:rsidRPr="00000000">
        <w:rPr>
          <w:rtl w:val="0"/>
        </w:rPr>
        <w:t xml:space="preserve"> assigned the result of expression.)</w:t>
      </w:r>
    </w:p>
    <w:p w:rsidR="00000000" w:rsidDel="00000000" w:rsidP="00000000" w:rsidRDefault="00000000" w:rsidRPr="00000000" w14:paraId="00000046">
      <w:pPr>
        <w:spacing w:after="240" w:before="240" w:lineRule="auto"/>
        <w:rPr/>
      </w:pPr>
      <w:r w:rsidDel="00000000" w:rsidR="00000000" w:rsidRPr="00000000">
        <w:rPr>
          <w:rtl w:val="0"/>
        </w:rPr>
        <w:t xml:space="preserve">After execution of the with-block is finished, the object's __exit__() method is called, even if the block raised an exception, and can therefore run clean-up code. (docs.python.org)</w:t>
      </w:r>
    </w:p>
    <w:p w:rsidR="00000000" w:rsidDel="00000000" w:rsidP="00000000" w:rsidRDefault="00000000" w:rsidRPr="00000000" w14:paraId="00000047">
      <w:pPr>
        <w:rPr/>
      </w:pPr>
      <w:r w:rsidDel="00000000" w:rsidR="00000000" w:rsidRPr="00000000">
        <w:rPr>
          <w:rtl w:val="0"/>
        </w:rPr>
        <w:t xml:space="preserve">5/ The </w:t>
      </w:r>
      <w:r w:rsidDel="00000000" w:rsidR="00000000" w:rsidRPr="00000000">
        <w:rPr>
          <w:i w:val="1"/>
          <w:rtl w:val="0"/>
        </w:rPr>
        <w:t xml:space="preserve">theano</w:t>
      </w:r>
      <w:r w:rsidDel="00000000" w:rsidR="00000000" w:rsidRPr="00000000">
        <w:rPr>
          <w:rtl w:val="0"/>
        </w:rPr>
        <w:t xml:space="preserve">.</w:t>
      </w:r>
      <w:r w:rsidDel="00000000" w:rsidR="00000000" w:rsidRPr="00000000">
        <w:rPr>
          <w:i w:val="1"/>
          <w:rtl w:val="0"/>
        </w:rPr>
        <w:t xml:space="preserve">scan</w:t>
      </w:r>
      <w:r w:rsidDel="00000000" w:rsidR="00000000" w:rsidRPr="00000000">
        <w:rPr>
          <w:rtl w:val="0"/>
        </w:rPr>
        <w:t xml:space="preserve">() function is the public-facing interface for looping in Theano. (deeplearning.net)</w:t>
      </w:r>
    </w:p>
    <w:p w:rsidR="00000000" w:rsidDel="00000000" w:rsidP="00000000" w:rsidRDefault="00000000" w:rsidRPr="00000000" w14:paraId="00000048">
      <w:pPr>
        <w:rPr/>
      </w:pPr>
      <w:r w:rsidDel="00000000" w:rsidR="00000000" w:rsidRPr="00000000">
        <w:rPr>
          <w:rtl w:val="0"/>
        </w:rPr>
        <w:t xml:space="preserve">fn: is a function that describes the operations involved in one step of scan.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1155cc"/>
          <w:u w:val="single"/>
        </w:rPr>
      </w:pPr>
      <w:r w:rsidDel="00000000" w:rsidR="00000000" w:rsidRPr="00000000">
        <w:rPr>
          <w:rtl w:val="0"/>
        </w:rPr>
        <w:t xml:space="preserve">6/ theano.tensor.zeros_like(</w:t>
      </w:r>
      <w:r w:rsidDel="00000000" w:rsidR="00000000" w:rsidRPr="00000000">
        <w:rPr>
          <w:i w:val="1"/>
          <w:rtl w:val="0"/>
        </w:rPr>
        <w:t xml:space="preserve">x</w:t>
      </w:r>
      <w:r w:rsidDel="00000000" w:rsidR="00000000" w:rsidRPr="00000000">
        <w:rPr>
          <w:rtl w:val="0"/>
        </w:rPr>
        <w:t xml:space="preserve">, </w:t>
      </w:r>
      <w:r w:rsidDel="00000000" w:rsidR="00000000" w:rsidRPr="00000000">
        <w:rPr>
          <w:i w:val="1"/>
          <w:rtl w:val="0"/>
        </w:rPr>
        <w:t xml:space="preserve">dtype=None</w:t>
      </w:r>
      <w:r w:rsidDel="00000000" w:rsidR="00000000" w:rsidRPr="00000000">
        <w:rPr>
          <w:rtl w:val="0"/>
        </w:rPr>
        <w:t xml:space="preserve">)</w:t>
      </w:r>
      <w:hyperlink r:id="rId12">
        <w:r w:rsidDel="00000000" w:rsidR="00000000" w:rsidRPr="00000000">
          <w:rPr>
            <w:color w:val="1155cc"/>
            <w:u w:val="single"/>
            <w:rtl w:val="0"/>
          </w:rPr>
          <w:t xml:space="preserve">[source]</w:t>
        </w:r>
      </w:hyperlink>
      <w:r w:rsidDel="00000000" w:rsidR="00000000" w:rsidRPr="00000000">
        <w:rPr>
          <w:rtl w:val="0"/>
        </w:rPr>
      </w:r>
    </w:p>
    <w:tbl>
      <w:tblPr>
        <w:tblStyle w:val="Table1"/>
        <w:tblW w:w="8845.0" w:type="dxa"/>
        <w:jc w:val="left"/>
        <w:tblInd w:w="100.0" w:type="pct"/>
        <w:tblLayout w:type="fixed"/>
        <w:tblLook w:val="0600"/>
      </w:tblPr>
      <w:tblGrid>
        <w:gridCol w:w="1865"/>
        <w:gridCol w:w="6980"/>
        <w:tblGridChange w:id="0">
          <w:tblGrid>
            <w:gridCol w:w="1865"/>
            <w:gridCol w:w="6980"/>
          </w:tblGrid>
        </w:tblGridChange>
      </w:tblGrid>
      <w:tr>
        <w:trPr>
          <w:trHeight w:val="1115" w:hRule="atLeast"/>
        </w:trPr>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Parameters: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numPr>
                <w:ilvl w:val="0"/>
                <w:numId w:val="1"/>
              </w:numPr>
              <w:ind w:left="720" w:hanging="360"/>
            </w:pPr>
            <w:r w:rsidDel="00000000" w:rsidR="00000000" w:rsidRPr="00000000">
              <w:rPr>
                <w:b w:val="1"/>
                <w:rtl w:val="0"/>
              </w:rPr>
              <w:t xml:space="preserve">x</w:t>
            </w:r>
            <w:r w:rsidDel="00000000" w:rsidR="00000000" w:rsidRPr="00000000">
              <w:rPr>
                <w:rtl w:val="0"/>
              </w:rPr>
              <w:t xml:space="preserve"> – tensor that has the same shape as output</w:t>
            </w:r>
          </w:p>
          <w:p w:rsidR="00000000" w:rsidDel="00000000" w:rsidP="00000000" w:rsidRDefault="00000000" w:rsidRPr="00000000" w14:paraId="0000004D">
            <w:pPr>
              <w:numPr>
                <w:ilvl w:val="0"/>
                <w:numId w:val="1"/>
              </w:numPr>
              <w:ind w:left="720" w:hanging="360"/>
            </w:pPr>
            <w:r w:rsidDel="00000000" w:rsidR="00000000" w:rsidRPr="00000000">
              <w:rPr>
                <w:b w:val="1"/>
                <w:rtl w:val="0"/>
              </w:rPr>
              <w:t xml:space="preserve">dtype</w:t>
            </w:r>
            <w:r w:rsidDel="00000000" w:rsidR="00000000" w:rsidRPr="00000000">
              <w:rPr>
                <w:rtl w:val="0"/>
              </w:rPr>
              <w:t xml:space="preserve"> – data-type, optional By default, it will be x.dtype.</w:t>
            </w:r>
          </w:p>
        </w:tc>
      </w:tr>
    </w:tbl>
    <w:p w:rsidR="00000000" w:rsidDel="00000000" w:rsidP="00000000" w:rsidRDefault="00000000" w:rsidRPr="00000000" w14:paraId="0000004E">
      <w:pPr>
        <w:spacing w:after="240" w:before="240" w:lineRule="auto"/>
        <w:rPr/>
      </w:pPr>
      <w:r w:rsidDel="00000000" w:rsidR="00000000" w:rsidRPr="00000000">
        <w:rPr>
          <w:rtl w:val="0"/>
        </w:rPr>
        <w:t xml:space="preserve">Returns a tensor the shape of x filled with zeros of the type of dtype.</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In[2]</w:t>
      </w:r>
    </w:p>
    <w:p w:rsidR="00000000" w:rsidDel="00000000" w:rsidP="00000000" w:rsidRDefault="00000000" w:rsidRPr="00000000" w14:paraId="00000053">
      <w:pPr>
        <w:rPr/>
      </w:pPr>
      <w:r w:rsidDel="00000000" w:rsidR="00000000" w:rsidRPr="00000000">
        <w:rPr>
          <w:rtl w:val="0"/>
        </w:rPr>
        <w:t xml:space="preserve">Delays the input new_I_t by delay and return and array with length len_new_cases_obs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inferred_cases = interpolate(new_I_t, delay, delay_mat)</w:t>
      </w:r>
    </w:p>
    <w:p w:rsidR="00000000" w:rsidDel="00000000" w:rsidP="00000000" w:rsidRDefault="00000000" w:rsidRPr="00000000" w14:paraId="00000056">
      <w:pPr>
        <w:ind w:left="720" w:firstLine="720"/>
        <w:rPr/>
      </w:pPr>
      <w:r w:rsidDel="00000000" w:rsidR="00000000" w:rsidRPr="00000000">
        <w:rPr>
          <w:rtl w:val="0"/>
        </w:rPr>
        <w:t xml:space="preserve">= tt.dot(new_I_t, tt.maximum(1-tt.abs_(delay_matrix - delay), 0)</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cases\date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Reported 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Reported 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720" w:firstLine="72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Theano/theano/blob/d395439aec5a6ddde8ef5c266fd976412a5c5695/theano/tensor/basic.py#L6042-L6086" TargetMode="External"/><Relationship Id="rId10" Type="http://schemas.openxmlformats.org/officeDocument/2006/relationships/hyperlink" Target="https://github.com/Theano/theano/blob/d395439aec5a6ddde8ef5c266fd976412a5c5695/theano/tensor.py" TargetMode="External"/><Relationship Id="rId12" Type="http://schemas.openxmlformats.org/officeDocument/2006/relationships/hyperlink" Target="https://github.com/Theano/theano/blob/d395439aec5a6ddde8ef5c266fd976412a5c5695/theano/tensor/basic.py#L2506-L2528" TargetMode="External"/><Relationship Id="rId9" Type="http://schemas.openxmlformats.org/officeDocument/2006/relationships/hyperlink" Target="https://github.com/Theano/theano/blob/d395439aec5a6ddde8ef5c266fd976412a5c5695/theano/tensor.py" TargetMode="External"/><Relationship Id="rId5" Type="http://schemas.openxmlformats.org/officeDocument/2006/relationships/styles" Target="styles.xml"/><Relationship Id="rId6" Type="http://schemas.openxmlformats.org/officeDocument/2006/relationships/hyperlink" Target="https://github.com/Priesemann-Group/covid19_inference_forecast" TargetMode="External"/><Relationship Id="rId7" Type="http://schemas.openxmlformats.org/officeDocument/2006/relationships/hyperlink" Target="https://github.com/Priesemann-Group/covid19_inference_forecast/tree/master/scripts" TargetMode="External"/><Relationship Id="rId8" Type="http://schemas.openxmlformats.org/officeDocument/2006/relationships/hyperlink" Target="https://github.com/Priesemann-Group/covid19_inference_forecast/tree/master/scripts/pa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