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FA8DC"/>
  <w:body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the SIR model</w:t>
      </w:r>
    </w:p>
    <w:p>
      <w:pPr>
        <w:pStyle w:val="Normal"/>
        <w:spacing w:lineRule="auto" w:line="240" w:before="0" w:after="240"/>
        <w:rPr/>
      </w:pPr>
      <w:r>
        <w:rPr>
          <w:sz w:val="24"/>
          <w:szCs w:val="24"/>
        </w:rPr>
        <w:t xml:space="preserve">byi H. Mahasedra Ratsimbarison, notes taken from the Institute for Disease Modeling website, EMOD modeling for general disease: </w:t>
      </w:r>
      <w:hyperlink r:id="rId2">
        <w:r>
          <w:rPr>
            <w:rStyle w:val="ListLabel1"/>
            <w:sz w:val="24"/>
            <w:szCs w:val="24"/>
            <w:u w:val="single"/>
          </w:rPr>
          <w:t>https://idmod.org/docs/general/index.html</w:t>
        </w:r>
      </w:hyperlink>
    </w:p>
    <w:p>
      <w:pPr>
        <w:pStyle w:val="Normal"/>
        <w:spacing w:lineRule="auto" w:line="240" w:before="240" w:after="240"/>
        <w:rPr/>
      </w:pPr>
      <w:r>
        <w:rPr>
          <w:sz w:val="24"/>
          <w:szCs w:val="24"/>
        </w:rPr>
        <w:t>The SIR model was introduced Kermack and McKendrick in 1927 and is still used to analyse the evolution of various diseases. It considers the following concepts: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Susceptible (S): Individual is able to become infected. 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Infectious (I) : Individual is infected with a pathogen and is capable of transmitting the pathogen to others.</w:t>
      </w:r>
    </w:p>
    <w:p>
      <w:pPr>
        <w:pStyle w:val="Normal"/>
        <w:spacing w:lineRule="auto" w:line="240" w:before="240" w:after="240"/>
        <w:rPr/>
      </w:pPr>
      <w:r>
        <w:rPr>
          <w:sz w:val="24"/>
          <w:szCs w:val="24"/>
        </w:rPr>
        <w:t>Recovered (R): Individual is either no longer infectious or “removed” from the population.</w:t>
      </w:r>
    </w:p>
    <w:p>
      <w:pPr>
        <w:pStyle w:val="Normal"/>
        <w:spacing w:lineRule="auto" w:line="240" w:before="240" w:after="240"/>
        <w:rPr>
          <w:sz w:val="24"/>
        </w:rPr>
      </w:pPr>
      <w:r>
        <w:rPr>
          <w:sz w:val="24"/>
          <w:szCs w:val="24"/>
        </w:rPr>
        <w:t>Equations highlighted in white were taken from the research paper of interest cited in the remarks below.</w:t>
      </w:r>
    </w:p>
    <w:tbl>
      <w:tblPr>
        <w:tblStyle w:val="Table1"/>
        <w:tblW w:w="9975" w:type="dxa"/>
        <w:jc w:val="left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70"/>
        <w:gridCol w:w="360"/>
        <w:gridCol w:w="569"/>
        <w:gridCol w:w="795"/>
        <w:gridCol w:w="7081"/>
      </w:tblGrid>
      <w:tr>
        <w:trPr>
          <w:trHeight w:val="480" w:hRule="atLeast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t+ δt</w:t>
            </w:r>
          </w:p>
        </w:tc>
      </w:tr>
      <w:tr>
        <w:trPr>
          <w:trHeight w:val="480" w:hRule="atLeast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R(t)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R(t+δt) = R(t) + [μI(t) - vR(t)]δt</w:t>
            </w:r>
            <w:r>
              <w:rPr/>
              <w:drawing>
                <wp:inline distT="0" distB="0" distL="0" distR="0">
                  <wp:extent cx="3048000" cy="24765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(for v= 0)</w:t>
            </w:r>
          </w:p>
        </w:tc>
      </w:tr>
      <w:tr>
        <w:trPr>
          <w:trHeight w:val="480" w:hRule="atLeast"/>
        </w:trPr>
        <w:tc>
          <w:tcPr>
            <w:tcW w:w="9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μ: rate of recovery , v: rate of death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μI(t)δt : number of recovered among I during the interval [t; t+δt]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vR(t)δt: number of deaths among R during the interval [t; t+δt]</w:t>
            </w:r>
          </w:p>
        </w:tc>
      </w:tr>
      <w:tr>
        <w:trPr>
          <w:trHeight w:val="195" w:hRule="atLeast"/>
        </w:trPr>
        <w:tc>
          <w:tcPr>
            <w:tcW w:w="9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S(t)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S(t+δt) = S(t) + [mN - λ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  <w:r>
              <w:rPr>
                <w:sz w:val="24"/>
                <w:szCs w:val="24"/>
              </w:rPr>
              <w:t>S(t)I(t) - vS(t)]δt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952750" cy="276225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(for v=m=0)</w:t>
            </w:r>
          </w:p>
        </w:tc>
      </w:tr>
      <w:tr>
        <w:trPr>
          <w:trHeight w:val="480" w:hRule="atLeast"/>
        </w:trPr>
        <w:tc>
          <w:tcPr>
            <w:tcW w:w="9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λ: spread of infection  , m : rate of birth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N: the total population, N = S+ I + R,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  <w:r>
              <w:rPr>
                <w:sz w:val="24"/>
                <w:szCs w:val="24"/>
              </w:rPr>
              <w:t>: dependance on the size N (by inverse proportionality (linear approx.))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λ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  <w:r>
              <w:rPr>
                <w:sz w:val="24"/>
                <w:szCs w:val="24"/>
              </w:rPr>
              <w:t>I(t)S(t)δt: number of future infected among S during the interval [t; t+δt]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mNδt : number of born among N during the interval [t; t+δt]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vS(t)δt: number of deaths among S during the interval [t; t+δt]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(linear dependance with rapport to S and/or I for small interval)</w:t>
            </w:r>
          </w:p>
        </w:tc>
      </w:tr>
      <w:tr>
        <w:trPr>
          <w:trHeight w:val="195" w:hRule="atLeast"/>
        </w:trPr>
        <w:tc>
          <w:tcPr>
            <w:tcW w:w="9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I(t)</w:t>
            </w:r>
          </w:p>
        </w:tc>
        <w:tc>
          <w:tcPr>
            <w:tcW w:w="7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I(t+δt) = I(t) + [λ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  <w:r>
              <w:rPr>
                <w:sz w:val="24"/>
                <w:szCs w:val="24"/>
              </w:rPr>
              <w:t>S(t)I(t) - μI(t) - vI(t)]δt</w:t>
            </w:r>
            <w:r>
              <w:rPr/>
              <w:drawing>
                <wp:inline distT="0" distB="0" distL="0" distR="0">
                  <wp:extent cx="3267075" cy="352425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(for v = m = 0)</w:t>
            </w:r>
          </w:p>
        </w:tc>
      </w:tr>
      <w:tr>
        <w:trPr>
          <w:trHeight w:val="480" w:hRule="atLeast"/>
        </w:trPr>
        <w:tc>
          <w:tcPr>
            <w:tcW w:w="9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μY(t)δt : number of recovered among I during the interval [t; t+δt]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vY(t)δt: number of deaths among I during the interval [t; t+δt]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240" w:after="240"/>
        <w:ind w:left="0" w:right="0" w:hanging="0"/>
        <w:jc w:val="left"/>
        <w:rPr/>
      </w:pPr>
      <w:r>
        <w:rPr>
          <w:sz w:val="24"/>
          <w:szCs w:val="24"/>
        </w:rPr>
        <w:t>then the ordinary differential equation (ODE) of SIR model:</w:t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1381125" cy="100965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(for v = m = 0)</w:t>
      </w:r>
    </w:p>
    <w:p>
      <w:pPr>
        <w:pStyle w:val="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Remarks:</w:t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sz w:val="24"/>
          <w:szCs w:val="24"/>
        </w:rPr>
        <w:t xml:space="preserve">1/ A team work on estimating the central epidemiological parameters and forecasting about Covid-19 uses the SIR model combined with statistical methods:  </w:t>
      </w:r>
    </w:p>
    <w:p>
      <w:pPr>
        <w:pStyle w:val="Normal"/>
        <w:spacing w:lineRule="auto" w:line="240" w:before="0" w:after="240"/>
        <w:rPr/>
      </w:pPr>
      <w:r>
        <w:rPr>
          <w:sz w:val="24"/>
          <w:szCs w:val="24"/>
        </w:rPr>
        <w:t xml:space="preserve">Inferring COVID-19 spreading rates and potential change points for case number forecasts </w:t>
      </w:r>
      <w:hyperlink r:id="rId7">
        <w:r>
          <w:rPr>
            <w:rStyle w:val="ListLabel2"/>
            <w:sz w:val="24"/>
            <w:szCs w:val="24"/>
          </w:rPr>
          <w:t>https://arxiv.org/pdf/2004.01105.pdf</w:t>
        </w:r>
      </w:hyperlink>
      <w:r>
        <w:rPr>
          <w:sz w:val="24"/>
          <w:szCs w:val="24"/>
        </w:rPr>
        <w:t xml:space="preserve">. See the simplified explanation </w:t>
      </w:r>
      <w:r>
        <w:rPr>
          <w:sz w:val="24"/>
          <w:szCs w:val="24"/>
        </w:rPr>
        <w:t>given in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b/>
          <w:bCs/>
          <w:sz w:val="24"/>
          <w:szCs w:val="24"/>
        </w:rPr>
        <w:t>Replicable research (Mahasedra).docx.</w:t>
      </w:r>
      <w:bookmarkStart w:id="0" w:name="__UnoMark__957_3396171618"/>
      <w:bookmarkStart w:id="1" w:name="__UnoMark__956_3396171618"/>
      <w:bookmarkEnd w:id="0"/>
      <w:bookmarkEnd w:id="1"/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2/ There are SIR-like models: SIRS, SIER and SIERS.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The SIER model adds the function Exposed (E) “Individual has been infected with a pathogen, but due to the pathogen’s incubation period, is not yet infectious”.</w:t>
      </w:r>
    </w:p>
    <w:p>
      <w:pPr>
        <w:pStyle w:val="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Models with names ending in -S (SIRS sy SIERS) consider the case in which individuals in R may get re-infected and moved to Susceptible S.</w:t>
      </w:r>
    </w:p>
    <w:p>
      <w:pPr>
        <w:pStyle w:val="Normal"/>
        <w:spacing w:lineRule="auto" w:line="240" w:before="240" w:after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dmod.org/docs/general/index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arxiv.org/pdf/2004.01105.pdf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406</Words>
  <Characters>2038</Characters>
  <CharactersWithSpaces>2413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2020-04-14T22:20:22Z</dcterms:modified>
  <cp:revision>1</cp:revision>
  <dc:subject/>
  <dc:title/>
</cp:coreProperties>
</file>