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AskAlpha</w:t>
        <w:br/>
      </w:r>
      <w:r>
        <w:rPr>
          <w:color w:val="595959"/>
          <w:sz w:val="32"/>
        </w:rPr>
        <w:t>Initial Requirements and Scope for ABP</w:t>
      </w:r>
    </w:p>
    <w:p>
      <w:r>
        <w:rPr>
          <w:b/>
          <w:color w:val="C0504D"/>
        </w:rPr>
        <w:t>Working Draft / Living Document</w:t>
      </w:r>
      <w:r>
        <w:t xml:space="preserve">  |  Prepared for initial architecture scoping</w:t>
      </w:r>
    </w:p>
    <w:p>
      <w:pPr>
        <w:pStyle w:val="Heading1"/>
      </w:pPr>
      <w:r>
        <w:t>1. Purpose</w:t>
      </w:r>
    </w:p>
    <w:p>
      <w:r>
        <w:t>This document provides an initial set of high-level requirements, scope boundaries, non-functional assumptions, and data-architecture references for AskAlpha. It is intended to support the first ABP draft and will be refined as data products, user populations, platform decisions, and architecture approvals are confirmed.</w:t>
      </w:r>
    </w:p>
    <w:p>
      <w:pPr>
        <w:pStyle w:val="Heading1"/>
      </w:pPr>
      <w:r>
        <w:t>2. Solution Summary</w:t>
      </w:r>
    </w:p>
    <w:p>
      <w:r>
        <w:t>AskAlpha is a governed conversational analytics solution that allows authenticated business users to ask natural-language questions and receive authorized answers, tables, charts, reports, or executive summaries from governed structured data.</w:t>
      </w:r>
    </w:p>
    <w:p>
      <w:pPr>
        <w:pStyle w:val="ListBullet"/>
        <w:ind w:left="0"/>
      </w:pPr>
      <w:r>
        <w:t>Microsoft Entra ID is used for user authentication.</w:t>
      </w:r>
    </w:p>
    <w:p>
      <w:pPr>
        <w:pStyle w:val="ListBullet"/>
        <w:ind w:left="0"/>
      </w:pPr>
      <w:r>
        <w:t>AskAlpha applies application-level authorization before metadata discovery, query execution, aggregation, caching, formatting, and output.</w:t>
      </w:r>
    </w:p>
    <w:p>
      <w:pPr>
        <w:pStyle w:val="ListBullet"/>
        <w:ind w:left="0"/>
      </w:pPr>
      <w:r>
        <w:t>A governed semantic layer resolves business definitions, metadata, relationships, KPIs, and approved query logic.</w:t>
      </w:r>
    </w:p>
    <w:p>
      <w:pPr>
        <w:pStyle w:val="ListBullet"/>
        <w:ind w:left="0"/>
      </w:pPr>
      <w:r>
        <w:t>Azure OpenAI may assist with intent/semantic reasoning; deterministic application controls validate model proposals.</w:t>
      </w:r>
    </w:p>
    <w:p>
      <w:pPr>
        <w:pStyle w:val="ListBullet"/>
        <w:ind w:left="0"/>
      </w:pPr>
      <w:r>
        <w:t>Azure AI Search may be used for governed metadata and business-definition retrieval; it is not the analytical query engine.</w:t>
      </w:r>
    </w:p>
    <w:p>
      <w:pPr>
        <w:pStyle w:val="ListBullet"/>
        <w:ind w:left="0"/>
      </w:pPr>
      <w:r>
        <w:t>A provider abstraction layer allows the solution to support SQL Server / Azure SQL today and approved Databricks or future providers later.</w:t>
      </w:r>
    </w:p>
    <w:p>
      <w:pPr>
        <w:pStyle w:val="ListBullet"/>
        <w:ind w:left="0"/>
      </w:pPr>
      <w:r>
        <w:t>Generated execution is read-only, bounded, validated, and auditable.</w:t>
      </w:r>
    </w:p>
    <w:p>
      <w:pPr>
        <w:pStyle w:val="Heading1"/>
      </w:pPr>
      <w:r>
        <w:t>3. Initial High-Level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ID</w:t>
            </w:r>
          </w:p>
        </w:tc>
        <w:tc>
          <w:tcPr>
            <w:tcW w:type="dxa" w:w="252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252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Initial Priority</w:t>
            </w:r>
          </w:p>
        </w:tc>
        <w:tc>
          <w:tcPr>
            <w:tcW w:type="dxa" w:w="252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R1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Provide natural-language access to governed enterprise analytical data.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High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Primary business capability.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R2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Authenticate users through Microsoft Entra ID / SSO.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High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Current architecture direction.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R3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Enforce user/entity authorization before data access and downstream processing.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High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Entity-level for initial MVP; finer controls may follow.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R4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Resolve business and semantic metadata before generating an execution plan.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High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Registry plus approved metadata providers.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R5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Support governed read-only execution against approved structured data sources.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High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SQL Server / Azure SQL supported; provider abstraction retained.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R6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Return direct answers, tables, charts, reports, and executive summaries.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High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Output depends on validated result and approved format.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R7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Maintain versioned semantic/metadata context for reproducibility and audit.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High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Semantic plan / recipe should reference registry version.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R8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Support predefined/approved question patterns and templates for common queries.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Medium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Curated through controlled release; not autonomous daily rewriting.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R9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Provide a secure scope-aware cache capability when platform and policy are approved.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Medium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Planned; cache platform TBD.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R10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Capture request, authorization, source, model, registry, query, cache, and output evidence for audit/observability.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High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Exact enterprise sink remains to be confirmed.</w:t>
            </w:r>
          </w:p>
        </w:tc>
      </w:tr>
    </w:tbl>
    <w:p>
      <w:pPr>
        <w:pStyle w:val="Heading1"/>
      </w:pPr>
      <w:r>
        <w:t>4. Initial Scope</w:t>
      </w:r>
    </w:p>
    <w:p>
      <w:pPr>
        <w:pStyle w:val="Heading2"/>
      </w:pPr>
      <w:r>
        <w:t>4.1 In Scope for Initial Architecture / MVP Planning</w:t>
      </w:r>
    </w:p>
    <w:p>
      <w:pPr>
        <w:pStyle w:val="ListBullet"/>
        <w:ind w:left="0"/>
      </w:pPr>
      <w:r>
        <w:t>Governed structured analytical data.</w:t>
      </w:r>
    </w:p>
    <w:p>
      <w:pPr>
        <w:pStyle w:val="ListBullet"/>
        <w:ind w:left="0"/>
      </w:pPr>
      <w:r>
        <w:t>Initial governed data products and business questions selected for the MVP.</w:t>
      </w:r>
    </w:p>
    <w:p>
      <w:pPr>
        <w:pStyle w:val="ListBullet"/>
        <w:ind w:left="0"/>
      </w:pPr>
      <w:r>
        <w:t>Microsoft Entra ID authentication.</w:t>
      </w:r>
    </w:p>
    <w:p>
      <w:pPr>
        <w:pStyle w:val="ListBullet"/>
        <w:ind w:left="0"/>
      </w:pPr>
      <w:r>
        <w:t>Application-level entity authorization with fail-closed behavior.</w:t>
      </w:r>
    </w:p>
    <w:p>
      <w:pPr>
        <w:pStyle w:val="ListBullet"/>
        <w:ind w:left="0"/>
      </w:pPr>
      <w:r>
        <w:t>Governed semantic metadata, business terms, dataset/field relationships, and registry versioning.</w:t>
      </w:r>
    </w:p>
    <w:p>
      <w:pPr>
        <w:pStyle w:val="ListBullet"/>
        <w:ind w:left="0"/>
      </w:pPr>
      <w:r>
        <w:t>Read-only SQL/query execution through approved provider adapters.</w:t>
      </w:r>
    </w:p>
    <w:p>
      <w:pPr>
        <w:pStyle w:val="ListBullet"/>
        <w:ind w:left="0"/>
      </w:pPr>
      <w:r>
        <w:t>Result validation, masking/redaction where required, and governed response formatting.</w:t>
      </w:r>
    </w:p>
    <w:p>
      <w:pPr>
        <w:pStyle w:val="ListBullet"/>
        <w:ind w:left="0"/>
      </w:pPr>
      <w:r>
        <w:t>SQL Server / Azure SQL as a supported current source.</w:t>
      </w:r>
    </w:p>
    <w:p>
      <w:pPr>
        <w:pStyle w:val="ListBullet"/>
        <w:ind w:left="0"/>
      </w:pPr>
      <w:r>
        <w:t>Approved Databricks integration path when architecture/platform access is confirmed.</w:t>
      </w:r>
    </w:p>
    <w:p>
      <w:pPr>
        <w:pStyle w:val="ListBullet"/>
        <w:ind w:left="0"/>
      </w:pPr>
      <w:r>
        <w:t>PIA, DAC, and required data-access/governance approvals.</w:t>
      </w:r>
    </w:p>
    <w:p>
      <w:pPr>
        <w:pStyle w:val="Heading2"/>
      </w:pPr>
      <w:r>
        <w:t>4.2 Planned / Optional Capabilities</w:t>
      </w:r>
    </w:p>
    <w:p>
      <w:pPr>
        <w:pStyle w:val="ListBullet"/>
        <w:ind w:left="0"/>
      </w:pPr>
      <w:r>
        <w:t>Scope-aware distributed cache; platform and lifecycle ownership are still to be confirmed.</w:t>
      </w:r>
    </w:p>
    <w:p>
      <w:pPr>
        <w:pStyle w:val="ListBullet"/>
        <w:ind w:left="0"/>
      </w:pPr>
      <w:r>
        <w:t>Periodic usage analytics and curated refresh of predefined question/template definitions.</w:t>
      </w:r>
    </w:p>
    <w:p>
      <w:pPr>
        <w:pStyle w:val="ListBullet"/>
        <w:ind w:left="0"/>
      </w:pPr>
      <w:r>
        <w:t>Conditional Azure OpenAI response formatting when approved by privacy/model-use controls.</w:t>
      </w:r>
    </w:p>
    <w:p>
      <w:pPr>
        <w:pStyle w:val="ListBullet"/>
        <w:ind w:left="0"/>
      </w:pPr>
      <w:r>
        <w:t>Unity Catalog and/or Collibra metadata-provider integration through provider contracts.</w:t>
      </w:r>
    </w:p>
    <w:p>
      <w:pPr>
        <w:pStyle w:val="ListBullet"/>
        <w:ind w:left="0"/>
      </w:pPr>
      <w:r>
        <w:t>Databricks SQL / governed Databricks execution path.</w:t>
      </w:r>
    </w:p>
    <w:p>
      <w:pPr>
        <w:pStyle w:val="ListBullet"/>
        <w:ind w:left="0"/>
      </w:pPr>
      <w:r>
        <w:t>Future provider integrations without redesigning the logical/semantic model.</w:t>
      </w:r>
    </w:p>
    <w:p>
      <w:pPr>
        <w:pStyle w:val="Heading2"/>
      </w:pPr>
      <w:r>
        <w:t>4.3 Not Assumed as Current Dependencies</w:t>
      </w:r>
    </w:p>
    <w:p>
      <w:pPr>
        <w:pStyle w:val="ListBullet"/>
        <w:ind w:left="0"/>
      </w:pPr>
      <w:r>
        <w:t>Unity Catalog in every environment.</w:t>
      </w:r>
    </w:p>
    <w:p>
      <w:pPr>
        <w:pStyle w:val="ListBullet"/>
        <w:ind w:left="0"/>
      </w:pPr>
      <w:r>
        <w:t>Databricks SQL Warehouse as the mandatory query-serving endpoint.</w:t>
      </w:r>
    </w:p>
    <w:p>
      <w:pPr>
        <w:pStyle w:val="ListBullet"/>
        <w:ind w:left="0"/>
      </w:pPr>
      <w:r>
        <w:t>Redis or another specific cache product.</w:t>
      </w:r>
    </w:p>
    <w:p>
      <w:pPr>
        <w:pStyle w:val="ListBullet"/>
        <w:ind w:left="0"/>
      </w:pPr>
      <w:r>
        <w:t>Databricks Genie as a required execution component.</w:t>
      </w:r>
    </w:p>
    <w:p>
      <w:pPr>
        <w:pStyle w:val="ListBullet"/>
        <w:ind w:left="0"/>
      </w:pPr>
      <w:r>
        <w:t>Direct or zero-copy access to curated-zone data.</w:t>
      </w:r>
    </w:p>
    <w:p>
      <w:pPr>
        <w:pStyle w:val="ListBullet"/>
        <w:ind w:left="0"/>
      </w:pPr>
      <w:r>
        <w:t>Event Hubs as a requirement for the synchronous user request path.</w:t>
      </w:r>
    </w:p>
    <w:p>
      <w:pPr>
        <w:pStyle w:val="Heading1"/>
      </w:pPr>
      <w:r>
        <w:t>5. Initial Non-Functional Requirements / Planning Assumptions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252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Initial Requirement / Assumption</w:t>
            </w:r>
          </w:p>
        </w:tc>
        <w:tc>
          <w:tcPr>
            <w:tcW w:type="dxa" w:w="252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52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Follow-up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Data Volume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Use &lt; 2 TB as the initial MCP1 planning envelope. Current onboarded volume is much smaller and is expected to grow as more data products are published.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Planning assumption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Refine with onboarding roadmap and source owners.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Concurrency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Use approximately 20–30 concurrent users as the initial working assumption for the first use cases.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Data-product team estimate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Validate aggregate concurrency as more use cases are onboarded.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Workload Type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Interactive analytical workload; not OLTP.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Working assumption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Confirm query distribution and peak-period behavior.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Security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Fail closed; read-only execution; authorization before query, aggregation, cache, formatting, and export.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Required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Validate enterprise IAM and source enforcement.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Privacy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PII is involved.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Known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Confirm exact data classifications and controls through PIA/data owners.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PCI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PCI / non-PCI classification is not yet confirmed in the current evidence.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Open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Confirm with data-product / governance owner.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Availability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Interactive availability target not yet finalized.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Open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Architect/Product to define SLO.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Performance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Interactive response-time target not yet finalized.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Open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Benchmark query-serving options and cold-start behavior.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Scalability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Architecture should scale as additional governed data products and metadata are onboarded.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Required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Avoid sending the full enterprise catalog to the model.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Auditability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Record identity/scope, registry version, data source, execution outcome, model usage, cache behavior, and output path.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Required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Confirm enterprise retention and audit sink.</w:t>
            </w:r>
          </w:p>
        </w:tc>
      </w:tr>
    </w:tbl>
    <w:p>
      <w:pPr>
        <w:pStyle w:val="Heading1"/>
      </w:pPr>
      <w:r>
        <w:t>6. Initial Data-Product Inputs</w:t>
      </w:r>
    </w:p>
    <w:p>
      <w:r>
        <w:t>The following figures are early inputs supplied by the data-product teams and should be treated as planning estimates rather than final production sizing.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548235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Data Product</w:t>
            </w:r>
          </w:p>
        </w:tc>
        <w:tc>
          <w:tcPr>
            <w:tcW w:type="dxa" w:w="3360"/>
            <w:vAlign w:val="center"/>
            <w:shd w:fill="548235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Approx. Data Loaded So Far</w:t>
            </w:r>
          </w:p>
        </w:tc>
        <w:tc>
          <w:tcPr>
            <w:tcW w:type="dxa" w:w="3360"/>
            <w:vAlign w:val="center"/>
            <w:shd w:fill="548235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Initial User Estimate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Application &amp; Aging Life Cycle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~0.3 GB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20–30 concurrent users (ballpark)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Loan Associate &amp; Performance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~1.35 GB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20–30 concurrent users (ballpark)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Quality &amp; Compliance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~0.2 GB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20–30 concurrent users (ballpark)</w:t>
            </w:r>
          </w:p>
        </w:tc>
      </w:tr>
    </w:tbl>
    <w:p>
      <w:r>
        <w:t>Note: These datasets are still being built. The volume is expected to increase as additional datasets and data products are published.</w:t>
      </w:r>
    </w:p>
    <w:p>
      <w:pPr>
        <w:pStyle w:val="Heading1"/>
      </w:pPr>
      <w:r>
        <w:t>7. Data Architecture Inputs for ABP</w:t>
      </w:r>
    </w:p>
    <w:p>
      <w:r>
        <w:t>The detailed Visio architecture package should be used as the visual reference for the following ABP sections: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8064A2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ABP Section</w:t>
            </w:r>
          </w:p>
        </w:tc>
        <w:tc>
          <w:tcPr>
            <w:tcW w:type="dxa" w:w="3360"/>
            <w:vAlign w:val="center"/>
            <w:shd w:fill="8064A2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Artifact / Content</w:t>
            </w:r>
          </w:p>
        </w:tc>
        <w:tc>
          <w:tcPr>
            <w:tcW w:type="dxa" w:w="3360"/>
            <w:vAlign w:val="center"/>
            <w:shd w:fill="8064A2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13.1 Data Architecture Diagram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Compact architecture and detailed data-flow view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Shows components, flows, metadata/AI interactions, provider abstraction, data access, formatting, and cross-cutting controls.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13.2 Conceptual Data Model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AskAlpha conceptual semantic model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Shows Product Group, Schema, Dataset, Field, Relationship, Business Term, KPI/Metric, Recipe, governance metadata, authorization scope, registry version, and source mapping.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13.3 Logical / Physical Models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Logical-to-physical mapping view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Shows provider-independent AskAlpha logical model, provider contracts, and mappings to authoritative SQL / Databricks / future physical models.</w:t>
            </w:r>
          </w:p>
        </w:tc>
      </w:tr>
    </w:tbl>
    <w:p>
      <w:pPr>
        <w:pStyle w:val="Heading1"/>
      </w:pPr>
      <w:r>
        <w:t>8. High-Level Data Flow</w:t>
      </w:r>
    </w:p>
    <w:p>
      <w:r>
        <w:rPr>
          <w:b/>
        </w:rPr>
        <w:t xml:space="preserve">1. </w:t>
      </w:r>
      <w:r>
        <w:t>Business user authenticates through Microsoft Entra ID.</w:t>
      </w:r>
    </w:p>
    <w:p>
      <w:r>
        <w:rPr>
          <w:b/>
        </w:rPr>
        <w:t xml:space="preserve">2. </w:t>
      </w:r>
      <w:r>
        <w:t>AskAlpha validates identity and resolves the allowed entity scope.</w:t>
      </w:r>
    </w:p>
    <w:p>
      <w:r>
        <w:rPr>
          <w:b/>
        </w:rPr>
        <w:t xml:space="preserve">3. </w:t>
      </w:r>
      <w:r>
        <w:t>Intent and semantic planning resolve governed business definitions and metadata.</w:t>
      </w:r>
    </w:p>
    <w:p>
      <w:r>
        <w:rPr>
          <w:b/>
        </w:rPr>
        <w:t xml:space="preserve">4. </w:t>
      </w:r>
      <w:r>
        <w:t>Azure AI Search / semantic registry provide approved metadata context; Azure OpenAI may assist with semantic reasoning.</w:t>
      </w:r>
    </w:p>
    <w:p>
      <w:r>
        <w:rPr>
          <w:b/>
        </w:rPr>
        <w:t xml:space="preserve">5. </w:t>
      </w:r>
      <w:r>
        <w:t>AskAlpha validates the semantic plan deterministically.</w:t>
      </w:r>
    </w:p>
    <w:p>
      <w:r>
        <w:rPr>
          <w:b/>
        </w:rPr>
        <w:t xml:space="preserve">6. </w:t>
      </w:r>
      <w:r>
        <w:t>The execution provider routes a bounded read-only request to the approved governed data source.</w:t>
      </w:r>
    </w:p>
    <w:p>
      <w:r>
        <w:rPr>
          <w:b/>
        </w:rPr>
        <w:t xml:space="preserve">7. </w:t>
      </w:r>
      <w:r>
        <w:t>Results are validated, masked/redacted where required, and optionally cached using authorization-aware keys.</w:t>
      </w:r>
    </w:p>
    <w:p>
      <w:r>
        <w:rPr>
          <w:b/>
        </w:rPr>
        <w:t xml:space="preserve">8. </w:t>
      </w:r>
      <w:r>
        <w:t>AskAlpha formats the validated result deterministically or, when approved, uses a minimized PIA-controlled Azure OpenAI formatting path.</w:t>
      </w:r>
    </w:p>
    <w:p>
      <w:r>
        <w:rPr>
          <w:b/>
        </w:rPr>
        <w:t xml:space="preserve">9. </w:t>
      </w:r>
      <w:r>
        <w:t>The user receives an authorized answer, table, chart, report, or executive summary.</w:t>
      </w:r>
    </w:p>
    <w:p>
      <w:r>
        <w:rPr>
          <w:b/>
        </w:rPr>
        <w:t xml:space="preserve">10. </w:t>
      </w:r>
      <w:r>
        <w:t>Audit and usage evidence are recorded.</w:t>
      </w:r>
    </w:p>
    <w:p>
      <w:pPr>
        <w:pStyle w:val="Heading1"/>
      </w:pPr>
      <w:r>
        <w:t>9. Data Classification and Privacy Position</w:t>
      </w:r>
    </w:p>
    <w:p>
      <w:pPr>
        <w:pStyle w:val="ListBullet"/>
        <w:ind w:left="0"/>
      </w:pPr>
      <w:r>
        <w:t>PII is expected to be involved in the initial use cases.</w:t>
      </w:r>
    </w:p>
    <w:p>
      <w:pPr>
        <w:pStyle w:val="ListBullet"/>
        <w:ind w:left="0"/>
      </w:pPr>
      <w:r>
        <w:t>The exact PCI / non-PCI classification must be confirmed by the authoritative data-product / governance owner.</w:t>
      </w:r>
    </w:p>
    <w:p>
      <w:pPr>
        <w:pStyle w:val="ListBullet"/>
        <w:ind w:left="0"/>
      </w:pPr>
      <w:r>
        <w:t>AskAlpha should consume only the minimum data necessary for the approved question and user scope.</w:t>
      </w:r>
    </w:p>
    <w:p>
      <w:pPr>
        <w:pStyle w:val="ListBullet"/>
        <w:ind w:left="0"/>
      </w:pPr>
      <w:r>
        <w:t>Sensitive data must not be included in prompts, traces, errors, or exports unless explicitly approved and protected.</w:t>
      </w:r>
    </w:p>
    <w:p>
      <w:pPr>
        <w:pStyle w:val="ListBullet"/>
        <w:ind w:left="0"/>
      </w:pPr>
      <w:r>
        <w:t>Any Azure OpenAI interaction that includes validated query-result data must be explicitly represented in the architecture and governed by PIA/model-use controls.</w:t>
      </w:r>
    </w:p>
    <w:p>
      <w:pPr>
        <w:pStyle w:val="Heading1"/>
      </w:pPr>
      <w:r>
        <w:t>10. Open Architecture Decisions / Confirmation Needed</w:t>
      </w:r>
    </w:p>
    <w:p>
      <w:pPr>
        <w:pStyle w:val="ListBullet"/>
        <w:ind w:left="0"/>
      </w:pPr>
      <w:r>
        <w:t>Final governed data-access pattern for the first production MVP.</w:t>
      </w:r>
    </w:p>
    <w:p>
      <w:pPr>
        <w:pStyle w:val="ListBullet"/>
        <w:ind w:left="0"/>
      </w:pPr>
      <w:r>
        <w:t>Approved Databricks query-serving and identity pattern, if Databricks is used.</w:t>
      </w:r>
    </w:p>
    <w:p>
      <w:pPr>
        <w:pStyle w:val="ListBullet"/>
        <w:ind w:left="0"/>
      </w:pPr>
      <w:r>
        <w:t>Whether Unity Catalog, Collibra, or another provider is authoritative for specific metadata domains.</w:t>
      </w:r>
    </w:p>
    <w:p>
      <w:pPr>
        <w:pStyle w:val="ListBullet"/>
        <w:ind w:left="0"/>
      </w:pPr>
      <w:r>
        <w:t>Product Group / Schema / Dataset enterprise mapping and cardinality.</w:t>
      </w:r>
    </w:p>
    <w:p>
      <w:pPr>
        <w:pStyle w:val="ListBullet"/>
        <w:ind w:left="0"/>
      </w:pPr>
      <w:r>
        <w:t>Cache platform, ownership, TTL, invalidation, and security controls.</w:t>
      </w:r>
    </w:p>
    <w:p>
      <w:pPr>
        <w:pStyle w:val="ListBullet"/>
        <w:ind w:left="0"/>
      </w:pPr>
      <w:r>
        <w:t>Interactive latency SLO, availability target, RTO, and RPO.</w:t>
      </w:r>
    </w:p>
    <w:p>
      <w:pPr>
        <w:pStyle w:val="ListBullet"/>
        <w:ind w:left="0"/>
      </w:pPr>
      <w:r>
        <w:t>Final PCI / non-PCI classification for the selected MVP data.</w:t>
      </w:r>
    </w:p>
    <w:p>
      <w:pPr>
        <w:pStyle w:val="ListBullet"/>
        <w:ind w:left="0"/>
      </w:pPr>
      <w:r>
        <w:t>Enterprise audit/observability destination and retention.</w:t>
      </w:r>
    </w:p>
    <w:p>
      <w:pPr>
        <w:pStyle w:val="ListBullet"/>
        <w:ind w:left="0"/>
      </w:pPr>
      <w:r>
        <w:t>Allowed payload and controls for optional Azure OpenAI response formatting.</w:t>
      </w:r>
    </w:p>
    <w:p>
      <w:pPr>
        <w:pStyle w:val="ListBullet"/>
        <w:ind w:left="0"/>
      </w:pPr>
      <w:r>
        <w:t>Authoritative HopeX / enterprise-model links for the logical and physical models.</w:t>
      </w:r>
    </w:p>
    <w:p>
      <w:pPr>
        <w:pStyle w:val="Heading1"/>
      </w:pPr>
      <w:r>
        <w:t>11. Initial Assumptions</w:t>
      </w:r>
    </w:p>
    <w:p>
      <w:pPr>
        <w:pStyle w:val="ListBullet"/>
        <w:ind w:left="0"/>
      </w:pPr>
      <w:r>
        <w:t>This is a living document and initial values are expected to change as the MVP scope becomes clearer.</w:t>
      </w:r>
    </w:p>
    <w:p>
      <w:pPr>
        <w:pStyle w:val="ListBullet"/>
        <w:ind w:left="0"/>
      </w:pPr>
      <w:r>
        <w:t>The first production MVP will use a limited number of governed data products rather than the full enterprise data estate.</w:t>
      </w:r>
    </w:p>
    <w:p>
      <w:pPr>
        <w:pStyle w:val="ListBullet"/>
        <w:ind w:left="0"/>
      </w:pPr>
      <w:r>
        <w:t>The &lt; 2 TB volume is a planning envelope, not the amount currently loaded.</w:t>
      </w:r>
    </w:p>
    <w:p>
      <w:pPr>
        <w:pStyle w:val="ListBullet"/>
        <w:ind w:left="0"/>
      </w:pPr>
      <w:r>
        <w:t>The 20–30 concurrent-user estimate is an initial ballpark and should be revalidated for aggregate platform sizing.</w:t>
      </w:r>
    </w:p>
    <w:p>
      <w:pPr>
        <w:pStyle w:val="ListBullet"/>
        <w:ind w:left="0"/>
      </w:pPr>
      <w:r>
        <w:t>Data quality remains owned by the authoritative data platform/data owner. AskAlpha may consume available quality/freshness indicators but does not become the enterprise DQ engine.</w:t>
      </w:r>
    </w:p>
    <w:p>
      <w:pPr>
        <w:pStyle w:val="ListBullet"/>
        <w:ind w:left="0"/>
      </w:pPr>
      <w:r>
        <w:t>Metadata and business definitions may be persisted/cached locally under governed contracts to avoid unnecessary runtime provider calls.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808080"/>
        <w:sz w:val="16"/>
      </w:rPr>
      <w:t>AskAlpha — Initial ABP Requirements &amp; Scope | Working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