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360"/>
        <w:jc w:val="center"/>
      </w:pPr>
      <w:r>
        <w:rPr>
          <w:rFonts w:ascii="黑体" w:hAnsi="黑体" w:eastAsia="黑体"/>
          <w:b/>
          <w:sz w:val="32"/>
        </w:rPr>
        <w:t>（排版样张）小微企业进销存系统的设计与实现</w:t>
      </w:r>
    </w:p>
    <w:p>
      <w:pPr>
        <w:spacing w:lineRule="auto" w:line="360" w:before="0" w:after="120"/>
        <w:jc w:val="center"/>
      </w:pPr>
      <w:r>
        <w:rPr>
          <w:rFonts w:ascii="楷体" w:hAnsi="楷体" w:eastAsia="楷体"/>
          <w:b w:val="0"/>
          <w:sz w:val="21"/>
        </w:rPr>
        <w:t>说明：本文内容仅为格式演示，非真实论文，不代写内容。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b/>
          <w:sz w:val="21"/>
        </w:rPr>
        <w:t>摘　要：</w:t>
      </w:r>
      <w:r>
        <w:rPr>
          <w:rFonts w:ascii="宋体" w:hAnsi="宋体" w:eastAsia="宋体"/>
          <w:b w:val="0"/>
          <w:sz w:val="21"/>
        </w:rPr>
        <w:t>本文以小微企业库存管理为背景，讨论一种轻量化的进销存系统实现思路。系统采用浏览器/服务器结构，围绕入库、出库、库存预警三个核心环节展开，并以表格形式给出关键数据结构的字段定义。实践表明，该方案可显著降低中小门店的台账维护成本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b/>
          <w:sz w:val="21"/>
        </w:rPr>
        <w:t>关键词：</w:t>
      </w:r>
      <w:r>
        <w:rPr>
          <w:rFonts w:ascii="宋体" w:hAnsi="宋体" w:eastAsia="宋体"/>
          <w:b w:val="0"/>
          <w:sz w:val="21"/>
        </w:rPr>
        <w:t>进销存；库存管理；小微企业；表格设计</w:t>
      </w:r>
    </w:p>
    <w:p>
      <w:pPr>
        <w:spacing w:lineRule="auto" w:line="360" w:before="360" w:after="200"/>
      </w:pPr>
      <w:r>
        <w:rPr>
          <w:rFonts w:ascii="黑体" w:hAnsi="黑体" w:eastAsia="黑体"/>
          <w:b/>
          <w:sz w:val="28"/>
        </w:rPr>
        <w:t>1　引言</w:t>
      </w:r>
    </w:p>
    <w:p>
      <w:pPr>
        <w:spacing w:lineRule="auto" w:line="360" w:before="0" w:after="0"/>
        <w:ind w:firstLineChars="200"/>
      </w:pPr>
      <w:r>
        <w:rPr>
          <w:rFonts w:ascii="宋体" w:hAnsi="宋体" w:eastAsia="宋体"/>
          <w:b w:val="0"/>
          <w:sz w:val="24"/>
        </w:rPr>
        <w:t>小微企业的库存管理长期依赖手工台账，常见问题是记录分散、口径不一、月底核对耗时。本文不讨论复杂算法，只给出一种可在单机或局域网内快速落地的表格化方案，重点在于字段设计与流程衔接。</w:t>
      </w:r>
    </w:p>
    <w:p>
      <w:pPr>
        <w:spacing w:lineRule="auto" w:line="360" w:before="320" w:after="200"/>
      </w:pPr>
      <w:r>
        <w:rPr>
          <w:rFonts w:ascii="黑体" w:hAnsi="黑体" w:eastAsia="黑体"/>
          <w:b/>
          <w:sz w:val="28"/>
        </w:rPr>
        <w:t>2　数据结构设计</w:t>
      </w:r>
    </w:p>
    <w:p>
      <w:pPr>
        <w:spacing w:lineRule="auto" w:line="360" w:before="0" w:after="120"/>
        <w:ind w:firstLineChars="200"/>
      </w:pPr>
      <w:r>
        <w:rPr>
          <w:rFonts w:ascii="宋体" w:hAnsi="宋体" w:eastAsia="宋体"/>
          <w:b w:val="0"/>
          <w:sz w:val="24"/>
        </w:rPr>
        <w:t>核心表包括商品表、入库表、出库表与库存快照表。各表字段定义如表 1 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4082"/>
            <w:tcBorders>
              <w:top w:val="single" w:sz="12" w:color="000000"/>
              <w:bottom w:val="single" w:sz="6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  <w:tc>
          <w:tcPr>
            <w:tcW w:type="dxa" w:w="2494"/>
            <w:tcBorders>
              <w:top w:val="single" w:sz="12" w:color="000000"/>
              <w:bottom w:val="single" w:sz="6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商品表</w:t>
            </w:r>
          </w:p>
        </w:tc>
        <w:tc>
          <w:tcPr>
            <w:tcW w:type="dxa" w:w="408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商品编码、名称、规格、单位、参考进价</w:t>
            </w:r>
          </w:p>
        </w:tc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商品主数据，编码唯一</w:t>
            </w:r>
          </w:p>
        </w:tc>
      </w:tr>
      <w:tr>
        <w:tc>
          <w:tcPr>
            <w:tcW w:type="dxa" w:w="170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入库表</w:t>
            </w:r>
          </w:p>
        </w:tc>
        <w:tc>
          <w:tcPr>
            <w:tcW w:type="dxa" w:w="408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单据号、商品编码、数量、单价、供应商、日期</w:t>
            </w:r>
          </w:p>
        </w:tc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一次入库一行</w:t>
            </w:r>
          </w:p>
        </w:tc>
      </w:tr>
      <w:tr>
        <w:tc>
          <w:tcPr>
            <w:tcW w:type="dxa" w:w="170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出库表</w:t>
            </w:r>
          </w:p>
        </w:tc>
        <w:tc>
          <w:tcPr>
            <w:tcW w:type="dxa" w:w="408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单据号、商品编码、数量、售价、客户、日期</w:t>
            </w:r>
          </w:p>
        </w:tc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一次出库一行</w:t>
            </w:r>
          </w:p>
        </w:tc>
      </w:tr>
      <w:tr>
        <w:tc>
          <w:tcPr>
            <w:tcW w:type="dxa" w:w="1701"/>
            <w:tcBorders>
              <w:bottom w:val="single" w:sz="12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库存快照</w:t>
            </w:r>
          </w:p>
        </w:tc>
        <w:tc>
          <w:tcPr>
            <w:tcW w:type="dxa" w:w="4082"/>
            <w:tcBorders>
              <w:bottom w:val="single" w:sz="12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商品编码、期末数量、期末成本、统计日期</w:t>
            </w:r>
          </w:p>
        </w:tc>
        <w:tc>
          <w:tcPr>
            <w:tcW w:type="dxa" w:w="2494"/>
            <w:tcBorders>
              <w:bottom w:val="single" w:sz="12" w:color="000000"/>
              <w:left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line="240" w:lineRule="auto" w:before="60" w:after="6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按月生成，便于核对</w:t>
            </w:r>
          </w:p>
        </w:tc>
      </w:tr>
    </w:tbl>
    <w:p>
      <w:pPr>
        <w:spacing w:before="120" w:after="240"/>
        <w:jc w:val="center"/>
      </w:pPr>
      <w:r>
        <w:rPr>
          <w:rFonts w:ascii="宋体" w:hAnsi="宋体" w:eastAsia="宋体"/>
          <w:b/>
          <w:sz w:val="21"/>
        </w:rPr>
        <w:t>表 1　核心数据表字段定义</w:t>
      </w:r>
    </w:p>
    <w:p>
      <w:pPr>
        <w:spacing w:lineRule="auto" w:line="360" w:before="240" w:after="200"/>
      </w:pPr>
      <w:r>
        <w:rPr>
          <w:rFonts w:ascii="黑体" w:hAnsi="黑体" w:eastAsia="黑体"/>
          <w:b/>
          <w:sz w:val="28"/>
        </w:rPr>
        <w:t>3　结论</w:t>
      </w:r>
    </w:p>
    <w:p>
      <w:pPr>
        <w:spacing w:lineRule="auto" w:line="360" w:before="0" w:after="0"/>
        <w:ind w:firstLineChars="200"/>
      </w:pPr>
      <w:r>
        <w:rPr>
          <w:rFonts w:ascii="宋体" w:hAnsi="宋体" w:eastAsia="宋体"/>
          <w:b w:val="0"/>
          <w:sz w:val="24"/>
        </w:rPr>
        <w:t>上述结构在不引入专业系统的前提下即可运行，适合门店、批发、小型加工厂等场景。后续可在此基础上增加权限控制与报表导出功能。</w:t>
      </w:r>
    </w:p>
    <w:p>
      <w:pPr>
        <w:spacing w:lineRule="auto" w:line="360" w:before="360" w:after="20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/>
        <w:ind w:left="420"/>
        <w:ind w:hangingChars="200" w:leftChars="0"/>
      </w:pPr>
      <w:r>
        <w:rPr>
          <w:rFonts w:ascii="宋体" w:hAnsi="宋体" w:eastAsia="宋体"/>
          <w:b w:val="0"/>
          <w:sz w:val="21"/>
        </w:rPr>
        <w:t>[1] 张三. 中小企业库存管理信息化路径研究[J]. 管理观察, 2024, 12(3): 45-49.</w:t>
      </w:r>
    </w:p>
    <w:p>
      <w:pPr>
        <w:spacing w:line="360" w:lineRule="auto"/>
        <w:ind w:left="420"/>
        <w:ind w:hangingChars="200" w:leftChars="0"/>
      </w:pPr>
      <w:r>
        <w:rPr>
          <w:rFonts w:ascii="宋体" w:hAnsi="宋体" w:eastAsia="宋体"/>
          <w:b w:val="0"/>
          <w:sz w:val="21"/>
        </w:rPr>
        <w:t>[2] 李四, 王五. 基于表格工具的轻量级进销存实践[J]. 计算机应用文摘, 2025, 8(2): 112-116.</w:t>
      </w:r>
    </w:p>
    <w:p>
      <w:pPr>
        <w:spacing w:line="360" w:lineRule="auto"/>
        <w:ind w:left="420"/>
        <w:ind w:hangingChars="200" w:leftChars="0"/>
      </w:pPr>
      <w:r>
        <w:rPr>
          <w:rFonts w:ascii="宋体" w:hAnsi="宋体" w:eastAsia="宋体"/>
          <w:b w:val="0"/>
          <w:sz w:val="21"/>
        </w:rPr>
        <w:t>[3] 国家市场监督管理总局. 小微型企业会计准则应用指南[S]. 北京: 中国标准出版社, 2023.</w:t>
      </w:r>
    </w:p>
    <w:p/>
    <w:p>
      <w:pPr>
        <w:spacing w:lineRule="auto" w:line="360" w:before="0" w:after="0"/>
        <w:jc w:val="center"/>
      </w:pPr>
      <w:r>
        <w:rPr>
          <w:rFonts w:ascii="楷体" w:hAnsi="楷体" w:eastAsia="楷体"/>
          <w:b w:val="0"/>
          <w:sz w:val="21"/>
        </w:rPr>
        <w:t>———— 样张到此为止 ————</w:t>
      </w:r>
    </w:p>
    <w:p>
      <w:pPr>
        <w:spacing w:lineRule="auto" w:line="360" w:before="0" w:after="0"/>
      </w:pPr>
      <w:r>
        <w:rPr>
          <w:rFonts w:ascii="楷体" w:hAnsi="楷体" w:eastAsia="楷体"/>
          <w:b w:val="0"/>
          <w:sz w:val="21"/>
        </w:rPr>
        <w:t>本服务只做格式规范：字体字号、行距缩进、标题层级、三线表、图表编号、页码页眉、参考文献格式。不代写、不改内容、不降重。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