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r w:rsidR="0082494D" w:rsidRPr="009133BD">
        <w:rPr>
          <w:sz w:val="20"/>
          <w:szCs w:val="20"/>
        </w:rPr>
        <w:t>Providing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w:t>
      </w:r>
      <w:r w:rsidRPr="009133BD">
        <w:lastRenderedPageBreak/>
        <w:t>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Pr="007E017B" w:rsidRDefault="007E017B" w:rsidP="007E017B">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w:t>
      </w:r>
      <w:r w:rsidRPr="00E91F48">
        <w:lastRenderedPageBreak/>
        <w:t xml:space="preserve">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7E017B">
      <w:pPr>
        <w:pStyle w:val="Heading1"/>
      </w:pPr>
      <w:r>
        <w:t>Analysis Option</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r w:rsidR="0021023A" w:rsidRPr="00A24283">
        <w:rPr>
          <w:i/>
          <w:iCs/>
        </w:rPr>
        <w:t>i</w:t>
      </w:r>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r w:rsidR="0021023A" w:rsidRPr="00A24283">
        <w:rPr>
          <w:i/>
          <w:iCs/>
        </w:rPr>
        <w:t>i</w:t>
      </w:r>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DA58C5"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lastRenderedPageBreak/>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250634" w:rsidRDefault="00250634" w:rsidP="00250634">
      <w:pPr>
        <w:ind w:firstLine="144"/>
        <w:jc w:val="both"/>
      </w:pPr>
      <w:r w:rsidRPr="00250634">
        <w:t>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Houdt and Blondia 2005). Roughly speaking, two main approaches have been developed to obtain transient distributions. The first method relies on numerically inverting the Laplace transform or generating function involved (Choudhury, Lucantoni, and Whitt 1994; Hofkens, Spaey, and Blondia 2004; Lucantoni, Choudhury, and Whitt 1994). The second method is based on recursive computations. Others (Ny and Sericola 2003; Lee and Li 1990) combine uniformization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DA58C5" w:rsidRPr="0081542F">
        <w:rPr>
          <w:b w:val="0"/>
          <w:bCs w:val="0"/>
          <w:color w:val="auto"/>
        </w:rPr>
        <w:fldChar w:fldCharType="begin"/>
      </w:r>
      <w:r w:rsidRPr="0081542F">
        <w:rPr>
          <w:b w:val="0"/>
          <w:bCs w:val="0"/>
          <w:color w:val="auto"/>
        </w:rPr>
        <w:instrText xml:space="preserve"> SEQ Table \* ARABIC </w:instrText>
      </w:r>
      <w:r w:rsidR="00DA58C5" w:rsidRPr="0081542F">
        <w:rPr>
          <w:b w:val="0"/>
          <w:bCs w:val="0"/>
          <w:color w:val="auto"/>
        </w:rPr>
        <w:fldChar w:fldCharType="separate"/>
      </w:r>
      <w:r w:rsidR="00B37DD6">
        <w:rPr>
          <w:b w:val="0"/>
          <w:bCs w:val="0"/>
          <w:noProof/>
          <w:color w:val="auto"/>
        </w:rPr>
        <w:t>1</w:t>
      </w:r>
      <w:r w:rsidR="00DA58C5"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lastRenderedPageBreak/>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554C61" w:rsidRDefault="00554C61" w:rsidP="00554C61">
      <w:pPr>
        <w:pStyle w:val="Text"/>
      </w:pPr>
    </w:p>
    <w:p w:rsidR="00B37DD6" w:rsidRDefault="00B37DD6" w:rsidP="0052750C">
      <w:pPr>
        <w:pStyle w:val="Text"/>
      </w:pPr>
      <w:r w:rsidRPr="00B37DD6">
        <w:t xml:space="preserve">In order to examine the performance of the simulation-based </w:t>
      </w:r>
      <w:r w:rsidR="00554C61">
        <w:t>RA</w:t>
      </w:r>
      <w:r w:rsidRPr="00B37DD6">
        <w:t xml:space="preserve"> and compare it with the</w:t>
      </w:r>
      <w:r w:rsidR="00554C61">
        <w:t xml:space="preserve"> </w:t>
      </w:r>
      <w:r w:rsidR="00554C61" w:rsidRPr="009133BD">
        <w:t>greedy improvement algorithm</w:t>
      </w:r>
      <w:r w:rsidR="00554C61" w:rsidRPr="00B37DD6">
        <w:t xml:space="preserve"> </w:t>
      </w:r>
      <w:r w:rsidRPr="00B37DD6">
        <w:t>(</w:t>
      </w:r>
      <w:r w:rsidR="00554C61">
        <w:t>GIA</w:t>
      </w:r>
      <w:r w:rsidRPr="00B37DD6">
        <w:t xml:space="preserve">), we set up experimental design using </w:t>
      </w:r>
      <w:r w:rsidR="00554C61">
        <w:t xml:space="preserve">four factors: </w:t>
      </w:r>
      <w:r w:rsidRPr="00B37DD6">
        <w:t xml:space="preserve">Voting Time, </w:t>
      </w:r>
      <w:r w:rsidR="0052750C">
        <w:t>Number of Precincts</w:t>
      </w:r>
      <w:r w:rsidRPr="00B37DD6">
        <w:t>, Ratio of the number of machines to the number of precincts, and Allocation Strategy (see Table 2). The res</w:t>
      </w:r>
      <w:r w:rsidR="00554C61">
        <w:t>ult</w:t>
      </w:r>
      <w:r w:rsidRPr="00B37DD6">
        <w:t xml:space="preserve"> of this experimental design is the “equity” metric given in (1).</w:t>
      </w:r>
    </w:p>
    <w:p w:rsidR="00B37DD6" w:rsidRDefault="00B37DD6">
      <w:pPr>
        <w:pStyle w:val="Text"/>
      </w:pPr>
    </w:p>
    <w:p w:rsidR="00554C61" w:rsidRDefault="00554C61">
      <w:pPr>
        <w:pStyle w:val="Text"/>
      </w:pPr>
    </w:p>
    <w:p w:rsidR="00554C61" w:rsidRDefault="00554C61">
      <w:pPr>
        <w:pStyle w:val="Text"/>
      </w:pPr>
    </w:p>
    <w:p w:rsidR="00B37DD6" w:rsidRPr="00B37DD6" w:rsidRDefault="00B37DD6" w:rsidP="00554C61">
      <w:pPr>
        <w:pStyle w:val="Caption"/>
        <w:keepNext/>
        <w:jc w:val="center"/>
        <w:rPr>
          <w:b w:val="0"/>
          <w:bCs w:val="0"/>
          <w:color w:val="auto"/>
        </w:rPr>
      </w:pPr>
      <w:r w:rsidRPr="00B37DD6">
        <w:rPr>
          <w:b w:val="0"/>
          <w:bCs w:val="0"/>
          <w:color w:val="auto"/>
        </w:rPr>
        <w:lastRenderedPageBreak/>
        <w:t xml:space="preserve">Table </w:t>
      </w:r>
      <w:r w:rsidR="00DA58C5" w:rsidRPr="00B37DD6">
        <w:rPr>
          <w:b w:val="0"/>
          <w:bCs w:val="0"/>
          <w:color w:val="auto"/>
        </w:rPr>
        <w:fldChar w:fldCharType="begin"/>
      </w:r>
      <w:r w:rsidRPr="00B37DD6">
        <w:rPr>
          <w:b w:val="0"/>
          <w:bCs w:val="0"/>
          <w:color w:val="auto"/>
        </w:rPr>
        <w:instrText xml:space="preserve"> SEQ Table \* ARABIC </w:instrText>
      </w:r>
      <w:r w:rsidR="00DA58C5" w:rsidRPr="00B37DD6">
        <w:rPr>
          <w:b w:val="0"/>
          <w:bCs w:val="0"/>
          <w:color w:val="auto"/>
        </w:rPr>
        <w:fldChar w:fldCharType="separate"/>
      </w:r>
      <w:r w:rsidRPr="00B37DD6">
        <w:rPr>
          <w:b w:val="0"/>
          <w:bCs w:val="0"/>
          <w:noProof/>
          <w:color w:val="auto"/>
        </w:rPr>
        <w:t>2</w:t>
      </w:r>
      <w:r w:rsidR="00DA58C5" w:rsidRPr="00B37DD6">
        <w:rPr>
          <w:b w:val="0"/>
          <w:bCs w:val="0"/>
          <w:color w:val="auto"/>
        </w:rPr>
        <w:fldChar w:fldCharType="end"/>
      </w:r>
      <w:r w:rsidRPr="00B37DD6">
        <w:rPr>
          <w:b w:val="0"/>
          <w:bCs w:val="0"/>
          <w:color w:val="auto"/>
        </w:rPr>
        <w:t xml:space="preserve">: Factors and </w:t>
      </w:r>
      <w:r w:rsidR="00554C61">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554C61" w:rsidTr="00554C61">
        <w:trPr>
          <w:cnfStyle w:val="100000000000"/>
          <w:jc w:val="center"/>
        </w:trPr>
        <w:tc>
          <w:tcPr>
            <w:cnfStyle w:val="001000000000"/>
            <w:tcW w:w="2448" w:type="dxa"/>
          </w:tcPr>
          <w:p w:rsidR="00554C61" w:rsidRPr="009C049A" w:rsidRDefault="00554C61" w:rsidP="00B37DD6">
            <w:pPr>
              <w:pStyle w:val="Text"/>
              <w:ind w:firstLine="0"/>
              <w:jc w:val="center"/>
            </w:pPr>
            <w:r w:rsidRPr="009C049A">
              <w:t>Factors</w:t>
            </w:r>
          </w:p>
        </w:tc>
        <w:tc>
          <w:tcPr>
            <w:tcW w:w="1288" w:type="dxa"/>
          </w:tcPr>
          <w:p w:rsidR="00554C61" w:rsidRPr="009C049A" w:rsidRDefault="00554C61" w:rsidP="00554C61">
            <w:pPr>
              <w:pStyle w:val="Text"/>
              <w:ind w:firstLine="0"/>
              <w:jc w:val="center"/>
              <w:cnfStyle w:val="100000000000"/>
            </w:pPr>
            <w:r w:rsidRPr="009C049A">
              <w:t>Possible Values</w:t>
            </w:r>
          </w:p>
        </w:tc>
      </w:tr>
      <w:tr w:rsidR="00554C61" w:rsidTr="00554C61">
        <w:trPr>
          <w:cnfStyle w:val="000000100000"/>
          <w:jc w:val="center"/>
        </w:trPr>
        <w:tc>
          <w:tcPr>
            <w:cnfStyle w:val="001000000000"/>
            <w:tcW w:w="2448" w:type="dxa"/>
          </w:tcPr>
          <w:p w:rsidR="00554C61" w:rsidRDefault="0052750C" w:rsidP="00B37DD6">
            <w:pPr>
              <w:pStyle w:val="Text"/>
              <w:ind w:firstLine="0"/>
              <w:jc w:val="center"/>
            </w:pPr>
            <w:r>
              <w:t>Number of Precincts</w:t>
            </w:r>
          </w:p>
        </w:tc>
        <w:tc>
          <w:tcPr>
            <w:tcW w:w="1288" w:type="dxa"/>
          </w:tcPr>
          <w:p w:rsidR="00554C61" w:rsidRDefault="00554C61" w:rsidP="00554C61">
            <w:pPr>
              <w:pStyle w:val="Text"/>
              <w:ind w:firstLine="0"/>
              <w:jc w:val="center"/>
              <w:cnfStyle w:val="000000100000"/>
            </w:pPr>
            <w:r>
              <w:t>20</w:t>
            </w:r>
            <w:r w:rsidR="009C049A">
              <w:t xml:space="preserve"> – </w:t>
            </w:r>
            <w:r>
              <w:t>30</w:t>
            </w:r>
            <w:r w:rsidR="009C049A">
              <w:t xml:space="preserve"> </w:t>
            </w:r>
            <w:r>
              <w:t>-</w:t>
            </w:r>
            <w:r w:rsidR="009C049A">
              <w:t xml:space="preserve"> </w:t>
            </w:r>
            <w:r>
              <w:t>50 Precincts</w:t>
            </w:r>
          </w:p>
        </w:tc>
      </w:tr>
      <w:tr w:rsidR="00554C61" w:rsidTr="00554C61">
        <w:trPr>
          <w:jc w:val="center"/>
        </w:trPr>
        <w:tc>
          <w:tcPr>
            <w:cnfStyle w:val="001000000000"/>
            <w:tcW w:w="2448" w:type="dxa"/>
          </w:tcPr>
          <w:p w:rsidR="00554C61" w:rsidRDefault="00554C61" w:rsidP="00B37DD6">
            <w:pPr>
              <w:pStyle w:val="Text"/>
              <w:ind w:firstLine="0"/>
              <w:jc w:val="center"/>
            </w:pPr>
            <w:r>
              <w:t>Voting Time</w:t>
            </w:r>
          </w:p>
          <w:p w:rsidR="00554C61" w:rsidRDefault="00554C61" w:rsidP="00B37DD6">
            <w:pPr>
              <w:pStyle w:val="Text"/>
              <w:ind w:firstLine="0"/>
              <w:jc w:val="center"/>
            </w:pPr>
            <w:r>
              <w:t>(Scale Parameter of Gamma Distribution)</w:t>
            </w:r>
          </w:p>
        </w:tc>
        <w:tc>
          <w:tcPr>
            <w:tcW w:w="1288" w:type="dxa"/>
          </w:tcPr>
          <w:p w:rsidR="009C049A" w:rsidRDefault="009C049A" w:rsidP="00B37DD6">
            <w:pPr>
              <w:pStyle w:val="Text"/>
              <w:ind w:firstLine="0"/>
              <w:jc w:val="center"/>
              <w:cnfStyle w:val="000000000000"/>
            </w:pPr>
          </w:p>
          <w:p w:rsidR="00554C61" w:rsidRDefault="00554C61" w:rsidP="00B37DD6">
            <w:pPr>
              <w:pStyle w:val="Text"/>
              <w:ind w:firstLine="0"/>
              <w:jc w:val="center"/>
              <w:cnfStyle w:val="000000000000"/>
            </w:pPr>
            <w:r>
              <w:t>0.58</w:t>
            </w:r>
            <w:r w:rsidR="009C049A">
              <w:t xml:space="preserve"> </w:t>
            </w:r>
            <w:r>
              <w:t>-</w:t>
            </w:r>
            <w:r w:rsidR="009C049A">
              <w:t xml:space="preserve"> </w:t>
            </w:r>
            <w:r>
              <w:t>1.05</w:t>
            </w:r>
          </w:p>
        </w:tc>
      </w:tr>
      <w:tr w:rsidR="00554C61" w:rsidTr="00554C61">
        <w:trPr>
          <w:cnfStyle w:val="000000100000"/>
          <w:jc w:val="center"/>
        </w:trPr>
        <w:tc>
          <w:tcPr>
            <w:cnfStyle w:val="001000000000"/>
            <w:tcW w:w="2448" w:type="dxa"/>
          </w:tcPr>
          <w:p w:rsidR="00554C61" w:rsidRDefault="00554C61" w:rsidP="00B37DD6">
            <w:pPr>
              <w:pStyle w:val="Text"/>
              <w:ind w:firstLine="0"/>
              <w:jc w:val="center"/>
            </w:pPr>
            <w:r>
              <w:t>#Machines/#Precincts</w:t>
            </w:r>
          </w:p>
        </w:tc>
        <w:tc>
          <w:tcPr>
            <w:tcW w:w="1288" w:type="dxa"/>
          </w:tcPr>
          <w:p w:rsidR="00554C61" w:rsidRDefault="00554C61" w:rsidP="00554C61">
            <w:pPr>
              <w:pStyle w:val="Text"/>
              <w:ind w:firstLine="0"/>
              <w:jc w:val="center"/>
              <w:cnfStyle w:val="000000100000"/>
            </w:pPr>
            <w:r>
              <w:t>2</w:t>
            </w:r>
            <w:r w:rsidR="009C049A">
              <w:t xml:space="preserve"> </w:t>
            </w:r>
            <w:r>
              <w:t>-</w:t>
            </w:r>
            <w:r w:rsidR="009C049A">
              <w:t xml:space="preserve"> </w:t>
            </w:r>
            <w:r>
              <w:t>3.6</w:t>
            </w:r>
          </w:p>
        </w:tc>
      </w:tr>
      <w:tr w:rsidR="00554C61" w:rsidTr="00554C61">
        <w:trPr>
          <w:jc w:val="center"/>
        </w:trPr>
        <w:tc>
          <w:tcPr>
            <w:cnfStyle w:val="001000000000"/>
            <w:tcW w:w="2448" w:type="dxa"/>
          </w:tcPr>
          <w:p w:rsidR="00554C61" w:rsidRDefault="00554C61" w:rsidP="00B37DD6">
            <w:pPr>
              <w:pStyle w:val="Text"/>
              <w:ind w:firstLine="0"/>
              <w:jc w:val="center"/>
            </w:pPr>
            <w:r>
              <w:t>Allocation Strategy</w:t>
            </w:r>
          </w:p>
        </w:tc>
        <w:tc>
          <w:tcPr>
            <w:tcW w:w="1288" w:type="dxa"/>
          </w:tcPr>
          <w:p w:rsidR="00554C61" w:rsidRDefault="00554C61" w:rsidP="00B37DD6">
            <w:pPr>
              <w:pStyle w:val="Text"/>
              <w:ind w:firstLine="0"/>
              <w:jc w:val="center"/>
              <w:cnfStyle w:val="000000000000"/>
            </w:pPr>
            <w:r>
              <w:t>RA</w:t>
            </w:r>
            <w:r w:rsidR="009C049A">
              <w:t xml:space="preserve"> </w:t>
            </w:r>
            <w:r>
              <w:t>-</w:t>
            </w:r>
            <w:r w:rsidR="009C049A">
              <w:t xml:space="preserve"> </w:t>
            </w:r>
            <w:r>
              <w:t>GIA</w:t>
            </w:r>
          </w:p>
        </w:tc>
      </w:tr>
    </w:tbl>
    <w:p w:rsidR="00B37DD6" w:rsidRDefault="00B37DD6">
      <w:pPr>
        <w:pStyle w:val="Text"/>
      </w:pPr>
    </w:p>
    <w:p w:rsidR="00B37DD6" w:rsidRDefault="00B37DD6" w:rsidP="00554C61">
      <w:pPr>
        <w:pStyle w:val="Heading2"/>
      </w:pPr>
      <w:r>
        <w:t xml:space="preserve">Factors and </w:t>
      </w:r>
      <w:r w:rsidR="00554C61">
        <w:t>Values</w:t>
      </w:r>
    </w:p>
    <w:p w:rsidR="0052750C" w:rsidRDefault="0052750C" w:rsidP="0052750C">
      <w:pPr>
        <w:pStyle w:val="Text"/>
      </w:pPr>
      <w:r>
        <w:t>To get the voter turnout rate w</w:t>
      </w:r>
      <w:r w:rsidR="00554C61">
        <w:t>e used the data based</w:t>
      </w:r>
      <w:r w:rsidR="00554C61" w:rsidRPr="00250634">
        <w:t xml:space="preserve"> on statistics from the 2004 election in Franklin County, Ohio</w:t>
      </w:r>
      <w:r>
        <w:t>.</w:t>
      </w:r>
    </w:p>
    <w:p w:rsidR="00554C61" w:rsidRDefault="0052750C" w:rsidP="0052750C">
      <w:pPr>
        <w:pStyle w:val="Text"/>
      </w:pPr>
      <w:r>
        <w:t xml:space="preserve"> W</w:t>
      </w:r>
      <w:r w:rsidR="00554C61" w:rsidRPr="00250634">
        <w:t xml:space="preserve">e fit a </w:t>
      </w:r>
      <w:r w:rsidRPr="0052750C">
        <w:t>Weibull distribution</w:t>
      </w:r>
      <w:r w:rsidR="00554C61"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00554C61" w:rsidRPr="00250634">
        <w:t xml:space="preserve"> to </w:t>
      </w:r>
      <w:r>
        <w:t>turnout percentage</w:t>
      </w:r>
      <w:r w:rsidR="00554C61" w:rsidRPr="00250634">
        <w:t xml:space="preserve"> in each precinct in the 2004 election.</w:t>
      </w:r>
    </w:p>
    <w:p w:rsidR="00B37DD6" w:rsidRPr="0052750C" w:rsidRDefault="00B37DD6">
      <w:pPr>
        <w:pStyle w:val="Text"/>
        <w:rPr>
          <w:color w:val="FF0000"/>
        </w:rPr>
      </w:pPr>
      <w:r w:rsidRPr="0052750C">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rsidP="0052750C">
      <w:pPr>
        <w:pStyle w:val="Text"/>
      </w:pPr>
      <w:r w:rsidRPr="00B37DD6">
        <w:t xml:space="preserve">We set the two </w:t>
      </w:r>
      <w:r w:rsidR="0052750C">
        <w:t>values</w:t>
      </w:r>
      <w:r w:rsidRPr="00B37DD6">
        <w:t xml:space="preserve"> of </w:t>
      </w:r>
      <w:r w:rsidR="0052750C">
        <w:t>Number of Precincts to be 20 precincts, 3</w:t>
      </w:r>
      <w:r w:rsidRPr="00B37DD6">
        <w:t>0 precincts</w:t>
      </w:r>
      <w:r w:rsidR="0052750C">
        <w:t>, and 50 precincts</w:t>
      </w:r>
      <w:r w:rsidRPr="00B37DD6">
        <w:t xml:space="preserve">. </w:t>
      </w:r>
    </w:p>
    <w:p w:rsidR="00B37DD6" w:rsidRDefault="00B37DD6" w:rsidP="0052750C">
      <w:pPr>
        <w:pStyle w:val="Text"/>
      </w:pPr>
      <w:r w:rsidRPr="00B37DD6">
        <w:t xml:space="preserve">We set the two level of Ratio of the number of machines to the number of precincts to </w:t>
      </w:r>
      <w:r w:rsidR="0052750C">
        <w:t>2</w:t>
      </w:r>
      <w:r w:rsidRPr="00B37DD6">
        <w:t xml:space="preserve"> and </w:t>
      </w:r>
      <w:r w:rsidR="0052750C">
        <w:t>3.6.</w:t>
      </w:r>
    </w:p>
    <w:p w:rsidR="00B37DD6" w:rsidRDefault="00B37DD6" w:rsidP="00826CA4">
      <w:pPr>
        <w:pStyle w:val="Text"/>
      </w:pPr>
      <w:r w:rsidRPr="00B37DD6">
        <w:t xml:space="preserve">To obtain the allocations for each </w:t>
      </w:r>
      <w:r w:rsidR="00826CA4" w:rsidRPr="00B37DD6">
        <w:t>combination</w:t>
      </w:r>
      <w:r w:rsidRPr="00B37DD6">
        <w:t xml:space="preserve"> of </w:t>
      </w:r>
      <w:r w:rsidR="00826CA4">
        <w:t>design factors</w:t>
      </w:r>
      <w:r w:rsidRPr="00B37DD6">
        <w:t xml:space="preserve">, we run the </w:t>
      </w:r>
      <w:r w:rsidR="00826CA4">
        <w:t>RA and GIA using the React.Net Library</w:t>
      </w:r>
      <w:r w:rsidRPr="00B37DD6">
        <w:t xml:space="preserve">. We use 50 replications for each scenario so that the 95% confidence-interval half width will be less than 10% of the average waiting time in a precinct. </w:t>
      </w:r>
    </w:p>
    <w:p w:rsidR="00B37DD6" w:rsidRDefault="00B37DD6" w:rsidP="00826CA4">
      <w:pPr>
        <w:pStyle w:val="Text"/>
      </w:pPr>
      <w:r w:rsidRPr="00B37DD6">
        <w:t xml:space="preserve">There are </w:t>
      </w:r>
      <w:r w:rsidR="00826CA4">
        <w:t>12</w:t>
      </w:r>
      <w:r w:rsidRPr="00B37DD6">
        <w:t xml:space="preserve"> design points in</w:t>
      </w:r>
      <w:r w:rsidR="00826CA4">
        <w:t xml:space="preserve"> total (see Table 3). We run 50</w:t>
      </w:r>
      <w:r w:rsidRPr="00B37DD6">
        <w:t xml:space="preserve"> repl</w:t>
      </w:r>
      <w:r w:rsidR="00826CA4">
        <w:t xml:space="preserve">ications for each design point. Different random number </w:t>
      </w:r>
      <w:r w:rsidR="00826CA4" w:rsidRPr="00826CA4">
        <w:rPr>
          <w:color w:val="FF0000"/>
        </w:rPr>
        <w:t>streams</w:t>
      </w:r>
      <w:r w:rsidRPr="00B37DD6">
        <w:t xml:space="preserve"> are used for different design points to ensure that the design points are independent.</w:t>
      </w:r>
    </w:p>
    <w:p w:rsidR="0078769F" w:rsidRDefault="0078769F" w:rsidP="0078769F">
      <w:pPr>
        <w:pStyle w:val="Heading2"/>
      </w:pPr>
      <w:r>
        <w:t>Results</w:t>
      </w:r>
    </w:p>
    <w:p w:rsidR="009C049A" w:rsidRPr="009C049A" w:rsidRDefault="0078769F" w:rsidP="009C049A">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9C049A" w:rsidRDefault="009C049A" w:rsidP="009C049A">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 xml:space="preserve">the response values against the allocations provided by the </w:t>
      </w:r>
      <w:r w:rsidRPr="009C049A">
        <w:lastRenderedPageBreak/>
        <w:t>GIA and the UEM. It clearly shows that the GIA is statistically</w:t>
      </w:r>
      <w:r>
        <w:t xml:space="preserve"> </w:t>
      </w:r>
      <w:r w:rsidRPr="009C049A">
        <w:t>significantly better in this scenario.</w:t>
      </w:r>
    </w:p>
    <w:p w:rsidR="009C049A" w:rsidRDefault="009C049A" w:rsidP="009C049A">
      <w:pPr>
        <w:pStyle w:val="Text"/>
      </w:pPr>
      <w:r>
        <w:t>Figure 2 case which is not better.</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Pr="00305B96"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537" w:rsidRDefault="00335537">
      <w:r>
        <w:separator/>
      </w:r>
    </w:p>
  </w:endnote>
  <w:endnote w:type="continuationSeparator" w:id="1">
    <w:p w:rsidR="00335537" w:rsidRDefault="00335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DA58C5">
          <w:pPr>
            <w:pStyle w:val="Footer"/>
            <w:jc w:val="right"/>
            <w:rPr>
              <w:b/>
              <w:color w:val="4F81BD" w:themeColor="accent1"/>
              <w:sz w:val="32"/>
              <w:szCs w:val="32"/>
            </w:rPr>
          </w:pPr>
          <w:fldSimple w:instr=" PAGE   \* MERGEFORMAT ">
            <w:r w:rsidR="009C049A" w:rsidRPr="009C049A">
              <w:rPr>
                <w:b/>
                <w:noProof/>
                <w:color w:val="4F81BD" w:themeColor="accent1"/>
                <w:sz w:val="32"/>
                <w:szCs w:val="32"/>
              </w:rPr>
              <w:t>5</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537" w:rsidRDefault="00335537"/>
  </w:footnote>
  <w:footnote w:type="continuationSeparator" w:id="1">
    <w:p w:rsidR="00335537" w:rsidRDefault="00335537">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24D8C"/>
    <w:rsid w:val="000469CD"/>
    <w:rsid w:val="0005056E"/>
    <w:rsid w:val="00050AAA"/>
    <w:rsid w:val="00055223"/>
    <w:rsid w:val="00072B64"/>
    <w:rsid w:val="00086100"/>
    <w:rsid w:val="000A42CA"/>
    <w:rsid w:val="000F52F6"/>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35537"/>
    <w:rsid w:val="003422B3"/>
    <w:rsid w:val="00360269"/>
    <w:rsid w:val="00373501"/>
    <w:rsid w:val="0038157D"/>
    <w:rsid w:val="003916D2"/>
    <w:rsid w:val="003B2DA3"/>
    <w:rsid w:val="00404E7A"/>
    <w:rsid w:val="00423029"/>
    <w:rsid w:val="0043144F"/>
    <w:rsid w:val="00431BFA"/>
    <w:rsid w:val="00435697"/>
    <w:rsid w:val="00456ED8"/>
    <w:rsid w:val="004631BC"/>
    <w:rsid w:val="00463266"/>
    <w:rsid w:val="00465B4A"/>
    <w:rsid w:val="00472E41"/>
    <w:rsid w:val="004823FD"/>
    <w:rsid w:val="00485CF9"/>
    <w:rsid w:val="004C1E16"/>
    <w:rsid w:val="004F119E"/>
    <w:rsid w:val="00500E43"/>
    <w:rsid w:val="00504CF3"/>
    <w:rsid w:val="00514C72"/>
    <w:rsid w:val="0052750C"/>
    <w:rsid w:val="00542DF5"/>
    <w:rsid w:val="00554C61"/>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D1691"/>
    <w:rsid w:val="00A10EFA"/>
    <w:rsid w:val="00A222A3"/>
    <w:rsid w:val="00A24283"/>
    <w:rsid w:val="00A27347"/>
    <w:rsid w:val="00A40B0F"/>
    <w:rsid w:val="00A5319A"/>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A58C5"/>
    <w:rsid w:val="00DB5DBE"/>
    <w:rsid w:val="00DF2DDE"/>
    <w:rsid w:val="00E326E1"/>
    <w:rsid w:val="00E34006"/>
    <w:rsid w:val="00E443FD"/>
    <w:rsid w:val="00E44E2D"/>
    <w:rsid w:val="00E50DF6"/>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4025</Words>
  <Characters>22947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8</cp:revision>
  <cp:lastPrinted>2007-05-08T06:48:00Z</cp:lastPrinted>
  <dcterms:created xsi:type="dcterms:W3CDTF">2011-05-28T08:33:00Z</dcterms:created>
  <dcterms:modified xsi:type="dcterms:W3CDTF">2011-05-29T15:47:00Z</dcterms:modified>
</cp:coreProperties>
</file>