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A456F6">
      <w:pPr>
        <w:pStyle w:val="IndexTerms"/>
      </w:pPr>
      <w:bookmarkStart w:id="0" w:name="PointTmp"/>
      <w:r>
        <w:rPr>
          <w:i/>
          <w:iCs/>
        </w:rPr>
        <w:t>Index Terms</w:t>
      </w:r>
      <w:r>
        <w:t>—</w:t>
      </w:r>
      <w:r w:rsidR="0082494D">
        <w:t xml:space="preserve"> </w:t>
      </w:r>
      <w:r w:rsidR="00A456F6">
        <w:t>Simulation</w:t>
      </w:r>
      <w:r w:rsidR="0082494D">
        <w:t xml:space="preserve">, </w:t>
      </w:r>
      <w:r w:rsidR="00A456F6">
        <w:t>Voting Queues</w:t>
      </w:r>
      <w:r w:rsidR="00856C6D">
        <w:t>, Voter Turnout</w:t>
      </w:r>
    </w:p>
    <w:p w:rsidR="00E97402" w:rsidRDefault="00E97402"/>
    <w:bookmarkEnd w:id="0"/>
    <w:p w:rsidR="00E97402" w:rsidRDefault="00E97402">
      <w:pPr>
        <w:pStyle w:val="Heading1"/>
      </w:pPr>
      <w:r>
        <w:t>I</w:t>
      </w:r>
      <w:r>
        <w:rPr>
          <w:sz w:val="16"/>
          <w:szCs w:val="16"/>
        </w:rPr>
        <w:t>NTRODUCTION</w:t>
      </w:r>
    </w:p>
    <w:p w:rsidR="000D5342" w:rsidRPr="009133BD" w:rsidRDefault="000D5342" w:rsidP="000D5342">
      <w:pPr>
        <w:pStyle w:val="Text"/>
      </w:pPr>
      <w:r w:rsidRPr="009133BD">
        <w:t>As waiting times increase, more voters are forced to leave without having cast their ballots due to impatience and other time commitments. Thus, it is very important to design voting systems that result in voters waiting</w:t>
      </w:r>
      <w:r>
        <w:t xml:space="preserve"> </w:t>
      </w:r>
      <w:r w:rsidRPr="009133BD">
        <w:t xml:space="preserve">the least amount of time possible. Ideally, we would provide a sufficient quantity of voting machines such that voters would never have to wait to cast ballots. However, due to the expense of </w:t>
      </w:r>
      <w:r>
        <w:t>the</w:t>
      </w:r>
      <w:r w:rsidRPr="009133BD">
        <w:t xml:space="preserve"> voting machines </w:t>
      </w:r>
      <w:r>
        <w:t>and the voting a</w:t>
      </w:r>
      <w:r w:rsidR="00D1216D">
        <w:t>dministrators we cannot reach the ideal case</w:t>
      </w:r>
      <w:r>
        <w:t>.</w:t>
      </w:r>
    </w:p>
    <w:p w:rsidR="000D5342" w:rsidRDefault="000D5342" w:rsidP="002F1673">
      <w:pPr>
        <w:pStyle w:val="Text"/>
      </w:pPr>
      <w:r>
        <w:t>Perhaps even more importantly, voting systems shoul</w:t>
      </w:r>
      <w:r w:rsidR="002F1673">
        <w:t>d provide equity to all group of voters regardless of</w:t>
      </w:r>
      <w:r>
        <w:t xml:space="preserve"> (geography, voting preference,</w:t>
      </w:r>
      <w:r w:rsidR="002F1673">
        <w:t xml:space="preserve"> race of voter,</w:t>
      </w:r>
      <w:r>
        <w:t xml:space="preserve"> etc.) by having shorter lines in </w:t>
      </w:r>
      <w:r w:rsidR="002F1673">
        <w:t>all</w:t>
      </w:r>
      <w:r>
        <w:t xml:space="preserve"> precincts. </w:t>
      </w:r>
      <w:r w:rsidR="002F1673">
        <w:t>This is a big concern</w:t>
      </w:r>
      <w:r>
        <w:t xml:space="preserve"> in recent elections.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w:t>
      </w:r>
      <w:r w:rsidR="00643D8E">
        <w:t xml:space="preserve">African Americans” </w:t>
      </w:r>
      <w:r w:rsidR="001A1C0E">
        <w:fldChar w:fldCharType="begin"/>
      </w:r>
      <w:r w:rsidR="00643D8E">
        <w:instrText xml:space="preserve"> REF _Ref294517580 \r \h </w:instrText>
      </w:r>
      <w:r w:rsidR="001A1C0E">
        <w:fldChar w:fldCharType="separate"/>
      </w:r>
      <w:r w:rsidR="0039117A">
        <w:rPr>
          <w:cs/>
        </w:rPr>
        <w:t>‎</w:t>
      </w:r>
      <w:r w:rsidR="0039117A">
        <w:t>[12]</w:t>
      </w:r>
      <w:r w:rsidR="001A1C0E">
        <w:fldChar w:fldCharType="end"/>
      </w:r>
      <w:r>
        <w:t>.</w:t>
      </w:r>
    </w:p>
    <w:p w:rsidR="00CE771A" w:rsidRDefault="000D5342" w:rsidP="00CE771A">
      <w:pPr>
        <w:pStyle w:val="Text"/>
      </w:pPr>
      <w:r w:rsidRPr="009133BD">
        <w:t>Determining an optimal voting-machine allocation is challenging and difficult to solve for several reasons</w:t>
      </w:r>
      <w:r w:rsidR="002F1673">
        <w:t xml:space="preserve"> as discussed in [4]</w:t>
      </w:r>
      <w:r w:rsidRPr="009133BD">
        <w:t xml:space="preserve">. </w:t>
      </w:r>
      <w:r w:rsidR="002F1673">
        <w:t>“</w:t>
      </w:r>
      <w:r w:rsidRPr="009133BD">
        <w:t xml:space="preserve">(1) </w:t>
      </w:r>
      <w:r w:rsidR="00CE771A" w:rsidRPr="009133BD">
        <w:t>Voter</w:t>
      </w:r>
      <w:r w:rsidRPr="009133BD">
        <w:t xml:space="preserve"> </w:t>
      </w:r>
      <w:r w:rsidR="00CE771A" w:rsidRPr="009133BD">
        <w:t>arrives</w:t>
      </w:r>
      <w:r w:rsidRPr="009133BD">
        <w:t xml:space="preserve"> randomly and according to non-stationary processes to polling locations</w:t>
      </w:r>
      <w:r w:rsidR="00CE771A">
        <w:t>.</w:t>
      </w:r>
      <w:r w:rsidRPr="009133BD">
        <w:t xml:space="preserve"> (2) Voter queues may not reach steady state</w:t>
      </w:r>
      <w:r w:rsidR="00CE771A">
        <w:t>.</w:t>
      </w:r>
      <w:r w:rsidR="00CE771A" w:rsidRPr="009133BD">
        <w:t xml:space="preserve"> (</w:t>
      </w:r>
      <w:r w:rsidRPr="009133BD">
        <w:t>3) Actual voting scenarios involve considerable computational complexity.</w:t>
      </w:r>
      <w:r w:rsidR="00CE771A">
        <w:t>”</w:t>
      </w:r>
    </w:p>
    <w:p w:rsidR="000D5342" w:rsidRDefault="00CE771A" w:rsidP="00CE771A">
      <w:pPr>
        <w:pStyle w:val="Text"/>
      </w:pPr>
      <w:r>
        <w:t>In large elections</w:t>
      </w:r>
      <w:r w:rsidR="000D5342" w:rsidRPr="009133BD">
        <w:t xml:space="preserve"> </w:t>
      </w:r>
      <w:r>
        <w:t>t</w:t>
      </w:r>
      <w:r w:rsidR="000D5342" w:rsidRPr="009133BD">
        <w:t>here are thousands of p</w:t>
      </w:r>
      <w:r>
        <w:t>recincts</w:t>
      </w:r>
      <w:r w:rsidR="000D5342" w:rsidRPr="009133BD">
        <w:t xml:space="preserve"> and the inp</w:t>
      </w:r>
      <w:r>
        <w:t xml:space="preserve">ut variables are stochastic. </w:t>
      </w:r>
      <w:r w:rsidR="000D5342" w:rsidRPr="009133BD">
        <w:t>Thus, both building model</w:t>
      </w:r>
      <w:r>
        <w:t xml:space="preserve"> that simulate elections</w:t>
      </w:r>
      <w:r w:rsidR="000D5342" w:rsidRPr="009133BD">
        <w:t xml:space="preserve"> and developing solution methods</w:t>
      </w:r>
      <w:r>
        <w:t xml:space="preserve"> for it</w:t>
      </w:r>
      <w:r w:rsidR="000D5342" w:rsidRPr="009133BD">
        <w:t xml:space="preserve"> are challenging.</w:t>
      </w:r>
    </w:p>
    <w:p w:rsidR="000D5342" w:rsidRDefault="000D5342" w:rsidP="0071462E">
      <w:pPr>
        <w:pStyle w:val="Text"/>
      </w:pPr>
      <w:r w:rsidRPr="009133BD">
        <w:t xml:space="preserve">We model the voting process using a simulation model that allows us to employ non-stationary arrivals and non-steady state queues. We allocate voting machines to precincts using </w:t>
      </w:r>
      <w:r w:rsidR="00B23ABA">
        <w:t>guided random</w:t>
      </w:r>
      <w:r w:rsidRPr="009133BD">
        <w:t xml:space="preserve"> </w:t>
      </w:r>
      <w:r w:rsidR="00B23ABA">
        <w:t xml:space="preserve">with </w:t>
      </w:r>
      <w:r w:rsidRPr="009133BD">
        <w:t>improvement heuristic</w:t>
      </w:r>
      <w:r w:rsidR="00B23ABA">
        <w:t xml:space="preserve"> and comparing results with greedy improvement algorithm discussed in </w:t>
      </w:r>
      <w:r w:rsidR="001A1C0E">
        <w:fldChar w:fldCharType="begin"/>
      </w:r>
      <w:r w:rsidR="00B23ABA">
        <w:instrText xml:space="preserve"> REF _Ref294516270 \r \h </w:instrText>
      </w:r>
      <w:r w:rsidR="001A1C0E">
        <w:fldChar w:fldCharType="separate"/>
      </w:r>
      <w:r w:rsidR="0039117A">
        <w:rPr>
          <w:cs/>
        </w:rPr>
        <w:t>‎</w:t>
      </w:r>
      <w:r w:rsidR="0039117A">
        <w:t>[4]</w:t>
      </w:r>
      <w:r w:rsidR="001A1C0E">
        <w:fldChar w:fldCharType="end"/>
      </w:r>
      <w:r w:rsidRPr="009133BD">
        <w:t>. The objective in our machine allocation is to provide voter equity across precincts. The rest of the paper i</w:t>
      </w:r>
      <w:r w:rsidR="00B23ABA">
        <w:t xml:space="preserve">s arranged as follows. Sections </w:t>
      </w:r>
      <w:r w:rsidR="001A1C0E">
        <w:fldChar w:fldCharType="begin"/>
      </w:r>
      <w:r w:rsidR="00B23ABA">
        <w:instrText xml:space="preserve"> REF _Ref294516303 \r \h </w:instrText>
      </w:r>
      <w:r w:rsidR="001A1C0E">
        <w:fldChar w:fldCharType="separate"/>
      </w:r>
      <w:r w:rsidR="0039117A">
        <w:rPr>
          <w:cs/>
        </w:rPr>
        <w:t>‎</w:t>
      </w:r>
      <w:r w:rsidR="0039117A">
        <w:t>II</w:t>
      </w:r>
      <w:r w:rsidR="001A1C0E">
        <w:fldChar w:fldCharType="end"/>
      </w:r>
      <w:r w:rsidR="00B23ABA">
        <w:t xml:space="preserve"> and</w:t>
      </w:r>
      <w:r w:rsidRPr="009133BD">
        <w:t xml:space="preserve"> </w:t>
      </w:r>
      <w:r w:rsidR="001A1C0E">
        <w:fldChar w:fldCharType="begin"/>
      </w:r>
      <w:r w:rsidR="00B23ABA">
        <w:instrText xml:space="preserve"> REF _Ref294516316 \r \h </w:instrText>
      </w:r>
      <w:r w:rsidR="001A1C0E">
        <w:fldChar w:fldCharType="separate"/>
      </w:r>
      <w:r w:rsidR="0039117A">
        <w:rPr>
          <w:cs/>
        </w:rPr>
        <w:t>‎</w:t>
      </w:r>
      <w:r w:rsidR="0039117A">
        <w:t>III</w:t>
      </w:r>
      <w:r w:rsidR="001A1C0E">
        <w:fldChar w:fldCharType="end"/>
      </w:r>
      <w:r w:rsidR="00B23ABA">
        <w:t xml:space="preserve"> </w:t>
      </w:r>
      <w:r w:rsidRPr="009133BD">
        <w:t xml:space="preserve">provides </w:t>
      </w:r>
      <w:r w:rsidR="00B23ABA">
        <w:t xml:space="preserve">information on motivation and more detailed problem definition. Section </w:t>
      </w:r>
      <w:r w:rsidR="001A1C0E">
        <w:fldChar w:fldCharType="begin"/>
      </w:r>
      <w:r w:rsidR="00B23ABA">
        <w:instrText xml:space="preserve"> REF _Ref294516374 \r \h </w:instrText>
      </w:r>
      <w:r w:rsidR="001A1C0E">
        <w:fldChar w:fldCharType="separate"/>
      </w:r>
      <w:r w:rsidR="0039117A">
        <w:rPr>
          <w:cs/>
        </w:rPr>
        <w:t>‎</w:t>
      </w:r>
      <w:r w:rsidR="0039117A">
        <w:t>IV</w:t>
      </w:r>
      <w:r w:rsidR="001A1C0E">
        <w:fldChar w:fldCharType="end"/>
      </w:r>
      <w:r w:rsidR="0071462E">
        <w:t xml:space="preserve"> discuss the suggested algorithm RA and the state of the art GIA</w:t>
      </w:r>
      <w:r w:rsidRPr="009133BD">
        <w:t>. Sectio</w:t>
      </w:r>
      <w:r w:rsidR="0071462E">
        <w:t xml:space="preserve">n </w:t>
      </w:r>
      <w:r w:rsidR="001A1C0E">
        <w:fldChar w:fldCharType="begin"/>
      </w:r>
      <w:r w:rsidR="0071462E">
        <w:instrText xml:space="preserve"> REF _Ref294516573 \r \h </w:instrText>
      </w:r>
      <w:r w:rsidR="001A1C0E">
        <w:fldChar w:fldCharType="separate"/>
      </w:r>
      <w:r w:rsidR="0039117A">
        <w:rPr>
          <w:cs/>
        </w:rPr>
        <w:t>‎</w:t>
      </w:r>
      <w:r w:rsidR="0039117A">
        <w:t>V</w:t>
      </w:r>
      <w:r w:rsidR="001A1C0E">
        <w:fldChar w:fldCharType="end"/>
      </w:r>
      <w:r w:rsidR="0071462E">
        <w:t xml:space="preserve"> discuss the performance metrics, experimental design and results analysis</w:t>
      </w:r>
      <w:r w:rsidRPr="009133BD">
        <w:t xml:space="preserve">. Section </w:t>
      </w:r>
      <w:r w:rsidR="001A1C0E">
        <w:fldChar w:fldCharType="begin"/>
      </w:r>
      <w:r w:rsidR="0071462E">
        <w:instrText xml:space="preserve"> REF _Ref294516743 \r \h </w:instrText>
      </w:r>
      <w:r w:rsidR="001A1C0E">
        <w:fldChar w:fldCharType="separate"/>
      </w:r>
      <w:r w:rsidR="0039117A">
        <w:rPr>
          <w:cs/>
        </w:rPr>
        <w:t>‎</w:t>
      </w:r>
      <w:r w:rsidR="0039117A">
        <w:t>VI</w:t>
      </w:r>
      <w:r w:rsidR="001A1C0E">
        <w:fldChar w:fldCharType="end"/>
      </w:r>
      <w:r w:rsidRPr="009133BD">
        <w:t xml:space="preserve"> </w:t>
      </w:r>
      <w:r w:rsidR="0071462E">
        <w:t>provides a brief review on related work in literature</w:t>
      </w:r>
      <w:r w:rsidRPr="009133BD">
        <w:t xml:space="preserve">. Section </w:t>
      </w:r>
      <w:r w:rsidR="001A1C0E">
        <w:fldChar w:fldCharType="begin"/>
      </w:r>
      <w:r w:rsidR="0071462E">
        <w:instrText xml:space="preserve"> REF _Ref294516791 \r \h </w:instrText>
      </w:r>
      <w:r w:rsidR="001A1C0E">
        <w:fldChar w:fldCharType="separate"/>
      </w:r>
      <w:r w:rsidR="0039117A">
        <w:rPr>
          <w:cs/>
        </w:rPr>
        <w:t>‎</w:t>
      </w:r>
      <w:r w:rsidR="0039117A">
        <w:t>VII</w:t>
      </w:r>
      <w:r w:rsidR="001A1C0E">
        <w:fldChar w:fldCharType="end"/>
      </w:r>
      <w:r w:rsidRPr="009133BD">
        <w:t xml:space="preserve"> </w:t>
      </w:r>
      <w:r w:rsidR="0071462E">
        <w:t xml:space="preserve">discusses </w:t>
      </w:r>
      <w:r w:rsidRPr="009133BD">
        <w:t>conclusions</w:t>
      </w:r>
      <w:r w:rsidR="0071462E">
        <w:t>. A</w:t>
      </w:r>
      <w:r w:rsidRPr="009133BD">
        <w:t>nd</w:t>
      </w:r>
      <w:r w:rsidR="0071462E">
        <w:t xml:space="preserve"> section </w:t>
      </w:r>
      <w:r w:rsidR="001A1C0E">
        <w:fldChar w:fldCharType="begin"/>
      </w:r>
      <w:r w:rsidR="0071462E">
        <w:instrText xml:space="preserve"> REF _Ref294516830 \r \h </w:instrText>
      </w:r>
      <w:r w:rsidR="001A1C0E">
        <w:fldChar w:fldCharType="separate"/>
      </w:r>
      <w:r w:rsidR="0039117A">
        <w:rPr>
          <w:cs/>
        </w:rPr>
        <w:t>‎</w:t>
      </w:r>
      <w:r w:rsidR="0039117A">
        <w:t>VIII</w:t>
      </w:r>
      <w:r w:rsidR="001A1C0E">
        <w:fldChar w:fldCharType="end"/>
      </w:r>
      <w:r w:rsidR="0071462E">
        <w:t xml:space="preserve"> discusses limitations and</w:t>
      </w:r>
      <w:r w:rsidRPr="009133BD">
        <w:t xml:space="preserve"> future work.</w:t>
      </w:r>
    </w:p>
    <w:p w:rsidR="007E017B" w:rsidRDefault="007E017B">
      <w:pPr>
        <w:pStyle w:val="Heading1"/>
      </w:pPr>
      <w:bookmarkStart w:id="1" w:name="_Ref294516303"/>
      <w:r>
        <w:t>Motivation</w:t>
      </w:r>
      <w:bookmarkEnd w:id="1"/>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bookmarkStart w:id="2" w:name="_Ref294516316"/>
      <w:r>
        <w:t>Problem Definition</w:t>
      </w:r>
      <w:bookmarkEnd w:id="2"/>
    </w:p>
    <w:p w:rsidR="00EA4D9A" w:rsidRDefault="00533057" w:rsidP="00533057">
      <w:pPr>
        <w:ind w:firstLine="202"/>
        <w:jc w:val="both"/>
      </w:pPr>
      <w:r>
        <w:t xml:space="preserve">In most elections we see large lines of voters waiting in queues outside precincts to cast their vote. The voter sometimes has to wait for hours and some </w:t>
      </w:r>
      <w:r w:rsidRPr="00533057">
        <w:t>voters are forced to leave without voting due to impatience and other time commitments.</w:t>
      </w:r>
      <w:r>
        <w:t xml:space="preserve"> This affects</w:t>
      </w:r>
      <w:r w:rsidR="00BD5788">
        <w:t xml:space="preserve"> negatively</w:t>
      </w:r>
      <w:r>
        <w:t xml:space="preserve"> on</w:t>
      </w:r>
      <w:r w:rsidR="00BD5788">
        <w:t xml:space="preserve">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256390">
        <w:t>[4]</w:t>
      </w:r>
      <w:r w:rsidR="00BD5788">
        <w:t xml:space="preserve"> – namely GIA - outperforms UEM (Utilization Equalization Method) which have been used in US 2004 presidential election in many counties. In this paper we are extending the simulation model used in </w:t>
      </w:r>
      <w:r w:rsidR="00256390">
        <w:t xml:space="preserve">[4], </w:t>
      </w:r>
      <w:r w:rsidR="00BD5788">
        <w:t xml:space="preserve">and comparing the results of our algorithm RA with the algorithm described in </w:t>
      </w:r>
      <w:r w:rsidR="00256390">
        <w:t>[4],</w:t>
      </w:r>
      <w:r w:rsidR="00BD5788">
        <w:t xml:space="preserve"> GIA.</w:t>
      </w:r>
    </w:p>
    <w:p w:rsidR="00D83625" w:rsidRDefault="00EA4D9A" w:rsidP="00D83625">
      <w:pPr>
        <w:pStyle w:val="Heading1"/>
      </w:pPr>
      <w:bookmarkStart w:id="3" w:name="_Ref294516374"/>
      <w:r>
        <w:lastRenderedPageBreak/>
        <w:t>Suggested Solution</w:t>
      </w:r>
      <w:bookmarkEnd w:id="3"/>
    </w:p>
    <w:p w:rsidR="00D83625" w:rsidRDefault="00D83625" w:rsidP="00D83625">
      <w:pPr>
        <w:pStyle w:val="Heading2"/>
      </w:pPr>
      <w:r>
        <w:t>Queuing Model</w:t>
      </w:r>
    </w:p>
    <w:p w:rsidR="00CE771A" w:rsidRPr="00CE771A" w:rsidRDefault="00CE771A" w:rsidP="00CE771A"/>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B65D72">
      <w:pPr>
        <w:pStyle w:val="Heading3"/>
      </w:pPr>
      <w:r>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then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a Weibull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CE771A" w:rsidRDefault="00CE771A" w:rsidP="0061418D">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lastRenderedPageBreak/>
        <w:t xml:space="preserve">Table </w:t>
      </w:r>
      <w:r w:rsidR="001A1C0E" w:rsidRPr="0081542F">
        <w:rPr>
          <w:b w:val="0"/>
          <w:bCs w:val="0"/>
          <w:color w:val="auto"/>
        </w:rPr>
        <w:fldChar w:fldCharType="begin"/>
      </w:r>
      <w:r w:rsidRPr="0081542F">
        <w:rPr>
          <w:b w:val="0"/>
          <w:bCs w:val="0"/>
          <w:color w:val="auto"/>
        </w:rPr>
        <w:instrText xml:space="preserve"> SEQ Table \* ARABIC </w:instrText>
      </w:r>
      <w:r w:rsidR="001A1C0E" w:rsidRPr="0081542F">
        <w:rPr>
          <w:b w:val="0"/>
          <w:bCs w:val="0"/>
          <w:color w:val="auto"/>
        </w:rPr>
        <w:fldChar w:fldCharType="separate"/>
      </w:r>
      <w:r w:rsidR="0039117A">
        <w:rPr>
          <w:b w:val="0"/>
          <w:bCs w:val="0"/>
          <w:noProof/>
          <w:color w:val="auto"/>
        </w:rPr>
        <w:t>1</w:t>
      </w:r>
      <w:r w:rsidR="001A1C0E"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CE771A" w:rsidRDefault="0007624C" w:rsidP="00CE771A">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CE771A" w:rsidRDefault="001C4CFD" w:rsidP="00CE771A">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r>
        <w:rPr>
          <w:rFonts w:asciiTheme="majorBidi" w:hAnsiTheme="majorBidi" w:cstheme="majorBidi"/>
        </w:rPr>
        <w:t>Step 2. Run the simulation and calculate the equity (new equity)</w:t>
      </w:r>
    </w:p>
    <w:p w:rsidR="001C4CFD" w:rsidRDefault="001C4CFD" w:rsidP="00537BDC">
      <w:pPr>
        <w:tabs>
          <w:tab w:val="left" w:pos="360"/>
        </w:tabs>
        <w:spacing w:line="276" w:lineRule="auto"/>
        <w:ind w:left="360"/>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w:t>
      </w:r>
      <w:r w:rsidR="008D3EEF">
        <w:lastRenderedPageBreak/>
        <w:t xml:space="preserve">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React..NET [10]</w:t>
      </w:r>
      <w:r>
        <w:t>.</w:t>
      </w:r>
      <w:r w:rsidR="008D3EEF">
        <w:t xml:space="preserve"> </w:t>
      </w:r>
      <w:r w:rsidR="0007624C">
        <w:t>We implemented the GIA and RA method using this library</w:t>
      </w:r>
      <w:r w:rsidR="008D3EEF">
        <w:t>.</w:t>
      </w:r>
    </w:p>
    <w:p w:rsidR="00EA4D9A" w:rsidRDefault="00EA4D9A" w:rsidP="00EA4D9A">
      <w:pPr>
        <w:pStyle w:val="Heading1"/>
      </w:pPr>
      <w:bookmarkStart w:id="4" w:name="_Ref294516573"/>
      <w:r w:rsidRPr="00EA4D9A">
        <w:t>Performance Measurement and Analysis</w:t>
      </w:r>
      <w:bookmarkEnd w:id="4"/>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CE771A" w:rsidRDefault="00CE771A" w:rsidP="00D56B51">
      <w:pPr>
        <w:pStyle w:val="Text"/>
      </w:pP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1A1C0E"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1A1C0E"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1A1C0E" w:rsidRPr="00B37DD6">
        <w:rPr>
          <w:b w:val="0"/>
          <w:bCs w:val="0"/>
          <w:color w:val="auto"/>
        </w:rPr>
        <w:fldChar w:fldCharType="begin"/>
      </w:r>
      <w:r w:rsidRPr="00B37DD6">
        <w:rPr>
          <w:b w:val="0"/>
          <w:bCs w:val="0"/>
          <w:color w:val="auto"/>
        </w:rPr>
        <w:instrText xml:space="preserve"> SEQ Table \* ARABIC </w:instrText>
      </w:r>
      <w:r w:rsidR="001A1C0E" w:rsidRPr="00B37DD6">
        <w:rPr>
          <w:b w:val="0"/>
          <w:bCs w:val="0"/>
          <w:color w:val="auto"/>
        </w:rPr>
        <w:fldChar w:fldCharType="separate"/>
      </w:r>
      <w:r w:rsidR="0039117A">
        <w:rPr>
          <w:b w:val="0"/>
          <w:bCs w:val="0"/>
          <w:noProof/>
          <w:color w:val="auto"/>
        </w:rPr>
        <w:t>2</w:t>
      </w:r>
      <w:r w:rsidR="001A1C0E"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w:t>
      </w:r>
      <w:r>
        <w:rPr>
          <w:color w:val="000000" w:themeColor="text1"/>
        </w:rPr>
        <w:lastRenderedPageBreak/>
        <w:t>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2E36B7" w:rsidRDefault="002E36B7" w:rsidP="005B6066">
      <w:pPr>
        <w:pStyle w:val="Text"/>
      </w:pPr>
    </w:p>
    <w:p w:rsidR="005B6066" w:rsidRDefault="005B6066" w:rsidP="0058215E">
      <w:pPr>
        <w:pStyle w:val="Text"/>
      </w:pPr>
    </w:p>
    <w:p w:rsidR="005B6066" w:rsidRDefault="00485D19" w:rsidP="00485D19">
      <w:pPr>
        <w:pStyle w:val="Caption"/>
        <w:jc w:val="center"/>
      </w:pPr>
      <w:r w:rsidRPr="008F039E">
        <w:rPr>
          <w:color w:val="auto"/>
        </w:rPr>
        <w:t xml:space="preserve">Figure </w:t>
      </w:r>
      <w:r w:rsidR="001A1C0E" w:rsidRPr="008F039E">
        <w:rPr>
          <w:color w:val="auto"/>
        </w:rPr>
        <w:fldChar w:fldCharType="begin"/>
      </w:r>
      <w:r w:rsidRPr="008F039E">
        <w:rPr>
          <w:color w:val="auto"/>
        </w:rPr>
        <w:instrText xml:space="preserve"> SEQ Figure \* ARABIC </w:instrText>
      </w:r>
      <w:r w:rsidR="001A1C0E" w:rsidRPr="008F039E">
        <w:rPr>
          <w:color w:val="auto"/>
        </w:rPr>
        <w:fldChar w:fldCharType="separate"/>
      </w:r>
      <w:r w:rsidR="0039117A">
        <w:rPr>
          <w:noProof/>
          <w:color w:val="auto"/>
        </w:rPr>
        <w:t>1</w:t>
      </w:r>
      <w:r w:rsidR="001A1C0E" w:rsidRPr="008F039E">
        <w:rPr>
          <w:color w:val="auto"/>
        </w:rPr>
        <w:fldChar w:fldCharType="end"/>
      </w:r>
      <w:r w:rsidRPr="008F039E">
        <w:rPr>
          <w:color w:val="auto"/>
        </w:rPr>
        <w:t>: GIA vs. RA Allocation Strategies Confidence Interval of Design Point 10</w:t>
      </w:r>
    </w:p>
    <w:p w:rsidR="008F039E" w:rsidRDefault="0058215E" w:rsidP="008F039E">
      <w:pPr>
        <w:pStyle w:val="Text"/>
        <w:keepNext/>
      </w:pPr>
      <w:r>
        <w:rPr>
          <w:noProof/>
        </w:rPr>
        <w:drawing>
          <wp:anchor distT="0" distB="0" distL="114300" distR="114300" simplePos="0" relativeHeight="251658240" behindDoc="0" locked="0" layoutInCell="1" allowOverlap="1">
            <wp:simplePos x="0" y="0"/>
            <wp:positionH relativeFrom="column">
              <wp:posOffset>168822</wp:posOffset>
            </wp:positionH>
            <wp:positionV relativeFrom="paragraph">
              <wp:posOffset>172063</wp:posOffset>
            </wp:positionV>
            <wp:extent cx="157524" cy="1362141"/>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Pr="00EA1DB3">
        <w:rPr>
          <w:noProof/>
        </w:rPr>
        <w:drawing>
          <wp:inline distT="0" distB="0" distL="0" distR="0">
            <wp:extent cx="2609850" cy="1666875"/>
            <wp:effectExtent l="19050" t="0" r="19050" b="0"/>
            <wp:docPr id="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Default="00D56B51" w:rsidP="00D56B51"/>
    <w:p w:rsidR="00485D19" w:rsidRDefault="00485D19" w:rsidP="00D56B51"/>
    <w:p w:rsidR="00485D19" w:rsidRDefault="00485D19" w:rsidP="00D56B51"/>
    <w:p w:rsidR="00485D19" w:rsidRDefault="00485D19" w:rsidP="00D56B51"/>
    <w:p w:rsidR="003F2118" w:rsidRDefault="003F2118" w:rsidP="00485D19">
      <w:pPr>
        <w:jc w:val="center"/>
      </w:pPr>
    </w:p>
    <w:p w:rsidR="00485D19" w:rsidRDefault="00485D19" w:rsidP="00485D19">
      <w:pPr>
        <w:jc w:val="center"/>
      </w:pPr>
      <w:r w:rsidRPr="008F039E">
        <w:lastRenderedPageBreak/>
        <w:t xml:space="preserve">Figure </w:t>
      </w:r>
      <w:fldSimple w:instr=" SEQ Figure \* ARABIC ">
        <w:r w:rsidR="0039117A">
          <w:rPr>
            <w:noProof/>
          </w:rPr>
          <w:t>2</w:t>
        </w:r>
      </w:fldSimple>
      <w:r w:rsidRPr="008F039E">
        <w:t>: GIA vs. RA Allocation Strategies Confidence Interval of Design Point 1</w:t>
      </w:r>
    </w:p>
    <w:p w:rsidR="00485D19" w:rsidRPr="00D56B51" w:rsidRDefault="00485D19" w:rsidP="00485D19">
      <w:pPr>
        <w:jc w:val="center"/>
      </w:pPr>
    </w:p>
    <w:p w:rsidR="008F039E" w:rsidRDefault="0058215E" w:rsidP="008F039E">
      <w:pPr>
        <w:keepNext/>
        <w:ind w:firstLine="202"/>
        <w:jc w:val="both"/>
      </w:pPr>
      <w:r>
        <w:rPr>
          <w:noProof/>
        </w:rPr>
        <w:drawing>
          <wp:anchor distT="0" distB="0" distL="114300" distR="114300" simplePos="0" relativeHeight="251660288" behindDoc="0" locked="0" layoutInCell="1" allowOverlap="1">
            <wp:simplePos x="0" y="0"/>
            <wp:positionH relativeFrom="column">
              <wp:posOffset>158203</wp:posOffset>
            </wp:positionH>
            <wp:positionV relativeFrom="paragraph">
              <wp:posOffset>91440</wp:posOffset>
            </wp:positionV>
            <wp:extent cx="157524" cy="1311691"/>
            <wp:effectExtent l="19050" t="0" r="0" b="0"/>
            <wp:wrapNone/>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7777" cy="2233628"/>
                      <a:chOff x="1523999" y="3810001"/>
                      <a:chExt cx="307777" cy="2233628"/>
                    </a:xfrm>
                  </a:grpSpPr>
                  <a:sp>
                    <a:nvSpPr>
                      <a:cNvPr id="1034" name="Text Box 10"/>
                      <a:cNvSpPr txBox="1">
                        <a:spLocks noChangeArrowheads="1"/>
                      </a:cNvSpPr>
                    </a:nvSpPr>
                    <a:spPr bwMode="auto">
                      <a:xfrm rot="16200000">
                        <a:off x="561074" y="4772926"/>
                        <a:ext cx="2233628" cy="307777"/>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Calibri" pitchFamily="34" charset="0"/>
                              <a:ea typeface="Arial" pitchFamily="34" charset="0"/>
                              <a:cs typeface="Arabic Transparent" pitchFamily="2" charset="-78"/>
                            </a:rPr>
                            <a:t>Equity Metric (Minutes)</a:t>
                          </a:r>
                          <a:endParaRPr kumimoji="0" lang="en-US" sz="4400" b="1" i="0" u="none" strike="noStrike" cap="none" normalizeH="0" baseline="0" dirty="0" smtClean="0">
                            <a:ln>
                              <a:noFill/>
                            </a:ln>
                            <a:solidFill>
                              <a:schemeClr val="tx1"/>
                            </a:solidFill>
                            <a:effectLst/>
                            <a:latin typeface="Arial" pitchFamily="34" charset="0"/>
                            <a:cs typeface="Arabic Transparent" pitchFamily="2" charset="-78"/>
                          </a:endParaRPr>
                        </a:p>
                      </a:txBody>
                      <a:useSpRect/>
                    </a:txSp>
                  </a:sp>
                </lc:lockedCanvas>
              </a:graphicData>
            </a:graphic>
          </wp:anchor>
        </w:drawing>
      </w:r>
      <w:r w:rsidR="00EA1DB3" w:rsidRPr="00EA1DB3">
        <w:rPr>
          <w:noProof/>
        </w:rPr>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97402" w:rsidRDefault="007E017B">
      <w:pPr>
        <w:pStyle w:val="Heading1"/>
      </w:pPr>
      <w:bookmarkStart w:id="5" w:name="_Ref294516743"/>
      <w:r>
        <w:t>Related Work</w:t>
      </w:r>
      <w:bookmarkEnd w:id="5"/>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0B05D7" w:rsidRDefault="00F41896" w:rsidP="000B05D7">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504784" w:rsidP="000B05D7">
      <w:pPr>
        <w:pStyle w:val="Text"/>
        <w:rPr>
          <w:rFonts w:asciiTheme="majorBidi" w:hAnsiTheme="majorBidi" w:cstheme="majorBidi"/>
        </w:rPr>
      </w:pPr>
      <w:r>
        <w:rPr>
          <w:rFonts w:asciiTheme="majorBidi" w:hAnsiTheme="majorBidi" w:cstheme="majorBidi"/>
        </w:rPr>
        <w:t>Then there are other</w:t>
      </w:r>
      <w:r w:rsidR="00F41896" w:rsidRPr="00B473B9">
        <w:rPr>
          <w:rFonts w:asciiTheme="majorBidi" w:hAnsiTheme="majorBidi" w:cstheme="majorBidi"/>
        </w:rPr>
        <w:t xml:space="preserve"> papers that</w:t>
      </w:r>
      <w:r>
        <w:rPr>
          <w:rFonts w:asciiTheme="majorBidi" w:hAnsiTheme="majorBidi" w:cstheme="majorBidi"/>
        </w:rPr>
        <w:t xml:space="preserve"> </w:t>
      </w:r>
      <w:r>
        <w:rPr>
          <w:rFonts w:ascii="NimbusRomNo9L-Regu" w:hAnsi="NimbusRomNo9L-Regu" w:cs="NimbusRomNo9L-Regu"/>
        </w:rPr>
        <w:t>research the</w:t>
      </w:r>
      <w:r w:rsidR="000B05D7">
        <w:rPr>
          <w:rFonts w:ascii="NimbusRomNo9L-Regu" w:hAnsi="NimbusRomNo9L-Regu" w:cs="NimbusRomNo9L-Regu"/>
        </w:rPr>
        <w:t xml:space="preserve"> allocation of voting machines </w:t>
      </w:r>
      <w:r>
        <w:rPr>
          <w:rFonts w:ascii="NimbusRomNo9L-Regu" w:hAnsi="NimbusRomNo9L-Regu" w:cs="NimbusRomNo9L-Regu"/>
        </w:rPr>
        <w:t xml:space="preserve">problem </w:t>
      </w:r>
      <w:r w:rsidR="000B05D7">
        <w:rPr>
          <w:rFonts w:ascii="NimbusRomNo9L-Regu" w:hAnsi="NimbusRomNo9L-Regu" w:cs="NimbusRomNo9L-Regu"/>
        </w:rPr>
        <w:t xml:space="preserve">which are </w:t>
      </w:r>
      <w:r>
        <w:rPr>
          <w:rFonts w:ascii="NimbusRomNo9L-Regu" w:hAnsi="NimbusRomNo9L-Regu" w:cs="NimbusRomNo9L-Regu"/>
        </w:rPr>
        <w:t>[5],</w:t>
      </w:r>
      <w:r w:rsidR="000B05D7">
        <w:rPr>
          <w:rFonts w:ascii="NimbusRomNo9L-Regu" w:hAnsi="NimbusRomNo9L-Regu" w:cs="NimbusRomNo9L-Regu"/>
        </w:rPr>
        <w:t xml:space="preserve"> </w:t>
      </w:r>
      <w:r>
        <w:rPr>
          <w:rFonts w:ascii="NimbusRomNo9L-Regu" w:hAnsi="NimbusRomNo9L-Regu" w:cs="NimbusRomNo9L-Regu"/>
        </w:rPr>
        <w:t>[1]</w:t>
      </w:r>
      <w:r w:rsidR="000B05D7">
        <w:rPr>
          <w:rFonts w:ascii="NimbusRomNo9L-Regu" w:hAnsi="NimbusRomNo9L-Regu" w:cs="NimbusRomNo9L-Regu"/>
        </w:rPr>
        <w:t>, and</w:t>
      </w:r>
      <w:r>
        <w:rPr>
          <w:rFonts w:ascii="NimbusRomNo9L-Regu" w:hAnsi="NimbusRomNo9L-Regu" w:cs="NimbusRomNo9L-Regu"/>
        </w:rPr>
        <w:t xml:space="preserve"> </w:t>
      </w:r>
      <w:r w:rsidR="000B05D7">
        <w:rPr>
          <w:rFonts w:ascii="NimbusRomNo9L-Regu" w:hAnsi="NimbusRomNo9L-Regu" w:cs="NimbusRomNo9L-Regu"/>
        </w:rPr>
        <w:t>[2].</w:t>
      </w:r>
      <w:r w:rsidR="000B05D7" w:rsidRPr="000B05D7">
        <w:rPr>
          <w:rFonts w:ascii="NimbusRomNo9L-Regu" w:hAnsi="NimbusRomNo9L-Regu" w:cs="NimbusRomNo9L-Regu"/>
        </w:rPr>
        <w:t xml:space="preserve"> </w:t>
      </w:r>
      <w:r w:rsidR="000B05D7">
        <w:rPr>
          <w:rFonts w:ascii="NimbusRomNo9L-Regu" w:hAnsi="NimbusRomNo9L-Regu" w:cs="NimbusRomNo9L-Regu"/>
        </w:rPr>
        <w:t xml:space="preserve">The two papers [5] and [2] use simulation for their models </w:t>
      </w:r>
      <w:r>
        <w:rPr>
          <w:rFonts w:ascii="NimbusRomNo9L-Regu" w:hAnsi="NimbusRomNo9L-Regu" w:cs="NimbusRomNo9L-Regu"/>
        </w:rPr>
        <w:t xml:space="preserve"> </w:t>
      </w:r>
      <w:r w:rsidR="00F41896" w:rsidRPr="00B473B9">
        <w:rPr>
          <w:rFonts w:asciiTheme="majorBidi" w:hAnsiTheme="majorBidi" w:cstheme="majorBidi"/>
        </w:rPr>
        <w:t>and this allow them to consider some realistic complications in the model like voting-machine failures a</w:t>
      </w:r>
      <w:r w:rsidR="000B05D7">
        <w:rPr>
          <w:rFonts w:asciiTheme="majorBidi" w:hAnsiTheme="majorBidi" w:cstheme="majorBidi"/>
        </w:rPr>
        <w:t>nd uncoordinated voter arrivals, but</w:t>
      </w:r>
      <w:r>
        <w:rPr>
          <w:rFonts w:asciiTheme="majorBidi" w:hAnsiTheme="majorBidi" w:cstheme="majorBidi"/>
        </w:rPr>
        <w:t xml:space="preserve"> [5]</w:t>
      </w:r>
      <w:r w:rsidR="00F41896" w:rsidRPr="00B473B9">
        <w:rPr>
          <w:rFonts w:asciiTheme="majorBidi" w:hAnsiTheme="majorBidi" w:cstheme="majorBidi"/>
        </w:rPr>
        <w:t xml:space="preserve"> us</w:t>
      </w:r>
      <w:r w:rsidR="000B05D7">
        <w:rPr>
          <w:rFonts w:asciiTheme="majorBidi" w:hAnsiTheme="majorBidi" w:cstheme="majorBidi"/>
        </w:rPr>
        <w:t>ed a simple method</w:t>
      </w:r>
      <w:r w:rsidR="00F41896" w:rsidRPr="00B473B9">
        <w:rPr>
          <w:rFonts w:asciiTheme="majorBidi" w:hAnsiTheme="majorBidi" w:cstheme="majorBidi"/>
        </w:rPr>
        <w:t xml:space="preserve"> </w:t>
      </w:r>
      <w:r w:rsidR="000B05D7">
        <w:rPr>
          <w:rFonts w:asciiTheme="majorBidi" w:hAnsiTheme="majorBidi" w:cstheme="majorBidi"/>
        </w:rPr>
        <w:t>by allocating</w:t>
      </w:r>
      <w:r w:rsidR="00F41896" w:rsidRPr="00B473B9">
        <w:rPr>
          <w:rFonts w:asciiTheme="majorBidi" w:hAnsiTheme="majorBidi" w:cstheme="majorBidi"/>
        </w:rPr>
        <w:t xml:space="preserve"> machines in proportion to the expected number of voters at each precinct</w:t>
      </w:r>
      <w:r w:rsidR="00F41896">
        <w:rPr>
          <w:rFonts w:asciiTheme="majorBidi" w:hAnsiTheme="majorBidi" w:cstheme="majorBidi"/>
        </w:rPr>
        <w:t>.</w:t>
      </w:r>
    </w:p>
    <w:p w:rsidR="00250634" w:rsidRDefault="00250634" w:rsidP="0058215E">
      <w:pPr>
        <w:pStyle w:val="Text"/>
      </w:pPr>
    </w:p>
    <w:p w:rsidR="00E97402" w:rsidRDefault="0081542F" w:rsidP="0081542F">
      <w:pPr>
        <w:pStyle w:val="Text"/>
      </w:pPr>
      <w:r>
        <w:t xml:space="preserve">  </w:t>
      </w:r>
    </w:p>
    <w:p w:rsidR="00E97402" w:rsidRDefault="00E91F48" w:rsidP="00542DF5">
      <w:pPr>
        <w:pStyle w:val="Heading1"/>
      </w:pPr>
      <w:bookmarkStart w:id="6" w:name="_Ref294516791"/>
      <w:r>
        <w:t>Conclusions</w:t>
      </w:r>
      <w:bookmarkEnd w:id="6"/>
      <w:r>
        <w:t xml:space="preserve">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w:t>
      </w:r>
      <w:r>
        <w:lastRenderedPageBreak/>
        <w:t xml:space="preserve">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w:t>
      </w:r>
      <w:bookmarkStart w:id="7" w:name="_Ref294516830"/>
      <w:r>
        <w:t>Limitations and</w:t>
      </w:r>
      <w:r w:rsidR="001A0BC7" w:rsidRPr="001A0BC7">
        <w:t xml:space="preserve"> Future Work</w:t>
      </w:r>
      <w:bookmarkEnd w:id="7"/>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8F039E" w:rsidRDefault="008F039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Allen, T. T., and M. B. Bernshteyn.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bookmarkStart w:id="8" w:name="_Ref294516270"/>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bookmarkEnd w:id="8"/>
    </w:p>
    <w:p w:rsidR="00EB0BAE" w:rsidRDefault="00EB0BAE" w:rsidP="00603678">
      <w:pPr>
        <w:numPr>
          <w:ilvl w:val="0"/>
          <w:numId w:val="19"/>
        </w:numPr>
        <w:rPr>
          <w:sz w:val="16"/>
          <w:szCs w:val="16"/>
        </w:rPr>
      </w:pPr>
      <w:bookmarkStart w:id="9" w:name="_Ref294517723"/>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bookmarkEnd w:id="9"/>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lastRenderedPageBreak/>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643D8E" w:rsidRDefault="005A4A3C" w:rsidP="00603678">
      <w:pPr>
        <w:numPr>
          <w:ilvl w:val="0"/>
          <w:numId w:val="19"/>
        </w:numPr>
        <w:rPr>
          <w:sz w:val="16"/>
          <w:szCs w:val="16"/>
        </w:rPr>
      </w:pPr>
      <w:r w:rsidRPr="007A55D7">
        <w:rPr>
          <w:sz w:val="16"/>
          <w:szCs w:val="16"/>
        </w:rPr>
        <w:t xml:space="preserve">React.NET Discrete Event Simulation Framework, Avilable via: </w:t>
      </w:r>
      <w:hyperlink r:id="rId16" w:history="1">
        <w:r w:rsidRPr="007A55D7">
          <w:rPr>
            <w:rStyle w:val="Hyperlink"/>
            <w:sz w:val="16"/>
            <w:szCs w:val="16"/>
          </w:rPr>
          <w:t>http://reactnet.sourceforge.net/</w:t>
        </w:r>
      </w:hyperlink>
    </w:p>
    <w:p w:rsidR="00643D8E" w:rsidRDefault="00643D8E" w:rsidP="00643D8E">
      <w:pPr>
        <w:numPr>
          <w:ilvl w:val="0"/>
          <w:numId w:val="19"/>
        </w:numPr>
        <w:rPr>
          <w:sz w:val="16"/>
          <w:szCs w:val="16"/>
        </w:rPr>
      </w:pPr>
      <w:r w:rsidRPr="00643D8E">
        <w:rPr>
          <w:sz w:val="16"/>
          <w:szCs w:val="16"/>
        </w:rPr>
        <w:t xml:space="preserve">Mebane, W. R. 2005. Timing and turnout in Ohio. Technical report, TomPaine.com. Available via </w:t>
      </w:r>
      <w:hyperlink r:id="rId17" w:history="1">
        <w:r w:rsidRPr="00BA4731">
          <w:rPr>
            <w:rStyle w:val="Hyperlink"/>
            <w:sz w:val="16"/>
            <w:szCs w:val="16"/>
          </w:rPr>
          <w:t>http://www.tompaine.com/print/timing and turnout in ohio.php</w:t>
        </w:r>
      </w:hyperlink>
    </w:p>
    <w:p w:rsidR="00643D8E" w:rsidRPr="007A55D7" w:rsidRDefault="00643D8E" w:rsidP="00643D8E">
      <w:pPr>
        <w:numPr>
          <w:ilvl w:val="0"/>
          <w:numId w:val="19"/>
        </w:numPr>
        <w:rPr>
          <w:sz w:val="16"/>
          <w:szCs w:val="16"/>
        </w:rPr>
      </w:pPr>
      <w:bookmarkStart w:id="10" w:name="_Ref294517580"/>
      <w:r w:rsidRPr="00643D8E">
        <w:rPr>
          <w:sz w:val="16"/>
          <w:szCs w:val="16"/>
        </w:rPr>
        <w:t>Mebane, W. R. 2006. Voting machine allocation in Franklin County, Ohio, 2004: Response to U.S. Department of Justice Letter of June 29, 2005</w:t>
      </w:r>
      <w:bookmarkEnd w:id="10"/>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8F039E" w:rsidRDefault="008F039E" w:rsidP="0075110C">
      <w:pPr>
        <w:jc w:val="both"/>
        <w:rPr>
          <w:sz w:val="16"/>
          <w:szCs w:val="16"/>
        </w:rPr>
      </w:pPr>
    </w:p>
    <w:p w:rsidR="003F2118" w:rsidRDefault="003F2118" w:rsidP="008F039E">
      <w:pPr>
        <w:pStyle w:val="Heading1"/>
        <w:numPr>
          <w:ilvl w:val="0"/>
          <w:numId w:val="0"/>
        </w:numPr>
      </w:pPr>
    </w:p>
    <w:p w:rsidR="003F2118" w:rsidRPr="003F2118" w:rsidRDefault="003F2118" w:rsidP="003F2118"/>
    <w:p w:rsidR="003F2118" w:rsidRDefault="003F2118" w:rsidP="008F039E">
      <w:pPr>
        <w:pStyle w:val="Heading1"/>
        <w:numPr>
          <w:ilvl w:val="0"/>
          <w:numId w:val="0"/>
        </w:numPr>
      </w:pPr>
    </w:p>
    <w:p w:rsidR="003F2118" w:rsidRDefault="003F2118" w:rsidP="008F039E">
      <w:pPr>
        <w:pStyle w:val="Heading1"/>
        <w:numPr>
          <w:ilvl w:val="0"/>
          <w:numId w:val="0"/>
        </w:numPr>
      </w:pPr>
    </w:p>
    <w:p w:rsidR="003F2118" w:rsidRDefault="003F2118" w:rsidP="003F2118"/>
    <w:p w:rsidR="00CE771A" w:rsidRDefault="00CE771A" w:rsidP="003F2118"/>
    <w:p w:rsidR="00CE771A" w:rsidRDefault="00CE771A" w:rsidP="003F2118"/>
    <w:p w:rsidR="0075110C" w:rsidRDefault="0075110C" w:rsidP="008F039E">
      <w:pPr>
        <w:pStyle w:val="Heading1"/>
        <w:numPr>
          <w:ilvl w:val="0"/>
          <w:numId w:val="0"/>
        </w:numPr>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8"/>
      <w:footerReference w:type="default" r:id="rId19"/>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477" w:rsidRDefault="00854477">
      <w:r>
        <w:separator/>
      </w:r>
    </w:p>
  </w:endnote>
  <w:endnote w:type="continuationSeparator" w:id="1">
    <w:p w:rsidR="00854477" w:rsidRDefault="008544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58215E">
      <w:tc>
        <w:tcPr>
          <w:tcW w:w="918" w:type="dxa"/>
        </w:tcPr>
        <w:p w:rsidR="0058215E" w:rsidRDefault="001A1C0E">
          <w:pPr>
            <w:pStyle w:val="Footer"/>
            <w:jc w:val="right"/>
            <w:rPr>
              <w:b/>
              <w:color w:val="4F81BD" w:themeColor="accent1"/>
              <w:sz w:val="32"/>
              <w:szCs w:val="32"/>
            </w:rPr>
          </w:pPr>
          <w:fldSimple w:instr=" PAGE   \* MERGEFORMAT ">
            <w:r w:rsidR="00CE771A" w:rsidRPr="00CE771A">
              <w:rPr>
                <w:b/>
                <w:noProof/>
                <w:color w:val="4F81BD" w:themeColor="accent1"/>
                <w:sz w:val="32"/>
                <w:szCs w:val="32"/>
              </w:rPr>
              <w:t>5</w:t>
            </w:r>
          </w:fldSimple>
        </w:p>
      </w:tc>
      <w:tc>
        <w:tcPr>
          <w:tcW w:w="7938" w:type="dxa"/>
        </w:tcPr>
        <w:p w:rsidR="0058215E" w:rsidRDefault="0058215E">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58215E" w:rsidRDefault="0058215E"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477" w:rsidRDefault="00854477"/>
  </w:footnote>
  <w:footnote w:type="continuationSeparator" w:id="1">
    <w:p w:rsidR="00854477" w:rsidRDefault="00854477">
      <w:r>
        <w:continuationSeparator/>
      </w:r>
    </w:p>
  </w:footnote>
  <w:footnote w:id="2">
    <w:p w:rsidR="0058215E" w:rsidRDefault="0058215E">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15E" w:rsidRDefault="0058215E"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B05D7"/>
    <w:rsid w:val="000D5342"/>
    <w:rsid w:val="000F52F6"/>
    <w:rsid w:val="00132532"/>
    <w:rsid w:val="001363E8"/>
    <w:rsid w:val="00144E72"/>
    <w:rsid w:val="00152D62"/>
    <w:rsid w:val="00166369"/>
    <w:rsid w:val="00191EFC"/>
    <w:rsid w:val="001978EA"/>
    <w:rsid w:val="001A0BC7"/>
    <w:rsid w:val="001A1C0E"/>
    <w:rsid w:val="001C28F0"/>
    <w:rsid w:val="001C460F"/>
    <w:rsid w:val="001C4A2A"/>
    <w:rsid w:val="001C4CFD"/>
    <w:rsid w:val="001C5108"/>
    <w:rsid w:val="001D7C42"/>
    <w:rsid w:val="001F68BF"/>
    <w:rsid w:val="00203AA5"/>
    <w:rsid w:val="0021023A"/>
    <w:rsid w:val="00210E48"/>
    <w:rsid w:val="002434A1"/>
    <w:rsid w:val="00250634"/>
    <w:rsid w:val="00256390"/>
    <w:rsid w:val="00296470"/>
    <w:rsid w:val="002B43F5"/>
    <w:rsid w:val="002B7AB1"/>
    <w:rsid w:val="002E36B7"/>
    <w:rsid w:val="002F114B"/>
    <w:rsid w:val="002F13EE"/>
    <w:rsid w:val="002F1673"/>
    <w:rsid w:val="002F2E2A"/>
    <w:rsid w:val="002F6E31"/>
    <w:rsid w:val="00301C99"/>
    <w:rsid w:val="00303DAB"/>
    <w:rsid w:val="00303ECC"/>
    <w:rsid w:val="00305B96"/>
    <w:rsid w:val="003165AA"/>
    <w:rsid w:val="00326C48"/>
    <w:rsid w:val="003422B3"/>
    <w:rsid w:val="00360269"/>
    <w:rsid w:val="00373501"/>
    <w:rsid w:val="0038157D"/>
    <w:rsid w:val="0039117A"/>
    <w:rsid w:val="003916D2"/>
    <w:rsid w:val="00395840"/>
    <w:rsid w:val="003A1347"/>
    <w:rsid w:val="003B2D37"/>
    <w:rsid w:val="003B2DA3"/>
    <w:rsid w:val="003F2118"/>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85D19"/>
    <w:rsid w:val="004C1E16"/>
    <w:rsid w:val="004C6A61"/>
    <w:rsid w:val="004E7649"/>
    <w:rsid w:val="004F119E"/>
    <w:rsid w:val="00500E43"/>
    <w:rsid w:val="00504784"/>
    <w:rsid w:val="00504CF3"/>
    <w:rsid w:val="00514C72"/>
    <w:rsid w:val="0052750C"/>
    <w:rsid w:val="00533057"/>
    <w:rsid w:val="00537BDC"/>
    <w:rsid w:val="00542DF5"/>
    <w:rsid w:val="00554C61"/>
    <w:rsid w:val="00566AD2"/>
    <w:rsid w:val="0058215E"/>
    <w:rsid w:val="00584C7C"/>
    <w:rsid w:val="005A2A15"/>
    <w:rsid w:val="005A2D83"/>
    <w:rsid w:val="005A4A3C"/>
    <w:rsid w:val="005B21DE"/>
    <w:rsid w:val="005B6066"/>
    <w:rsid w:val="00603678"/>
    <w:rsid w:val="00603B29"/>
    <w:rsid w:val="0061418D"/>
    <w:rsid w:val="00625E96"/>
    <w:rsid w:val="00636ACB"/>
    <w:rsid w:val="00643D8E"/>
    <w:rsid w:val="00654BF9"/>
    <w:rsid w:val="00667358"/>
    <w:rsid w:val="006A616A"/>
    <w:rsid w:val="006B10EF"/>
    <w:rsid w:val="006B175D"/>
    <w:rsid w:val="006B6E68"/>
    <w:rsid w:val="006C44F2"/>
    <w:rsid w:val="006E01A7"/>
    <w:rsid w:val="006F347B"/>
    <w:rsid w:val="0070309C"/>
    <w:rsid w:val="00707637"/>
    <w:rsid w:val="00707A3D"/>
    <w:rsid w:val="0071462E"/>
    <w:rsid w:val="0072359B"/>
    <w:rsid w:val="007272B3"/>
    <w:rsid w:val="0075110C"/>
    <w:rsid w:val="00764CBC"/>
    <w:rsid w:val="00765E7A"/>
    <w:rsid w:val="0078769F"/>
    <w:rsid w:val="00790F4E"/>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42AF"/>
    <w:rsid w:val="00854477"/>
    <w:rsid w:val="00856C6D"/>
    <w:rsid w:val="008573E6"/>
    <w:rsid w:val="00862503"/>
    <w:rsid w:val="0087792E"/>
    <w:rsid w:val="0088092B"/>
    <w:rsid w:val="008827DF"/>
    <w:rsid w:val="008A5993"/>
    <w:rsid w:val="008B42FE"/>
    <w:rsid w:val="008B642A"/>
    <w:rsid w:val="008C0E24"/>
    <w:rsid w:val="008C1B65"/>
    <w:rsid w:val="008D1C04"/>
    <w:rsid w:val="008D3EEF"/>
    <w:rsid w:val="008F039E"/>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35504"/>
    <w:rsid w:val="00A40B0F"/>
    <w:rsid w:val="00A456F6"/>
    <w:rsid w:val="00A5319A"/>
    <w:rsid w:val="00A77955"/>
    <w:rsid w:val="00A878B2"/>
    <w:rsid w:val="00AC6AAF"/>
    <w:rsid w:val="00AD4D65"/>
    <w:rsid w:val="00AD663A"/>
    <w:rsid w:val="00AE7410"/>
    <w:rsid w:val="00B13D77"/>
    <w:rsid w:val="00B16B52"/>
    <w:rsid w:val="00B23ABA"/>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E771A"/>
    <w:rsid w:val="00CF0AF0"/>
    <w:rsid w:val="00D0320C"/>
    <w:rsid w:val="00D1216D"/>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3552"/>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439C"/>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yperlink" Target="http://www.tompaine.com/print/timing%20and%20turnout%20in%20ohio.php" TargetMode="Externa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216719360"/>
        <c:axId val="216722432"/>
      </c:stockChart>
      <c:catAx>
        <c:axId val="216719360"/>
        <c:scaling>
          <c:orientation val="minMax"/>
        </c:scaling>
        <c:axPos val="b"/>
        <c:numFmt formatCode="m/d/yyyy" sourceLinked="1"/>
        <c:tickLblPos val="nextTo"/>
        <c:crossAx val="216722432"/>
        <c:crosses val="autoZero"/>
        <c:auto val="1"/>
        <c:lblAlgn val="ctr"/>
        <c:lblOffset val="100"/>
      </c:catAx>
      <c:valAx>
        <c:axId val="216722432"/>
        <c:scaling>
          <c:orientation val="minMax"/>
        </c:scaling>
        <c:axPos val="l"/>
        <c:majorGridlines/>
        <c:numFmt formatCode="General" sourceLinked="1"/>
        <c:tickLblPos val="nextTo"/>
        <c:crossAx val="216719360"/>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228890112"/>
        <c:axId val="230092800"/>
      </c:stockChart>
      <c:catAx>
        <c:axId val="228890112"/>
        <c:scaling>
          <c:orientation val="minMax"/>
        </c:scaling>
        <c:axPos val="b"/>
        <c:numFmt formatCode="m/d/yyyy" sourceLinked="1"/>
        <c:tickLblPos val="nextTo"/>
        <c:crossAx val="230092800"/>
        <c:crosses val="autoZero"/>
        <c:auto val="1"/>
        <c:lblAlgn val="ctr"/>
        <c:lblOffset val="100"/>
      </c:catAx>
      <c:valAx>
        <c:axId val="230092800"/>
        <c:scaling>
          <c:orientation val="minMax"/>
        </c:scaling>
        <c:axPos val="l"/>
        <c:majorGridlines/>
        <c:numFmt formatCode="General" sourceLinked="1"/>
        <c:tickLblPos val="nextTo"/>
        <c:crossAx val="228890112"/>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DC07-13BE-452C-99E4-D3E0B7F8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Allocation to Reduce Voting Queue Length</dc:title>
  <dc:subject>IAENG template</dc:subject>
  <dc:creator>Enas Mohamed, Hesham Naiem, Mostafa Ezz</dc:creator>
  <cp:keywords>Simulation,Voting</cp:keywords>
  <dc:description>CMP 606 - Group 777</dc:description>
  <cp:lastModifiedBy>boss</cp:lastModifiedBy>
  <cp:revision>7</cp:revision>
  <cp:lastPrinted>2007-05-08T06:48:00Z</cp:lastPrinted>
  <dcterms:created xsi:type="dcterms:W3CDTF">2011-05-30T13:09:00Z</dcterms:created>
  <dcterms:modified xsi:type="dcterms:W3CDTF">2011-05-30T13:33:00Z</dcterms:modified>
  <cp:category>Simulation of Elections</cp:category>
</cp:coreProperties>
</file>