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2494D">
      <w:pPr>
        <w:pStyle w:val="Abstract"/>
      </w:pPr>
      <w:r>
        <w:rPr>
          <w:i/>
          <w:iCs/>
        </w:rPr>
        <w:t>Abstract</w:t>
      </w:r>
      <w:r>
        <w:t>—</w:t>
      </w:r>
      <w:r w:rsidR="0082494D">
        <w:t xml:space="preserve"> </w:t>
      </w:r>
      <w:r w:rsidR="0082494D" w:rsidRPr="009133BD">
        <w:rPr>
          <w:sz w:val="20"/>
          <w:szCs w:val="20"/>
        </w:rPr>
        <w:t>Providing equitable voting experiences across voting precincts has been noted as an important goal in elections. We seek to provide equity to all voters so that no one particular group of voters is disadvantaged or disenfranchised. This paper uses the average absolute differences of waiting times across all precincts as a performance metric for equity. A simulation-based greedy improvement algorithm is proposed to generate machine allocations. We examine our allocation method using a factorial experimental design, and we conclude that our heuristic outperforms the utilization-equalization method which was used by at least one county in the 2008 presidential election.</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queueing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w:t>
      </w:r>
      <w:r w:rsidRPr="009133BD">
        <w:lastRenderedPageBreak/>
        <w:t>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Pr="007E017B" w:rsidRDefault="007E017B" w:rsidP="007E017B">
      <w:pPr>
        <w:ind w:firstLine="202"/>
        <w:jc w:val="both"/>
      </w:pPr>
      <w:r w:rsidRPr="007E017B">
        <w:t>Election administration is a service to the voting public. And the waiting lines are a non-value-added activities, and waiting time to vote are directly correlated to voter turnout. Long waiting times usually affect negatively on voter turnout, especially in young countries in democracy like Egypt. This administration process have many challenges like limited number of machines used in voting, the distribution of these machines among different counties and precincts, the variation of turnout for different locations and cultures, different arrival rates during day hours, and other challenges. A simulation based Greedy Improvement Algorithm (GIA) is used to address the problem of voting machines allocation in different precincts.</w:t>
      </w:r>
    </w:p>
    <w:p w:rsidR="00E97402" w:rsidRDefault="007E017B">
      <w:pPr>
        <w:pStyle w:val="Heading1"/>
      </w:pPr>
      <w:r>
        <w:t>Related Work</w:t>
      </w:r>
    </w:p>
    <w:p w:rsidR="009133BD" w:rsidRDefault="009133BD">
      <w:pPr>
        <w:pStyle w:val="Text"/>
      </w:pPr>
    </w:p>
    <w:p w:rsidR="00E97402" w:rsidRDefault="009133BD">
      <w:pPr>
        <w:pStyle w:val="Text"/>
      </w:pPr>
      <w:r w:rsidRPr="009133BD">
        <w:t>There are relatively few papers that apply operations-research models to the voting-machine-allocation problem. 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Bernshteyn (2006a) and Allen and Bernshteyn (2006b). Edelstein (2006) and Allen and Bernshteyn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Bernshteyn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Bernshteyn then suggest an optimization model that uses a minimax objective function to allocate voting machines. </w:t>
      </w:r>
      <w:r w:rsidRPr="00E91F48">
        <w:lastRenderedPageBreak/>
        <w:t xml:space="preserve">Specifically, they suggest allocating machines to minimize the maximum expected voter waiting time across all precincts. The minimax objective is designed to promote voter equity as we discuss above, but there are many other objectives that could be considered. Allen and Bernshteyn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E91F48" w:rsidRDefault="00E91F48" w:rsidP="00E91F48">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7E017B">
      <w:pPr>
        <w:pStyle w:val="Heading1"/>
      </w:pPr>
      <w:r>
        <w:t>Analysis Option</w:t>
      </w:r>
    </w:p>
    <w:p w:rsidR="00A222A3" w:rsidRDefault="00A222A3" w:rsidP="00A222A3">
      <w:pPr>
        <w:pStyle w:val="Heading2"/>
      </w:pPr>
      <w:r>
        <w:t xml:space="preserve">Performance Metric </w:t>
      </w:r>
    </w:p>
    <w:p w:rsidR="00E97402" w:rsidRDefault="00A222A3">
      <w:pPr>
        <w:pStyle w:val="Text"/>
      </w:pPr>
      <w:r w:rsidRPr="00A222A3">
        <w:t>Simply minimizing total expected waiting time across all precincts is insufficient as this may allow long voter waiting times in some precincts in order to decrease voter waiting time in other precincts. This is undesirable in an election process as we seek to provide equity to all voters so that no one particular group of voters is disadvantaged or disenfranchised.</w:t>
      </w:r>
    </w:p>
    <w:p w:rsidR="00A222A3" w:rsidRDefault="00A222A3">
      <w:pPr>
        <w:pStyle w:val="Text"/>
      </w:pPr>
      <w:r w:rsidRPr="00A222A3">
        <w:t>However, there is no universal way to interpret “equity.” The ideal case is that the expected waiting time in queue at every precinct is the same. But it is generally not feasible to achieve this ideal situation. Therefore, the following metric (the average absolute differences of expected waiting times among precincts) can be used as a proxy for “equity:”</w:t>
      </w:r>
    </w:p>
    <w:p w:rsidR="00A222A3" w:rsidRDefault="00A222A3">
      <w:pPr>
        <w:pStyle w:val="Text"/>
      </w:pPr>
    </w:p>
    <w:p w:rsidR="00E97402" w:rsidRDefault="0021023A" w:rsidP="0021023A">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 </m:t>
          </m:r>
        </m:oMath>
      </m:oMathPara>
    </w:p>
    <w:p w:rsidR="00A24283" w:rsidRDefault="00A24283" w:rsidP="00A24283">
      <w:pPr>
        <w:pStyle w:val="Text"/>
      </w:pPr>
    </w:p>
    <w:p w:rsidR="0021023A" w:rsidRDefault="00A24283" w:rsidP="00A24283">
      <w:pPr>
        <w:pStyle w:val="Text"/>
      </w:pPr>
      <w:r w:rsidRPr="0021023A">
        <w:t>Where</w:t>
      </w:r>
      <w:r w:rsidR="0021023A" w:rsidRPr="0021023A">
        <w:t xml:space="preserve"> N is defined as the total number of voti</w:t>
      </w:r>
      <w:r w:rsidR="0021023A">
        <w:t>ng precincts</w:t>
      </w:r>
      <w:r>
        <w:t>,</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0021023A" w:rsidRPr="0021023A">
        <w:t xml:space="preserve">is the number of voting machines allocated to precinct </w:t>
      </w:r>
      <w:r w:rsidR="0021023A" w:rsidRPr="00A24283">
        <w:rPr>
          <w:i/>
          <w:iCs/>
        </w:rPr>
        <w:t>i</w:t>
      </w:r>
      <w:r w:rsidR="0021023A"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0021023A" w:rsidRPr="0021023A">
        <w:t xml:space="preserve">is the expected waiting time for voters at precinct </w:t>
      </w:r>
      <w:r w:rsidR="0021023A" w:rsidRPr="00A24283">
        <w:rPr>
          <w:i/>
          <w:iCs/>
        </w:rPr>
        <w:t>i</w:t>
      </w:r>
      <w:r w:rsidR="0021023A" w:rsidRPr="0021023A">
        <w:t>.</w:t>
      </w:r>
    </w:p>
    <w:p w:rsidR="00A24283" w:rsidRDefault="00A24283" w:rsidP="00A24283">
      <w:pPr>
        <w:pStyle w:val="Text"/>
      </w:pPr>
      <w:r w:rsidRPr="00A24283">
        <w:t>Thus, the allocations that provide the best “equity” are the global optimal solutions to the following optimization problem:</w:t>
      </w:r>
    </w:p>
    <w:p w:rsidR="00A24283" w:rsidRDefault="00584C7C" w:rsidP="00A24283">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250634" w:rsidRDefault="00250634" w:rsidP="00250634">
      <w:pPr>
        <w:pStyle w:val="Text"/>
      </w:pPr>
    </w:p>
    <w:p w:rsidR="00A24283" w:rsidRDefault="00250634" w:rsidP="00250634">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250634" w:rsidRDefault="00250634" w:rsidP="00250634">
      <w:pPr>
        <w:pStyle w:val="Text"/>
      </w:pPr>
    </w:p>
    <w:p w:rsidR="00250634" w:rsidRDefault="00250634" w:rsidP="00250634">
      <w:pPr>
        <w:pStyle w:val="Heading2"/>
      </w:pPr>
      <w:r>
        <w:lastRenderedPageBreak/>
        <w:t>Simulation Model vs. Analytical Model</w:t>
      </w:r>
    </w:p>
    <w:p w:rsidR="00250634" w:rsidRDefault="00250634" w:rsidP="00250634">
      <w:pPr>
        <w:ind w:firstLine="144"/>
        <w:jc w:val="both"/>
      </w:pPr>
      <w:r w:rsidRPr="00250634">
        <w:t>One of the most difficult problems in dealing with voting queues is that voters do not arrive according to a stationary arrival process. Moreover, steady-state may not be achieved in an actual election where voting occurs over a single day and queues begin empty.</w:t>
      </w:r>
    </w:p>
    <w:p w:rsidR="00250634" w:rsidRDefault="00250634" w:rsidP="00250634">
      <w:pPr>
        <w:ind w:firstLine="144"/>
        <w:jc w:val="both"/>
      </w:pPr>
      <w:r w:rsidRPr="00250634">
        <w:t>Analytical queuing models require strong simplifying assumptions (such as stationary arrivals, steady-state queues, etc.) about the voting system. These models enable us to obtain insights and generate metrics such as expected waiting times very quickly without dedicated simulation software. Moreover, closed-form queuing-model formulas can be used in conjunction with optimization models to determine optimal policy decisions. As an example of the insights offered by such models for this application, an integer-programming-based solution method for this problem using M/M/s closed-form queuing equations shows that voter equity may be compromised if all available voting machines are allocated. The optimal solution to maximize voter equity (as described by (1)) in some scenarios is to not allocate all available voting machines. While this is an interesting, and potentially useful, insight, solving realistically sized problems through an integer program is not generally feasible. Thus, our solution methods described in this paper rely on simulation and heuristic search techniques.</w:t>
      </w:r>
    </w:p>
    <w:p w:rsidR="00250634" w:rsidRDefault="00250634" w:rsidP="00250634">
      <w:pPr>
        <w:ind w:firstLine="144"/>
        <w:jc w:val="both"/>
      </w:pPr>
      <w:r w:rsidRPr="00250634">
        <w:t>Because of the short time frame of an actual election day, analytical results for the voting-machine-allocation problem require transient queuing analysis with non-stationary arrivals. Obtaining transient information is generally considered much more complicated in comparison to a steady state analysis (e.g., Houdt and Blondia 2005). Roughly speaking, two main approaches have been developed to obtain transient distributions. The first method relies on numerically inverting the Laplace transform or generating function involved (Choudhury, Lucantoni, and Whitt 1994; Hofkens, Spaey, and Blondia 2004; Lucantoni, Choudhury, and Whitt 1994). The second method is based on recursive computations. Others (Ny and Sericola 2003; Lee and Li 1990) combine uniformization techniques to reduce the problem to discrete time and afterward apply a recursive algorithm. Although these methods are effective in obtaining transient distributions related to the initial system behavior, their computational costs grow rapidly when considering later events. Moreover, most of the literature considers only single-server queues. Such limitations of the current analytical results on transient queues weaken the advantages of analytical models, which become more difficult to implement and needs more computational time to obtain results.</w:t>
      </w:r>
    </w:p>
    <w:p w:rsidR="00250634" w:rsidRPr="00250634" w:rsidRDefault="00250634" w:rsidP="00250634">
      <w:pPr>
        <w:ind w:firstLine="144"/>
        <w:jc w:val="both"/>
      </w:pPr>
      <w:r w:rsidRPr="00250634">
        <w:t>Thus, it is natural to turn to stochastic simulation, with its lesser reliance on simplifying assumptions that might render the model questionable in terms of validity. However, we then need to apply proper statistical design and analysis methods in order to deal with uncertainty in the output, and to enable valid and precise conclusions.</w:t>
      </w:r>
    </w:p>
    <w:p w:rsidR="00E97402" w:rsidRDefault="00E91F48">
      <w:pPr>
        <w:pStyle w:val="Heading1"/>
      </w:pPr>
      <w:r>
        <w:t>Simulation Analysis</w:t>
      </w:r>
    </w:p>
    <w:p w:rsidR="00250634" w:rsidRDefault="00250634" w:rsidP="00250634">
      <w:pPr>
        <w:pStyle w:val="Heading2"/>
      </w:pPr>
      <w:r>
        <w:t>Description of Basic Polls Queuing Model</w:t>
      </w:r>
    </w:p>
    <w:p w:rsidR="00250634" w:rsidRDefault="00250634" w:rsidP="00250634">
      <w:pPr>
        <w:pStyle w:val="Heading3"/>
      </w:pPr>
      <w:r>
        <w:t>Model Logic</w:t>
      </w:r>
    </w:p>
    <w:p w:rsidR="00250634" w:rsidRDefault="00250634" w:rsidP="00250634">
      <w:pPr>
        <w:ind w:firstLine="202"/>
        <w:jc w:val="both"/>
      </w:pPr>
      <w:r w:rsidRPr="00250634">
        <w:t xml:space="preserve">Our simulation model provides the expected waiting time in each precinct for a given number of assigned voting </w:t>
      </w:r>
      <w:r w:rsidRPr="00250634">
        <w:lastRenderedPageBreak/>
        <w:t>machines. The numbers of DRE voting machines assigned to each precinct are our decision variables.</w:t>
      </w:r>
    </w:p>
    <w:p w:rsidR="00250634" w:rsidRPr="00250634" w:rsidRDefault="00250634" w:rsidP="00250634">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250634" w:rsidRDefault="00250634">
      <w:pPr>
        <w:pStyle w:val="Text"/>
      </w:pPr>
    </w:p>
    <w:p w:rsidR="00250634" w:rsidRDefault="00250634" w:rsidP="00250634">
      <w:pPr>
        <w:pStyle w:val="Heading3"/>
      </w:pPr>
      <w:r>
        <w:t>Input Distribution Assumptions and Data Sources</w:t>
      </w:r>
    </w:p>
    <w:p w:rsidR="00250634" w:rsidRDefault="00250634" w:rsidP="00A5319A">
      <w:pPr>
        <w:ind w:firstLine="202"/>
        <w:jc w:val="both"/>
      </w:pPr>
      <w:r w:rsidRPr="00250634">
        <w:t>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The turnout rate is applied to this, and then the non-stationary arrival pattern is used to distribute these voters’ appearance at the polling station, as described below. We assume that each precinct has the same voter turnout rate.</w:t>
      </w:r>
    </w:p>
    <w:p w:rsidR="00A5319A" w:rsidRDefault="00A5319A" w:rsidP="00A5319A">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A5319A" w:rsidRDefault="00A5319A" w:rsidP="00A5319A">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A5319A" w:rsidRDefault="00A5319A" w:rsidP="00A5319A">
      <w:pPr>
        <w:ind w:firstLine="202"/>
        <w:jc w:val="both"/>
      </w:pPr>
    </w:p>
    <w:p w:rsidR="00A5319A" w:rsidRPr="0081542F" w:rsidRDefault="00A5319A" w:rsidP="00A5319A">
      <w:pPr>
        <w:pStyle w:val="Caption"/>
        <w:keepNext/>
        <w:jc w:val="center"/>
        <w:rPr>
          <w:b w:val="0"/>
          <w:bCs w:val="0"/>
          <w:color w:val="auto"/>
        </w:rPr>
      </w:pPr>
      <w:r w:rsidRPr="0081542F">
        <w:rPr>
          <w:b w:val="0"/>
          <w:bCs w:val="0"/>
          <w:color w:val="auto"/>
        </w:rPr>
        <w:t xml:space="preserve">Table </w:t>
      </w:r>
      <w:r w:rsidR="00584C7C" w:rsidRPr="0081542F">
        <w:rPr>
          <w:b w:val="0"/>
          <w:bCs w:val="0"/>
          <w:color w:val="auto"/>
        </w:rPr>
        <w:fldChar w:fldCharType="begin"/>
      </w:r>
      <w:r w:rsidRPr="0081542F">
        <w:rPr>
          <w:b w:val="0"/>
          <w:bCs w:val="0"/>
          <w:color w:val="auto"/>
        </w:rPr>
        <w:instrText xml:space="preserve"> SEQ Table \* ARABIC </w:instrText>
      </w:r>
      <w:r w:rsidR="00584C7C" w:rsidRPr="0081542F">
        <w:rPr>
          <w:b w:val="0"/>
          <w:bCs w:val="0"/>
          <w:color w:val="auto"/>
        </w:rPr>
        <w:fldChar w:fldCharType="separate"/>
      </w:r>
      <w:r w:rsidR="00B37DD6">
        <w:rPr>
          <w:b w:val="0"/>
          <w:bCs w:val="0"/>
          <w:noProof/>
          <w:color w:val="auto"/>
        </w:rPr>
        <w:t>1</w:t>
      </w:r>
      <w:r w:rsidR="00584C7C"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A5319A" w:rsidRPr="00A5319A" w:rsidTr="00A5319A">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A5319A" w:rsidRPr="00A5319A" w:rsidRDefault="00A5319A" w:rsidP="00A5319A">
            <w:pPr>
              <w:jc w:val="center"/>
              <w:cnfStyle w:val="100000000000"/>
              <w:rPr>
                <w:b w:val="0"/>
                <w:bCs w:val="0"/>
              </w:rPr>
            </w:pPr>
            <w:r w:rsidRPr="00A5319A">
              <w:rPr>
                <w:b w:val="0"/>
                <w:bCs w:val="0"/>
              </w:rPr>
              <w:t>Percentage of Turnout Voters</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20.61</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8 a.m. – 11 a.m.</w:t>
            </w:r>
          </w:p>
        </w:tc>
        <w:tc>
          <w:tcPr>
            <w:tcW w:w="2866" w:type="dxa"/>
          </w:tcPr>
          <w:p w:rsidR="00A5319A" w:rsidRPr="00A5319A" w:rsidRDefault="00A5319A" w:rsidP="00A5319A">
            <w:pPr>
              <w:jc w:val="center"/>
              <w:cnfStyle w:val="000000000000"/>
            </w:pPr>
            <w:r>
              <w:t>27.34</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11 a.m. – 3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24.05</w:t>
            </w:r>
          </w:p>
        </w:tc>
      </w:tr>
      <w:tr w:rsidR="00A5319A" w:rsidRPr="00A5319A" w:rsidTr="00A5319A">
        <w:trPr>
          <w:jc w:val="center"/>
        </w:trPr>
        <w:tc>
          <w:tcPr>
            <w:cnfStyle w:val="001000000000"/>
            <w:tcW w:w="1594" w:type="dxa"/>
          </w:tcPr>
          <w:p w:rsidR="00A5319A" w:rsidRPr="00A5319A" w:rsidRDefault="00A5319A" w:rsidP="00A5319A">
            <w:pPr>
              <w:jc w:val="center"/>
              <w:rPr>
                <w:b w:val="0"/>
                <w:bCs w:val="0"/>
              </w:rPr>
            </w:pPr>
            <w:r>
              <w:rPr>
                <w:b w:val="0"/>
                <w:bCs w:val="0"/>
              </w:rPr>
              <w:t>3 p.m. – 5 p.m.</w:t>
            </w:r>
          </w:p>
        </w:tc>
        <w:tc>
          <w:tcPr>
            <w:tcW w:w="2866" w:type="dxa"/>
          </w:tcPr>
          <w:p w:rsidR="00A5319A" w:rsidRPr="00A5319A" w:rsidRDefault="00A5319A" w:rsidP="00A5319A">
            <w:pPr>
              <w:jc w:val="center"/>
              <w:cnfStyle w:val="000000000000"/>
            </w:pPr>
            <w:r>
              <w:t>13.26</w:t>
            </w:r>
          </w:p>
        </w:tc>
      </w:tr>
      <w:tr w:rsidR="00A5319A" w:rsidRPr="00A5319A" w:rsidTr="00A5319A">
        <w:trPr>
          <w:cnfStyle w:val="000000100000"/>
          <w:jc w:val="center"/>
        </w:trPr>
        <w:tc>
          <w:tcPr>
            <w:cnfStyle w:val="001000000000"/>
            <w:tcW w:w="1594" w:type="dxa"/>
            <w:tcBorders>
              <w:left w:val="none" w:sz="0" w:space="0" w:color="auto"/>
              <w:right w:val="none" w:sz="0" w:space="0" w:color="auto"/>
            </w:tcBorders>
          </w:tcPr>
          <w:p w:rsidR="00A5319A" w:rsidRPr="00A5319A" w:rsidRDefault="00A5319A" w:rsidP="00A5319A">
            <w:pPr>
              <w:jc w:val="center"/>
              <w:rPr>
                <w:b w:val="0"/>
                <w:bCs w:val="0"/>
              </w:rPr>
            </w:pPr>
            <w:r>
              <w:rPr>
                <w:b w:val="0"/>
                <w:bCs w:val="0"/>
              </w:rPr>
              <w:t>After 5 p.m.</w:t>
            </w:r>
          </w:p>
        </w:tc>
        <w:tc>
          <w:tcPr>
            <w:tcW w:w="2866" w:type="dxa"/>
            <w:tcBorders>
              <w:left w:val="none" w:sz="0" w:space="0" w:color="auto"/>
              <w:right w:val="none" w:sz="0" w:space="0" w:color="auto"/>
            </w:tcBorders>
          </w:tcPr>
          <w:p w:rsidR="00A5319A" w:rsidRPr="00A5319A" w:rsidRDefault="00A5319A" w:rsidP="00A5319A">
            <w:pPr>
              <w:jc w:val="center"/>
              <w:cnfStyle w:val="000000100000"/>
            </w:pPr>
            <w:r>
              <w:t>13.87</w:t>
            </w:r>
          </w:p>
        </w:tc>
      </w:tr>
    </w:tbl>
    <w:p w:rsidR="00A5319A" w:rsidRPr="00250634" w:rsidRDefault="00A5319A" w:rsidP="00A5319A">
      <w:pPr>
        <w:ind w:firstLine="202"/>
        <w:jc w:val="both"/>
      </w:pPr>
    </w:p>
    <w:p w:rsidR="0081542F" w:rsidRDefault="0081542F">
      <w:pPr>
        <w:pStyle w:val="Text"/>
      </w:pPr>
      <w:r w:rsidRPr="0081542F">
        <w:lastRenderedPageBreak/>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81542F" w:rsidRDefault="0081542F" w:rsidP="0081542F">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81542F" w:rsidRDefault="0081542F" w:rsidP="0081542F">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81542F" w:rsidRDefault="0081542F" w:rsidP="0081542F">
      <w:pPr>
        <w:pStyle w:val="Text"/>
      </w:pPr>
    </w:p>
    <w:p w:rsidR="0081542F" w:rsidRDefault="0081542F" w:rsidP="0081542F">
      <w:pPr>
        <w:pStyle w:val="Heading2"/>
      </w:pPr>
      <w:r>
        <w:t>The Greedy Improvement Algorithm</w:t>
      </w:r>
    </w:p>
    <w:p w:rsidR="0081542F" w:rsidRDefault="0081542F" w:rsidP="0081542F">
      <w:pPr>
        <w:pStyle w:val="Heading3"/>
      </w:pPr>
      <w:r>
        <w:t>Algorithm Description</w:t>
      </w:r>
    </w:p>
    <w:p w:rsidR="0081542F" w:rsidRPr="0081542F" w:rsidRDefault="0081542F" w:rsidP="0081542F">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E97402" w:rsidRDefault="0081542F" w:rsidP="0081542F">
      <w:pPr>
        <w:pStyle w:val="Heading3"/>
      </w:pPr>
      <w:r>
        <w:t>Implementation</w:t>
      </w:r>
    </w:p>
    <w:p w:rsidR="0081542F" w:rsidRDefault="0081542F" w:rsidP="0081542F">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xml:space="preserve">) are obtained. However, extensive effort is required to build simulation models to obtain the expected wait times using standard programming languages.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E97402" w:rsidRDefault="0081542F" w:rsidP="0081542F">
      <w:pPr>
        <w:pStyle w:val="Text"/>
      </w:pPr>
      <w:r>
        <w:t xml:space="preserve">We preferred to use a general purpose programming language to implement the simulation model (namely C# .Net) with the help of open source .Net simulation library called  </w:t>
      </w:r>
    </w:p>
    <w:p w:rsidR="00E97402" w:rsidRDefault="00E91F48">
      <w:pPr>
        <w:pStyle w:val="Heading1"/>
      </w:pPr>
      <w:r>
        <w:t>Experimental Design and Results</w:t>
      </w:r>
    </w:p>
    <w:p w:rsidR="00B37DD6" w:rsidRDefault="00B37DD6">
      <w:pPr>
        <w:pStyle w:val="Text"/>
      </w:pPr>
      <w:r w:rsidRPr="00B37DD6">
        <w:t>In order to examine the performance of the simulation-based GIA and compare it with the utilization equalization method (UEM), we set up a factorial experimental design using five factors: Turnout Rate, Voting Time, Size of County, Ratio of the number of machines to the number of precincts, and Allocation Strategy (see Table 2). The response of this experimental design is the “equity” metric given in (1).</w:t>
      </w:r>
    </w:p>
    <w:p w:rsidR="00B37DD6" w:rsidRDefault="00B37DD6">
      <w:pPr>
        <w:pStyle w:val="Text"/>
      </w:pPr>
    </w:p>
    <w:p w:rsidR="00B37DD6" w:rsidRPr="00B37DD6" w:rsidRDefault="00B37DD6" w:rsidP="00B37DD6">
      <w:pPr>
        <w:pStyle w:val="Caption"/>
        <w:keepNext/>
        <w:jc w:val="center"/>
        <w:rPr>
          <w:b w:val="0"/>
          <w:bCs w:val="0"/>
          <w:color w:val="auto"/>
        </w:rPr>
      </w:pPr>
      <w:r w:rsidRPr="00B37DD6">
        <w:rPr>
          <w:b w:val="0"/>
          <w:bCs w:val="0"/>
          <w:color w:val="auto"/>
        </w:rPr>
        <w:t xml:space="preserve">Table </w:t>
      </w:r>
      <w:r w:rsidR="00584C7C" w:rsidRPr="00B37DD6">
        <w:rPr>
          <w:b w:val="0"/>
          <w:bCs w:val="0"/>
          <w:color w:val="auto"/>
        </w:rPr>
        <w:fldChar w:fldCharType="begin"/>
      </w:r>
      <w:r w:rsidRPr="00B37DD6">
        <w:rPr>
          <w:b w:val="0"/>
          <w:bCs w:val="0"/>
          <w:color w:val="auto"/>
        </w:rPr>
        <w:instrText xml:space="preserve"> SEQ Table \* ARABIC </w:instrText>
      </w:r>
      <w:r w:rsidR="00584C7C" w:rsidRPr="00B37DD6">
        <w:rPr>
          <w:b w:val="0"/>
          <w:bCs w:val="0"/>
          <w:color w:val="auto"/>
        </w:rPr>
        <w:fldChar w:fldCharType="separate"/>
      </w:r>
      <w:r w:rsidRPr="00B37DD6">
        <w:rPr>
          <w:b w:val="0"/>
          <w:bCs w:val="0"/>
          <w:noProof/>
          <w:color w:val="auto"/>
        </w:rPr>
        <w:t>2</w:t>
      </w:r>
      <w:r w:rsidR="00584C7C" w:rsidRPr="00B37DD6">
        <w:rPr>
          <w:b w:val="0"/>
          <w:bCs w:val="0"/>
          <w:color w:val="auto"/>
        </w:rPr>
        <w:fldChar w:fldCharType="end"/>
      </w:r>
      <w:r w:rsidRPr="00B37DD6">
        <w:rPr>
          <w:b w:val="0"/>
          <w:bCs w:val="0"/>
          <w:color w:val="auto"/>
        </w:rPr>
        <w:t>: Factors and Levels for Experimental Design</w:t>
      </w:r>
    </w:p>
    <w:tbl>
      <w:tblPr>
        <w:tblStyle w:val="LightShading1"/>
        <w:tblW w:w="5024" w:type="dxa"/>
        <w:tblLook w:val="04A0"/>
      </w:tblPr>
      <w:tblGrid>
        <w:gridCol w:w="2448"/>
        <w:gridCol w:w="1288"/>
        <w:gridCol w:w="1288"/>
      </w:tblGrid>
      <w:tr w:rsidR="00B37DD6" w:rsidTr="00B37DD6">
        <w:trPr>
          <w:cnfStyle w:val="100000000000"/>
        </w:trPr>
        <w:tc>
          <w:tcPr>
            <w:cnfStyle w:val="001000000000"/>
            <w:tcW w:w="2448" w:type="dxa"/>
          </w:tcPr>
          <w:p w:rsidR="00B37DD6" w:rsidRDefault="00B37DD6" w:rsidP="00B37DD6">
            <w:pPr>
              <w:pStyle w:val="Text"/>
              <w:ind w:firstLine="0"/>
              <w:jc w:val="center"/>
            </w:pPr>
            <w:r>
              <w:t>Factors</w:t>
            </w:r>
          </w:p>
        </w:tc>
        <w:tc>
          <w:tcPr>
            <w:tcW w:w="1288" w:type="dxa"/>
          </w:tcPr>
          <w:p w:rsidR="00B37DD6" w:rsidRPr="00B37DD6" w:rsidRDefault="00B37DD6" w:rsidP="00B37DD6">
            <w:pPr>
              <w:pStyle w:val="Text"/>
              <w:ind w:firstLine="0"/>
              <w:jc w:val="center"/>
              <w:cnfStyle w:val="100000000000"/>
              <w:rPr>
                <w:b w:val="0"/>
                <w:bCs w:val="0"/>
              </w:rPr>
            </w:pPr>
            <w:r w:rsidRPr="00B37DD6">
              <w:rPr>
                <w:b w:val="0"/>
                <w:bCs w:val="0"/>
              </w:rPr>
              <w:t>-</w:t>
            </w:r>
          </w:p>
        </w:tc>
        <w:tc>
          <w:tcPr>
            <w:tcW w:w="1288" w:type="dxa"/>
          </w:tcPr>
          <w:p w:rsidR="00B37DD6" w:rsidRPr="00B37DD6" w:rsidRDefault="00B37DD6" w:rsidP="00B37DD6">
            <w:pPr>
              <w:pStyle w:val="Text"/>
              <w:ind w:firstLine="0"/>
              <w:jc w:val="center"/>
              <w:cnfStyle w:val="100000000000"/>
              <w:rPr>
                <w:b w:val="0"/>
                <w:bCs w:val="0"/>
              </w:rPr>
            </w:pPr>
            <w:r w:rsidRPr="00B37DD6">
              <w:rPr>
                <w:b w:val="0"/>
                <w:bCs w:val="0"/>
              </w:rPr>
              <w:t>+</w:t>
            </w:r>
          </w:p>
        </w:tc>
      </w:tr>
      <w:tr w:rsidR="00B37DD6" w:rsidTr="00B37DD6">
        <w:trPr>
          <w:cnfStyle w:val="000000100000"/>
        </w:trPr>
        <w:tc>
          <w:tcPr>
            <w:cnfStyle w:val="001000000000"/>
            <w:tcW w:w="2448" w:type="dxa"/>
          </w:tcPr>
          <w:p w:rsidR="00B37DD6" w:rsidRDefault="00B37DD6" w:rsidP="00B37DD6">
            <w:pPr>
              <w:pStyle w:val="Text"/>
              <w:ind w:firstLine="0"/>
              <w:jc w:val="center"/>
            </w:pPr>
            <w:r>
              <w:lastRenderedPageBreak/>
              <w:t>Turnout Rate</w:t>
            </w:r>
          </w:p>
        </w:tc>
        <w:tc>
          <w:tcPr>
            <w:tcW w:w="1288" w:type="dxa"/>
          </w:tcPr>
          <w:p w:rsidR="00B37DD6" w:rsidRDefault="00B37DD6" w:rsidP="00B37DD6">
            <w:pPr>
              <w:pStyle w:val="Text"/>
              <w:ind w:firstLine="0"/>
              <w:jc w:val="center"/>
              <w:cnfStyle w:val="000000100000"/>
            </w:pPr>
            <w:r>
              <w:t>0.56</w:t>
            </w:r>
          </w:p>
        </w:tc>
        <w:tc>
          <w:tcPr>
            <w:tcW w:w="1288" w:type="dxa"/>
          </w:tcPr>
          <w:p w:rsidR="00B37DD6" w:rsidRDefault="00B37DD6" w:rsidP="00B37DD6">
            <w:pPr>
              <w:pStyle w:val="Text"/>
              <w:ind w:firstLine="0"/>
              <w:jc w:val="center"/>
              <w:cnfStyle w:val="000000100000"/>
            </w:pPr>
            <w:r>
              <w:t>0.72</w:t>
            </w:r>
          </w:p>
        </w:tc>
      </w:tr>
      <w:tr w:rsidR="00B37DD6" w:rsidTr="00B37DD6">
        <w:tc>
          <w:tcPr>
            <w:cnfStyle w:val="001000000000"/>
            <w:tcW w:w="2448" w:type="dxa"/>
          </w:tcPr>
          <w:p w:rsidR="00B37DD6" w:rsidRDefault="00B37DD6" w:rsidP="00B37DD6">
            <w:pPr>
              <w:pStyle w:val="Text"/>
              <w:ind w:firstLine="0"/>
              <w:jc w:val="center"/>
            </w:pPr>
            <w:r>
              <w:t>Voting Time</w:t>
            </w:r>
          </w:p>
          <w:p w:rsidR="00B37DD6" w:rsidRDefault="00B37DD6" w:rsidP="00B37DD6">
            <w:pPr>
              <w:pStyle w:val="Text"/>
              <w:ind w:firstLine="0"/>
              <w:jc w:val="center"/>
            </w:pPr>
            <w:r>
              <w:t>(Scale Parameter of Gamma Distribution)</w:t>
            </w:r>
          </w:p>
        </w:tc>
        <w:tc>
          <w:tcPr>
            <w:tcW w:w="1288" w:type="dxa"/>
          </w:tcPr>
          <w:p w:rsidR="00B37DD6" w:rsidRDefault="00B37DD6" w:rsidP="00B37DD6">
            <w:pPr>
              <w:pStyle w:val="Text"/>
              <w:ind w:firstLine="0"/>
              <w:jc w:val="center"/>
              <w:cnfStyle w:val="000000000000"/>
            </w:pPr>
            <w:r>
              <w:t>0.58</w:t>
            </w:r>
          </w:p>
        </w:tc>
        <w:tc>
          <w:tcPr>
            <w:tcW w:w="1288" w:type="dxa"/>
          </w:tcPr>
          <w:p w:rsidR="00B37DD6" w:rsidRDefault="00B37DD6" w:rsidP="00B37DD6">
            <w:pPr>
              <w:pStyle w:val="Text"/>
              <w:ind w:firstLine="0"/>
              <w:jc w:val="center"/>
              <w:cnfStyle w:val="000000000000"/>
            </w:pPr>
            <w:r>
              <w:t>1.05</w:t>
            </w:r>
          </w:p>
        </w:tc>
      </w:tr>
      <w:tr w:rsidR="00B37DD6" w:rsidTr="00B37DD6">
        <w:trPr>
          <w:cnfStyle w:val="000000100000"/>
        </w:trPr>
        <w:tc>
          <w:tcPr>
            <w:cnfStyle w:val="001000000000"/>
            <w:tcW w:w="2448" w:type="dxa"/>
          </w:tcPr>
          <w:p w:rsidR="00B37DD6" w:rsidRDefault="00B37DD6" w:rsidP="00B37DD6">
            <w:pPr>
              <w:pStyle w:val="Text"/>
              <w:ind w:firstLine="0"/>
              <w:jc w:val="center"/>
            </w:pPr>
            <w:r>
              <w:t>Size of County</w:t>
            </w:r>
          </w:p>
        </w:tc>
        <w:tc>
          <w:tcPr>
            <w:tcW w:w="1288" w:type="dxa"/>
          </w:tcPr>
          <w:p w:rsidR="00B37DD6" w:rsidRDefault="00B37DD6" w:rsidP="00B37DD6">
            <w:pPr>
              <w:pStyle w:val="Text"/>
              <w:ind w:firstLine="0"/>
              <w:jc w:val="center"/>
              <w:cnfStyle w:val="000000100000"/>
            </w:pPr>
            <w:r>
              <w:t>20 precincts</w:t>
            </w:r>
          </w:p>
        </w:tc>
        <w:tc>
          <w:tcPr>
            <w:tcW w:w="1288" w:type="dxa"/>
          </w:tcPr>
          <w:p w:rsidR="00B37DD6" w:rsidRDefault="00B37DD6" w:rsidP="00B37DD6">
            <w:pPr>
              <w:pStyle w:val="Text"/>
              <w:ind w:firstLine="0"/>
              <w:jc w:val="center"/>
              <w:cnfStyle w:val="000000100000"/>
            </w:pPr>
            <w:r>
              <w:t>50 precincts</w:t>
            </w:r>
          </w:p>
        </w:tc>
      </w:tr>
      <w:tr w:rsidR="00B37DD6" w:rsidTr="00B37DD6">
        <w:tc>
          <w:tcPr>
            <w:cnfStyle w:val="001000000000"/>
            <w:tcW w:w="2448" w:type="dxa"/>
          </w:tcPr>
          <w:p w:rsidR="00B37DD6" w:rsidRDefault="00B37DD6" w:rsidP="00B37DD6">
            <w:pPr>
              <w:pStyle w:val="Text"/>
              <w:ind w:firstLine="0"/>
              <w:jc w:val="center"/>
            </w:pPr>
            <w:r>
              <w:t>#Machines/#Precincts</w:t>
            </w:r>
          </w:p>
        </w:tc>
        <w:tc>
          <w:tcPr>
            <w:tcW w:w="1288" w:type="dxa"/>
          </w:tcPr>
          <w:p w:rsidR="00B37DD6" w:rsidRDefault="00B37DD6" w:rsidP="00B37DD6">
            <w:pPr>
              <w:pStyle w:val="Text"/>
              <w:ind w:firstLine="0"/>
              <w:jc w:val="center"/>
              <w:cnfStyle w:val="000000000000"/>
            </w:pPr>
            <w:r>
              <w:t>3.6</w:t>
            </w:r>
          </w:p>
        </w:tc>
        <w:tc>
          <w:tcPr>
            <w:tcW w:w="1288" w:type="dxa"/>
          </w:tcPr>
          <w:p w:rsidR="00B37DD6" w:rsidRDefault="00B37DD6" w:rsidP="00B37DD6">
            <w:pPr>
              <w:pStyle w:val="Text"/>
              <w:ind w:firstLine="0"/>
              <w:jc w:val="center"/>
              <w:cnfStyle w:val="000000000000"/>
            </w:pPr>
            <w:r>
              <w:t>9</w:t>
            </w:r>
          </w:p>
        </w:tc>
      </w:tr>
      <w:tr w:rsidR="00B37DD6" w:rsidTr="00B37DD6">
        <w:trPr>
          <w:cnfStyle w:val="000000100000"/>
        </w:trPr>
        <w:tc>
          <w:tcPr>
            <w:cnfStyle w:val="001000000000"/>
            <w:tcW w:w="2448" w:type="dxa"/>
          </w:tcPr>
          <w:p w:rsidR="00B37DD6" w:rsidRDefault="00B37DD6" w:rsidP="00B37DD6">
            <w:pPr>
              <w:pStyle w:val="Text"/>
              <w:ind w:firstLine="0"/>
              <w:jc w:val="center"/>
            </w:pPr>
            <w:r>
              <w:t>Allocation Strategy</w:t>
            </w:r>
          </w:p>
        </w:tc>
        <w:tc>
          <w:tcPr>
            <w:tcW w:w="1288" w:type="dxa"/>
          </w:tcPr>
          <w:p w:rsidR="00B37DD6" w:rsidRDefault="00B37DD6" w:rsidP="00B37DD6">
            <w:pPr>
              <w:pStyle w:val="Text"/>
              <w:ind w:firstLine="0"/>
              <w:jc w:val="center"/>
              <w:cnfStyle w:val="000000100000"/>
            </w:pPr>
            <w:r>
              <w:t>GIA</w:t>
            </w:r>
          </w:p>
        </w:tc>
        <w:tc>
          <w:tcPr>
            <w:tcW w:w="1288" w:type="dxa"/>
          </w:tcPr>
          <w:p w:rsidR="00B37DD6" w:rsidRDefault="00B37DD6" w:rsidP="00B37DD6">
            <w:pPr>
              <w:pStyle w:val="Text"/>
              <w:ind w:firstLine="0"/>
              <w:jc w:val="center"/>
              <w:cnfStyle w:val="000000100000"/>
            </w:pPr>
            <w:r>
              <w:t>UEM</w:t>
            </w:r>
          </w:p>
        </w:tc>
      </w:tr>
    </w:tbl>
    <w:p w:rsidR="00B37DD6" w:rsidRDefault="00B37DD6">
      <w:pPr>
        <w:pStyle w:val="Text"/>
      </w:pPr>
    </w:p>
    <w:p w:rsidR="00B37DD6" w:rsidRDefault="00B37DD6" w:rsidP="00B37DD6">
      <w:pPr>
        <w:pStyle w:val="Heading2"/>
      </w:pPr>
      <w:r>
        <w:t>Factors and Levels</w:t>
      </w:r>
    </w:p>
    <w:p w:rsidR="00B37DD6" w:rsidRDefault="00B37DD6">
      <w:pPr>
        <w:pStyle w:val="Text"/>
      </w:pPr>
      <w:r w:rsidRPr="00B37DD6">
        <w:t>We assume that the voter turnout rate is the same for all precincts. The overall voter turnout rate observed in the 2004 election in Franklin County, Ohio, was 56%. The turnout rate in the 2008 presidential election was the highest in at least 40 years at approximately 72%. Therefore, the two levels used for Turnout Rate are 0.56 and 0.72.</w:t>
      </w:r>
    </w:p>
    <w:p w:rsidR="00B37DD6" w:rsidRDefault="00B37DD6">
      <w:pPr>
        <w:pStyle w:val="Text"/>
      </w:pPr>
      <w:r w:rsidRPr="00B37DD6">
        <w:t>We assume that the voting service time in every precinct follows a gamma distribution with shape parameter of 5.71. One level for this factor is set using data from the 2006 Ohio gubernatorial election by setting the gamma distribution scale parameter to 1.05. Allen and Bernshteyn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B37DD6" w:rsidRDefault="00B37DD6">
      <w:pPr>
        <w:pStyle w:val="Text"/>
      </w:pPr>
      <w:r w:rsidRPr="00B37DD6">
        <w:t>We set the two levels of Size of County to be 20 precincts and 50 precincts. This represents smaller than usual voting districts (counties), but should provide enough of a difference for analysis.</w:t>
      </w:r>
    </w:p>
    <w:p w:rsidR="00B37DD6" w:rsidRDefault="00B37DD6">
      <w:pPr>
        <w:pStyle w:val="Text"/>
      </w:pPr>
      <w:r w:rsidRPr="00B37DD6">
        <w:t>We set the two level of Ratio of the number of machines to the number of precincts to 3.6 and 9 to match observed average allocation values in the 2004 and 2008 elections, respectively, in one particular county in Ohio.</w:t>
      </w:r>
    </w:p>
    <w:p w:rsidR="00B37DD6" w:rsidRDefault="00B37DD6">
      <w:pPr>
        <w:pStyle w:val="Text"/>
      </w:pPr>
      <w:r w:rsidRPr="00B37DD6">
        <w:t>To obtain the allocations for each treatment combinations of Turnout Rate, Service Time, Size of County and Ratio of the number of machines to the number of precincts, we run the GIA in Arena. We use 50 replications for each scenario so that the 95% confidence-interval half width will be less than 10% of the average waiting time in a precinct. UEM is based on M/M/s queues and implemented in Microsoft Excel, which can easily find the machine allocations for each treatment combination of the other four factors.</w:t>
      </w:r>
    </w:p>
    <w:p w:rsidR="00B37DD6" w:rsidRDefault="00B37DD6">
      <w:pPr>
        <w:pStyle w:val="Text"/>
      </w:pPr>
      <w:r w:rsidRPr="00B37DD6">
        <w:t xml:space="preserve">There are </w:t>
      </w:r>
      <m:oMath>
        <m:sSup>
          <m:sSupPr>
            <m:ctrlPr>
              <w:rPr>
                <w:rFonts w:ascii="Cambria Math" w:hAnsi="Cambria Math"/>
                <w:i/>
              </w:rPr>
            </m:ctrlPr>
          </m:sSupPr>
          <m:e>
            <m:r>
              <w:rPr>
                <w:rFonts w:ascii="Cambria Math" w:hAnsi="Cambria Math"/>
              </w:rPr>
              <m:t>2</m:t>
            </m:r>
          </m:e>
          <m:sup>
            <m:r>
              <w:rPr>
                <w:rFonts w:ascii="Cambria Math" w:hAnsi="Cambria Math"/>
              </w:rPr>
              <m:t>5</m:t>
            </m:r>
          </m:sup>
        </m:sSup>
      </m:oMath>
      <w:r w:rsidRPr="00B37DD6">
        <w:t xml:space="preserve"> = 32 design points in total (see Table 3). We run 100 replications for each design point, which satisfied our requirement that the 95% confidence-interval half widths are less than 5% of the average values of the response. Different random number streams are used for different design points to ensure that the design points are independent.</w:t>
      </w:r>
    </w:p>
    <w:p w:rsidR="0078769F" w:rsidRDefault="0078769F" w:rsidP="0078769F">
      <w:pPr>
        <w:pStyle w:val="Heading2"/>
      </w:pPr>
      <w:r>
        <w:t>Results</w:t>
      </w:r>
    </w:p>
    <w:p w:rsidR="0078769F" w:rsidRDefault="0078769F">
      <w:pPr>
        <w:pStyle w:val="Text"/>
      </w:pPr>
      <w:r w:rsidRPr="0078769F">
        <w:t xml:space="preserve">The results of the factorial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w:t>
      </w:r>
      <w:r w:rsidRPr="0078769F">
        <w:lastRenderedPageBreak/>
        <w:t>scenario (Turnout Rate = 0.72, Scale Parameter = 1.05, Size of County = 20 precincts and Ratio of the number of machines to the number of precincts = 3.6).</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Allen, T. T., and M. B. Bernshteyn.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Pr="00305B96" w:rsidRDefault="00EB0BAE" w:rsidP="0075110C">
      <w:pPr>
        <w:numPr>
          <w:ilvl w:val="0"/>
          <w:numId w:val="19"/>
        </w:numPr>
        <w:jc w:val="both"/>
        <w:rPr>
          <w:sz w:val="16"/>
          <w:szCs w:val="16"/>
        </w:rPr>
      </w:pPr>
      <w:r w:rsidRPr="00305B96">
        <w:rPr>
          <w:sz w:val="16"/>
          <w:szCs w:val="16"/>
        </w:rPr>
        <w:t>Houdt, B. V., and C. Blondia. 2005. Approximated transient queue length and waiting time distributions via steady state analysis. Stochastic Models 21:725–744.</w:t>
      </w: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305B96">
      <w:headerReference w:type="default" r:id="rId12"/>
      <w:footerReference w:type="default" r:id="rId13"/>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DBE" w:rsidRDefault="00DB5DBE">
      <w:r>
        <w:separator/>
      </w:r>
    </w:p>
  </w:endnote>
  <w:endnote w:type="continuationSeparator" w:id="1">
    <w:p w:rsidR="00DB5DBE" w:rsidRDefault="00DB5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80588C">
          <w:pPr>
            <w:pStyle w:val="Footer"/>
            <w:jc w:val="right"/>
            <w:rPr>
              <w:b/>
              <w:color w:val="4F81BD" w:themeColor="accent1"/>
              <w:sz w:val="32"/>
              <w:szCs w:val="32"/>
            </w:rPr>
          </w:pPr>
          <w:fldSimple w:instr=" PAGE   \* MERGEFORMAT ">
            <w:r w:rsidR="00305B96" w:rsidRPr="00305B96">
              <w:rPr>
                <w:b/>
                <w:noProof/>
                <w:color w:val="4F81BD" w:themeColor="accent1"/>
                <w:sz w:val="32"/>
                <w:szCs w:val="32"/>
              </w:rPr>
              <w:t>1</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rPr>
              <w:rStyle w:val="Abstract"/>
            </w:rPr>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DBE" w:rsidRDefault="00DB5DBE"/>
  </w:footnote>
  <w:footnote w:type="continuationSeparator" w:id="1">
    <w:p w:rsidR="00DB5DBE" w:rsidRDefault="00DB5DBE">
      <w:r>
        <w:continuationSeparator/>
      </w:r>
    </w:p>
  </w:footnote>
  <w:footnote w:id="2">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2"/>
  </w:num>
  <w:num w:numId="15">
    <w:abstractNumId w:val="11"/>
  </w:num>
  <w:num w:numId="16">
    <w:abstractNumId w:val="15"/>
  </w:num>
  <w:num w:numId="17">
    <w:abstractNumId w:val="5"/>
  </w:num>
  <w:num w:numId="18">
    <w:abstractNumId w:val="4"/>
  </w:num>
  <w:num w:numId="19">
    <w:abstractNumId w:val="14"/>
  </w:num>
  <w:num w:numId="20">
    <w:abstractNumId w:val="9"/>
  </w:num>
  <w:num w:numId="21">
    <w:abstractNumId w:val="1"/>
  </w:num>
  <w:num w:numId="22">
    <w:abstractNumId w:val="2"/>
  </w:num>
  <w:num w:numId="23">
    <w:abstractNumId w:val="1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24D8C"/>
    <w:rsid w:val="000469CD"/>
    <w:rsid w:val="0005056E"/>
    <w:rsid w:val="00050AAA"/>
    <w:rsid w:val="00055223"/>
    <w:rsid w:val="00072B64"/>
    <w:rsid w:val="00086100"/>
    <w:rsid w:val="000A42CA"/>
    <w:rsid w:val="000F52F6"/>
    <w:rsid w:val="00132532"/>
    <w:rsid w:val="001363E8"/>
    <w:rsid w:val="00144E72"/>
    <w:rsid w:val="00152D62"/>
    <w:rsid w:val="00166369"/>
    <w:rsid w:val="00191EFC"/>
    <w:rsid w:val="001978EA"/>
    <w:rsid w:val="001A0BC7"/>
    <w:rsid w:val="001C4A2A"/>
    <w:rsid w:val="001C5108"/>
    <w:rsid w:val="001F68BF"/>
    <w:rsid w:val="00203AA5"/>
    <w:rsid w:val="0021023A"/>
    <w:rsid w:val="00210E48"/>
    <w:rsid w:val="002434A1"/>
    <w:rsid w:val="00250634"/>
    <w:rsid w:val="002B43F5"/>
    <w:rsid w:val="002B7AB1"/>
    <w:rsid w:val="002F2E2A"/>
    <w:rsid w:val="002F6E31"/>
    <w:rsid w:val="00301C99"/>
    <w:rsid w:val="00303DAB"/>
    <w:rsid w:val="00305B96"/>
    <w:rsid w:val="003165AA"/>
    <w:rsid w:val="003422B3"/>
    <w:rsid w:val="00360269"/>
    <w:rsid w:val="00373501"/>
    <w:rsid w:val="0038157D"/>
    <w:rsid w:val="003916D2"/>
    <w:rsid w:val="003B2DA3"/>
    <w:rsid w:val="00404E7A"/>
    <w:rsid w:val="00423029"/>
    <w:rsid w:val="0043144F"/>
    <w:rsid w:val="00431BFA"/>
    <w:rsid w:val="00435697"/>
    <w:rsid w:val="00456ED8"/>
    <w:rsid w:val="004631BC"/>
    <w:rsid w:val="00463266"/>
    <w:rsid w:val="00465B4A"/>
    <w:rsid w:val="00472E41"/>
    <w:rsid w:val="004823FD"/>
    <w:rsid w:val="00485CF9"/>
    <w:rsid w:val="004C1E16"/>
    <w:rsid w:val="004F119E"/>
    <w:rsid w:val="00500E43"/>
    <w:rsid w:val="00504CF3"/>
    <w:rsid w:val="00514C72"/>
    <w:rsid w:val="00542DF5"/>
    <w:rsid w:val="00584C7C"/>
    <w:rsid w:val="005A2A15"/>
    <w:rsid w:val="005A2D83"/>
    <w:rsid w:val="005B21DE"/>
    <w:rsid w:val="00603B29"/>
    <w:rsid w:val="00625E96"/>
    <w:rsid w:val="00654BF9"/>
    <w:rsid w:val="00667358"/>
    <w:rsid w:val="006B10EF"/>
    <w:rsid w:val="006B6E68"/>
    <w:rsid w:val="006F347B"/>
    <w:rsid w:val="0070309C"/>
    <w:rsid w:val="00707A3D"/>
    <w:rsid w:val="0072359B"/>
    <w:rsid w:val="007272B3"/>
    <w:rsid w:val="0075110C"/>
    <w:rsid w:val="00765E7A"/>
    <w:rsid w:val="0078769F"/>
    <w:rsid w:val="007C4336"/>
    <w:rsid w:val="007D76C2"/>
    <w:rsid w:val="007E017B"/>
    <w:rsid w:val="007E5BF4"/>
    <w:rsid w:val="0080588C"/>
    <w:rsid w:val="008113BC"/>
    <w:rsid w:val="0081542F"/>
    <w:rsid w:val="008164F0"/>
    <w:rsid w:val="0082494D"/>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32C3"/>
    <w:rsid w:val="009D1691"/>
    <w:rsid w:val="00A10EFA"/>
    <w:rsid w:val="00A222A3"/>
    <w:rsid w:val="00A24283"/>
    <w:rsid w:val="00A27347"/>
    <w:rsid w:val="00A40B0F"/>
    <w:rsid w:val="00A5319A"/>
    <w:rsid w:val="00A77955"/>
    <w:rsid w:val="00AD4D65"/>
    <w:rsid w:val="00AD663A"/>
    <w:rsid w:val="00AE7410"/>
    <w:rsid w:val="00B13D77"/>
    <w:rsid w:val="00B16B52"/>
    <w:rsid w:val="00B37DD6"/>
    <w:rsid w:val="00B4729A"/>
    <w:rsid w:val="00B53386"/>
    <w:rsid w:val="00B55088"/>
    <w:rsid w:val="00B81474"/>
    <w:rsid w:val="00B8649F"/>
    <w:rsid w:val="00BC663D"/>
    <w:rsid w:val="00BD5048"/>
    <w:rsid w:val="00BE24BE"/>
    <w:rsid w:val="00BE2C8B"/>
    <w:rsid w:val="00C94235"/>
    <w:rsid w:val="00CB4B8D"/>
    <w:rsid w:val="00CD0B6E"/>
    <w:rsid w:val="00CD59EF"/>
    <w:rsid w:val="00CF0AF0"/>
    <w:rsid w:val="00D0320C"/>
    <w:rsid w:val="00D44AA0"/>
    <w:rsid w:val="00D56935"/>
    <w:rsid w:val="00D64B3C"/>
    <w:rsid w:val="00D758C6"/>
    <w:rsid w:val="00D84095"/>
    <w:rsid w:val="00D87509"/>
    <w:rsid w:val="00D91043"/>
    <w:rsid w:val="00DB5DBE"/>
    <w:rsid w:val="00DF2DDE"/>
    <w:rsid w:val="00E326E1"/>
    <w:rsid w:val="00E34006"/>
    <w:rsid w:val="00E443FD"/>
    <w:rsid w:val="00E44E2D"/>
    <w:rsid w:val="00E50DF6"/>
    <w:rsid w:val="00E91F48"/>
    <w:rsid w:val="00E92780"/>
    <w:rsid w:val="00E97402"/>
    <w:rsid w:val="00EA459F"/>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Pages>
  <Words>4069</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27209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6</cp:revision>
  <cp:lastPrinted>2007-05-08T06:48:00Z</cp:lastPrinted>
  <dcterms:created xsi:type="dcterms:W3CDTF">2011-05-28T08:33:00Z</dcterms:created>
  <dcterms:modified xsi:type="dcterms:W3CDTF">2011-05-29T14:03:00Z</dcterms:modified>
</cp:coreProperties>
</file>