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7A2CFB" w:rsidRDefault="007A2CFB" w:rsidP="007A2CFB">
      <w:pPr>
        <w:pStyle w:val="Abstract"/>
        <w:rPr>
          <w:sz w:val="20"/>
          <w:szCs w:val="20"/>
        </w:rPr>
      </w:pPr>
      <w:bookmarkStart w:id="0" w:name="PointTmp"/>
      <w:r>
        <w:rPr>
          <w:i/>
          <w:sz w:val="20"/>
        </w:rPr>
        <w:t>Abstract</w:t>
      </w:r>
      <w:r>
        <w:t xml:space="preserve">— </w:t>
      </w:r>
      <w:r>
        <w:rPr>
          <w:sz w:val="20"/>
          <w:szCs w:val="20"/>
        </w:rPr>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7A2CFB" w:rsidRPr="007A2CFB" w:rsidRDefault="007A2CFB" w:rsidP="007A2CFB"/>
    <w:p w:rsidR="00E97402" w:rsidRDefault="00E97402" w:rsidP="0082494D">
      <w:pPr>
        <w:pStyle w:val="IndexTerms"/>
      </w:pPr>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queueing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w:t>
      </w:r>
      <w:r w:rsidRPr="009133BD">
        <w:lastRenderedPageBreak/>
        <w:t>Section 3 introduces a performance metric for voter equity 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BA6A03">
        <w:fldChar w:fldCharType="begin"/>
      </w:r>
      <w:r>
        <w:instrText xml:space="preserve"> REF _Ref294469133 \r \h </w:instrText>
      </w:r>
      <w:r w:rsidR="00BA6A03">
        <w:fldChar w:fldCharType="separate"/>
      </w:r>
      <w:r>
        <w:t>[4]</w:t>
      </w:r>
      <w:r w:rsidR="00BA6A03">
        <w:fldChar w:fldCharType="end"/>
      </w:r>
      <w:r>
        <w:t xml:space="preserve"> – namely GIA - outperforms UEM (Utilization Equalization Method) which have been used in US 2004 presidential election in many counties. In this paper we are extending the simulation model used in </w:t>
      </w:r>
      <w:r w:rsidR="00BA6A03">
        <w:fldChar w:fldCharType="begin"/>
      </w:r>
      <w:r>
        <w:instrText xml:space="preserve"> REF _Ref294469133 \r \h </w:instrText>
      </w:r>
      <w:r w:rsidR="00BA6A03">
        <w:fldChar w:fldCharType="separate"/>
      </w:r>
      <w:r>
        <w:rPr>
          <w:cs/>
        </w:rPr>
        <w:t>‎</w:t>
      </w:r>
      <w:r>
        <w:t>[4]</w:t>
      </w:r>
      <w:r w:rsidR="00BA6A03">
        <w:fldChar w:fldCharType="end"/>
      </w:r>
      <w:r>
        <w:t xml:space="preserve"> and comparing the results of our algorithm RA with the algorithm described in </w:t>
      </w:r>
      <w:r w:rsidR="00BA6A03">
        <w:fldChar w:fldCharType="begin"/>
      </w:r>
      <w:r>
        <w:instrText xml:space="preserve"> REF _Ref294469133 \r \h </w:instrText>
      </w:r>
      <w:r w:rsidR="00BA6A03">
        <w:fldChar w:fldCharType="separate"/>
      </w:r>
      <w:r>
        <w:rPr>
          <w:cs/>
        </w:rPr>
        <w:t>‎</w:t>
      </w:r>
      <w:r>
        <w:t>[4]</w:t>
      </w:r>
      <w:r w:rsidR="00BA6A03">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Description of Basic Polls Queuing Model</w:t>
      </w:r>
    </w:p>
    <w:p w:rsidR="00D83625" w:rsidRDefault="00D83625" w:rsidP="00D83625">
      <w:pPr>
        <w:pStyle w:val="Heading3"/>
      </w:pPr>
      <w:r>
        <w:t>Model Logic</w:t>
      </w:r>
    </w:p>
    <w:p w:rsidR="00D83625" w:rsidRDefault="00D83625" w:rsidP="00D83625">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D83625" w:rsidRPr="00250634" w:rsidRDefault="00D83625" w:rsidP="00D83625">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D83625" w:rsidRDefault="00D83625" w:rsidP="00D83625">
      <w:pPr>
        <w:pStyle w:val="Text"/>
      </w:pPr>
    </w:p>
    <w:p w:rsidR="00D83625" w:rsidRDefault="00D83625" w:rsidP="00D83625">
      <w:pPr>
        <w:pStyle w:val="Heading3"/>
      </w:pPr>
      <w:r>
        <w:t>Input Distribution Assumptions and Data Sources</w:t>
      </w:r>
    </w:p>
    <w:p w:rsidR="00636ACB" w:rsidRDefault="00D83625" w:rsidP="00D83625">
      <w:pPr>
        <w:ind w:firstLine="202"/>
        <w:jc w:val="both"/>
      </w:pPr>
      <w:r w:rsidRPr="00250634">
        <w:t xml:space="preserve">We use a data set based on statistics from the 2004 election in Franklin County, Ohio (available at &lt;http://copperas.com/fcelection/&gt;). Specifically, we fit a normal distribution with mean 1070 and standard deviation </w:t>
      </w:r>
      <w:r w:rsidRPr="00250634">
        <w:lastRenderedPageBreak/>
        <w:t xml:space="preserve">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w:t>
      </w:r>
    </w:p>
    <w:p w:rsidR="00636ACB" w:rsidRPr="00636ACB" w:rsidRDefault="00636ACB" w:rsidP="00636ACB">
      <w:pPr>
        <w:pStyle w:val="Text"/>
        <w:rPr>
          <w:color w:val="FF0000"/>
        </w:rPr>
      </w:pPr>
      <w:r w:rsidRPr="00636ACB">
        <w:rPr>
          <w:color w:val="FF0000"/>
        </w:rPr>
        <w:t>To get the voter turnout rate we used the data based on statistics from the 2004 election in Franklin County, Ohio.</w:t>
      </w:r>
    </w:p>
    <w:p w:rsidR="00636ACB" w:rsidRPr="00636ACB" w:rsidRDefault="00636ACB" w:rsidP="00636ACB">
      <w:pPr>
        <w:pStyle w:val="Text"/>
        <w:rPr>
          <w:color w:val="FF0000"/>
        </w:rPr>
      </w:pPr>
      <w:r w:rsidRPr="00636ACB">
        <w:rPr>
          <w:color w:val="FF0000"/>
        </w:rPr>
        <w:t xml:space="preserve"> We fit a Weibull distribution with Shape Parameter α=6.9514 and Scale Parameter β=60.884 to turnout percentage in each precinct in the 2004 election.</w:t>
      </w:r>
    </w:p>
    <w:p w:rsidR="00636ACB" w:rsidRDefault="00636ACB" w:rsidP="00636ACB">
      <w:pPr>
        <w:pStyle w:val="Text"/>
      </w:pPr>
      <w:r w:rsidRPr="00636ACB">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D83625" w:rsidRDefault="00D83625" w:rsidP="00D83625">
      <w:pPr>
        <w:ind w:firstLine="202"/>
        <w:jc w:val="both"/>
      </w:pPr>
      <w:r w:rsidRPr="00250634">
        <w:t>The turnout rate is applied to this, and then the non-stationary arrival pattern is used to distribute these voters’ appearance at the polling station, as described below. We assume that each precinct has the same voter turnout rate.</w:t>
      </w:r>
    </w:p>
    <w:p w:rsidR="00D83625" w:rsidRDefault="00D83625" w:rsidP="00D83625">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D83625" w:rsidRDefault="00D83625" w:rsidP="00D83625">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D83625" w:rsidRDefault="00D83625" w:rsidP="00D83625">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BA6A03" w:rsidRPr="0081542F">
        <w:rPr>
          <w:b w:val="0"/>
          <w:bCs w:val="0"/>
          <w:color w:val="auto"/>
        </w:rPr>
        <w:fldChar w:fldCharType="begin"/>
      </w:r>
      <w:r w:rsidRPr="0081542F">
        <w:rPr>
          <w:b w:val="0"/>
          <w:bCs w:val="0"/>
          <w:color w:val="auto"/>
        </w:rPr>
        <w:instrText xml:space="preserve"> SEQ Table \* ARABIC </w:instrText>
      </w:r>
      <w:r w:rsidR="00BA6A03" w:rsidRPr="0081542F">
        <w:rPr>
          <w:b w:val="0"/>
          <w:bCs w:val="0"/>
          <w:color w:val="auto"/>
        </w:rPr>
        <w:fldChar w:fldCharType="separate"/>
      </w:r>
      <w:r>
        <w:rPr>
          <w:b w:val="0"/>
          <w:bCs w:val="0"/>
          <w:noProof/>
          <w:color w:val="auto"/>
        </w:rPr>
        <w:t>1</w:t>
      </w:r>
      <w:r w:rsidR="00BA6A03"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4A3F86">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cnfStyle w:val="100000000000"/>
              <w:rPr>
                <w:b w:val="0"/>
                <w:bCs w:val="0"/>
              </w:rPr>
            </w:pPr>
            <w:r w:rsidRPr="00A5319A">
              <w:rPr>
                <w:b w:val="0"/>
                <w:bCs w:val="0"/>
              </w:rPr>
              <w:t>Percentage of Turnout Voters</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20.61</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8 a.m. – 11 a.m.</w:t>
            </w:r>
          </w:p>
        </w:tc>
        <w:tc>
          <w:tcPr>
            <w:tcW w:w="2866" w:type="dxa"/>
          </w:tcPr>
          <w:p w:rsidR="00D83625" w:rsidRPr="00A5319A" w:rsidRDefault="00D83625" w:rsidP="004A3F86">
            <w:pPr>
              <w:jc w:val="center"/>
              <w:cnfStyle w:val="000000000000"/>
            </w:pPr>
            <w:r>
              <w:t>27.34</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24.05</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3 p.m. – 5 p.m.</w:t>
            </w:r>
          </w:p>
        </w:tc>
        <w:tc>
          <w:tcPr>
            <w:tcW w:w="2866" w:type="dxa"/>
          </w:tcPr>
          <w:p w:rsidR="00D83625" w:rsidRPr="00A5319A" w:rsidRDefault="00D83625" w:rsidP="004A3F86">
            <w:pPr>
              <w:jc w:val="center"/>
              <w:cnfStyle w:val="000000000000"/>
            </w:pPr>
            <w:r>
              <w:t>13.26</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lastRenderedPageBreak/>
              <w:t>After 5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13.87</w:t>
            </w:r>
          </w:p>
        </w:tc>
      </w:tr>
    </w:tbl>
    <w:p w:rsidR="00D83625" w:rsidRPr="00250634" w:rsidRDefault="00D83625" w:rsidP="00D83625">
      <w:pPr>
        <w:ind w:firstLine="202"/>
        <w:jc w:val="both"/>
      </w:pPr>
    </w:p>
    <w:p w:rsidR="00D83625" w:rsidRDefault="00D83625" w:rsidP="00D83625">
      <w:pPr>
        <w:pStyle w:val="Text"/>
      </w:pPr>
      <w:r w:rsidRPr="0081542F">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D83625" w:rsidRDefault="00D83625" w:rsidP="00D83625">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D83625" w:rsidRDefault="00D83625" w:rsidP="00D83625">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D83625" w:rsidRDefault="00D83625" w:rsidP="00D83625">
      <w:pPr>
        <w:pStyle w:val="Text"/>
      </w:pPr>
    </w:p>
    <w:p w:rsidR="00D83625" w:rsidRDefault="00D83625" w:rsidP="00D83625">
      <w:pPr>
        <w:pStyle w:val="Heading2"/>
      </w:pPr>
      <w:r>
        <w:t>The Greedy Improvement Algorithm</w:t>
      </w:r>
    </w:p>
    <w:p w:rsidR="00D83625" w:rsidRDefault="00D83625" w:rsidP="00D83625">
      <w:pPr>
        <w:pStyle w:val="Heading3"/>
      </w:pPr>
      <w:r>
        <w:t>Algorithm Description</w:t>
      </w:r>
    </w:p>
    <w:p w:rsidR="00D83625" w:rsidRPr="0081542F" w:rsidRDefault="00D83625" w:rsidP="00D83625">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D83625" w:rsidRDefault="00D83625" w:rsidP="00D83625">
      <w:pPr>
        <w:pStyle w:val="Heading3"/>
      </w:pPr>
      <w:r>
        <w:t>Implementation</w:t>
      </w:r>
    </w:p>
    <w:p w:rsidR="00D83625" w:rsidRDefault="00D83625" w:rsidP="00D83625">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A4D9A" w:rsidRDefault="00D83625" w:rsidP="00D83625">
      <w:r>
        <w:t>We preferred to use a general purpose programming language to implement the simulation model (namely C# .Net) with the help of open source .Net simulation library called</w:t>
      </w:r>
    </w:p>
    <w:p w:rsidR="00636ACB" w:rsidRPr="00636ACB" w:rsidRDefault="00636ACB" w:rsidP="00636ACB"/>
    <w:p w:rsidR="00636ACB" w:rsidRDefault="00636ACB" w:rsidP="00D83625"/>
    <w:p w:rsidR="00EA4D9A" w:rsidRDefault="00EA4D9A" w:rsidP="00EA4D9A"/>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 xml:space="preserve">Some performance metric used in simulating elections is minimizing the total expected waiting time across all </w:t>
      </w:r>
      <w:r>
        <w:lastRenderedPageBreak/>
        <w:t>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BA6A03"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BA6A03"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BA6A03" w:rsidRPr="00B37DD6">
        <w:rPr>
          <w:b w:val="0"/>
          <w:bCs w:val="0"/>
          <w:color w:val="auto"/>
        </w:rPr>
        <w:fldChar w:fldCharType="begin"/>
      </w:r>
      <w:r w:rsidRPr="00B37DD6">
        <w:rPr>
          <w:b w:val="0"/>
          <w:bCs w:val="0"/>
          <w:color w:val="auto"/>
        </w:rPr>
        <w:instrText xml:space="preserve"> SEQ Table \* ARABIC </w:instrText>
      </w:r>
      <w:r w:rsidR="00BA6A03" w:rsidRPr="00B37DD6">
        <w:rPr>
          <w:b w:val="0"/>
          <w:bCs w:val="0"/>
          <w:color w:val="auto"/>
        </w:rPr>
        <w:fldChar w:fldCharType="separate"/>
      </w:r>
      <w:r w:rsidRPr="00B37DD6">
        <w:rPr>
          <w:b w:val="0"/>
          <w:bCs w:val="0"/>
          <w:noProof/>
          <w:color w:val="auto"/>
        </w:rPr>
        <w:t>2</w:t>
      </w:r>
      <w:r w:rsidR="00BA6A03"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4A3F86">
        <w:trPr>
          <w:cnfStyle w:val="100000000000"/>
          <w:jc w:val="center"/>
        </w:trPr>
        <w:tc>
          <w:tcPr>
            <w:cnfStyle w:val="001000000000"/>
            <w:tcW w:w="2448" w:type="dxa"/>
          </w:tcPr>
          <w:p w:rsidR="00D83625" w:rsidRPr="009C049A" w:rsidRDefault="00D83625" w:rsidP="004A3F86">
            <w:pPr>
              <w:pStyle w:val="Text"/>
              <w:ind w:firstLine="0"/>
              <w:jc w:val="center"/>
            </w:pPr>
            <w:r w:rsidRPr="009C049A">
              <w:t>Factors</w:t>
            </w:r>
          </w:p>
        </w:tc>
        <w:tc>
          <w:tcPr>
            <w:tcW w:w="1288" w:type="dxa"/>
          </w:tcPr>
          <w:p w:rsidR="00D83625" w:rsidRPr="009C049A" w:rsidRDefault="00D83625" w:rsidP="004A3F86">
            <w:pPr>
              <w:pStyle w:val="Text"/>
              <w:ind w:firstLine="0"/>
              <w:jc w:val="center"/>
              <w:cnfStyle w:val="100000000000"/>
            </w:pPr>
            <w:r w:rsidRPr="009C049A">
              <w:t>Possible Values</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Number of Precincts</w:t>
            </w:r>
          </w:p>
        </w:tc>
        <w:tc>
          <w:tcPr>
            <w:tcW w:w="1288" w:type="dxa"/>
          </w:tcPr>
          <w:p w:rsidR="00D83625" w:rsidRDefault="00D83625" w:rsidP="004A3F86">
            <w:pPr>
              <w:pStyle w:val="Text"/>
              <w:ind w:firstLine="0"/>
              <w:jc w:val="center"/>
              <w:cnfStyle w:val="000000100000"/>
            </w:pPr>
            <w:r>
              <w:t>20 – 30 - 50 Precincts</w:t>
            </w:r>
          </w:p>
        </w:tc>
      </w:tr>
      <w:tr w:rsidR="00D83625" w:rsidTr="004A3F86">
        <w:trPr>
          <w:jc w:val="center"/>
        </w:trPr>
        <w:tc>
          <w:tcPr>
            <w:cnfStyle w:val="001000000000"/>
            <w:tcW w:w="2448" w:type="dxa"/>
          </w:tcPr>
          <w:p w:rsidR="00D83625" w:rsidRDefault="00D83625" w:rsidP="004A3F86">
            <w:pPr>
              <w:pStyle w:val="Text"/>
              <w:ind w:firstLine="0"/>
              <w:jc w:val="center"/>
            </w:pPr>
            <w:r>
              <w:t>Voting Time</w:t>
            </w:r>
          </w:p>
          <w:p w:rsidR="00D83625" w:rsidRDefault="00D83625" w:rsidP="004A3F86">
            <w:pPr>
              <w:pStyle w:val="Text"/>
              <w:ind w:firstLine="0"/>
              <w:jc w:val="center"/>
            </w:pPr>
            <w:r>
              <w:lastRenderedPageBreak/>
              <w:t>(Scale Parameter of Gamma Distribution)</w:t>
            </w:r>
          </w:p>
        </w:tc>
        <w:tc>
          <w:tcPr>
            <w:tcW w:w="1288" w:type="dxa"/>
          </w:tcPr>
          <w:p w:rsidR="00D83625" w:rsidRDefault="00D83625" w:rsidP="004A3F86">
            <w:pPr>
              <w:pStyle w:val="Text"/>
              <w:ind w:firstLine="0"/>
              <w:jc w:val="center"/>
              <w:cnfStyle w:val="000000000000"/>
            </w:pPr>
          </w:p>
          <w:p w:rsidR="00D83625" w:rsidRDefault="00D83625" w:rsidP="004A3F86">
            <w:pPr>
              <w:pStyle w:val="Text"/>
              <w:ind w:firstLine="0"/>
              <w:jc w:val="center"/>
              <w:cnfStyle w:val="000000000000"/>
            </w:pPr>
            <w:r>
              <w:lastRenderedPageBreak/>
              <w:t>0.58 - 1.05</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lastRenderedPageBreak/>
              <w:t>#Machines/#Precincts</w:t>
            </w:r>
          </w:p>
        </w:tc>
        <w:tc>
          <w:tcPr>
            <w:tcW w:w="1288" w:type="dxa"/>
          </w:tcPr>
          <w:p w:rsidR="00D83625" w:rsidRDefault="00D83625" w:rsidP="004A3F86">
            <w:pPr>
              <w:pStyle w:val="Text"/>
              <w:ind w:firstLine="0"/>
              <w:jc w:val="center"/>
              <w:cnfStyle w:val="000000100000"/>
            </w:pPr>
            <w:r>
              <w:t>2 - 3.6</w:t>
            </w:r>
          </w:p>
        </w:tc>
      </w:tr>
      <w:tr w:rsidR="00D83625" w:rsidTr="004A3F86">
        <w:trPr>
          <w:jc w:val="center"/>
        </w:trPr>
        <w:tc>
          <w:tcPr>
            <w:cnfStyle w:val="001000000000"/>
            <w:tcW w:w="2448" w:type="dxa"/>
          </w:tcPr>
          <w:p w:rsidR="00D83625" w:rsidRDefault="00D83625" w:rsidP="004A3F86">
            <w:pPr>
              <w:pStyle w:val="Text"/>
              <w:ind w:firstLine="0"/>
              <w:jc w:val="center"/>
            </w:pPr>
            <w:r>
              <w:t>Allocation Strategy</w:t>
            </w:r>
          </w:p>
        </w:tc>
        <w:tc>
          <w:tcPr>
            <w:tcW w:w="1288" w:type="dxa"/>
          </w:tcPr>
          <w:p w:rsidR="00D83625" w:rsidRDefault="00D83625" w:rsidP="004A3F86">
            <w:pPr>
              <w:pStyle w:val="Text"/>
              <w:ind w:firstLine="0"/>
              <w:jc w:val="center"/>
              <w:cnfStyle w:val="000000000000"/>
            </w:pPr>
            <w:r>
              <w:t>RA - GIA</w:t>
            </w:r>
          </w:p>
        </w:tc>
      </w:tr>
    </w:tbl>
    <w:p w:rsidR="00D83625" w:rsidRDefault="00D83625" w:rsidP="00D83625">
      <w:pPr>
        <w:pStyle w:val="Text"/>
      </w:pPr>
    </w:p>
    <w:p w:rsidR="00D83625" w:rsidRPr="00636ACB" w:rsidRDefault="00D83625" w:rsidP="00636ACB">
      <w:pPr>
        <w:pStyle w:val="Text"/>
        <w:rPr>
          <w:highlight w:val="yellow"/>
        </w:rPr>
      </w:pPr>
      <w:r w:rsidRPr="00636ACB">
        <w:rPr>
          <w:highlight w:val="yellow"/>
        </w:rPr>
        <w:t xml:space="preserve">We set </w:t>
      </w:r>
      <w:r w:rsidR="00636ACB" w:rsidRPr="00636ACB">
        <w:rPr>
          <w:highlight w:val="yellow"/>
        </w:rPr>
        <w:t>the three</w:t>
      </w:r>
      <w:r w:rsidRPr="00636ACB">
        <w:rPr>
          <w:highlight w:val="yellow"/>
        </w:rPr>
        <w:t xml:space="preserve"> values of Number of Precincts to be 20 precincts, 30 precincts, and 50 precincts. </w:t>
      </w:r>
    </w:p>
    <w:p w:rsidR="00D83625" w:rsidRDefault="00D83625" w:rsidP="00D83625">
      <w:pPr>
        <w:pStyle w:val="Text"/>
      </w:pPr>
      <w:r w:rsidRPr="00636ACB">
        <w:rPr>
          <w:highlight w:val="yellow"/>
        </w:rPr>
        <w:t>We set the two level of Ratio of the number of machines to the number of precincts to 2 and 3.6.</w:t>
      </w:r>
    </w:p>
    <w:p w:rsidR="00D83625" w:rsidRDefault="00D83625" w:rsidP="00D83625">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D83625" w:rsidRDefault="00D83625" w:rsidP="00D83625">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D83625" w:rsidRPr="00D83625" w:rsidRDefault="00D83625" w:rsidP="00D83625"/>
    <w:p w:rsidR="00D83625" w:rsidRDefault="00D83625" w:rsidP="00D83625"/>
    <w:p w:rsidR="00D83625" w:rsidRDefault="00D83625" w:rsidP="00D83625">
      <w:pPr>
        <w:pStyle w:val="Heading2"/>
      </w:pPr>
      <w:r>
        <w:t>Results</w:t>
      </w:r>
    </w:p>
    <w:p w:rsidR="00636ACB" w:rsidRDefault="00636ACB" w:rsidP="00636ACB">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636ACB" w:rsidRPr="009C049A" w:rsidRDefault="00636ACB" w:rsidP="00636ACB">
      <w:pPr>
        <w:pStyle w:val="Text"/>
        <w:rPr>
          <w:color w:val="FF0000"/>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 one replication. For example if we have 100 DRE Machines and 50 replications, the simulation will run for about 100*50 times in Phase 1 only which is a lot of time. So the RA outperforms the GIA in the speed of simulation.</w:t>
      </w:r>
    </w:p>
    <w:p w:rsidR="00636ACB" w:rsidRDefault="00636ACB" w:rsidP="00636ACB">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636ACB" w:rsidRDefault="00636ACB" w:rsidP="00636ACB">
      <w:pPr>
        <w:pStyle w:val="Text"/>
      </w:pPr>
      <w:r>
        <w:t>Figure 2 case which is not better.</w:t>
      </w:r>
    </w:p>
    <w:p w:rsidR="00D83625" w:rsidRPr="00D83625" w:rsidRDefault="00D83625" w:rsidP="00D83625"/>
    <w:p w:rsidR="00D56B51" w:rsidRPr="00D56B51" w:rsidRDefault="00D56B51" w:rsidP="00D56B51"/>
    <w:p w:rsidR="00EA4D9A" w:rsidRPr="007E017B" w:rsidRDefault="00EA4D9A" w:rsidP="007E017B">
      <w:pPr>
        <w:ind w:firstLine="202"/>
        <w:jc w:val="both"/>
      </w:pPr>
    </w:p>
    <w:p w:rsidR="00E97402" w:rsidRDefault="007E017B">
      <w:pPr>
        <w:pStyle w:val="Heading1"/>
      </w:pPr>
      <w:r>
        <w:t>Related Work</w:t>
      </w:r>
    </w:p>
    <w:p w:rsidR="009133BD" w:rsidRDefault="009133BD">
      <w:pPr>
        <w:pStyle w:val="Text"/>
      </w:pPr>
    </w:p>
    <w:p w:rsidR="00E97402" w:rsidRDefault="009133BD">
      <w:pPr>
        <w:pStyle w:val="Text"/>
      </w:pPr>
      <w:r w:rsidRPr="009133BD">
        <w:t xml:space="preserve">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w:t>
      </w:r>
      <w:r w:rsidRPr="009133BD">
        <w:lastRenderedPageBreak/>
        <w:t>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Bernshteyn (2006a) and Allen and Bernshteyn (2006b). Edelstein (2006) and Allen and Bernshteyn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Bernshteyn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Bernshteyn then suggest an optimization model that uses a minimax objective function to allocate voting machines. Specifically, they suggest allocating machines to minimize the maximum expected voter waiting time across all precincts. The minimax objective is designed to promote voter equity as we discuss above, but there are many other objectives that could be considered. Allen and Bernshteyn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250634" w:rsidRDefault="00E91F48" w:rsidP="002F13EE">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is compared to the GIA </w:t>
      </w:r>
      <w:r w:rsidRPr="001A0BC7">
        <w:lastRenderedPageBreak/>
        <w:t>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r w:rsidRPr="00305B96">
        <w:rPr>
          <w:sz w:val="16"/>
          <w:szCs w:val="16"/>
        </w:rPr>
        <w:lastRenderedPageBreak/>
        <w:t>Houdt, B. V., and C. Blondia.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2" w:history="1">
        <w:r w:rsidRPr="00AC6AAF">
          <w:rPr>
            <w:rStyle w:val="Hyperlink"/>
            <w:sz w:val="16"/>
            <w:szCs w:val="16"/>
          </w:rPr>
          <w:t>http://en.wikipedia.org/wiki/Confidence_interval</w:t>
        </w:r>
      </w:hyperlink>
      <w:r w:rsidRPr="00AC6AAF">
        <w:rPr>
          <w:sz w:val="16"/>
          <w:szCs w:val="16"/>
        </w:rPr>
        <w:t xml:space="preserve"> </w:t>
      </w:r>
    </w:p>
    <w:p w:rsidR="001C460F"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3" w:history="1">
        <w:r w:rsidRPr="007B6BF4">
          <w:rPr>
            <w:rStyle w:val="Hyperlink"/>
            <w:sz w:val="16"/>
            <w:szCs w:val="16"/>
          </w:rPr>
          <w:t>http://en.wikipedia.org/wiki/Egyptian_constitutional_referendum,_2011</w:t>
        </w:r>
      </w:hyperlink>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305B96">
      <w:headerReference w:type="default" r:id="rId14"/>
      <w:footerReference w:type="default" r:id="rId15"/>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40C" w:rsidRDefault="0037440C">
      <w:r>
        <w:separator/>
      </w:r>
    </w:p>
  </w:endnote>
  <w:endnote w:type="continuationSeparator" w:id="0">
    <w:p w:rsidR="0037440C" w:rsidRDefault="003744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BA6A03">
          <w:pPr>
            <w:pStyle w:val="Footer"/>
            <w:jc w:val="right"/>
            <w:rPr>
              <w:b/>
              <w:color w:val="4F81BD" w:themeColor="accent1"/>
              <w:sz w:val="32"/>
              <w:szCs w:val="32"/>
            </w:rPr>
          </w:pPr>
          <w:fldSimple w:instr=" PAGE   \* MERGEFORMAT ">
            <w:r w:rsidR="007A2CFB" w:rsidRPr="007A2CFB">
              <w:rPr>
                <w:b/>
                <w:noProof/>
                <w:color w:val="4F81BD" w:themeColor="accent1"/>
                <w:sz w:val="32"/>
                <w:szCs w:val="32"/>
              </w:rPr>
              <w:t>6</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40C" w:rsidRDefault="0037440C"/>
  </w:footnote>
  <w:footnote w:type="continuationSeparator" w:id="0">
    <w:p w:rsidR="0037440C" w:rsidRDefault="0037440C">
      <w:r>
        <w:continuationSeparator/>
      </w:r>
    </w:p>
  </w:footnote>
  <w:footnote w:id="1">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34CA"/>
    <w:rsid w:val="00055223"/>
    <w:rsid w:val="00072B64"/>
    <w:rsid w:val="00086100"/>
    <w:rsid w:val="000A42CA"/>
    <w:rsid w:val="000F52F6"/>
    <w:rsid w:val="00132532"/>
    <w:rsid w:val="001363E8"/>
    <w:rsid w:val="00144E72"/>
    <w:rsid w:val="00152525"/>
    <w:rsid w:val="00152D62"/>
    <w:rsid w:val="00166369"/>
    <w:rsid w:val="00191EFC"/>
    <w:rsid w:val="001978EA"/>
    <w:rsid w:val="001A0BC7"/>
    <w:rsid w:val="001C460F"/>
    <w:rsid w:val="001C4A2A"/>
    <w:rsid w:val="001C5108"/>
    <w:rsid w:val="001F68BF"/>
    <w:rsid w:val="00203AA5"/>
    <w:rsid w:val="0021023A"/>
    <w:rsid w:val="00210E48"/>
    <w:rsid w:val="002434A1"/>
    <w:rsid w:val="00250634"/>
    <w:rsid w:val="00296470"/>
    <w:rsid w:val="002B43F5"/>
    <w:rsid w:val="002B7AB1"/>
    <w:rsid w:val="002F13EE"/>
    <w:rsid w:val="002F2E2A"/>
    <w:rsid w:val="002F6E31"/>
    <w:rsid w:val="00301C99"/>
    <w:rsid w:val="00303DAB"/>
    <w:rsid w:val="00305B96"/>
    <w:rsid w:val="003165AA"/>
    <w:rsid w:val="00326C48"/>
    <w:rsid w:val="003422B3"/>
    <w:rsid w:val="00360269"/>
    <w:rsid w:val="00373501"/>
    <w:rsid w:val="0037440C"/>
    <w:rsid w:val="0038157D"/>
    <w:rsid w:val="003916D2"/>
    <w:rsid w:val="003B2DA3"/>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E7649"/>
    <w:rsid w:val="004F119E"/>
    <w:rsid w:val="00500E43"/>
    <w:rsid w:val="00504CF3"/>
    <w:rsid w:val="00514C72"/>
    <w:rsid w:val="0052750C"/>
    <w:rsid w:val="00542DF5"/>
    <w:rsid w:val="00554C61"/>
    <w:rsid w:val="00584C7C"/>
    <w:rsid w:val="005A2A15"/>
    <w:rsid w:val="005A2D83"/>
    <w:rsid w:val="005B21DE"/>
    <w:rsid w:val="00603B29"/>
    <w:rsid w:val="00625E96"/>
    <w:rsid w:val="00636ACB"/>
    <w:rsid w:val="00654BF9"/>
    <w:rsid w:val="00667358"/>
    <w:rsid w:val="006B10EF"/>
    <w:rsid w:val="006B6E68"/>
    <w:rsid w:val="006F347B"/>
    <w:rsid w:val="0070309C"/>
    <w:rsid w:val="00707A3D"/>
    <w:rsid w:val="0072359B"/>
    <w:rsid w:val="007272B3"/>
    <w:rsid w:val="0075110C"/>
    <w:rsid w:val="00765E7A"/>
    <w:rsid w:val="0078769F"/>
    <w:rsid w:val="007A2CFB"/>
    <w:rsid w:val="007C4336"/>
    <w:rsid w:val="007C46B6"/>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C7299"/>
    <w:rsid w:val="009D1691"/>
    <w:rsid w:val="009D1779"/>
    <w:rsid w:val="00A10EFA"/>
    <w:rsid w:val="00A222A3"/>
    <w:rsid w:val="00A24283"/>
    <w:rsid w:val="00A27347"/>
    <w:rsid w:val="00A40B0F"/>
    <w:rsid w:val="00A5319A"/>
    <w:rsid w:val="00A77955"/>
    <w:rsid w:val="00AC6AAF"/>
    <w:rsid w:val="00AD4D65"/>
    <w:rsid w:val="00AD663A"/>
    <w:rsid w:val="00AE7410"/>
    <w:rsid w:val="00B13D77"/>
    <w:rsid w:val="00B16B52"/>
    <w:rsid w:val="00B32860"/>
    <w:rsid w:val="00B37DD6"/>
    <w:rsid w:val="00B4729A"/>
    <w:rsid w:val="00B53386"/>
    <w:rsid w:val="00B55088"/>
    <w:rsid w:val="00B81474"/>
    <w:rsid w:val="00B8649F"/>
    <w:rsid w:val="00BA6A03"/>
    <w:rsid w:val="00BC663D"/>
    <w:rsid w:val="00BD5048"/>
    <w:rsid w:val="00BD5788"/>
    <w:rsid w:val="00BE24BE"/>
    <w:rsid w:val="00BE2C8B"/>
    <w:rsid w:val="00C35FD2"/>
    <w:rsid w:val="00C94235"/>
    <w:rsid w:val="00CB4B8D"/>
    <w:rsid w:val="00CD0B6E"/>
    <w:rsid w:val="00CD59EF"/>
    <w:rsid w:val="00CF0AF0"/>
    <w:rsid w:val="00D0320C"/>
    <w:rsid w:val="00D44AA0"/>
    <w:rsid w:val="00D56935"/>
    <w:rsid w:val="00D56B51"/>
    <w:rsid w:val="00D64B3C"/>
    <w:rsid w:val="00D758C6"/>
    <w:rsid w:val="00D83625"/>
    <w:rsid w:val="00D84095"/>
    <w:rsid w:val="00D87509"/>
    <w:rsid w:val="00D91043"/>
    <w:rsid w:val="00DA58C5"/>
    <w:rsid w:val="00DB4B7E"/>
    <w:rsid w:val="00DB5DBE"/>
    <w:rsid w:val="00DF2DDE"/>
    <w:rsid w:val="00E00231"/>
    <w:rsid w:val="00E326E1"/>
    <w:rsid w:val="00E34006"/>
    <w:rsid w:val="00E443FD"/>
    <w:rsid w:val="00E44E2D"/>
    <w:rsid w:val="00E50DF6"/>
    <w:rsid w:val="00E8788C"/>
    <w:rsid w:val="00E91F48"/>
    <w:rsid w:val="00E92780"/>
    <w:rsid w:val="00E97402"/>
    <w:rsid w:val="00EA459F"/>
    <w:rsid w:val="00EA4D9A"/>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 w:id="19309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hyperlink" Target="http://en.wikipedia.org/wiki/Egyptian_constitutional_referendum,_2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nfidence_interv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DDD7E-5F2E-438E-A115-12709306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19</cp:revision>
  <cp:lastPrinted>2007-05-08T06:48:00Z</cp:lastPrinted>
  <dcterms:created xsi:type="dcterms:W3CDTF">2011-05-28T08:33:00Z</dcterms:created>
  <dcterms:modified xsi:type="dcterms:W3CDTF">2011-05-29T20:56:00Z</dcterms:modified>
</cp:coreProperties>
</file>