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r>
        <w:t>H</w:t>
      </w:r>
      <w:r w:rsidR="00305B96">
        <w:t>e</w:t>
      </w:r>
      <w:r>
        <w:t>sham Naiem</w:t>
      </w:r>
      <w:r w:rsidR="00E97402">
        <w:t xml:space="preserve">, and </w:t>
      </w:r>
      <w:r>
        <w:t>Mostafa Izz</w:t>
      </w:r>
      <w:r w:rsidR="00E97402">
        <w:t xml:space="preserve">, </w:t>
      </w:r>
    </w:p>
    <w:p w:rsidR="0082494D" w:rsidRDefault="0082494D" w:rsidP="00305B96">
      <w:pPr>
        <w:pStyle w:val="Authors"/>
        <w:framePr w:wrap="notBeside"/>
        <w:spacing w:after="0"/>
        <w:rPr>
          <w:rStyle w:val="MemberType"/>
        </w:rPr>
      </w:pPr>
      <w:r>
        <w:rPr>
          <w:rStyle w:val="MemberType"/>
        </w:rPr>
        <w:t xml:space="preserve">(em_cmp_eng </w:t>
      </w:r>
      <w:r w:rsidR="00E97402">
        <w:rPr>
          <w:rStyle w:val="MemberType"/>
        </w:rPr>
        <w:t>,</w:t>
      </w:r>
      <w:r>
        <w:rPr>
          <w:rStyle w:val="MemberType"/>
        </w:rPr>
        <w:t xml:space="preserve"> </w:t>
      </w:r>
      <w:r w:rsidR="00305B96">
        <w:rPr>
          <w:rStyle w:val="MemberType"/>
        </w:rPr>
        <w:t>he</w:t>
      </w:r>
      <w:r>
        <w:rPr>
          <w:rStyle w:val="MemberType"/>
        </w:rPr>
        <w:t>sham.naiem)@yahoo.com),mostafa.3ez@gmail.com,</w:t>
      </w:r>
    </w:p>
    <w:p w:rsidR="00E97402" w:rsidRDefault="0082494D" w:rsidP="0082494D">
      <w:pPr>
        <w:pStyle w:val="Authors"/>
        <w:framePr w:wrap="notBeside"/>
        <w:spacing w:after="0"/>
      </w:pPr>
      <w:r>
        <w:rPr>
          <w:rStyle w:val="MemberType"/>
        </w:rPr>
        <w:t>Faculty of Engineering, Cairo University</w:t>
      </w:r>
    </w:p>
    <w:p w:rsidR="00E97402" w:rsidRDefault="00E97402" w:rsidP="008A5993">
      <w:pPr>
        <w:pStyle w:val="Abstract"/>
      </w:pPr>
      <w:r>
        <w:rPr>
          <w:i/>
          <w:iCs/>
        </w:rPr>
        <w:t>Abstract</w:t>
      </w:r>
      <w:r>
        <w:t>—</w:t>
      </w:r>
      <w:r w:rsidR="0082494D">
        <w:t xml:space="preserve"> </w:t>
      </w:r>
      <w:r w:rsidR="008A5993" w:rsidRPr="008A5993">
        <w:t>Providing high turnout rate in elections is a desirable goal to reach democracy. In this paper we are extending some literature studies that were trying to provide equity between voters across all precincts which will result in reducing maximum waiting time between voters. In this paper we are extending the simulation model used in literature to study voting queues and in the same time we are comparing the results of the state of the art technique in distributing voting machines across precincts (namely GIA which is simulation based greedy algorithm) with our simple algorithm (RA which is Random Algorithm based on some heuristics for improvements) on a data conducted from 2004 US presidential election in one county.</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 election boards are limited in their ability to procure additional equipment.</w:t>
      </w:r>
    </w:p>
    <w:p w:rsidR="00E91F48" w:rsidRDefault="009133BD" w:rsidP="00E91F48">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queueing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Section 3 introduces a performance metric for voter equity and discusses several analysis options for this problem. Section 4 describes the setup of the simulation model and </w:t>
      </w:r>
      <w:r w:rsidRPr="009133BD">
        <w:lastRenderedPageBreak/>
        <w:t>the greedy improvement algorithm (GIA) implemented on the model. Section 5 systematically studies the performance of the simulation-based GIA through an experimental design. Section 6 presents conclusions and future work.</w:t>
      </w:r>
    </w:p>
    <w:p w:rsidR="007E017B" w:rsidRDefault="007E017B">
      <w:pPr>
        <w:pStyle w:val="Heading1"/>
      </w:pPr>
      <w:r>
        <w:t>Motivation</w:t>
      </w:r>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r>
        <w:t>Problem Definition</w:t>
      </w:r>
    </w:p>
    <w:p w:rsidR="007E017B" w:rsidRDefault="00BD5788" w:rsidP="00BD5788">
      <w:pPr>
        <w:ind w:firstLine="202"/>
        <w:jc w:val="both"/>
      </w:pPr>
      <w:r>
        <w:t xml:space="preserve">Election administration is a service to the voting public. And the waiting queues are a non-value-added activities, besides the long queues affect negatively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296470">
        <w:fldChar w:fldCharType="begin"/>
      </w:r>
      <w:r>
        <w:instrText xml:space="preserve"> REF _Ref294469133 \r \h </w:instrText>
      </w:r>
      <w:r w:rsidR="00296470">
        <w:fldChar w:fldCharType="separate"/>
      </w:r>
      <w:r>
        <w:t>[4]</w:t>
      </w:r>
      <w:r w:rsidR="00296470">
        <w:fldChar w:fldCharType="end"/>
      </w:r>
      <w:r>
        <w:t xml:space="preserve"> – namely GIA - outperforms UEM (Utilization Equalization Method) which have been used in US 2004 presidential election in many counties. In this paper we are extending the simulation model used in </w:t>
      </w:r>
      <w:r w:rsidR="00296470">
        <w:fldChar w:fldCharType="begin"/>
      </w:r>
      <w:r>
        <w:instrText xml:space="preserve"> REF _Ref294469133 \r \h </w:instrText>
      </w:r>
      <w:r w:rsidR="00296470">
        <w:fldChar w:fldCharType="separate"/>
      </w:r>
      <w:r>
        <w:rPr>
          <w:cs/>
        </w:rPr>
        <w:t>‎</w:t>
      </w:r>
      <w:r>
        <w:t>[4]</w:t>
      </w:r>
      <w:r w:rsidR="00296470">
        <w:fldChar w:fldCharType="end"/>
      </w:r>
      <w:r>
        <w:t xml:space="preserve"> and comparing the results of our algorithm RA with the algorithm described in </w:t>
      </w:r>
      <w:r w:rsidR="00296470">
        <w:fldChar w:fldCharType="begin"/>
      </w:r>
      <w:r>
        <w:instrText xml:space="preserve"> REF _Ref294469133 \r \h </w:instrText>
      </w:r>
      <w:r w:rsidR="00296470">
        <w:fldChar w:fldCharType="separate"/>
      </w:r>
      <w:r>
        <w:rPr>
          <w:cs/>
        </w:rPr>
        <w:t>‎</w:t>
      </w:r>
      <w:r>
        <w:t>[4]</w:t>
      </w:r>
      <w:r w:rsidR="00296470">
        <w:fldChar w:fldCharType="end"/>
      </w:r>
      <w:r>
        <w:t xml:space="preserve"> GIA.</w:t>
      </w:r>
    </w:p>
    <w:p w:rsidR="00EA4D9A" w:rsidRDefault="00EA4D9A" w:rsidP="007E017B">
      <w:pPr>
        <w:ind w:firstLine="202"/>
        <w:jc w:val="both"/>
      </w:pPr>
    </w:p>
    <w:p w:rsidR="00D83625" w:rsidRDefault="00EA4D9A" w:rsidP="00D83625">
      <w:pPr>
        <w:pStyle w:val="Heading1"/>
      </w:pPr>
      <w:r>
        <w:t>Suggested Solution</w:t>
      </w:r>
    </w:p>
    <w:p w:rsidR="00D83625" w:rsidRDefault="00D83625" w:rsidP="00D83625">
      <w:pPr>
        <w:pStyle w:val="Heading2"/>
      </w:pPr>
      <w:r>
        <w:t>Description of Basic Polls Queuing Model</w:t>
      </w:r>
    </w:p>
    <w:p w:rsidR="00D83625" w:rsidRDefault="00D83625" w:rsidP="00D83625">
      <w:pPr>
        <w:pStyle w:val="Heading3"/>
      </w:pPr>
      <w:r>
        <w:t>Model Logic</w:t>
      </w:r>
    </w:p>
    <w:p w:rsidR="00D83625" w:rsidRDefault="00D83625" w:rsidP="00D83625">
      <w:pPr>
        <w:ind w:firstLine="202"/>
        <w:jc w:val="both"/>
      </w:pPr>
      <w:r w:rsidRPr="00250634">
        <w:t>Our simulation model provides the expected waiting time in each precinct for a given number of assigned voting machines. The numbers of DRE voting machines assigned to each precinct are our decision variables.</w:t>
      </w:r>
    </w:p>
    <w:p w:rsidR="00D83625" w:rsidRPr="00250634" w:rsidRDefault="00D83625" w:rsidP="00D83625">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D83625" w:rsidRDefault="00D83625" w:rsidP="00D83625">
      <w:pPr>
        <w:pStyle w:val="Text"/>
      </w:pPr>
    </w:p>
    <w:p w:rsidR="00D83625" w:rsidRDefault="00D83625" w:rsidP="00D83625">
      <w:pPr>
        <w:pStyle w:val="Heading3"/>
      </w:pPr>
      <w:r>
        <w:t>Input Distribution Assumptions and Data Sources</w:t>
      </w:r>
    </w:p>
    <w:p w:rsidR="00636ACB" w:rsidRDefault="00D83625" w:rsidP="00D83625">
      <w:pPr>
        <w:ind w:firstLine="202"/>
        <w:jc w:val="both"/>
      </w:pPr>
      <w:r w:rsidRPr="00250634">
        <w:t xml:space="preserve">We use a data set based on statistics from the 2004 election in Franklin County, Ohio (available at &lt;http://copperas.com/fcelection/&gt;). Specifically, we fit a normal distribution with mean 1070 and standard deviation 319 to the number of registered voters in each precinct in the 2004 election. For a given number N of precincts (N will be set as a factor in our experimental design below), we </w:t>
      </w:r>
      <w:r w:rsidRPr="00250634">
        <w:lastRenderedPageBreak/>
        <w:t xml:space="preserve">generate the number of eligible voters for each precinct independently from this fitted normal distribution. </w:t>
      </w:r>
    </w:p>
    <w:p w:rsidR="00636ACB" w:rsidRPr="00636ACB" w:rsidRDefault="00636ACB" w:rsidP="00636ACB">
      <w:pPr>
        <w:pStyle w:val="Text"/>
        <w:rPr>
          <w:color w:val="FF0000"/>
        </w:rPr>
      </w:pPr>
      <w:r w:rsidRPr="00636ACB">
        <w:rPr>
          <w:color w:val="FF0000"/>
        </w:rPr>
        <w:t>To get the voter turnout rate we used the data based on statistics from the 2004 election in Franklin County, Ohio.</w:t>
      </w:r>
    </w:p>
    <w:p w:rsidR="00636ACB" w:rsidRPr="00636ACB" w:rsidRDefault="00636ACB" w:rsidP="00636ACB">
      <w:pPr>
        <w:pStyle w:val="Text"/>
        <w:rPr>
          <w:color w:val="FF0000"/>
        </w:rPr>
      </w:pPr>
      <w:r w:rsidRPr="00636ACB">
        <w:rPr>
          <w:color w:val="FF0000"/>
        </w:rPr>
        <w:t xml:space="preserve"> We fit a Weibull distribution with Shape Parameter α=6.9514 and Scale Parameter β=60.884 to turnout percentage in each precinct in the 2004 election.</w:t>
      </w:r>
    </w:p>
    <w:p w:rsidR="00636ACB" w:rsidRDefault="00636ACB" w:rsidP="00636ACB">
      <w:pPr>
        <w:pStyle w:val="Text"/>
      </w:pPr>
      <w:r w:rsidRPr="00636ACB">
        <w:rPr>
          <w:color w:val="FF0000"/>
        </w:rPr>
        <w:t>We assume that the voting service time in every precinct follows a gamma distribution with shape parameter of 5.71. One level for this factor is set using data from the 2006 Ohio gubernatorial election by setting the gamma distribution scale parameter to 1.05. Allen and Bernshteyn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D83625" w:rsidRDefault="00D83625" w:rsidP="00D83625">
      <w:pPr>
        <w:ind w:firstLine="202"/>
        <w:jc w:val="both"/>
      </w:pPr>
      <w:r w:rsidRPr="00250634">
        <w:t>The turnout rate is applied to this, and then the non-stationary arrival pattern is used to distribute these voters’ appearance at the polling station, as described below. We assume that each precinct has the same voter turnout rate.</w:t>
      </w:r>
    </w:p>
    <w:p w:rsidR="00D83625" w:rsidRDefault="00D83625" w:rsidP="00D83625">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D83625" w:rsidRDefault="00D83625" w:rsidP="00D83625">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D83625" w:rsidRDefault="00D83625" w:rsidP="00D83625">
      <w:pPr>
        <w:ind w:firstLine="202"/>
        <w:jc w:val="both"/>
      </w:pPr>
    </w:p>
    <w:p w:rsidR="00D83625" w:rsidRPr="0081542F" w:rsidRDefault="00D83625" w:rsidP="00D83625">
      <w:pPr>
        <w:pStyle w:val="Caption"/>
        <w:keepNext/>
        <w:jc w:val="center"/>
        <w:rPr>
          <w:b w:val="0"/>
          <w:bCs w:val="0"/>
          <w:color w:val="auto"/>
        </w:rPr>
      </w:pPr>
      <w:r w:rsidRPr="0081542F">
        <w:rPr>
          <w:b w:val="0"/>
          <w:bCs w:val="0"/>
          <w:color w:val="auto"/>
        </w:rPr>
        <w:t xml:space="preserve">Table </w:t>
      </w:r>
      <w:r w:rsidR="00296470" w:rsidRPr="0081542F">
        <w:rPr>
          <w:b w:val="0"/>
          <w:bCs w:val="0"/>
          <w:color w:val="auto"/>
        </w:rPr>
        <w:fldChar w:fldCharType="begin"/>
      </w:r>
      <w:r w:rsidRPr="0081542F">
        <w:rPr>
          <w:b w:val="0"/>
          <w:bCs w:val="0"/>
          <w:color w:val="auto"/>
        </w:rPr>
        <w:instrText xml:space="preserve"> SEQ Table \* ARABIC </w:instrText>
      </w:r>
      <w:r w:rsidR="00296470" w:rsidRPr="0081542F">
        <w:rPr>
          <w:b w:val="0"/>
          <w:bCs w:val="0"/>
          <w:color w:val="auto"/>
        </w:rPr>
        <w:fldChar w:fldCharType="separate"/>
      </w:r>
      <w:r>
        <w:rPr>
          <w:b w:val="0"/>
          <w:bCs w:val="0"/>
          <w:noProof/>
          <w:color w:val="auto"/>
        </w:rPr>
        <w:t>1</w:t>
      </w:r>
      <w:r w:rsidR="00296470"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4A3F86">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4A3F86">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4A3F86">
            <w:pPr>
              <w:jc w:val="center"/>
              <w:cnfStyle w:val="100000000000"/>
              <w:rPr>
                <w:b w:val="0"/>
                <w:bCs w:val="0"/>
              </w:rPr>
            </w:pPr>
            <w:r w:rsidRPr="00A5319A">
              <w:rPr>
                <w:b w:val="0"/>
                <w:bCs w:val="0"/>
              </w:rPr>
              <w:t>Percentage of Turnout Voters</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20.61</w:t>
            </w:r>
          </w:p>
        </w:tc>
      </w:tr>
      <w:tr w:rsidR="00D83625" w:rsidRPr="00A5319A" w:rsidTr="004A3F86">
        <w:trPr>
          <w:jc w:val="center"/>
        </w:trPr>
        <w:tc>
          <w:tcPr>
            <w:cnfStyle w:val="001000000000"/>
            <w:tcW w:w="1594" w:type="dxa"/>
          </w:tcPr>
          <w:p w:rsidR="00D83625" w:rsidRPr="00A5319A" w:rsidRDefault="00D83625" w:rsidP="004A3F86">
            <w:pPr>
              <w:jc w:val="center"/>
              <w:rPr>
                <w:b w:val="0"/>
                <w:bCs w:val="0"/>
              </w:rPr>
            </w:pPr>
            <w:r>
              <w:rPr>
                <w:b w:val="0"/>
                <w:bCs w:val="0"/>
              </w:rPr>
              <w:t>8 a.m. – 11 a.m.</w:t>
            </w:r>
          </w:p>
        </w:tc>
        <w:tc>
          <w:tcPr>
            <w:tcW w:w="2866" w:type="dxa"/>
          </w:tcPr>
          <w:p w:rsidR="00D83625" w:rsidRPr="00A5319A" w:rsidRDefault="00D83625" w:rsidP="004A3F86">
            <w:pPr>
              <w:jc w:val="center"/>
              <w:cnfStyle w:val="000000000000"/>
            </w:pPr>
            <w:r>
              <w:t>27.34</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24.05</w:t>
            </w:r>
          </w:p>
        </w:tc>
      </w:tr>
      <w:tr w:rsidR="00D83625" w:rsidRPr="00A5319A" w:rsidTr="004A3F86">
        <w:trPr>
          <w:jc w:val="center"/>
        </w:trPr>
        <w:tc>
          <w:tcPr>
            <w:cnfStyle w:val="001000000000"/>
            <w:tcW w:w="1594" w:type="dxa"/>
          </w:tcPr>
          <w:p w:rsidR="00D83625" w:rsidRPr="00A5319A" w:rsidRDefault="00D83625" w:rsidP="004A3F86">
            <w:pPr>
              <w:jc w:val="center"/>
              <w:rPr>
                <w:b w:val="0"/>
                <w:bCs w:val="0"/>
              </w:rPr>
            </w:pPr>
            <w:r>
              <w:rPr>
                <w:b w:val="0"/>
                <w:bCs w:val="0"/>
              </w:rPr>
              <w:t>3 p.m. – 5 p.m.</w:t>
            </w:r>
          </w:p>
        </w:tc>
        <w:tc>
          <w:tcPr>
            <w:tcW w:w="2866" w:type="dxa"/>
          </w:tcPr>
          <w:p w:rsidR="00D83625" w:rsidRPr="00A5319A" w:rsidRDefault="00D83625" w:rsidP="004A3F86">
            <w:pPr>
              <w:jc w:val="center"/>
              <w:cnfStyle w:val="000000000000"/>
            </w:pPr>
            <w:r>
              <w:t>13.26</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Pr>
                <w:b w:val="0"/>
                <w:bCs w:val="0"/>
              </w:rPr>
              <w:t>After 5 p.m.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13.87</w:t>
            </w:r>
          </w:p>
        </w:tc>
      </w:tr>
    </w:tbl>
    <w:p w:rsidR="00D83625" w:rsidRPr="00250634" w:rsidRDefault="00D83625" w:rsidP="00D83625">
      <w:pPr>
        <w:ind w:firstLine="202"/>
        <w:jc w:val="both"/>
      </w:pPr>
    </w:p>
    <w:p w:rsidR="00D83625" w:rsidRDefault="00D83625" w:rsidP="00D83625">
      <w:pPr>
        <w:pStyle w:val="Text"/>
      </w:pPr>
      <w:r w:rsidRPr="0081542F">
        <w:t xml:space="preserve">Ohio law states that voters are allowed up to five minutes </w:t>
      </w:r>
      <w:r w:rsidRPr="0081542F">
        <w:lastRenderedPageBreak/>
        <w:t>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D83625" w:rsidRDefault="00D83625" w:rsidP="00D83625">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D83625" w:rsidRDefault="00D83625" w:rsidP="00D83625">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D83625" w:rsidRDefault="00D83625" w:rsidP="00D83625">
      <w:pPr>
        <w:pStyle w:val="Text"/>
      </w:pPr>
    </w:p>
    <w:p w:rsidR="00D83625" w:rsidRDefault="00D83625" w:rsidP="00D83625">
      <w:pPr>
        <w:pStyle w:val="Heading2"/>
      </w:pPr>
      <w:r>
        <w:t>The Greedy Improvement Algorithm</w:t>
      </w:r>
    </w:p>
    <w:p w:rsidR="00D83625" w:rsidRDefault="00D83625" w:rsidP="00D83625">
      <w:pPr>
        <w:pStyle w:val="Heading3"/>
      </w:pPr>
      <w:r>
        <w:t>Algorithm Description</w:t>
      </w:r>
    </w:p>
    <w:p w:rsidR="00D83625" w:rsidRPr="0081542F" w:rsidRDefault="00D83625" w:rsidP="00D83625">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D83625" w:rsidRDefault="00D83625" w:rsidP="00D83625">
      <w:pPr>
        <w:pStyle w:val="Heading3"/>
      </w:pPr>
      <w:r>
        <w:t>Implementation</w:t>
      </w:r>
    </w:p>
    <w:p w:rsidR="00D83625" w:rsidRDefault="00D83625" w:rsidP="00D83625">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EA4D9A" w:rsidRDefault="00D83625" w:rsidP="00D83625">
      <w:r>
        <w:t>We preferred to use a general purpose programming language to implement the simulation model (namely C# .Net) with the help of open source .Net simulation library called</w:t>
      </w:r>
    </w:p>
    <w:p w:rsidR="00636ACB" w:rsidRPr="00636ACB" w:rsidRDefault="00636ACB" w:rsidP="00636ACB"/>
    <w:p w:rsidR="00636ACB" w:rsidRDefault="00636ACB" w:rsidP="00D83625"/>
    <w:p w:rsidR="00EA4D9A" w:rsidRDefault="00EA4D9A" w:rsidP="00EA4D9A"/>
    <w:p w:rsidR="00EA4D9A" w:rsidRDefault="00EA4D9A" w:rsidP="00EA4D9A">
      <w:pPr>
        <w:pStyle w:val="Heading1"/>
      </w:pPr>
      <w:r>
        <w:t>[Example]</w:t>
      </w:r>
    </w:p>
    <w:p w:rsidR="00EA4D9A" w:rsidRPr="00EA4D9A" w:rsidRDefault="00EA4D9A" w:rsidP="00EA4D9A"/>
    <w:p w:rsidR="00EA4D9A" w:rsidRDefault="00EA4D9A" w:rsidP="00EA4D9A"/>
    <w:p w:rsidR="00EA4D9A" w:rsidRDefault="00EA4D9A" w:rsidP="00EA4D9A">
      <w:pPr>
        <w:pStyle w:val="Heading1"/>
      </w:pPr>
      <w:r w:rsidRPr="00EA4D9A">
        <w:t>Performance Measurement and Analysis</w:t>
      </w:r>
    </w:p>
    <w:p w:rsidR="00B32860" w:rsidRDefault="00B32860" w:rsidP="00B32860">
      <w:pPr>
        <w:pStyle w:val="Heading2"/>
      </w:pPr>
      <w:r>
        <w:t xml:space="preserve">Performance Metric </w:t>
      </w:r>
    </w:p>
    <w:p w:rsidR="00B32860" w:rsidRDefault="00E8788C" w:rsidP="00B32860">
      <w:pPr>
        <w:pStyle w:val="Text"/>
      </w:pPr>
      <w:r>
        <w:t xml:space="preserve">Some performance metric used in simulating elections is minimizing the total expected waiting time across all precincts, but it leads to long voter waiting times in some precincts and short voter waiting time in other precincts. This is not preferred since we need to make all voters are </w:t>
      </w:r>
      <w:r>
        <w:lastRenderedPageBreak/>
        <w:t>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r w:rsidRPr="00A24283">
        <w:rPr>
          <w:i/>
          <w:iCs/>
        </w:rPr>
        <w:t>i</w:t>
      </w:r>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r w:rsidRPr="00A24283">
        <w:rPr>
          <w:i/>
          <w:iCs/>
        </w:rPr>
        <w:t>i</w:t>
      </w:r>
      <w:r w:rsidRPr="0021023A">
        <w:t>.</w:t>
      </w:r>
    </w:p>
    <w:p w:rsidR="00D56B51" w:rsidRDefault="00D56B51" w:rsidP="00D56B51">
      <w:pPr>
        <w:pStyle w:val="Text"/>
      </w:pPr>
      <w:r>
        <w:t>To find the allocation that provides the best equity we need to solve the following optimization problem:</w:t>
      </w:r>
    </w:p>
    <w:p w:rsidR="00D56B51" w:rsidRDefault="00296470"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AC6AAF">
      <w:pPr>
        <w:pStyle w:val="Text"/>
      </w:pPr>
      <w:r w:rsidRPr="00D56B51">
        <w:t>A confidence interval (CI) is: “a particular kind of interval estimate of a population parameter and is used to indicate the reliability of an estimate.</w:t>
      </w:r>
      <w:r w:rsidR="000534CA">
        <w:t>”</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oMath>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296470"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296470" w:rsidRPr="00B37DD6">
        <w:rPr>
          <w:b w:val="0"/>
          <w:bCs w:val="0"/>
          <w:color w:val="auto"/>
        </w:rPr>
        <w:fldChar w:fldCharType="begin"/>
      </w:r>
      <w:r w:rsidRPr="00B37DD6">
        <w:rPr>
          <w:b w:val="0"/>
          <w:bCs w:val="0"/>
          <w:color w:val="auto"/>
        </w:rPr>
        <w:instrText xml:space="preserve"> SEQ Table \* ARABIC </w:instrText>
      </w:r>
      <w:r w:rsidR="00296470" w:rsidRPr="00B37DD6">
        <w:rPr>
          <w:b w:val="0"/>
          <w:bCs w:val="0"/>
          <w:color w:val="auto"/>
        </w:rPr>
        <w:fldChar w:fldCharType="separate"/>
      </w:r>
      <w:r w:rsidRPr="00B37DD6">
        <w:rPr>
          <w:b w:val="0"/>
          <w:bCs w:val="0"/>
          <w:noProof/>
          <w:color w:val="auto"/>
        </w:rPr>
        <w:t>2</w:t>
      </w:r>
      <w:r w:rsidR="00296470"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4A3F86">
        <w:trPr>
          <w:cnfStyle w:val="100000000000"/>
          <w:jc w:val="center"/>
        </w:trPr>
        <w:tc>
          <w:tcPr>
            <w:cnfStyle w:val="001000000000"/>
            <w:tcW w:w="2448" w:type="dxa"/>
          </w:tcPr>
          <w:p w:rsidR="00D83625" w:rsidRPr="009C049A" w:rsidRDefault="00D83625" w:rsidP="004A3F86">
            <w:pPr>
              <w:pStyle w:val="Text"/>
              <w:ind w:firstLine="0"/>
              <w:jc w:val="center"/>
            </w:pPr>
            <w:r w:rsidRPr="009C049A">
              <w:t>Factors</w:t>
            </w:r>
          </w:p>
        </w:tc>
        <w:tc>
          <w:tcPr>
            <w:tcW w:w="1288" w:type="dxa"/>
          </w:tcPr>
          <w:p w:rsidR="00D83625" w:rsidRPr="009C049A" w:rsidRDefault="00D83625" w:rsidP="004A3F86">
            <w:pPr>
              <w:pStyle w:val="Text"/>
              <w:ind w:firstLine="0"/>
              <w:jc w:val="center"/>
              <w:cnfStyle w:val="100000000000"/>
            </w:pPr>
            <w:r w:rsidRPr="009C049A">
              <w:t>Possible Values</w:t>
            </w:r>
          </w:p>
        </w:tc>
      </w:tr>
      <w:tr w:rsidR="00D83625" w:rsidTr="004A3F86">
        <w:trPr>
          <w:cnfStyle w:val="000000100000"/>
          <w:jc w:val="center"/>
        </w:trPr>
        <w:tc>
          <w:tcPr>
            <w:cnfStyle w:val="001000000000"/>
            <w:tcW w:w="2448" w:type="dxa"/>
          </w:tcPr>
          <w:p w:rsidR="00D83625" w:rsidRDefault="00D83625" w:rsidP="004A3F86">
            <w:pPr>
              <w:pStyle w:val="Text"/>
              <w:ind w:firstLine="0"/>
              <w:jc w:val="center"/>
            </w:pPr>
            <w:r>
              <w:t>Number of Precincts</w:t>
            </w:r>
          </w:p>
        </w:tc>
        <w:tc>
          <w:tcPr>
            <w:tcW w:w="1288" w:type="dxa"/>
          </w:tcPr>
          <w:p w:rsidR="00D83625" w:rsidRDefault="00D83625" w:rsidP="004A3F86">
            <w:pPr>
              <w:pStyle w:val="Text"/>
              <w:ind w:firstLine="0"/>
              <w:jc w:val="center"/>
              <w:cnfStyle w:val="000000100000"/>
            </w:pPr>
            <w:r>
              <w:t>20 – 30 - 50 Precincts</w:t>
            </w:r>
          </w:p>
        </w:tc>
      </w:tr>
      <w:tr w:rsidR="00D83625" w:rsidTr="004A3F86">
        <w:trPr>
          <w:jc w:val="center"/>
        </w:trPr>
        <w:tc>
          <w:tcPr>
            <w:cnfStyle w:val="001000000000"/>
            <w:tcW w:w="2448" w:type="dxa"/>
          </w:tcPr>
          <w:p w:rsidR="00D83625" w:rsidRDefault="00D83625" w:rsidP="004A3F86">
            <w:pPr>
              <w:pStyle w:val="Text"/>
              <w:ind w:firstLine="0"/>
              <w:jc w:val="center"/>
            </w:pPr>
            <w:r>
              <w:t>Voting Time</w:t>
            </w:r>
          </w:p>
          <w:p w:rsidR="00D83625" w:rsidRDefault="00D83625" w:rsidP="004A3F86">
            <w:pPr>
              <w:pStyle w:val="Text"/>
              <w:ind w:firstLine="0"/>
              <w:jc w:val="center"/>
            </w:pPr>
            <w:r>
              <w:t>(Scale Parameter of Gamma Distribution)</w:t>
            </w:r>
          </w:p>
        </w:tc>
        <w:tc>
          <w:tcPr>
            <w:tcW w:w="1288" w:type="dxa"/>
          </w:tcPr>
          <w:p w:rsidR="00D83625" w:rsidRDefault="00D83625" w:rsidP="004A3F86">
            <w:pPr>
              <w:pStyle w:val="Text"/>
              <w:ind w:firstLine="0"/>
              <w:jc w:val="center"/>
              <w:cnfStyle w:val="000000000000"/>
            </w:pPr>
          </w:p>
          <w:p w:rsidR="00D83625" w:rsidRDefault="00D83625" w:rsidP="004A3F86">
            <w:pPr>
              <w:pStyle w:val="Text"/>
              <w:ind w:firstLine="0"/>
              <w:jc w:val="center"/>
              <w:cnfStyle w:val="000000000000"/>
            </w:pPr>
            <w:r>
              <w:t>0.58 - 1.05</w:t>
            </w:r>
          </w:p>
        </w:tc>
      </w:tr>
      <w:tr w:rsidR="00D83625" w:rsidTr="004A3F86">
        <w:trPr>
          <w:cnfStyle w:val="000000100000"/>
          <w:jc w:val="center"/>
        </w:trPr>
        <w:tc>
          <w:tcPr>
            <w:cnfStyle w:val="001000000000"/>
            <w:tcW w:w="2448" w:type="dxa"/>
          </w:tcPr>
          <w:p w:rsidR="00D83625" w:rsidRDefault="00D83625" w:rsidP="004A3F86">
            <w:pPr>
              <w:pStyle w:val="Text"/>
              <w:ind w:firstLine="0"/>
              <w:jc w:val="center"/>
            </w:pPr>
            <w:r>
              <w:t>#Machines/#Precincts</w:t>
            </w:r>
          </w:p>
        </w:tc>
        <w:tc>
          <w:tcPr>
            <w:tcW w:w="1288" w:type="dxa"/>
          </w:tcPr>
          <w:p w:rsidR="00D83625" w:rsidRDefault="00D83625" w:rsidP="004A3F86">
            <w:pPr>
              <w:pStyle w:val="Text"/>
              <w:ind w:firstLine="0"/>
              <w:jc w:val="center"/>
              <w:cnfStyle w:val="000000100000"/>
            </w:pPr>
            <w:r>
              <w:t>2 - 3.6</w:t>
            </w:r>
          </w:p>
        </w:tc>
      </w:tr>
      <w:tr w:rsidR="00D83625" w:rsidTr="004A3F86">
        <w:trPr>
          <w:jc w:val="center"/>
        </w:trPr>
        <w:tc>
          <w:tcPr>
            <w:cnfStyle w:val="001000000000"/>
            <w:tcW w:w="2448" w:type="dxa"/>
          </w:tcPr>
          <w:p w:rsidR="00D83625" w:rsidRDefault="00D83625" w:rsidP="004A3F86">
            <w:pPr>
              <w:pStyle w:val="Text"/>
              <w:ind w:firstLine="0"/>
              <w:jc w:val="center"/>
            </w:pPr>
            <w:r>
              <w:lastRenderedPageBreak/>
              <w:t>Allocation Strategy</w:t>
            </w:r>
          </w:p>
        </w:tc>
        <w:tc>
          <w:tcPr>
            <w:tcW w:w="1288" w:type="dxa"/>
          </w:tcPr>
          <w:p w:rsidR="00D83625" w:rsidRDefault="00D83625" w:rsidP="004A3F86">
            <w:pPr>
              <w:pStyle w:val="Text"/>
              <w:ind w:firstLine="0"/>
              <w:jc w:val="center"/>
              <w:cnfStyle w:val="000000000000"/>
            </w:pPr>
            <w:r>
              <w:t>RA - GIA</w:t>
            </w:r>
          </w:p>
        </w:tc>
      </w:tr>
    </w:tbl>
    <w:p w:rsidR="00D83625" w:rsidRDefault="00D83625" w:rsidP="00D83625">
      <w:pPr>
        <w:pStyle w:val="Text"/>
      </w:pPr>
    </w:p>
    <w:p w:rsidR="00D83625" w:rsidRPr="00636ACB" w:rsidRDefault="00D83625" w:rsidP="00636ACB">
      <w:pPr>
        <w:pStyle w:val="Text"/>
        <w:rPr>
          <w:highlight w:val="yellow"/>
        </w:rPr>
      </w:pPr>
      <w:r w:rsidRPr="00636ACB">
        <w:rPr>
          <w:highlight w:val="yellow"/>
        </w:rPr>
        <w:t xml:space="preserve">We set </w:t>
      </w:r>
      <w:r w:rsidR="00636ACB" w:rsidRPr="00636ACB">
        <w:rPr>
          <w:highlight w:val="yellow"/>
        </w:rPr>
        <w:t>the three</w:t>
      </w:r>
      <w:r w:rsidRPr="00636ACB">
        <w:rPr>
          <w:highlight w:val="yellow"/>
        </w:rPr>
        <w:t xml:space="preserve"> values of Number of Precincts to be 20 precincts, 30 precincts, and 50 precincts. </w:t>
      </w:r>
    </w:p>
    <w:p w:rsidR="00D83625" w:rsidRDefault="00D83625" w:rsidP="00D83625">
      <w:pPr>
        <w:pStyle w:val="Text"/>
      </w:pPr>
      <w:r w:rsidRPr="00636ACB">
        <w:rPr>
          <w:highlight w:val="yellow"/>
        </w:rPr>
        <w:t>We set the two level of Ratio of the number of machines to the number of precincts to 2 and 3.6.</w:t>
      </w:r>
    </w:p>
    <w:p w:rsidR="00D83625" w:rsidRDefault="00D83625" w:rsidP="00D83625">
      <w:pPr>
        <w:pStyle w:val="Text"/>
      </w:pPr>
      <w:r w:rsidRPr="00B37DD6">
        <w:t xml:space="preserve">To obtain the allocations for each combination of </w:t>
      </w:r>
      <w:r>
        <w:t>design factors</w:t>
      </w:r>
      <w:r w:rsidRPr="00B37DD6">
        <w:t xml:space="preserve">, we run the </w:t>
      </w:r>
      <w:r>
        <w:t>RA and GIA using the React.Net Library</w:t>
      </w:r>
      <w:r w:rsidRPr="00B37DD6">
        <w:t xml:space="preserve">. We use 50 replications for each scenario so that the 95% confidence-interval half width will be less than 10% of the average waiting time in a precinct. </w:t>
      </w:r>
    </w:p>
    <w:p w:rsidR="00D83625" w:rsidRDefault="00D83625" w:rsidP="00D83625">
      <w:pPr>
        <w:pStyle w:val="Text"/>
      </w:pPr>
      <w:r w:rsidRPr="00B37DD6">
        <w:t xml:space="preserve">There are </w:t>
      </w:r>
      <w:r>
        <w:t>12</w:t>
      </w:r>
      <w:r w:rsidRPr="00B37DD6">
        <w:t xml:space="preserve"> design points in</w:t>
      </w:r>
      <w:r>
        <w:t xml:space="preserve"> total (see Table 3). We run 50</w:t>
      </w:r>
      <w:r w:rsidRPr="00B37DD6">
        <w:t xml:space="preserve"> repl</w:t>
      </w:r>
      <w:r>
        <w:t xml:space="preserve">ications for each design point. Different random number </w:t>
      </w:r>
      <w:r w:rsidRPr="00826CA4">
        <w:rPr>
          <w:color w:val="FF0000"/>
        </w:rPr>
        <w:t>streams</w:t>
      </w:r>
      <w:r w:rsidRPr="00B37DD6">
        <w:t xml:space="preserve"> are used for different design points to ensure that the design points are independent.</w:t>
      </w:r>
    </w:p>
    <w:p w:rsidR="003F5DB8" w:rsidRDefault="003F5DB8" w:rsidP="00D83625">
      <w:pPr>
        <w:pStyle w:val="Text"/>
      </w:pPr>
    </w:p>
    <w:p w:rsidR="003F5DB8" w:rsidRDefault="003F5DB8" w:rsidP="003F5DB8">
      <w:pPr>
        <w:pStyle w:val="Caption"/>
        <w:keepNext/>
        <w:jc w:val="center"/>
      </w:pPr>
      <w:r w:rsidRPr="00B37DD6">
        <w:rPr>
          <w:b w:val="0"/>
          <w:bCs w:val="0"/>
          <w:color w:val="auto"/>
        </w:rPr>
        <w:t xml:space="preserve">Table </w:t>
      </w:r>
      <w:r>
        <w:rPr>
          <w:b w:val="0"/>
          <w:bCs w:val="0"/>
          <w:color w:val="auto"/>
        </w:rPr>
        <w:t>3</w:t>
      </w:r>
      <w:r w:rsidRPr="00B37DD6">
        <w:rPr>
          <w:b w:val="0"/>
          <w:bCs w:val="0"/>
          <w:color w:val="auto"/>
        </w:rPr>
        <w:t xml:space="preserve">: </w:t>
      </w:r>
      <w:r>
        <w:rPr>
          <w:b w:val="0"/>
          <w:bCs w:val="0"/>
          <w:color w:val="auto"/>
        </w:rPr>
        <w:t>Design Points</w:t>
      </w:r>
    </w:p>
    <w:tbl>
      <w:tblPr>
        <w:tblStyle w:val="TableGrid"/>
        <w:tblW w:w="0" w:type="auto"/>
        <w:jc w:val="center"/>
        <w:tblBorders>
          <w:left w:val="none" w:sz="0" w:space="0" w:color="auto"/>
          <w:right w:val="none" w:sz="0" w:space="0" w:color="auto"/>
        </w:tblBorders>
        <w:tblLook w:val="04A0"/>
      </w:tblPr>
      <w:tblGrid>
        <w:gridCol w:w="1002"/>
        <w:gridCol w:w="1094"/>
        <w:gridCol w:w="1013"/>
        <w:gridCol w:w="1039"/>
      </w:tblGrid>
      <w:tr w:rsidR="003F5DB8" w:rsidTr="003F5DB8">
        <w:trPr>
          <w:jc w:val="center"/>
        </w:trPr>
        <w:tc>
          <w:tcPr>
            <w:tcW w:w="1002"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Design Point</w:t>
            </w:r>
          </w:p>
        </w:tc>
        <w:tc>
          <w:tcPr>
            <w:tcW w:w="1094"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Voting Time</w:t>
            </w:r>
          </w:p>
        </w:tc>
        <w:tc>
          <w:tcPr>
            <w:tcW w:w="1013"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Precincts</w:t>
            </w:r>
          </w:p>
        </w:tc>
        <w:tc>
          <w:tcPr>
            <w:tcW w:w="1016"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Machines</w:t>
            </w:r>
          </w:p>
        </w:tc>
      </w:tr>
      <w:tr w:rsidR="003F5DB8" w:rsidTr="003F5DB8">
        <w:trPr>
          <w:jc w:val="center"/>
        </w:trPr>
        <w:tc>
          <w:tcPr>
            <w:tcW w:w="1002" w:type="dxa"/>
          </w:tcPr>
          <w:p w:rsidR="003F5DB8" w:rsidRDefault="003F5DB8" w:rsidP="003F5DB8">
            <w:pPr>
              <w:pStyle w:val="Text"/>
              <w:ind w:firstLine="0"/>
              <w:jc w:val="center"/>
            </w:pPr>
            <w:r>
              <w:t>1</w:t>
            </w:r>
          </w:p>
        </w:tc>
        <w:tc>
          <w:tcPr>
            <w:tcW w:w="1094" w:type="dxa"/>
          </w:tcPr>
          <w:p w:rsidR="003F5DB8" w:rsidRDefault="003F5DB8" w:rsidP="003F5DB8">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40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2</w:t>
            </w:r>
          </w:p>
        </w:tc>
        <w:tc>
          <w:tcPr>
            <w:tcW w:w="1094" w:type="dxa"/>
            <w:shd w:val="clear" w:color="auto" w:fill="D9D9D9" w:themeFill="background1" w:themeFillShade="D9"/>
          </w:tcPr>
          <w:p w:rsidR="003F5DB8" w:rsidRDefault="003F5DB8" w:rsidP="003F5DB8">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40</w:t>
            </w:r>
          </w:p>
        </w:tc>
      </w:tr>
      <w:tr w:rsidR="003F5DB8" w:rsidTr="003F5DB8">
        <w:trPr>
          <w:jc w:val="center"/>
        </w:trPr>
        <w:tc>
          <w:tcPr>
            <w:tcW w:w="1002" w:type="dxa"/>
          </w:tcPr>
          <w:p w:rsidR="003F5DB8" w:rsidRDefault="003F5DB8" w:rsidP="003F5DB8">
            <w:pPr>
              <w:pStyle w:val="Text"/>
              <w:ind w:firstLine="0"/>
              <w:jc w:val="center"/>
            </w:pPr>
            <w:r>
              <w:t>3</w:t>
            </w:r>
          </w:p>
        </w:tc>
        <w:tc>
          <w:tcPr>
            <w:tcW w:w="1094" w:type="dxa"/>
          </w:tcPr>
          <w:p w:rsidR="003F5DB8" w:rsidRDefault="003F5DB8" w:rsidP="004A3F86">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60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4</w:t>
            </w:r>
          </w:p>
        </w:tc>
        <w:tc>
          <w:tcPr>
            <w:tcW w:w="1094" w:type="dxa"/>
            <w:shd w:val="clear" w:color="auto" w:fill="D9D9D9" w:themeFill="background1" w:themeFillShade="D9"/>
          </w:tcPr>
          <w:p w:rsidR="003F5DB8" w:rsidRDefault="003F5DB8" w:rsidP="004A3F86">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60</w:t>
            </w:r>
          </w:p>
        </w:tc>
      </w:tr>
      <w:tr w:rsidR="003F5DB8" w:rsidTr="003F5DB8">
        <w:trPr>
          <w:jc w:val="center"/>
        </w:trPr>
        <w:tc>
          <w:tcPr>
            <w:tcW w:w="1002" w:type="dxa"/>
          </w:tcPr>
          <w:p w:rsidR="003F5DB8" w:rsidRDefault="003F5DB8" w:rsidP="003F5DB8">
            <w:pPr>
              <w:pStyle w:val="Text"/>
              <w:ind w:firstLine="0"/>
              <w:jc w:val="center"/>
            </w:pPr>
            <w:r>
              <w:t>5</w:t>
            </w:r>
          </w:p>
        </w:tc>
        <w:tc>
          <w:tcPr>
            <w:tcW w:w="1094" w:type="dxa"/>
          </w:tcPr>
          <w:p w:rsidR="003F5DB8" w:rsidRDefault="003F5DB8" w:rsidP="004A3F86">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100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6</w:t>
            </w:r>
          </w:p>
        </w:tc>
        <w:tc>
          <w:tcPr>
            <w:tcW w:w="1094" w:type="dxa"/>
            <w:shd w:val="clear" w:color="auto" w:fill="D9D9D9" w:themeFill="background1" w:themeFillShade="D9"/>
          </w:tcPr>
          <w:p w:rsidR="003F5DB8" w:rsidRDefault="003F5DB8" w:rsidP="004A3F86">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100</w:t>
            </w:r>
          </w:p>
        </w:tc>
      </w:tr>
      <w:tr w:rsidR="003F5DB8" w:rsidTr="003F5DB8">
        <w:trPr>
          <w:jc w:val="center"/>
        </w:trPr>
        <w:tc>
          <w:tcPr>
            <w:tcW w:w="1002" w:type="dxa"/>
          </w:tcPr>
          <w:p w:rsidR="003F5DB8" w:rsidRDefault="003F5DB8" w:rsidP="003F5DB8">
            <w:pPr>
              <w:pStyle w:val="Text"/>
              <w:ind w:firstLine="0"/>
              <w:jc w:val="center"/>
            </w:pPr>
            <w:r>
              <w:t>7</w:t>
            </w:r>
          </w:p>
        </w:tc>
        <w:tc>
          <w:tcPr>
            <w:tcW w:w="1094" w:type="dxa"/>
          </w:tcPr>
          <w:p w:rsidR="003F5DB8" w:rsidRDefault="003F5DB8" w:rsidP="004A3F86">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72</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8</w:t>
            </w:r>
          </w:p>
        </w:tc>
        <w:tc>
          <w:tcPr>
            <w:tcW w:w="1094" w:type="dxa"/>
            <w:shd w:val="clear" w:color="auto" w:fill="D9D9D9" w:themeFill="background1" w:themeFillShade="D9"/>
          </w:tcPr>
          <w:p w:rsidR="003F5DB8" w:rsidRDefault="003F5DB8" w:rsidP="004A3F86">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72</w:t>
            </w:r>
          </w:p>
        </w:tc>
      </w:tr>
      <w:tr w:rsidR="003F5DB8" w:rsidTr="003F5DB8">
        <w:trPr>
          <w:jc w:val="center"/>
        </w:trPr>
        <w:tc>
          <w:tcPr>
            <w:tcW w:w="1002" w:type="dxa"/>
          </w:tcPr>
          <w:p w:rsidR="003F5DB8" w:rsidRDefault="003F5DB8" w:rsidP="003F5DB8">
            <w:pPr>
              <w:pStyle w:val="Text"/>
              <w:ind w:firstLine="0"/>
              <w:jc w:val="center"/>
            </w:pPr>
            <w:r>
              <w:t>9</w:t>
            </w:r>
          </w:p>
        </w:tc>
        <w:tc>
          <w:tcPr>
            <w:tcW w:w="1094" w:type="dxa"/>
          </w:tcPr>
          <w:p w:rsidR="003F5DB8" w:rsidRDefault="003F5DB8" w:rsidP="004A3F86">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108</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10</w:t>
            </w:r>
          </w:p>
        </w:tc>
        <w:tc>
          <w:tcPr>
            <w:tcW w:w="1094" w:type="dxa"/>
            <w:shd w:val="clear" w:color="auto" w:fill="D9D9D9" w:themeFill="background1" w:themeFillShade="D9"/>
          </w:tcPr>
          <w:p w:rsidR="003F5DB8" w:rsidRDefault="003F5DB8" w:rsidP="004A3F86">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108</w:t>
            </w:r>
          </w:p>
        </w:tc>
      </w:tr>
      <w:tr w:rsidR="003F5DB8" w:rsidTr="003F5DB8">
        <w:trPr>
          <w:jc w:val="center"/>
        </w:trPr>
        <w:tc>
          <w:tcPr>
            <w:tcW w:w="1002" w:type="dxa"/>
          </w:tcPr>
          <w:p w:rsidR="003F5DB8" w:rsidRDefault="003F5DB8" w:rsidP="003F5DB8">
            <w:pPr>
              <w:pStyle w:val="Text"/>
              <w:ind w:firstLine="0"/>
              <w:jc w:val="center"/>
            </w:pPr>
            <w:r>
              <w:t>11</w:t>
            </w:r>
          </w:p>
        </w:tc>
        <w:tc>
          <w:tcPr>
            <w:tcW w:w="1094" w:type="dxa"/>
          </w:tcPr>
          <w:p w:rsidR="003F5DB8" w:rsidRDefault="003F5DB8" w:rsidP="004A3F86">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180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12</w:t>
            </w:r>
          </w:p>
        </w:tc>
        <w:tc>
          <w:tcPr>
            <w:tcW w:w="1094" w:type="dxa"/>
            <w:shd w:val="clear" w:color="auto" w:fill="D9D9D9" w:themeFill="background1" w:themeFillShade="D9"/>
          </w:tcPr>
          <w:p w:rsidR="003F5DB8" w:rsidRDefault="003F5DB8" w:rsidP="004A3F86">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180</w:t>
            </w:r>
          </w:p>
        </w:tc>
      </w:tr>
    </w:tbl>
    <w:p w:rsidR="003F5DB8" w:rsidRDefault="003F5DB8" w:rsidP="00D83625">
      <w:pPr>
        <w:pStyle w:val="Text"/>
      </w:pPr>
    </w:p>
    <w:p w:rsidR="00D83625" w:rsidRDefault="00D83625" w:rsidP="00D83625">
      <w:pPr>
        <w:pStyle w:val="Heading2"/>
      </w:pPr>
      <w:r>
        <w:t>Results</w:t>
      </w:r>
    </w:p>
    <w:p w:rsidR="00636ACB" w:rsidRDefault="00636ACB" w:rsidP="00EB24D8">
      <w:pPr>
        <w:pStyle w:val="Text"/>
        <w:rPr>
          <w:color w:val="FF0000"/>
        </w:rPr>
      </w:pPr>
      <w:r w:rsidRPr="009C049A">
        <w:rPr>
          <w:color w:val="FF0000"/>
        </w:rPr>
        <w:t xml:space="preserve">The results of the experimental design (see Table </w:t>
      </w:r>
      <w:r w:rsidR="00EB24D8">
        <w:rPr>
          <w:color w:val="FF0000"/>
        </w:rPr>
        <w:t>4</w:t>
      </w:r>
      <w:r w:rsidRPr="009C049A">
        <w:rPr>
          <w:color w:val="FF0000"/>
        </w:rPr>
        <w:t>) show that the GIA statistically significantly outperforms the UEM in 14 out of 16 different treatment combinations of the other four factors, ties in one scenario (Turnout Rate = 0.56, Scale Parameter = 1.05, Size of County = 20 precincts and Ratio of the number of machines to the number of precincts = 3.6), and underperforms UEM in a single scenario (Turnout Rate = 0.72, Scale Parameter = 1.05, Size of County = 20 precincts and Ratio of the number of machines to the number of precincts = 3.6).</w:t>
      </w:r>
    </w:p>
    <w:p w:rsidR="00F26791" w:rsidRDefault="00F26791" w:rsidP="00F26791">
      <w:pPr>
        <w:pStyle w:val="Caption"/>
        <w:keepNext/>
        <w:jc w:val="center"/>
        <w:rPr>
          <w:b w:val="0"/>
          <w:bCs w:val="0"/>
          <w:color w:val="auto"/>
        </w:rPr>
      </w:pPr>
    </w:p>
    <w:p w:rsidR="00EB24D8" w:rsidRDefault="00EB24D8" w:rsidP="00EB24D8"/>
    <w:p w:rsidR="00EB24D8" w:rsidRDefault="00EB24D8" w:rsidP="00EB24D8"/>
    <w:p w:rsidR="00EB24D8" w:rsidRDefault="00EB24D8" w:rsidP="00EB24D8"/>
    <w:p w:rsidR="00EB24D8" w:rsidRDefault="00EB24D8" w:rsidP="00EB24D8"/>
    <w:p w:rsidR="00EB24D8" w:rsidRDefault="00EB24D8" w:rsidP="00EB24D8"/>
    <w:p w:rsidR="00EB24D8" w:rsidRDefault="00EB24D8" w:rsidP="00EB24D8"/>
    <w:p w:rsidR="00EB24D8" w:rsidRDefault="00EB24D8" w:rsidP="00EB24D8"/>
    <w:p w:rsidR="00EB24D8" w:rsidRDefault="00EB24D8" w:rsidP="00EB24D8"/>
    <w:p w:rsidR="00EB24D8" w:rsidRDefault="00EB24D8" w:rsidP="00EB24D8"/>
    <w:p w:rsidR="00EB24D8" w:rsidRDefault="00EB24D8" w:rsidP="00EB24D8"/>
    <w:p w:rsidR="00EB24D8" w:rsidRPr="00EB24D8" w:rsidRDefault="00EB24D8" w:rsidP="00EB24D8"/>
    <w:p w:rsidR="003F5DB8" w:rsidRDefault="00F26791" w:rsidP="00EB24D8">
      <w:pPr>
        <w:pStyle w:val="Caption"/>
        <w:keepNext/>
        <w:jc w:val="center"/>
        <w:rPr>
          <w:color w:val="FF0000"/>
        </w:rPr>
      </w:pPr>
      <w:r w:rsidRPr="00B37DD6">
        <w:rPr>
          <w:b w:val="0"/>
          <w:bCs w:val="0"/>
          <w:color w:val="auto"/>
        </w:rPr>
        <w:t xml:space="preserve">Table </w:t>
      </w:r>
      <w:r w:rsidR="00EB24D8">
        <w:rPr>
          <w:b w:val="0"/>
          <w:bCs w:val="0"/>
          <w:color w:val="auto"/>
        </w:rPr>
        <w:t>4</w:t>
      </w:r>
      <w:r w:rsidRPr="00B37DD6">
        <w:rPr>
          <w:b w:val="0"/>
          <w:bCs w:val="0"/>
          <w:color w:val="auto"/>
        </w:rPr>
        <w:t xml:space="preserve">: </w:t>
      </w:r>
      <w:r>
        <w:rPr>
          <w:b w:val="0"/>
          <w:bCs w:val="0"/>
          <w:color w:val="auto"/>
        </w:rPr>
        <w:t>Results of Experimental Design</w:t>
      </w:r>
    </w:p>
    <w:tbl>
      <w:tblPr>
        <w:tblStyle w:val="TableGrid"/>
        <w:tblW w:w="0" w:type="auto"/>
        <w:tblBorders>
          <w:left w:val="none" w:sz="0" w:space="0" w:color="auto"/>
          <w:right w:val="none" w:sz="0" w:space="0" w:color="auto"/>
        </w:tblBorders>
        <w:tblLayout w:type="fixed"/>
        <w:tblLook w:val="04A0"/>
      </w:tblPr>
      <w:tblGrid>
        <w:gridCol w:w="468"/>
        <w:gridCol w:w="810"/>
        <w:gridCol w:w="1440"/>
        <w:gridCol w:w="900"/>
        <w:gridCol w:w="1471"/>
      </w:tblGrid>
      <w:tr w:rsidR="00303ECC" w:rsidTr="00EB24D8">
        <w:tc>
          <w:tcPr>
            <w:tcW w:w="468" w:type="dxa"/>
            <w:shd w:val="clear" w:color="auto" w:fill="D9D9D9" w:themeFill="background1" w:themeFillShade="D9"/>
          </w:tcPr>
          <w:p w:rsidR="00F26791" w:rsidRPr="00EB24D8" w:rsidRDefault="00303ECC" w:rsidP="00EB24D8">
            <w:pPr>
              <w:pStyle w:val="Text"/>
              <w:ind w:firstLine="0"/>
              <w:jc w:val="center"/>
              <w:rPr>
                <w:b/>
                <w:bCs/>
                <w:color w:val="000000" w:themeColor="text1"/>
              </w:rPr>
            </w:pPr>
            <w:r w:rsidRPr="00EB24D8">
              <w:rPr>
                <w:b/>
                <w:bCs/>
                <w:color w:val="000000" w:themeColor="text1"/>
              </w:rPr>
              <w:t>DP</w:t>
            </w:r>
          </w:p>
        </w:tc>
        <w:tc>
          <w:tcPr>
            <w:tcW w:w="810" w:type="dxa"/>
          </w:tcPr>
          <w:p w:rsidR="00F26791" w:rsidRPr="00EB24D8" w:rsidRDefault="00F26791" w:rsidP="00EB24D8">
            <w:pPr>
              <w:pStyle w:val="Text"/>
              <w:ind w:firstLine="0"/>
              <w:jc w:val="center"/>
              <w:rPr>
                <w:b/>
                <w:bCs/>
                <w:color w:val="000000" w:themeColor="text1"/>
              </w:rPr>
            </w:pPr>
            <w:r w:rsidRPr="00EB24D8">
              <w:rPr>
                <w:b/>
                <w:bCs/>
                <w:color w:val="000000" w:themeColor="text1"/>
              </w:rPr>
              <w:t>RA-</w:t>
            </w:r>
            <w:r w:rsidR="00303ECC" w:rsidRPr="00EB24D8">
              <w:rPr>
                <w:b/>
                <w:bCs/>
                <w:color w:val="000000" w:themeColor="text1"/>
              </w:rPr>
              <w:t xml:space="preserve"> </w:t>
            </w:r>
            <w:r w:rsidRPr="00EB24D8">
              <w:rPr>
                <w:b/>
                <w:bCs/>
                <w:color w:val="000000" w:themeColor="text1"/>
              </w:rPr>
              <w:t>Equity</w:t>
            </w:r>
          </w:p>
        </w:tc>
        <w:tc>
          <w:tcPr>
            <w:tcW w:w="1440" w:type="dxa"/>
          </w:tcPr>
          <w:p w:rsidR="00F26791" w:rsidRPr="00EB24D8" w:rsidRDefault="00F26791" w:rsidP="00EB24D8">
            <w:pPr>
              <w:pStyle w:val="Text"/>
              <w:ind w:firstLine="0"/>
              <w:jc w:val="center"/>
              <w:rPr>
                <w:b/>
                <w:bCs/>
                <w:color w:val="000000" w:themeColor="text1"/>
              </w:rPr>
            </w:pPr>
            <w:r w:rsidRPr="00EB24D8">
              <w:rPr>
                <w:b/>
                <w:bCs/>
                <w:color w:val="000000" w:themeColor="text1"/>
              </w:rPr>
              <w:t>RA - CI</w:t>
            </w:r>
          </w:p>
        </w:tc>
        <w:tc>
          <w:tcPr>
            <w:tcW w:w="900"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w:t>
            </w:r>
            <w:r w:rsidR="00303ECC" w:rsidRPr="00EB24D8">
              <w:rPr>
                <w:b/>
                <w:bCs/>
                <w:color w:val="000000" w:themeColor="text1"/>
              </w:rPr>
              <w:t xml:space="preserve"> </w:t>
            </w:r>
            <w:r w:rsidRPr="00EB24D8">
              <w:rPr>
                <w:b/>
                <w:bCs/>
                <w:color w:val="000000" w:themeColor="text1"/>
              </w:rPr>
              <w:t>-Equity</w:t>
            </w:r>
          </w:p>
        </w:tc>
        <w:tc>
          <w:tcPr>
            <w:tcW w:w="1471"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 - CI</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lastRenderedPageBreak/>
              <w:t>1</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34.949</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27.88 to 42.02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30.027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22.25 to 37.80</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67.874</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56.08 to 79.66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65.738</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53.43 to 78.05</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27.857</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19.06 to 36.66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26.675</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19.07 to 34.27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55.567</w:t>
            </w:r>
          </w:p>
        </w:tc>
        <w:tc>
          <w:tcPr>
            <w:tcW w:w="1440" w:type="dxa"/>
          </w:tcPr>
          <w:p w:rsidR="00303ECC" w:rsidRPr="00EB24D8" w:rsidRDefault="00036984" w:rsidP="00EB24D8">
            <w:pPr>
              <w:pStyle w:val="Text"/>
              <w:ind w:firstLine="0"/>
              <w:jc w:val="center"/>
              <w:rPr>
                <w:color w:val="000000" w:themeColor="text1"/>
              </w:rPr>
            </w:pPr>
            <w:r w:rsidRPr="00EB24D8">
              <w:rPr>
                <w:color w:val="000000" w:themeColor="text1"/>
              </w:rPr>
              <w:t>46.26 to 64.88</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65.880</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52.18 to 79.58</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31.651</w:t>
            </w:r>
          </w:p>
        </w:tc>
        <w:tc>
          <w:tcPr>
            <w:tcW w:w="1440" w:type="dxa"/>
          </w:tcPr>
          <w:p w:rsidR="00303ECC" w:rsidRPr="00EB24D8" w:rsidRDefault="00A14858" w:rsidP="00EB24D8">
            <w:pPr>
              <w:pStyle w:val="Text"/>
              <w:ind w:firstLine="0"/>
              <w:jc w:val="center"/>
              <w:rPr>
                <w:color w:val="000000" w:themeColor="text1"/>
              </w:rPr>
            </w:pPr>
            <w:r w:rsidRPr="00EB24D8">
              <w:rPr>
                <w:color w:val="000000" w:themeColor="text1"/>
              </w:rPr>
              <w:t>19.86 to 43.44</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29.149</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22.17 to 36.13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28.626</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16.49 to 40.77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69.653</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57.90 to 81.41</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7</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13.354</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7.29 to 19.41</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12.0472</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8.56 to 15.54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32.961</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21.26 to 44.66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36.377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27.52 to 45.24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14.867</w:t>
            </w:r>
          </w:p>
        </w:tc>
        <w:tc>
          <w:tcPr>
            <w:tcW w:w="1440" w:type="dxa"/>
          </w:tcPr>
          <w:p w:rsidR="00303ECC" w:rsidRPr="00EB24D8" w:rsidRDefault="00852A77" w:rsidP="00EB24D8">
            <w:pPr>
              <w:pStyle w:val="Text"/>
              <w:ind w:firstLine="0"/>
              <w:jc w:val="center"/>
              <w:rPr>
                <w:color w:val="000000" w:themeColor="text1"/>
              </w:rPr>
            </w:pPr>
            <w:r w:rsidRPr="00EB24D8">
              <w:rPr>
                <w:color w:val="000000" w:themeColor="text1"/>
              </w:rPr>
              <w:t>7.19 to 22.55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16.031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9.74 to 22.32</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10</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21.002</w:t>
            </w:r>
          </w:p>
        </w:tc>
        <w:tc>
          <w:tcPr>
            <w:tcW w:w="1440" w:type="dxa"/>
          </w:tcPr>
          <w:p w:rsidR="00303ECC" w:rsidRPr="00EB24D8" w:rsidRDefault="00D47587" w:rsidP="00EB24D8">
            <w:pPr>
              <w:pStyle w:val="Text"/>
              <w:ind w:firstLine="0"/>
              <w:jc w:val="center"/>
              <w:rPr>
                <w:color w:val="000000" w:themeColor="text1"/>
              </w:rPr>
            </w:pPr>
            <w:r w:rsidRPr="00EB24D8">
              <w:rPr>
                <w:color w:val="000000" w:themeColor="text1"/>
              </w:rPr>
              <w:t>10.98 to 31.02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45.641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35.45 to 55.83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11</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6.689</w:t>
            </w:r>
          </w:p>
        </w:tc>
        <w:tc>
          <w:tcPr>
            <w:tcW w:w="1440" w:type="dxa"/>
          </w:tcPr>
          <w:p w:rsidR="00303ECC" w:rsidRPr="00EB24D8" w:rsidRDefault="00BF6F22" w:rsidP="00EB24D8">
            <w:pPr>
              <w:pStyle w:val="Text"/>
              <w:ind w:firstLine="0"/>
              <w:jc w:val="center"/>
              <w:rPr>
                <w:color w:val="000000" w:themeColor="text1"/>
              </w:rPr>
            </w:pPr>
            <w:r w:rsidRPr="00EB24D8">
              <w:rPr>
                <w:color w:val="000000" w:themeColor="text1"/>
              </w:rPr>
              <w:t>0.0</w:t>
            </w:r>
            <w:r w:rsidR="00C638EF" w:rsidRPr="00EB24D8">
              <w:rPr>
                <w:color w:val="000000" w:themeColor="text1"/>
              </w:rPr>
              <w:t>0 to 13.47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23.236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16.31 to 30.17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9.106</w:t>
            </w:r>
          </w:p>
        </w:tc>
        <w:tc>
          <w:tcPr>
            <w:tcW w:w="1440" w:type="dxa"/>
          </w:tcPr>
          <w:p w:rsidR="00303ECC" w:rsidRPr="00EB24D8" w:rsidRDefault="00C638EF" w:rsidP="00EB24D8">
            <w:pPr>
              <w:pStyle w:val="Text"/>
              <w:ind w:firstLine="0"/>
              <w:jc w:val="center"/>
              <w:rPr>
                <w:color w:val="000000" w:themeColor="text1"/>
              </w:rPr>
            </w:pPr>
            <w:r w:rsidRPr="00EB24D8">
              <w:rPr>
                <w:color w:val="000000" w:themeColor="text1"/>
              </w:rPr>
              <w:t>2.57 to 15.65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41.936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32.85 to 51.03</w:t>
            </w:r>
          </w:p>
        </w:tc>
      </w:tr>
    </w:tbl>
    <w:p w:rsidR="003F5DB8" w:rsidRDefault="003F5DB8" w:rsidP="00636ACB">
      <w:pPr>
        <w:pStyle w:val="Text"/>
        <w:rPr>
          <w:color w:val="FF0000"/>
        </w:rPr>
      </w:pPr>
    </w:p>
    <w:p w:rsidR="003F5DB8" w:rsidRDefault="003F5DB8" w:rsidP="00636ACB">
      <w:pPr>
        <w:pStyle w:val="Text"/>
        <w:rPr>
          <w:color w:val="FF0000"/>
        </w:rPr>
      </w:pPr>
    </w:p>
    <w:p w:rsidR="003F5DB8" w:rsidRDefault="003F5DB8" w:rsidP="00636ACB">
      <w:pPr>
        <w:pStyle w:val="Text"/>
        <w:rPr>
          <w:color w:val="FF0000"/>
        </w:rPr>
      </w:pPr>
    </w:p>
    <w:p w:rsidR="003F5DB8" w:rsidRDefault="003F5DB8" w:rsidP="00636ACB">
      <w:pPr>
        <w:pStyle w:val="Text"/>
        <w:rPr>
          <w:color w:val="FF0000"/>
        </w:rPr>
      </w:pPr>
    </w:p>
    <w:p w:rsidR="003F5DB8" w:rsidRDefault="003F5DB8" w:rsidP="00636ACB">
      <w:pPr>
        <w:pStyle w:val="Text"/>
        <w:rPr>
          <w:color w:val="FF0000"/>
        </w:rPr>
      </w:pPr>
    </w:p>
    <w:p w:rsidR="00636ACB" w:rsidRPr="009C049A" w:rsidRDefault="00636ACB" w:rsidP="00636ACB">
      <w:pPr>
        <w:pStyle w:val="Text"/>
        <w:rPr>
          <w:color w:val="FF0000"/>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 one replication. For example if we have 100 DRE Machines and 50 replications, the simulation will run for about 100*50 times in Phase 1 only which is a lot of time. So the RA outperforms the GIA in the speed of simulation.</w:t>
      </w:r>
    </w:p>
    <w:p w:rsidR="00636ACB" w:rsidRDefault="00636ACB" w:rsidP="00636ACB">
      <w:pPr>
        <w:pStyle w:val="Text"/>
      </w:pPr>
      <w:r w:rsidRPr="009C049A">
        <w:t>Figure 1 shows the scenario with Turnout Rate = 0.72, Scale Parameter = 1.05, Size of County = 50 precincts and</w:t>
      </w:r>
      <w:r>
        <w:t xml:space="preserve"> </w:t>
      </w:r>
      <w:r w:rsidRPr="009C049A">
        <w:t>Ratio of the number of machines to the number of precincts = 3.6. It displays 95% confidence intervals and the range of</w:t>
      </w:r>
      <w:r>
        <w:t xml:space="preserve"> </w:t>
      </w:r>
      <w:r w:rsidRPr="009C049A">
        <w:t>the response values against the allocations provided by the GIA and the UEM. It clearly shows that the GIA is statistically</w:t>
      </w:r>
      <w:r>
        <w:t xml:space="preserve"> </w:t>
      </w:r>
      <w:r w:rsidRPr="009C049A">
        <w:t>significantly better in this scenario.</w:t>
      </w:r>
    </w:p>
    <w:p w:rsidR="00636ACB" w:rsidRDefault="00636ACB" w:rsidP="00636ACB">
      <w:pPr>
        <w:pStyle w:val="Text"/>
      </w:pPr>
      <w:r>
        <w:t>Figure 2 case which is not better.</w:t>
      </w:r>
    </w:p>
    <w:p w:rsidR="00D83625" w:rsidRPr="00D83625" w:rsidRDefault="00D83625" w:rsidP="00D83625"/>
    <w:p w:rsidR="00D56B51" w:rsidRPr="00D56B51" w:rsidRDefault="00D56B51" w:rsidP="00D56B51"/>
    <w:p w:rsidR="00EA4D9A" w:rsidRPr="007E017B" w:rsidRDefault="00EA4D9A" w:rsidP="007E017B">
      <w:pPr>
        <w:ind w:firstLine="202"/>
        <w:jc w:val="both"/>
      </w:pPr>
    </w:p>
    <w:p w:rsidR="00E97402" w:rsidRDefault="007E017B">
      <w:pPr>
        <w:pStyle w:val="Heading1"/>
      </w:pPr>
      <w:r>
        <w:t>Related Work</w:t>
      </w:r>
    </w:p>
    <w:p w:rsidR="009133BD" w:rsidRDefault="009133BD">
      <w:pPr>
        <w:pStyle w:val="Text"/>
      </w:pPr>
    </w:p>
    <w:p w:rsidR="00E97402" w:rsidRDefault="009133BD">
      <w:pPr>
        <w:pStyle w:val="Text"/>
      </w:pPr>
      <w:r w:rsidRPr="009133BD">
        <w:t>There are relatively few papers that apply operations-research models to the voting-machine-allocation problem. However, this problem is closely related to queuing-model applications and resource-allocation problems that are common in operations research. Here we will mention only those papers that are most closely related to our application of voting- machine allocation or that reference solution method we use directly.</w:t>
      </w:r>
    </w:p>
    <w:p w:rsidR="00E91F48" w:rsidRDefault="00E91F48" w:rsidP="00E91F48">
      <w:pPr>
        <w:pStyle w:val="Text"/>
      </w:pPr>
      <w:r w:rsidRPr="00E91F48">
        <w:t xml:space="preserve">The only papers of which we are aware that apply operations research to the voting-machine-allocation problem are Edelstein (2006), Allen and Bernshteyn (2006a) and Allen and Bernshteyn (2006b). Edelstein (2006) and Allen and Bernshteyn (2006b) use simulation for their models. Using simulation allows these authors to consider some of the realistic complications in their models including voting-machine failures and non-stationary voter arrivals. However, neither paper explicitly considers voter equity in terms of maintaining equivalent waiting times across precincts. Allen and Bernshteyn (2006a) suggest using </w:t>
      </w:r>
      <w:r w:rsidR="00250634" w:rsidRPr="00E91F48">
        <w:t>queuing</w:t>
      </w:r>
      <w:r w:rsidRPr="00E91F48">
        <w:t xml:space="preserve"> models to measure voter waiting times for given </w:t>
      </w:r>
      <w:r w:rsidRPr="00E91F48">
        <w:lastRenderedPageBreak/>
        <w:t xml:space="preserve">machine-allocation policies and to improve allocation decisions. They use simple analytical </w:t>
      </w:r>
      <w:r w:rsidR="00250634" w:rsidRPr="00E91F48">
        <w:t>queuing</w:t>
      </w:r>
      <w:r w:rsidRPr="00E91F48">
        <w:t xml:space="preserve"> models to predict average waiting times for voters. Allen and Bernshteyn then suggest an optimization model that uses a minimax objective function to allocate voting machines. Specifically, they suggest allocating machines to minimize the maximum expected voter waiting time across all precincts. The minimax objective is designed to promote voter equity as we discuss above, but there are many other objectives that could be considered. Allen and Bernshteyn (2006a) also do not consider complicating issues such as non-stationary voter arrivals, machine failures, and specific differences in voting-time requirements due to differences in ballot lengths. Furthermore, the authors propose only simple greedy-heuristic solution methods for their models, which can produce significantly suboptimal policies. </w:t>
      </w:r>
    </w:p>
    <w:p w:rsidR="00250634" w:rsidRDefault="00E91F48" w:rsidP="002F13EE">
      <w:pPr>
        <w:pStyle w:val="Text"/>
      </w:pPr>
      <w:r w:rsidRPr="00E91F48">
        <w:t>There are several simpler methods used to allocate voting machines to precincts that have been used in previous elections. An intuitive and simple method of allocating voting machines used by many election boards is to allocate machines in proportion to the expected number of voters at each precinct (Edelstein 2006). This method ignores any direct models of queuing effects and differences between precincts. At least one county in Ohio used a utilization equalization allocation policy in the 2008 presidential election to allocate voting machines. This method enforces voter equity by equalizing the utilization of voting machines rather than equalizing waiting times of voters. Moreover, the utilization rate is obtained by traditional queuing theory, which assumes stationary arrivals and steady-state operating conditions.</w:t>
      </w:r>
    </w:p>
    <w:p w:rsidR="00E97402" w:rsidRDefault="0081542F" w:rsidP="0081542F">
      <w:pPr>
        <w:pStyle w:val="Text"/>
      </w:pPr>
      <w:r>
        <w:t xml:space="preserve">  </w:t>
      </w:r>
    </w:p>
    <w:p w:rsidR="00E97402" w:rsidRDefault="00E91F48" w:rsidP="00542DF5">
      <w:pPr>
        <w:pStyle w:val="Heading1"/>
      </w:pPr>
      <w:r>
        <w:t xml:space="preserve">Conclusions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The machine allocation RA method is proposed and illustrated using an example from the 2004 election in Franklin County, Ohio. Then it is compared to the GIA method [ ].</w:t>
      </w:r>
    </w:p>
    <w:p w:rsidR="001A0BC7" w:rsidRDefault="001A0BC7" w:rsidP="001A0BC7">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1A0BC7" w:rsidRDefault="001A0BC7" w:rsidP="001A0BC7">
      <w:pPr>
        <w:pStyle w:val="Text"/>
      </w:pPr>
    </w:p>
    <w:p w:rsidR="001A0BC7" w:rsidRDefault="001A0BC7" w:rsidP="001A0BC7">
      <w:pPr>
        <w:pStyle w:val="Heading1"/>
      </w:pPr>
      <w:r w:rsidRPr="001A0BC7">
        <w:t xml:space="preserve"> [Limitations and] Future Work</w:t>
      </w:r>
      <w:r>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 xml:space="preserve">Include more realistic cases such as heterogeneous precincts to the simulation model, which have different voter-arrival patterns, and different distributions of </w:t>
      </w:r>
      <w:r w:rsidRPr="00305B96">
        <w:lastRenderedPageBreak/>
        <w:t>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8C1B65">
      <w:pPr>
        <w:numPr>
          <w:ilvl w:val="0"/>
          <w:numId w:val="19"/>
        </w:numPr>
        <w:jc w:val="both"/>
        <w:rPr>
          <w:sz w:val="16"/>
          <w:szCs w:val="16"/>
        </w:rPr>
      </w:pPr>
      <w:r w:rsidRPr="0078769F">
        <w:rPr>
          <w:sz w:val="16"/>
          <w:szCs w:val="16"/>
        </w:rPr>
        <w:t>Allen, T. T., and M. B. Bernshteyn. 2006a. Mitigating voter waiting times. Chance 19 (4): 25–36.</w:t>
      </w:r>
    </w:p>
    <w:p w:rsidR="00EB0BAE" w:rsidRDefault="0078769F" w:rsidP="00EB0BAE">
      <w:pPr>
        <w:numPr>
          <w:ilvl w:val="0"/>
          <w:numId w:val="19"/>
        </w:numPr>
        <w:jc w:val="both"/>
        <w:rPr>
          <w:sz w:val="16"/>
          <w:szCs w:val="16"/>
        </w:rPr>
      </w:pPr>
      <w:r w:rsidRPr="0078769F">
        <w:rPr>
          <w:sz w:val="16"/>
          <w:szCs w:val="16"/>
        </w:rPr>
        <w:t xml:space="preserve">Allen, T. T., and M. B. Bernshteyn.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8" w:history="1">
        <w:r w:rsidR="00EB0BAE" w:rsidRPr="00D51746">
          <w:rPr>
            <w:rStyle w:val="Hyperlink"/>
            <w:sz w:val="16"/>
            <w:szCs w:val="16"/>
          </w:rPr>
          <w:t>http://moritzlaw.osu.edu/electionlaw/news/documents/DREAnalysisforMay2006Primary.pdf</w:t>
        </w:r>
      </w:hyperlink>
    </w:p>
    <w:p w:rsidR="0078769F" w:rsidRDefault="0078769F" w:rsidP="00EB0BAE">
      <w:pPr>
        <w:numPr>
          <w:ilvl w:val="0"/>
          <w:numId w:val="19"/>
        </w:numPr>
        <w:jc w:val="both"/>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9" w:history="1">
        <w:r w:rsidR="00EB0BAE" w:rsidRPr="00D51746">
          <w:rPr>
            <w:rStyle w:val="Hyperlink"/>
            <w:sz w:val="16"/>
            <w:szCs w:val="16"/>
          </w:rPr>
          <w:t>http://centralohiovoters.home.att.net/elect2004.htm</w:t>
        </w:r>
      </w:hyperlink>
    </w:p>
    <w:p w:rsidR="00D44AA0" w:rsidRDefault="00D44AA0" w:rsidP="00EB0BAE">
      <w:pPr>
        <w:numPr>
          <w:ilvl w:val="0"/>
          <w:numId w:val="19"/>
        </w:numPr>
        <w:jc w:val="both"/>
        <w:rPr>
          <w:sz w:val="16"/>
          <w:szCs w:val="16"/>
        </w:rPr>
      </w:pPr>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p>
    <w:p w:rsidR="00EB0BAE" w:rsidRDefault="00EB0BAE" w:rsidP="008C1B65">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0" w:history="1">
        <w:r w:rsidRPr="00D51746">
          <w:rPr>
            <w:rStyle w:val="Hyperlink"/>
            <w:sz w:val="16"/>
            <w:szCs w:val="16"/>
          </w:rPr>
          <w:t>http://www.nyvv.org/ doc/voterlines.pdf</w:t>
        </w:r>
      </w:hyperlink>
    </w:p>
    <w:p w:rsidR="00EB0BAE" w:rsidRDefault="00EB0BAE" w:rsidP="008C1B65">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1" w:history="1">
        <w:r w:rsidRPr="00D51746">
          <w:rPr>
            <w:rStyle w:val="Hyperlink"/>
            <w:sz w:val="16"/>
            <w:szCs w:val="16"/>
          </w:rPr>
          <w:t>http://www.democrats.org/pdfs/ohvrireport/section03.pdf</w:t>
        </w:r>
      </w:hyperlink>
    </w:p>
    <w:p w:rsidR="0075110C" w:rsidRDefault="00EB0BAE" w:rsidP="0075110C">
      <w:pPr>
        <w:numPr>
          <w:ilvl w:val="0"/>
          <w:numId w:val="19"/>
        </w:numPr>
        <w:jc w:val="both"/>
        <w:rPr>
          <w:sz w:val="16"/>
          <w:szCs w:val="16"/>
        </w:rPr>
      </w:pPr>
      <w:r w:rsidRPr="00305B96">
        <w:rPr>
          <w:sz w:val="16"/>
          <w:szCs w:val="16"/>
        </w:rPr>
        <w:t>Houdt, B. V., and C. Blondia. 2005. Approximated transient queue length and waiting time distributions via steady state analysis. Stochastic Models 21:725–744.</w:t>
      </w:r>
    </w:p>
    <w:p w:rsidR="00442200" w:rsidRDefault="00AC6AAF" w:rsidP="00AC6AAF">
      <w:pPr>
        <w:numPr>
          <w:ilvl w:val="0"/>
          <w:numId w:val="19"/>
        </w:numPr>
        <w:rPr>
          <w:sz w:val="16"/>
          <w:szCs w:val="16"/>
        </w:rPr>
      </w:pPr>
      <w:r w:rsidRPr="00AC6AAF">
        <w:rPr>
          <w:sz w:val="16"/>
          <w:szCs w:val="16"/>
        </w:rPr>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2" w:history="1">
        <w:r w:rsidRPr="00AC6AAF">
          <w:rPr>
            <w:rStyle w:val="Hyperlink"/>
            <w:sz w:val="16"/>
            <w:szCs w:val="16"/>
          </w:rPr>
          <w:t>http://en.wikipedia.org/wiki/Confidence_interval</w:t>
        </w:r>
      </w:hyperlink>
      <w:r w:rsidRPr="00AC6AAF">
        <w:rPr>
          <w:sz w:val="16"/>
          <w:szCs w:val="16"/>
        </w:rPr>
        <w:t xml:space="preserve"> </w:t>
      </w:r>
    </w:p>
    <w:p w:rsidR="001C460F" w:rsidRDefault="001C460F" w:rsidP="00AC6AAF">
      <w:pPr>
        <w:numPr>
          <w:ilvl w:val="0"/>
          <w:numId w:val="19"/>
        </w:numPr>
        <w:rPr>
          <w:sz w:val="16"/>
          <w:szCs w:val="16"/>
        </w:rPr>
      </w:pPr>
      <w:r>
        <w:rPr>
          <w:sz w:val="16"/>
          <w:szCs w:val="16"/>
        </w:rPr>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3" w:history="1">
        <w:r w:rsidRPr="007B6BF4">
          <w:rPr>
            <w:rStyle w:val="Hyperlink"/>
            <w:sz w:val="16"/>
            <w:szCs w:val="16"/>
          </w:rPr>
          <w:t>http://en.wikipedia.org/wiki/Egyptian_constitutional_referendum,_2011</w:t>
        </w:r>
      </w:hyperlink>
    </w:p>
    <w:p w:rsidR="001C460F" w:rsidRDefault="001C460F" w:rsidP="001C460F">
      <w:pPr>
        <w:ind w:left="360"/>
        <w:rPr>
          <w:sz w:val="16"/>
          <w:szCs w:val="16"/>
        </w:rPr>
      </w:pPr>
      <w:r>
        <w:rPr>
          <w:sz w:val="16"/>
          <w:szCs w:val="16"/>
        </w:rPr>
        <w:t xml:space="preserve"> </w:t>
      </w: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Pr="00305B96" w:rsidRDefault="00442200" w:rsidP="00442200">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pStyle w:val="Heading1"/>
      </w:pPr>
      <w:r>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44"/>
        <w:gridCol w:w="2545"/>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r>
              <w:t>Activites</w:t>
            </w:r>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0F52F6" w:rsidP="000F52F6">
            <w:pPr>
              <w:pStyle w:val="ListParagraph"/>
              <w:numPr>
                <w:ilvl w:val="0"/>
                <w:numId w:val="22"/>
              </w:numPr>
            </w:pPr>
          </w:p>
          <w:p w:rsidR="0075110C" w:rsidRDefault="0075110C" w:rsidP="0075110C"/>
        </w:tc>
      </w:tr>
      <w:tr w:rsidR="000F52F6" w:rsidTr="0075110C">
        <w:tc>
          <w:tcPr>
            <w:tcW w:w="2544" w:type="dxa"/>
            <w:shd w:val="clear" w:color="auto" w:fill="F2F2F2" w:themeFill="background1" w:themeFillShade="F2"/>
          </w:tcPr>
          <w:p w:rsidR="0075110C" w:rsidRDefault="000F52F6" w:rsidP="0075110C">
            <w:r>
              <w:t>Hesham Naiem Mamoun,</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lastRenderedPageBreak/>
              <w:t xml:space="preserve">Draft of  Project Proposal (Target Conference, Motivation, and Potential Contribution) </w:t>
            </w:r>
          </w:p>
          <w:p w:rsidR="000F52F6" w:rsidRDefault="000F52F6" w:rsidP="000F52F6">
            <w:pPr>
              <w:pStyle w:val="ListParagraph"/>
              <w:numPr>
                <w:ilvl w:val="0"/>
                <w:numId w:val="23"/>
              </w:numPr>
            </w:pPr>
          </w:p>
          <w:p w:rsidR="0075110C" w:rsidRDefault="0075110C" w:rsidP="0075110C"/>
        </w:tc>
      </w:tr>
      <w:tr w:rsidR="000F52F6" w:rsidTr="0075110C">
        <w:tc>
          <w:tcPr>
            <w:tcW w:w="2544" w:type="dxa"/>
          </w:tcPr>
          <w:p w:rsidR="0075110C" w:rsidRDefault="000F52F6" w:rsidP="0075110C">
            <w:r>
              <w:t>Mostafa Mohamed Izz,</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0F52F6" w:rsidRDefault="000F52F6" w:rsidP="000F52F6">
            <w:pPr>
              <w:pStyle w:val="ListParagraph"/>
              <w:numPr>
                <w:ilvl w:val="0"/>
                <w:numId w:val="24"/>
              </w:numPr>
            </w:pPr>
            <w:r>
              <w:t xml:space="preserve">Draft of  Project Proposal (Problem Statement, and Proposed work and plan) </w:t>
            </w:r>
          </w:p>
          <w:p w:rsidR="000F52F6" w:rsidRDefault="000F52F6" w:rsidP="000F52F6">
            <w:pPr>
              <w:pStyle w:val="ListParagraph"/>
              <w:numPr>
                <w:ilvl w:val="0"/>
                <w:numId w:val="24"/>
              </w:numPr>
            </w:pP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EB24D8">
      <w:headerReference w:type="default" r:id="rId14"/>
      <w:footerReference w:type="default" r:id="rId15"/>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017" w:rsidRDefault="008B0017">
      <w:r>
        <w:separator/>
      </w:r>
    </w:p>
  </w:endnote>
  <w:endnote w:type="continuationSeparator" w:id="1">
    <w:p w:rsidR="008B0017" w:rsidRDefault="008B00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askerville">
    <w:altName w:val="Courier New"/>
    <w:charset w:val="00"/>
    <w:family w:val="auto"/>
    <w:pitch w:val="variable"/>
    <w:sig w:usb0="03000000" w:usb1="00000000" w:usb2="00000000" w:usb3="00000000" w:csb0="00000001" w:csb1="00000000"/>
  </w:font>
  <w:font w:name="Arial">
    <w:altName w:val="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80588C">
      <w:tc>
        <w:tcPr>
          <w:tcW w:w="918" w:type="dxa"/>
        </w:tcPr>
        <w:p w:rsidR="0080588C" w:rsidRDefault="00296470">
          <w:pPr>
            <w:pStyle w:val="Footer"/>
            <w:jc w:val="right"/>
            <w:rPr>
              <w:b/>
              <w:color w:val="4F81BD" w:themeColor="accent1"/>
              <w:sz w:val="32"/>
              <w:szCs w:val="32"/>
            </w:rPr>
          </w:pPr>
          <w:fldSimple w:instr=" PAGE   \* MERGEFORMAT ">
            <w:r w:rsidR="008A5993" w:rsidRPr="008A5993">
              <w:rPr>
                <w:b/>
                <w:noProof/>
                <w:color w:val="4F81BD" w:themeColor="accent1"/>
                <w:sz w:val="32"/>
                <w:szCs w:val="32"/>
              </w:rPr>
              <w:t>1</w:t>
            </w:r>
          </w:fldSimple>
        </w:p>
      </w:tc>
      <w:tc>
        <w:tcPr>
          <w:tcW w:w="7938" w:type="dxa"/>
        </w:tcPr>
        <w:p w:rsidR="0080588C" w:rsidRDefault="0080588C">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80588C" w:rsidRDefault="0080588C"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017" w:rsidRDefault="008B0017"/>
  </w:footnote>
  <w:footnote w:type="continuationSeparator" w:id="1">
    <w:p w:rsidR="008B0017" w:rsidRDefault="008B0017">
      <w:r>
        <w:continuationSeparator/>
      </w:r>
    </w:p>
  </w:footnote>
  <w:footnote w:id="2">
    <w:p w:rsidR="007E017B" w:rsidRDefault="00E97402" w:rsidP="007E017B">
      <w:pPr>
        <w:pStyle w:val="FootnoteText"/>
      </w:pPr>
      <w:r>
        <w:t>Man</w:t>
      </w:r>
      <w:r w:rsidR="007272B3">
        <w:t xml:space="preserve">uscript received </w:t>
      </w:r>
      <w:r w:rsidR="00667358">
        <w:t>June</w:t>
      </w:r>
      <w:r w:rsidR="00086100">
        <w:t xml:space="preserve"> XX, 20XX; revised July XX, 20XX.</w:t>
      </w:r>
      <w:r>
        <w:t xml:space="preserve">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E97402" w:rsidRDefault="00E9740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80588C"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5"/>
  </w:num>
  <w:num w:numId="18">
    <w:abstractNumId w:val="4"/>
  </w:num>
  <w:num w:numId="19">
    <w:abstractNumId w:val="14"/>
  </w:num>
  <w:num w:numId="20">
    <w:abstractNumId w:val="9"/>
  </w:num>
  <w:num w:numId="21">
    <w:abstractNumId w:val="1"/>
  </w:num>
  <w:num w:numId="22">
    <w:abstractNumId w:val="2"/>
  </w:num>
  <w:num w:numId="23">
    <w:abstractNumId w:val="13"/>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00969"/>
    <w:rsid w:val="00024D8C"/>
    <w:rsid w:val="00036984"/>
    <w:rsid w:val="000469CD"/>
    <w:rsid w:val="0005056E"/>
    <w:rsid w:val="00050AAA"/>
    <w:rsid w:val="000534CA"/>
    <w:rsid w:val="00055223"/>
    <w:rsid w:val="00072B64"/>
    <w:rsid w:val="00086100"/>
    <w:rsid w:val="000A42CA"/>
    <w:rsid w:val="000F52F6"/>
    <w:rsid w:val="00132532"/>
    <w:rsid w:val="001363E8"/>
    <w:rsid w:val="00144E72"/>
    <w:rsid w:val="00152D62"/>
    <w:rsid w:val="00166369"/>
    <w:rsid w:val="00191EFC"/>
    <w:rsid w:val="001978EA"/>
    <w:rsid w:val="001A0BC7"/>
    <w:rsid w:val="001C460F"/>
    <w:rsid w:val="001C4A2A"/>
    <w:rsid w:val="001C5108"/>
    <w:rsid w:val="001F68BF"/>
    <w:rsid w:val="00203AA5"/>
    <w:rsid w:val="0021023A"/>
    <w:rsid w:val="00210E48"/>
    <w:rsid w:val="002434A1"/>
    <w:rsid w:val="00250634"/>
    <w:rsid w:val="00296470"/>
    <w:rsid w:val="002B43F5"/>
    <w:rsid w:val="002B7AB1"/>
    <w:rsid w:val="002F13EE"/>
    <w:rsid w:val="002F2E2A"/>
    <w:rsid w:val="002F6E31"/>
    <w:rsid w:val="00301C99"/>
    <w:rsid w:val="00303DAB"/>
    <w:rsid w:val="00303ECC"/>
    <w:rsid w:val="00305B96"/>
    <w:rsid w:val="003165AA"/>
    <w:rsid w:val="00326C48"/>
    <w:rsid w:val="003422B3"/>
    <w:rsid w:val="00360269"/>
    <w:rsid w:val="00373501"/>
    <w:rsid w:val="0038157D"/>
    <w:rsid w:val="003916D2"/>
    <w:rsid w:val="003B2DA3"/>
    <w:rsid w:val="003F2C0E"/>
    <w:rsid w:val="003F5DB8"/>
    <w:rsid w:val="00404E7A"/>
    <w:rsid w:val="00423029"/>
    <w:rsid w:val="0043144F"/>
    <w:rsid w:val="00431BFA"/>
    <w:rsid w:val="00435697"/>
    <w:rsid w:val="00442200"/>
    <w:rsid w:val="00456ED8"/>
    <w:rsid w:val="004631BC"/>
    <w:rsid w:val="00463266"/>
    <w:rsid w:val="00465B4A"/>
    <w:rsid w:val="00472E41"/>
    <w:rsid w:val="004823FD"/>
    <w:rsid w:val="00485CF9"/>
    <w:rsid w:val="004C1E16"/>
    <w:rsid w:val="004E7649"/>
    <w:rsid w:val="004F119E"/>
    <w:rsid w:val="00500E43"/>
    <w:rsid w:val="00504CF3"/>
    <w:rsid w:val="00514C72"/>
    <w:rsid w:val="0052750C"/>
    <w:rsid w:val="00542DF5"/>
    <w:rsid w:val="00554C61"/>
    <w:rsid w:val="00584C7C"/>
    <w:rsid w:val="005A2A15"/>
    <w:rsid w:val="005A2D83"/>
    <w:rsid w:val="005B21DE"/>
    <w:rsid w:val="00603B29"/>
    <w:rsid w:val="00625E96"/>
    <w:rsid w:val="00636ACB"/>
    <w:rsid w:val="00654BF9"/>
    <w:rsid w:val="00667358"/>
    <w:rsid w:val="006B10EF"/>
    <w:rsid w:val="006B6E68"/>
    <w:rsid w:val="006F347B"/>
    <w:rsid w:val="0070309C"/>
    <w:rsid w:val="00707A3D"/>
    <w:rsid w:val="0072359B"/>
    <w:rsid w:val="007272B3"/>
    <w:rsid w:val="0075110C"/>
    <w:rsid w:val="00765E7A"/>
    <w:rsid w:val="0078769F"/>
    <w:rsid w:val="007C4336"/>
    <w:rsid w:val="007C46B6"/>
    <w:rsid w:val="007D76C2"/>
    <w:rsid w:val="007E017B"/>
    <w:rsid w:val="007E5BF4"/>
    <w:rsid w:val="0080588C"/>
    <w:rsid w:val="008113BC"/>
    <w:rsid w:val="0081542F"/>
    <w:rsid w:val="008164F0"/>
    <w:rsid w:val="0082494D"/>
    <w:rsid w:val="00826CA4"/>
    <w:rsid w:val="008433A1"/>
    <w:rsid w:val="00852A77"/>
    <w:rsid w:val="008573E6"/>
    <w:rsid w:val="00862503"/>
    <w:rsid w:val="0087792E"/>
    <w:rsid w:val="0088092B"/>
    <w:rsid w:val="008827DF"/>
    <w:rsid w:val="008A5993"/>
    <w:rsid w:val="008B0017"/>
    <w:rsid w:val="008B42FE"/>
    <w:rsid w:val="008B642A"/>
    <w:rsid w:val="008C0E24"/>
    <w:rsid w:val="008C1B65"/>
    <w:rsid w:val="008D1C04"/>
    <w:rsid w:val="00900F71"/>
    <w:rsid w:val="0091035B"/>
    <w:rsid w:val="009133BD"/>
    <w:rsid w:val="009146E9"/>
    <w:rsid w:val="00921BEB"/>
    <w:rsid w:val="00924A94"/>
    <w:rsid w:val="00932437"/>
    <w:rsid w:val="00943B41"/>
    <w:rsid w:val="00954C75"/>
    <w:rsid w:val="00991785"/>
    <w:rsid w:val="00994B68"/>
    <w:rsid w:val="009B5A2C"/>
    <w:rsid w:val="009C049A"/>
    <w:rsid w:val="009C32C3"/>
    <w:rsid w:val="009C7299"/>
    <w:rsid w:val="009D1691"/>
    <w:rsid w:val="009D1779"/>
    <w:rsid w:val="00A10EFA"/>
    <w:rsid w:val="00A14858"/>
    <w:rsid w:val="00A222A3"/>
    <w:rsid w:val="00A24283"/>
    <w:rsid w:val="00A27347"/>
    <w:rsid w:val="00A40B0F"/>
    <w:rsid w:val="00A5319A"/>
    <w:rsid w:val="00A77955"/>
    <w:rsid w:val="00AC6AAF"/>
    <w:rsid w:val="00AD4D65"/>
    <w:rsid w:val="00AD663A"/>
    <w:rsid w:val="00AE7410"/>
    <w:rsid w:val="00B13D77"/>
    <w:rsid w:val="00B16B52"/>
    <w:rsid w:val="00B32860"/>
    <w:rsid w:val="00B37DD6"/>
    <w:rsid w:val="00B4729A"/>
    <w:rsid w:val="00B53386"/>
    <w:rsid w:val="00B55088"/>
    <w:rsid w:val="00B81474"/>
    <w:rsid w:val="00B8649F"/>
    <w:rsid w:val="00BC663D"/>
    <w:rsid w:val="00BD5048"/>
    <w:rsid w:val="00BD5788"/>
    <w:rsid w:val="00BE24BE"/>
    <w:rsid w:val="00BE2C8B"/>
    <w:rsid w:val="00BF6F22"/>
    <w:rsid w:val="00C35FD2"/>
    <w:rsid w:val="00C638EF"/>
    <w:rsid w:val="00C94235"/>
    <w:rsid w:val="00CB4B8D"/>
    <w:rsid w:val="00CB7FE0"/>
    <w:rsid w:val="00CD0B6E"/>
    <w:rsid w:val="00CD59EF"/>
    <w:rsid w:val="00CF0AF0"/>
    <w:rsid w:val="00D0320C"/>
    <w:rsid w:val="00D44AA0"/>
    <w:rsid w:val="00D47587"/>
    <w:rsid w:val="00D56935"/>
    <w:rsid w:val="00D56B51"/>
    <w:rsid w:val="00D64B3C"/>
    <w:rsid w:val="00D758C6"/>
    <w:rsid w:val="00D83625"/>
    <w:rsid w:val="00D84095"/>
    <w:rsid w:val="00D87509"/>
    <w:rsid w:val="00D91043"/>
    <w:rsid w:val="00DA58C5"/>
    <w:rsid w:val="00DB4B7E"/>
    <w:rsid w:val="00DB5DBE"/>
    <w:rsid w:val="00DF2DDE"/>
    <w:rsid w:val="00E00231"/>
    <w:rsid w:val="00E326E1"/>
    <w:rsid w:val="00E34006"/>
    <w:rsid w:val="00E443FD"/>
    <w:rsid w:val="00E44E2D"/>
    <w:rsid w:val="00E50DF6"/>
    <w:rsid w:val="00E8788C"/>
    <w:rsid w:val="00E91F48"/>
    <w:rsid w:val="00E92780"/>
    <w:rsid w:val="00E97402"/>
    <w:rsid w:val="00EA459F"/>
    <w:rsid w:val="00EA4D9A"/>
    <w:rsid w:val="00EA7E40"/>
    <w:rsid w:val="00EB0BAE"/>
    <w:rsid w:val="00EB24D8"/>
    <w:rsid w:val="00EC670E"/>
    <w:rsid w:val="00ED608F"/>
    <w:rsid w:val="00EF052D"/>
    <w:rsid w:val="00F06486"/>
    <w:rsid w:val="00F07C86"/>
    <w:rsid w:val="00F26791"/>
    <w:rsid w:val="00F35257"/>
    <w:rsid w:val="00F65266"/>
    <w:rsid w:val="00F73CDE"/>
    <w:rsid w:val="00FB4FC4"/>
    <w:rsid w:val="00FB7CCD"/>
    <w:rsid w:val="00FD70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itzlaw.osu.edu/electionlaw/news/documents/DREAnalysisforMay2006Primary.pdf" TargetMode="External"/><Relationship Id="rId13" Type="http://schemas.openxmlformats.org/officeDocument/2006/relationships/hyperlink" Target="http://en.wikipedia.org/wiki/Egyptian_constitutional_referendum,_20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Confidence_interv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mocrats.org/pdfs/ohvrireport/section03.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yvv.org/%20doc/voterlines.pdf" TargetMode="External"/><Relationship Id="rId4" Type="http://schemas.openxmlformats.org/officeDocument/2006/relationships/settings" Target="settings.xml"/><Relationship Id="rId9" Type="http://schemas.openxmlformats.org/officeDocument/2006/relationships/hyperlink" Target="http://centralohiovoters.home.att.net/elect2004.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63CD-711F-4A34-BE3B-C6CDD580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6</Pages>
  <Words>4006</Words>
  <Characters>22836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26789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boss</cp:lastModifiedBy>
  <cp:revision>28</cp:revision>
  <cp:lastPrinted>2007-05-08T06:48:00Z</cp:lastPrinted>
  <dcterms:created xsi:type="dcterms:W3CDTF">2011-05-28T08:33:00Z</dcterms:created>
  <dcterms:modified xsi:type="dcterms:W3CDTF">2011-05-29T21:42:00Z</dcterms:modified>
</cp:coreProperties>
</file>