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CD567" w14:textId="0E74FBA6" w:rsidR="00A235CF" w:rsidRDefault="00F5265C" w:rsidP="006851AB">
      <w:pPr>
        <w:pStyle w:val="Heading1"/>
      </w:pPr>
      <w:r>
        <w:t>MIS</w:t>
      </w:r>
      <w:r w:rsidR="00EE2688">
        <w:t>715</w:t>
      </w:r>
      <w:r>
        <w:t xml:space="preserve"> </w:t>
      </w:r>
      <w:r w:rsidR="00930298">
        <w:t>2</w:t>
      </w:r>
      <w:r>
        <w:t xml:space="preserve">.4 AI </w:t>
      </w:r>
      <w:r w:rsidR="00930298">
        <w:t>Responsible Research and Innovation</w:t>
      </w:r>
    </w:p>
    <w:p w14:paraId="19C68C65" w14:textId="77777777" w:rsidR="006851AB" w:rsidRDefault="006851AB" w:rsidP="006851AB"/>
    <w:p w14:paraId="789F5505" w14:textId="635851B3" w:rsidR="00084C2B" w:rsidRDefault="00084C2B" w:rsidP="00084C2B">
      <w:r>
        <w:t xml:space="preserve">The </w:t>
      </w:r>
      <w:r w:rsidR="00DF0F2C">
        <w:t xml:space="preserve">Responsible Research and Innovation </w:t>
      </w:r>
      <w:r>
        <w:t xml:space="preserve">process is captured </w:t>
      </w:r>
      <w:r w:rsidR="00DF0F2C">
        <w:t>by</w:t>
      </w:r>
      <w:r>
        <w:t xml:space="preserve"> Dignum (2019</w:t>
      </w:r>
      <w:r>
        <w:t>, p 50</w:t>
      </w:r>
      <w:r>
        <w:t>), where the goal is for all parties</w:t>
      </w:r>
      <w:r w:rsidR="00EC2196">
        <w:t xml:space="preserve">; business &amp; industry, researchers, civil society, </w:t>
      </w:r>
      <w:proofErr w:type="gramStart"/>
      <w:r w:rsidR="00EC2196">
        <w:t>education</w:t>
      </w:r>
      <w:proofErr w:type="gramEnd"/>
      <w:r w:rsidR="00EC2196">
        <w:t xml:space="preserve"> and policy makers</w:t>
      </w:r>
      <w:r>
        <w:t xml:space="preserve"> to participate in setting the direction of research and innovation</w:t>
      </w:r>
      <w:r w:rsidR="00E3320A">
        <w:t>, using the following processes</w:t>
      </w:r>
      <w:r>
        <w:t>:</w:t>
      </w:r>
    </w:p>
    <w:p w14:paraId="7A5FB340" w14:textId="77777777" w:rsidR="002975C3" w:rsidRDefault="002975C3" w:rsidP="00084C2B"/>
    <w:p w14:paraId="29B28D2F" w14:textId="77777777" w:rsidR="00FD2656" w:rsidRPr="00FD2656" w:rsidRDefault="00FD2656" w:rsidP="00FD2656">
      <w:pPr>
        <w:rPr>
          <w:rFonts w:ascii="Times New Roman" w:hAnsi="Times New Roman" w:cs="Times New Roman"/>
          <w:sz w:val="24"/>
          <w:szCs w:val="24"/>
        </w:rPr>
      </w:pPr>
      <w:bookmarkStart w:id="0" w:name="_Hlk118727121"/>
      <w:r w:rsidRPr="00FD2656">
        <w:rPr>
          <w:rFonts w:asciiTheme="majorHAnsi" w:hAnsiTheme="majorHAnsi" w:cs="Open Sans"/>
          <w:bCs/>
          <w:color w:val="2F5496" w:themeColor="accent1" w:themeShade="BF"/>
          <w:sz w:val="28"/>
          <w:szCs w:val="45"/>
        </w:rPr>
        <w:t>Openness and transparency</w:t>
      </w:r>
      <w:r w:rsidRPr="00FD2656">
        <w:rPr>
          <w:rFonts w:asciiTheme="majorHAnsi" w:hAnsiTheme="majorHAnsi" w:cs="Open Sans"/>
          <w:bCs/>
          <w:color w:val="2F5496" w:themeColor="accent1" w:themeShade="BF"/>
          <w:sz w:val="28"/>
          <w:szCs w:val="45"/>
        </w:rPr>
        <w:t xml:space="preserve"> </w:t>
      </w:r>
    </w:p>
    <w:p w14:paraId="3CEB90A3" w14:textId="41DF015E" w:rsidR="00FD2656" w:rsidRDefault="00FD2656" w:rsidP="00FD2656">
      <w:r>
        <w:t>Openness and transparency</w:t>
      </w:r>
      <w:bookmarkEnd w:id="0"/>
      <w:r>
        <w:t xml:space="preserve"> underpin the validity of the process (compare with the need for integrity commissions to ensure open and transparent government). </w:t>
      </w:r>
    </w:p>
    <w:p w14:paraId="2B2CFD75" w14:textId="77777777" w:rsidR="00FD2656" w:rsidRDefault="00FD2656" w:rsidP="00FD2656"/>
    <w:p w14:paraId="37A0BCC4" w14:textId="2C76880A" w:rsidR="00FD2656" w:rsidRDefault="00FD2656" w:rsidP="00FD2656">
      <w:pPr>
        <w:pStyle w:val="Heading2"/>
      </w:pPr>
      <w:r>
        <w:t>Diversity and Inclusion</w:t>
      </w:r>
    </w:p>
    <w:p w14:paraId="68701C15" w14:textId="77777777" w:rsidR="00FD2656" w:rsidRDefault="00FD2656" w:rsidP="00FD2656">
      <w:r>
        <w:t xml:space="preserve">Diversity and Inclusion aims to tap a wide range of stakeholders early in the process drawing on a diversity of opinions and wide range of knowledge, </w:t>
      </w:r>
      <w:proofErr w:type="gramStart"/>
      <w:r>
        <w:t>skills</w:t>
      </w:r>
      <w:proofErr w:type="gramEnd"/>
      <w:r>
        <w:t xml:space="preserve"> and perspectives from a range of disciplines. </w:t>
      </w:r>
    </w:p>
    <w:p w14:paraId="79C7DD43" w14:textId="77777777" w:rsidR="00FD2656" w:rsidRDefault="00FD2656" w:rsidP="00FD2656"/>
    <w:p w14:paraId="34188FA3" w14:textId="0380416A" w:rsidR="00FD2656" w:rsidRDefault="00FD2656" w:rsidP="00FD2656">
      <w:pPr>
        <w:pStyle w:val="Heading2"/>
      </w:pPr>
      <w:r>
        <w:t xml:space="preserve">Anticipation and </w:t>
      </w:r>
      <w:r>
        <w:t>Refle</w:t>
      </w:r>
      <w:r>
        <w:t>ction</w:t>
      </w:r>
      <w:r>
        <w:tab/>
      </w:r>
      <w:r>
        <w:tab/>
      </w:r>
    </w:p>
    <w:p w14:paraId="2D4B3290" w14:textId="77777777" w:rsidR="00FD2656" w:rsidRDefault="00FD2656" w:rsidP="00FD2656">
      <w:r>
        <w:t xml:space="preserve">Anticipation and </w:t>
      </w:r>
      <w:r>
        <w:t>Refle</w:t>
      </w:r>
      <w:r>
        <w:t>ction</w:t>
      </w:r>
      <w:r>
        <w:t xml:space="preserve"> </w:t>
      </w:r>
      <w:r>
        <w:t xml:space="preserve">means understanding the current context from different perspectives, considering environmental, </w:t>
      </w:r>
      <w:proofErr w:type="gramStart"/>
      <w:r>
        <w:t>economic</w:t>
      </w:r>
      <w:proofErr w:type="gramEnd"/>
      <w:r>
        <w:t xml:space="preserve"> and social impacts. Reflection at both individual and organisational levels is imperative for refinement and adherence to responsible AI. </w:t>
      </w:r>
    </w:p>
    <w:p w14:paraId="66DD2545" w14:textId="77777777" w:rsidR="00FD2656" w:rsidRDefault="00FD2656" w:rsidP="00FD2656"/>
    <w:p w14:paraId="2B878B41" w14:textId="09F5FE7B" w:rsidR="00FD2656" w:rsidRDefault="00FD2656" w:rsidP="00FD2656">
      <w:pPr>
        <w:pStyle w:val="Heading2"/>
      </w:pPr>
      <w:r>
        <w:t>Responsiveness and Adaptiveness</w:t>
      </w:r>
    </w:p>
    <w:p w14:paraId="38DF89B1" w14:textId="77777777" w:rsidR="00FD2656" w:rsidRDefault="00FD2656" w:rsidP="00FD2656">
      <w:r>
        <w:t>Responsiveness and Adaptiveness means continued interactions with stakeholders with a willingness to adapt to changes to behaviours and approaches to development based on changes in context and feedback,</w:t>
      </w:r>
    </w:p>
    <w:p w14:paraId="72B21ACC" w14:textId="77777777" w:rsidR="00FD2656" w:rsidRDefault="00FD2656" w:rsidP="00FD2656"/>
    <w:p w14:paraId="66999C46" w14:textId="091503E1" w:rsidR="0001248A" w:rsidRDefault="0001248A" w:rsidP="0001248A">
      <w:pPr>
        <w:pStyle w:val="Heading2"/>
      </w:pPr>
      <w:r>
        <w:t>Reference</w:t>
      </w:r>
    </w:p>
    <w:p w14:paraId="1C18D786" w14:textId="77777777" w:rsidR="0001248A" w:rsidRDefault="0001248A" w:rsidP="0001248A">
      <w:pPr>
        <w:autoSpaceDE w:val="0"/>
        <w:autoSpaceDN w:val="0"/>
        <w:adjustRightInd w:val="0"/>
        <w:ind w:left="720" w:hanging="720"/>
        <w:rPr>
          <w:rFonts w:ascii="Calibri" w:hAnsi="Calibri" w:cs="Calibri"/>
        </w:rPr>
      </w:pPr>
      <w:r w:rsidRPr="002D2B80">
        <w:rPr>
          <w:rFonts w:ascii="Calibri" w:hAnsi="Calibri" w:cs="Calibri"/>
        </w:rPr>
        <w:t xml:space="preserve">Dignum, V. (2019). </w:t>
      </w:r>
      <w:r w:rsidRPr="002D2B80">
        <w:rPr>
          <w:rFonts w:ascii="Calibri" w:hAnsi="Calibri" w:cs="Calibri"/>
          <w:i/>
          <w:iCs/>
        </w:rPr>
        <w:t xml:space="preserve">Responsible Artificial Intelligence: How to Develop and Use AI in a Responsible </w:t>
      </w:r>
      <w:proofErr w:type="gramStart"/>
      <w:r w:rsidRPr="002D2B80">
        <w:rPr>
          <w:rFonts w:ascii="Calibri" w:hAnsi="Calibri" w:cs="Calibri"/>
          <w:i/>
          <w:iCs/>
        </w:rPr>
        <w:t>Way</w:t>
      </w:r>
      <w:r w:rsidRPr="002D2B80">
        <w:rPr>
          <w:rFonts w:ascii="Calibri" w:hAnsi="Calibri" w:cs="Calibri"/>
        </w:rPr>
        <w:t xml:space="preserve">  [</w:t>
      </w:r>
      <w:proofErr w:type="gramEnd"/>
      <w:r w:rsidRPr="002D2B80">
        <w:rPr>
          <w:rFonts w:ascii="Calibri" w:hAnsi="Calibri" w:cs="Calibri"/>
        </w:rPr>
        <w:t xml:space="preserve">Online]. Springer. </w:t>
      </w:r>
      <w:hyperlink r:id="rId7" w:history="1">
        <w:r w:rsidRPr="001A3FBC">
          <w:rPr>
            <w:rStyle w:val="Hyperlink"/>
            <w:rFonts w:ascii="Calibri" w:hAnsi="Calibri" w:cs="Calibri"/>
          </w:rPr>
          <w:t>https://ezproxy.deakin.edu.au/login?url=https://search.ebscohost.com/login.aspx?direct=true&amp;db=cat00097a&amp;AN=deakin.b4351419&amp;site=eds-live&amp;scope=site</w:t>
        </w:r>
      </w:hyperlink>
    </w:p>
    <w:p w14:paraId="062D79F9" w14:textId="77777777" w:rsidR="0001248A" w:rsidRDefault="0001248A" w:rsidP="00FD2656"/>
    <w:sectPr w:rsidR="00012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4F57"/>
    <w:multiLevelType w:val="multilevel"/>
    <w:tmpl w:val="2568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87504"/>
    <w:multiLevelType w:val="multilevel"/>
    <w:tmpl w:val="DD1C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9C25B"/>
    <w:multiLevelType w:val="hybridMultilevel"/>
    <w:tmpl w:val="FFFFFFFF"/>
    <w:lvl w:ilvl="0" w:tplc="16B2F41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D5129970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E64EBC94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48EAD2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DB0898A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F2F43346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78A4B12A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AAE96BE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94C0208A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36645173"/>
    <w:multiLevelType w:val="multilevel"/>
    <w:tmpl w:val="D10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129734">
    <w:abstractNumId w:val="3"/>
  </w:num>
  <w:num w:numId="2" w16cid:durableId="364603195">
    <w:abstractNumId w:val="1"/>
  </w:num>
  <w:num w:numId="3" w16cid:durableId="1715278091">
    <w:abstractNumId w:val="0"/>
  </w:num>
  <w:num w:numId="4" w16cid:durableId="1670450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5C"/>
    <w:rsid w:val="0001248A"/>
    <w:rsid w:val="00084C2B"/>
    <w:rsid w:val="001163A1"/>
    <w:rsid w:val="002975C3"/>
    <w:rsid w:val="0041493F"/>
    <w:rsid w:val="00450BED"/>
    <w:rsid w:val="005C0CBA"/>
    <w:rsid w:val="005E708D"/>
    <w:rsid w:val="006851AB"/>
    <w:rsid w:val="00930298"/>
    <w:rsid w:val="00A2145F"/>
    <w:rsid w:val="00A235CF"/>
    <w:rsid w:val="00A94C60"/>
    <w:rsid w:val="00D51F85"/>
    <w:rsid w:val="00D91D35"/>
    <w:rsid w:val="00DC30AB"/>
    <w:rsid w:val="00DE3A6D"/>
    <w:rsid w:val="00DF0F2C"/>
    <w:rsid w:val="00E3320A"/>
    <w:rsid w:val="00EC2196"/>
    <w:rsid w:val="00EE2688"/>
    <w:rsid w:val="00EE5F1A"/>
    <w:rsid w:val="00F5265C"/>
    <w:rsid w:val="00F576AF"/>
    <w:rsid w:val="00FD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E57D"/>
  <w15:chartTrackingRefBased/>
  <w15:docId w15:val="{3F882139-1F57-476B-8484-464949F0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1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1493F"/>
    <w:pPr>
      <w:spacing w:before="300" w:after="150" w:line="420" w:lineRule="atLeast"/>
      <w:outlineLvl w:val="1"/>
    </w:pPr>
    <w:rPr>
      <w:rFonts w:asciiTheme="majorHAnsi" w:eastAsia="Times New Roman" w:hAnsiTheme="majorHAnsi" w:cs="Open Sans"/>
      <w:bCs/>
      <w:color w:val="2F5496" w:themeColor="accent1" w:themeShade="BF"/>
      <w:sz w:val="28"/>
      <w:szCs w:val="45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Title"/>
    <w:link w:val="Style1Char"/>
    <w:qFormat/>
    <w:rsid w:val="00A94C60"/>
    <w:rPr>
      <w:b/>
      <w:color w:val="44546A" w:themeColor="text2"/>
      <w:kern w:val="0"/>
    </w:rPr>
  </w:style>
  <w:style w:type="character" w:customStyle="1" w:styleId="Style1Char">
    <w:name w:val="Style1 Char"/>
    <w:basedOn w:val="TitleChar"/>
    <w:link w:val="Style1"/>
    <w:rsid w:val="00A94C60"/>
    <w:rPr>
      <w:rFonts w:asciiTheme="majorHAnsi" w:eastAsiaTheme="majorEastAsia" w:hAnsiTheme="majorHAnsi" w:cstheme="majorBidi"/>
      <w:b/>
      <w:color w:val="44546A" w:themeColor="text2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A94C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1493F"/>
    <w:rPr>
      <w:rFonts w:asciiTheme="majorHAnsi" w:eastAsia="Times New Roman" w:hAnsiTheme="majorHAnsi" w:cs="Open Sans"/>
      <w:bCs/>
      <w:color w:val="2F5496" w:themeColor="accent1" w:themeShade="BF"/>
      <w:sz w:val="28"/>
      <w:szCs w:val="45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685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85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FD265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unhideWhenUsed/>
    <w:rsid w:val="0001248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124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ezproxy.deakin.edu.au/login?url=https://search.ebscohost.com/login.aspx?direct=true&amp;db=cat00097a&amp;AN=deakin.b4351419&amp;site=eds-live&amp;scope=sit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E257D8EB9AD04F8AAA64378335E25D" ma:contentTypeVersion="10" ma:contentTypeDescription="Create a new document." ma:contentTypeScope="" ma:versionID="0f459261e761bfa47808f76ab62e03e1">
  <xsd:schema xmlns:xsd="http://www.w3.org/2001/XMLSchema" xmlns:xs="http://www.w3.org/2001/XMLSchema" xmlns:p="http://schemas.microsoft.com/office/2006/metadata/properties" xmlns:ns2="9df701e0-3220-467d-aa70-4089efbde873" xmlns:ns3="7d9e53ee-9e97-4d00-96ff-4555c40a4d1c" targetNamespace="http://schemas.microsoft.com/office/2006/metadata/properties" ma:root="true" ma:fieldsID="7a388390f0ef7b26f87565ae2002703f" ns2:_="" ns3:_="">
    <xsd:import namespace="9df701e0-3220-467d-aa70-4089efbde873"/>
    <xsd:import namespace="7d9e53ee-9e97-4d00-96ff-4555c40a4d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701e0-3220-467d-aa70-4089efbde8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e53ee-9e97-4d00-96ff-4555c40a4d1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77f85bf-922e-4eb8-b4b2-74d9df32a7af}" ma:internalName="TaxCatchAll" ma:showField="CatchAllData" ma:web="7d9e53ee-9e97-4d00-96ff-4555c40a4d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79B614-088D-4387-89DB-AFEF221D02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701e0-3220-467d-aa70-4089efbde873"/>
    <ds:schemaRef ds:uri="7d9e53ee-9e97-4d00-96ff-4555c40a4d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64CF45-AAC1-41AE-B337-D3EB464D1C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Tyrell</dc:creator>
  <cp:keywords/>
  <dc:description/>
  <cp:lastModifiedBy>Simone Tyrell</cp:lastModifiedBy>
  <cp:revision>2</cp:revision>
  <dcterms:created xsi:type="dcterms:W3CDTF">2022-11-07T04:32:00Z</dcterms:created>
  <dcterms:modified xsi:type="dcterms:W3CDTF">2022-11-07T04:32:00Z</dcterms:modified>
</cp:coreProperties>
</file>