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Data Processing Agreement (DPA)</w:t>
      </w:r>
    </w:p>
    <w:p>
      <w:pPr>
        <w:spacing w:after="400"/>
        <w:jc w:val="center"/>
      </w:pPr>
      <w:r>
        <w:rPr>
          <w:i/>
          <w:iCs/>
        </w:rPr>
        <w:t xml:space="preserve">Between Talvorax ("Processor") and Client ("Controller")</w:t>
      </w:r>
    </w:p>
    <w:p>
      <w:pPr>
        <w:spacing w:after="120"/>
      </w:pPr>
      <w:r>
        <w:t xml:space="preserve">This Data Processing Agreement ("DPA") forms part of and is incorporated into the Terms of Service between Talvorax ("Processor", "we", "us") and the Client entity that has agreed to the Terms of Service ("Controller", "Client", "you"). This DPA governs the processing of personal data belonging to the Controller's candidates, employees, or other data subjects ("Data Subjects") through the Talvorax Platform.</w:t>
      </w:r>
    </w:p>
    <w:p>
      <w:pPr>
        <w:pStyle w:val="Heading1"/>
        <w:spacing w:after="150" w:before="300"/>
      </w:pPr>
      <w:r>
        <w:t xml:space="preserve">1. Definitions</w:t>
      </w:r>
    </w:p>
    <w:p>
      <w:pPr>
        <w:pStyle w:val="ListParagraph"/>
        <w:numPr>
          <w:ilvl w:val="0"/>
          <w:numId w:val="1"/>
        </w:numPr>
        <w:spacing w:after="80"/>
      </w:pPr>
      <w:r>
        <w:t xml:space="preserve">"Personal Data" means any information relating to an identified or identifiable Data Subject, processed by Talvorax on behalf of the Controller through the Platform.</w:t>
      </w:r>
    </w:p>
    <w:p>
      <w:pPr>
        <w:pStyle w:val="ListParagraph"/>
        <w:numPr>
          <w:ilvl w:val="0"/>
          <w:numId w:val="1"/>
        </w:numPr>
        <w:spacing w:after="80"/>
      </w:pPr>
      <w:r>
        <w:t xml:space="preserve">"Processing" has the meaning given under the Digital Personal Data Protection Act, 2023 ("DPDP Act") and includes collection, storage, use, disclosure, and deletion of Personal Data.</w:t>
      </w:r>
    </w:p>
    <w:p>
      <w:pPr>
        <w:pStyle w:val="ListParagraph"/>
        <w:numPr>
          <w:ilvl w:val="0"/>
          <w:numId w:val="1"/>
        </w:numPr>
        <w:spacing w:after="80"/>
      </w:pPr>
      <w:r>
        <w:t xml:space="preserve">"Sub-processor" means any third party engaged by Talvorax to process Personal Data on its behalf.</w:t>
      </w:r>
    </w:p>
    <w:p>
      <w:pPr>
        <w:pStyle w:val="Heading1"/>
        <w:spacing w:after="150" w:before="300"/>
      </w:pPr>
      <w:r>
        <w:t xml:space="preserve">2. Roles of the Parties</w:t>
      </w:r>
    </w:p>
    <w:p>
      <w:pPr>
        <w:spacing w:after="120"/>
      </w:pPr>
      <w:r>
        <w:t xml:space="preserve">For the purposes of this DPA, the Controller determines the purposes and means of processing Personal Data of its candidates/employees, and Talvorax acts as a service provider processing such Personal Data solely on the Controller's documented instructions, as set out in this DPA and the underlying Terms of Service.</w:t>
      </w:r>
    </w:p>
    <w:p>
      <w:pPr>
        <w:pStyle w:val="Heading1"/>
        <w:spacing w:after="150" w:before="300"/>
      </w:pPr>
      <w:r>
        <w:t xml:space="preserve">3. Scope and Nature of Processing</w:t>
      </w:r>
    </w:p>
    <w:p>
      <w:pPr>
        <w:spacing w:after="120"/>
      </w:pPr>
      <w:r>
        <w:t xml:space="preserve">Talvorax processes the following categories of Personal Data on behalf of the Controller: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3200"/>
      </w:tblGrid>
      <w:tr>
        <w:tc>
          <w:tcPr>
            <w:tcW w:type="dxa" w:w="2500"/>
            <w:shd w:fill="E8E8E8" w:val="clear"/>
          </w:tcPr>
          <w:p>
            <w:r>
              <w:rPr>
                <w:b/>
                <w:bCs/>
              </w:rPr>
              <w:t xml:space="preserve">Category</w:t>
            </w:r>
          </w:p>
        </w:tc>
        <w:tc>
          <w:tcPr>
            <w:tcW w:type="dxa" w:w="4500"/>
            <w:shd w:fill="E8E8E8" w:val="clear"/>
          </w:tcPr>
          <w:p>
            <w:r>
              <w:rPr>
                <w:b/>
                <w:bCs/>
              </w:rPr>
              <w:t xml:space="preserve">Examples</w:t>
            </w:r>
          </w:p>
        </w:tc>
        <w:tc>
          <w:tcPr>
            <w:tcW w:type="dxa" w:w="3200"/>
            <w:shd w:fill="E8E8E8" w:val="clear"/>
          </w:tcPr>
          <w:p>
            <w:r>
              <w:rPr>
                <w:b/>
                <w:bCs/>
              </w:rPr>
              <w:t xml:space="preserve">Purpose</w:t>
            </w:r>
          </w:p>
        </w:tc>
      </w:tr>
      <w:tr>
        <w:tc>
          <w:tcPr>
            <w:tcW w:type="dxa" w:w="2500"/>
          </w:tcPr>
          <w:p>
            <w:r>
              <w:rPr>
                <w:b w:val="false"/>
                <w:bCs w:val="false"/>
              </w:rPr>
              <w:t xml:space="preserve">Candidate identity data</w:t>
            </w:r>
          </w:p>
        </w:tc>
        <w:tc>
          <w:tcPr>
            <w:tcW w:type="dxa" w:w="4500"/>
          </w:tcPr>
          <w:p>
            <w:r>
              <w:rPr>
                <w:b w:val="false"/>
                <w:bCs w:val="false"/>
              </w:rPr>
              <w:t xml:space="preserve">Name, email, phone, address</w:t>
            </w:r>
          </w:p>
        </w:tc>
        <w:tc>
          <w:tcPr>
            <w:tcW w:type="dxa" w:w="3200"/>
          </w:tcPr>
          <w:p>
            <w:r>
              <w:rPr>
                <w:b w:val="false"/>
                <w:bCs w:val="false"/>
              </w:rPr>
              <w:t xml:space="preserve">Recruitment, communication</w:t>
            </w:r>
          </w:p>
        </w:tc>
      </w:tr>
      <w:tr>
        <w:tc>
          <w:tcPr>
            <w:tcW w:type="dxa" w:w="2500"/>
          </w:tcPr>
          <w:p>
            <w:r>
              <w:rPr>
                <w:b w:val="false"/>
                <w:bCs w:val="false"/>
              </w:rPr>
              <w:t xml:space="preserve">Professional data</w:t>
            </w:r>
          </w:p>
        </w:tc>
        <w:tc>
          <w:tcPr>
            <w:tcW w:type="dxa" w:w="4500"/>
          </w:tcPr>
          <w:p>
            <w:r>
              <w:rPr>
                <w:b w:val="false"/>
                <w:bCs w:val="false"/>
              </w:rPr>
              <w:t xml:space="preserve">Resume/CV, work history, education, skills</w:t>
            </w:r>
          </w:p>
        </w:tc>
        <w:tc>
          <w:tcPr>
            <w:tcW w:type="dxa" w:w="3200"/>
          </w:tcPr>
          <w:p>
            <w:r>
              <w:rPr>
                <w:b w:val="false"/>
                <w:bCs w:val="false"/>
              </w:rPr>
              <w:t xml:space="preserve">Screening, matching</w:t>
            </w:r>
          </w:p>
        </w:tc>
      </w:tr>
      <w:tr>
        <w:tc>
          <w:tcPr>
            <w:tcW w:type="dxa" w:w="2500"/>
          </w:tcPr>
          <w:p>
            <w:r>
              <w:rPr>
                <w:b w:val="false"/>
                <w:bCs w:val="false"/>
              </w:rPr>
              <w:t xml:space="preserve">Assessment data</w:t>
            </w:r>
          </w:p>
        </w:tc>
        <w:tc>
          <w:tcPr>
            <w:tcW w:type="dxa" w:w="4500"/>
          </w:tcPr>
          <w:p>
            <w:r>
              <w:rPr>
                <w:b w:val="false"/>
                <w:bCs w:val="false"/>
              </w:rPr>
              <w:t xml:space="preserve">Interview responses (text/audio/video), scores</w:t>
            </w:r>
          </w:p>
        </w:tc>
        <w:tc>
          <w:tcPr>
            <w:tcW w:type="dxa" w:w="3200"/>
          </w:tcPr>
          <w:p>
            <w:r>
              <w:rPr>
                <w:b w:val="false"/>
                <w:bCs w:val="false"/>
              </w:rPr>
              <w:t xml:space="preserve">Automated interview/assessment features</w:t>
            </w:r>
          </w:p>
        </w:tc>
      </w:tr>
      <w:tr>
        <w:tc>
          <w:tcPr>
            <w:tcW w:type="dxa" w:w="2500"/>
          </w:tcPr>
          <w:p>
            <w:r>
              <w:rPr>
                <w:b w:val="false"/>
                <w:bCs w:val="false"/>
              </w:rPr>
              <w:t xml:space="preserve">Account data</w:t>
            </w:r>
          </w:p>
        </w:tc>
        <w:tc>
          <w:tcPr>
            <w:tcW w:type="dxa" w:w="4500"/>
          </w:tcPr>
          <w:p>
            <w:r>
              <w:rPr>
                <w:b w:val="false"/>
                <w:bCs w:val="false"/>
              </w:rPr>
              <w:t xml:space="preserve">Login credentials, usage logs</w:t>
            </w:r>
          </w:p>
        </w:tc>
        <w:tc>
          <w:tcPr>
            <w:tcW w:type="dxa" w:w="3200"/>
          </w:tcPr>
          <w:p>
            <w:r>
              <w:rPr>
                <w:b w:val="false"/>
                <w:bCs w:val="false"/>
              </w:rPr>
              <w:t xml:space="preserve">Platform access and security</w:t>
            </w:r>
          </w:p>
        </w:tc>
      </w:tr>
    </w:tbl>
    <w:p>
      <w:pPr>
        <w:spacing w:after="200"/>
      </w:pPr>
    </w:p>
    <w:p>
      <w:pPr>
        <w:pStyle w:val="Heading1"/>
        <w:spacing w:after="150" w:before="300"/>
      </w:pPr>
      <w:r>
        <w:t xml:space="preserve">4. Controller's Instructions</w:t>
      </w:r>
    </w:p>
    <w:p>
      <w:pPr>
        <w:pStyle w:val="ListParagraph"/>
        <w:numPr>
          <w:ilvl w:val="0"/>
          <w:numId w:val="1"/>
        </w:numPr>
        <w:spacing w:after="80"/>
      </w:pPr>
      <w:r>
        <w:t xml:space="preserve">Talvorax shall process Personal Data only on the documented instructions of the Controller, including instructions given through use of standard Platform features, unless required to do otherwise by applicable law.</w:t>
      </w:r>
    </w:p>
    <w:p>
      <w:pPr>
        <w:pStyle w:val="ListParagraph"/>
        <w:numPr>
          <w:ilvl w:val="0"/>
          <w:numId w:val="1"/>
        </w:numPr>
        <w:spacing w:after="80"/>
      </w:pPr>
      <w:r>
        <w:t xml:space="preserve">If Talvorax believes an instruction infringes the DPDP Act or other applicable data protection law, it will promptly inform the Controller.</w:t>
      </w:r>
    </w:p>
    <w:p>
      <w:pPr>
        <w:pStyle w:val="Heading1"/>
        <w:spacing w:after="150" w:before="300"/>
      </w:pPr>
      <w:r>
        <w:t xml:space="preserve">5. Confidentiality</w:t>
      </w:r>
    </w:p>
    <w:p>
      <w:pPr>
        <w:spacing w:after="120"/>
      </w:pPr>
      <w:r>
        <w:t xml:space="preserve">Talvorax shall ensure that personnel authorised to process Personal Data are bound by confidentiality obligations, whether contractual or statutory, and process Personal Data strictly on a need-to-know basis.</w:t>
      </w:r>
    </w:p>
    <w:p>
      <w:pPr>
        <w:pStyle w:val="Heading1"/>
        <w:spacing w:after="150" w:before="300"/>
      </w:pPr>
      <w:r>
        <w:t xml:space="preserve">6. Sub-processors</w:t>
      </w:r>
    </w:p>
    <w:p>
      <w:pPr>
        <w:spacing w:after="120"/>
      </w:pPr>
      <w:r>
        <w:t xml:space="preserve">The Controller authorises Talvorax to engage the following Sub-processor(s) for the purposes of providing the Platform:</w:t>
      </w:r>
    </w:p>
    <w:p>
      <w:pPr>
        <w:pStyle w:val="ListParagraph"/>
        <w:numPr>
          <w:ilvl w:val="0"/>
          <w:numId w:val="1"/>
        </w:numPr>
        <w:spacing w:after="80"/>
      </w:pPr>
      <w:r>
        <w:t xml:space="preserve">Supabase — database hosting and backend infrastructure.</w:t>
      </w:r>
    </w:p>
    <w:p>
      <w:pPr>
        <w:spacing w:after="120"/>
      </w:pPr>
      <w:r>
        <w:t xml:space="preserve">Talvorax shall notify the Controller of any intended addition or replacement of Sub-processors, giving the Controller a reasonable opportunity to object on reasonable data-protection grounds. Talvorax remains responsible for the acts and omissions of its Sub-processors to the same extent as if performed by Talvorax directly.</w:t>
      </w:r>
    </w:p>
    <w:p>
      <w:pPr>
        <w:pStyle w:val="Heading1"/>
        <w:spacing w:after="150" w:before="300"/>
      </w:pPr>
      <w:r>
        <w:t xml:space="preserve">7. Security Measures</w:t>
      </w:r>
    </w:p>
    <w:p>
      <w:pPr>
        <w:spacing w:after="120"/>
      </w:pPr>
      <w:r>
        <w:t xml:space="preserve">Talvorax shall implement appropriate technical and organisational measures to protect Personal Data against unauthorised or unlawful processing and against accidental loss, destruction, or damage, including (as applicable): encryption in transit, access controls, authentication requirements, and restricted internal access on a role/need basis. Further detail is available in Talvorax's Security Overview document.</w:t>
      </w:r>
    </w:p>
    <w:p>
      <w:pPr>
        <w:pStyle w:val="Heading1"/>
        <w:spacing w:after="150" w:before="300"/>
      </w:pPr>
      <w:r>
        <w:t xml:space="preserve">8. Data Breach Notification</w:t>
      </w:r>
    </w:p>
    <w:p>
      <w:pPr>
        <w:spacing w:after="120"/>
      </w:pPr>
      <w:r>
        <w:t xml:space="preserve">Talvorax shall notify the Controller without undue delay, and in any event within 72 hours of becoming aware, of any Personal Data breach affecting the Controller's Data Subjects, providing information reasonably available to enable the Controller to meet its own notification obligations under applicable law.</w:t>
      </w:r>
    </w:p>
    <w:p>
      <w:pPr>
        <w:pStyle w:val="Heading1"/>
        <w:spacing w:after="150" w:before="300"/>
      </w:pPr>
      <w:r>
        <w:t xml:space="preserve">9. Assistance to Controller</w:t>
      </w:r>
    </w:p>
    <w:p>
      <w:pPr>
        <w:spacing w:after="120"/>
      </w:pPr>
      <w:r>
        <w:t xml:space="preserve">Talvorax shall provide reasonable assistance to the Controller in responding to requests from Data Subjects exercising their rights under the DPDP Act (such as access, correction, or erasure requests), and in relation to any data protection impact assessments or consultations with regulatory authorities, to the extent applicable.</w:t>
      </w:r>
    </w:p>
    <w:p>
      <w:pPr>
        <w:pStyle w:val="Heading1"/>
        <w:spacing w:after="150" w:before="300"/>
      </w:pPr>
      <w:r>
        <w:t xml:space="preserve">10. Data Retention and Deletion</w:t>
      </w:r>
    </w:p>
    <w:p>
      <w:pPr>
        <w:spacing w:after="120"/>
      </w:pPr>
      <w:r>
        <w:t xml:space="preserve">Upon termination of the underlying Terms of Service, or upon the Controller's written request, Talvorax shall delete or return all Personal Data processed on the Controller's behalf, except to the extent applicable law requires continued storage, in which case Talvorax shall continue to protect the Personal Data and limit processing to that required by such law.</w:t>
      </w:r>
    </w:p>
    <w:p>
      <w:pPr>
        <w:pStyle w:val="Heading1"/>
        <w:spacing w:after="150" w:before="300"/>
      </w:pPr>
      <w:r>
        <w:t xml:space="preserve">11. Cross-Border Transfer</w:t>
      </w:r>
    </w:p>
    <w:p>
      <w:pPr>
        <w:spacing w:after="120"/>
      </w:pPr>
      <w:r>
        <w:t xml:space="preserve">As Talvorax's current Sub-processor infrastructure may involve data storage outside India, Talvorax shall ensure that any such transfer complies with applicable requirements under the DPDP Act and will notify the Controller of the storage location(s) upon request.</w:t>
      </w:r>
    </w:p>
    <w:p>
      <w:pPr>
        <w:pStyle w:val="Heading1"/>
        <w:spacing w:after="150" w:before="300"/>
      </w:pPr>
      <w:r>
        <w:t xml:space="preserve">12. Audit Rights</w:t>
      </w:r>
    </w:p>
    <w:p>
      <w:pPr>
        <w:spacing w:after="120"/>
      </w:pPr>
      <w:r>
        <w:t xml:space="preserve">Talvorax shall make available to the Controller information reasonably necessary to demonstrate compliance with this DPA, and shall allow for audits, including inspections, conducted by the Controller or an auditor mandated by the Controller, subject to reasonable prior notice and confidentiality obligations.</w:t>
      </w:r>
    </w:p>
    <w:p>
      <w:pPr>
        <w:pStyle w:val="Heading1"/>
        <w:spacing w:after="150" w:before="300"/>
      </w:pPr>
      <w:r>
        <w:t xml:space="preserve">13. Liability</w:t>
      </w:r>
    </w:p>
    <w:p>
      <w:pPr>
        <w:spacing w:after="120"/>
      </w:pPr>
      <w:r>
        <w:t xml:space="preserve">Liability under this DPA shall be governed by the limitation of liability provisions set out in the Terms of Service between the parties.</w:t>
      </w:r>
    </w:p>
    <w:p>
      <w:pPr>
        <w:pStyle w:val="Heading1"/>
        <w:spacing w:after="150" w:before="300"/>
      </w:pPr>
      <w:r>
        <w:t xml:space="preserve">14. Term</w:t>
      </w:r>
    </w:p>
    <w:p>
      <w:pPr>
        <w:spacing w:after="120"/>
      </w:pPr>
      <w:r>
        <w:t xml:space="preserve">This DPA remains in effect for as long as Talvorax processes Personal Data on behalf of the Controller under the Terms of Service.</w:t>
      </w:r>
    </w:p>
    <w:p>
      <w:pPr>
        <w:pStyle w:val="Heading1"/>
        <w:spacing w:after="150" w:before="300"/>
      </w:pPr>
      <w:r>
        <w:t xml:space="preserve">15. Signatures</w:t>
      </w:r>
    </w:p>
    <w:p>
      <w:pPr>
        <w:spacing w:after="120"/>
      </w:pPr>
      <w:r>
        <w:t xml:space="preserve">This DPA is incorporated by reference into the Terms of Service and takes effect upon the Controller's acceptance of the Terms of Service, or upon separate execution below where required by the Controller's internal policy.</w:t>
      </w:r>
    </w:p>
    <w:p>
      <w:pPr>
        <w:spacing w:after="400"/>
      </w:pPr>
    </w:p>
    <w:p>
      <w:pPr>
        <w:spacing w:after="120"/>
      </w:pPr>
      <w:r>
        <w:rPr>
          <w:b/>
          <w:bCs/>
        </w:rPr>
        <w:t xml:space="preserve">For Talvorax:                                              For Client:</w:t>
      </w:r>
    </w:p>
    <w:p>
      <w:pPr>
        <w:spacing w:after="120"/>
      </w:pPr>
      <w:r>
        <w:t xml:space="preserve">Name: _______________________                  Name: _______________________</w:t>
      </w:r>
    </w:p>
    <w:p>
      <w:pPr>
        <w:spacing w:after="120"/>
      </w:pPr>
      <w:r>
        <w:t xml:space="preserve">Title: _______________________                    Title: _______________________</w:t>
      </w:r>
    </w:p>
    <w:p>
      <w:pPr>
        <w:spacing w:after="120"/>
      </w:pPr>
      <w:r>
        <w:t xml:space="preserve">Date: _______________________                    Date: 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2026-07-08T14:46:32.352Z</dcterms:created>
  <dcterms:modified xsi:type="dcterms:W3CDTF">2026-07-08T14:46:32.352Z</dcterms:modified>
</cp:coreProperties>
</file>

<file path=docProps/custom.xml><?xml version="1.0" encoding="utf-8"?>
<Properties xmlns="http://schemas.openxmlformats.org/officeDocument/2006/custom-properties" xmlns:vt="http://schemas.openxmlformats.org/officeDocument/2006/docPropsVTypes"/>
</file>