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sz w:val="28"/>
        </w:rPr>
        <w:t>בבית המשפט המחוזי בחיפה</w:t>
        <w:br/>
        <w:t>בשבתו כבית משפט לערעורים אזרחיים</w:t>
      </w:r>
    </w:p>
    <w:p>
      <w:pPr>
        <w:bidi w:val="1"/>
        <w:jc w:val="right"/>
      </w:pPr>
      <w:r>
        <w:rPr>
          <w:rFonts w:ascii="David" w:hAnsi="David"/>
          <w:b/>
          <w:sz w:val="26"/>
        </w:rPr>
        <w:t>רע"א 63905-08-26</w:t>
        <w:br/>
        <w:t>(בתיק קמא: ת"א 25362-07-25 שלום חדרה)</w:t>
      </w:r>
    </w:p>
    <w:p>
      <w:pPr>
        <w:bidi w:val="1"/>
        <w:jc w:val="right"/>
      </w:pPr>
      <w:r>
        <w:rPr>
          <w:rFonts w:ascii="David" w:hAnsi="David"/>
          <w:b/>
          <w:sz w:val="24"/>
        </w:rPr>
        <w:t>לפני כבוד השופט אחסאן כנעאן</w:t>
      </w:r>
    </w:p>
    <w:tbl>
      <w:tblPr>
        <w:tblW w:type="auto" w:w="0"/>
        <w:jc w:val="center"/>
        <w:tblLook w:firstColumn="1" w:firstRow="1" w:lastColumn="0" w:lastRow="0" w:noHBand="0" w:noVBand="1" w:val="04A0"/>
        <w:bidiVisual w:val="1"/>
      </w:tblPr>
      <w:tblGrid>
        <w:gridCol w:w="4802"/>
        <w:gridCol w:w="4802"/>
      </w:tblGrid>
      <w:tr>
        <w:tc>
          <w:tcPr>
            <w:tcW w:type="dxa" w:w="4802"/>
          </w:tcPr>
          <w:p>
            <w:pPr>
              <w:bidi w:val="1"/>
              <w:jc w:val="right"/>
            </w:pPr>
            <w:r>
              <w:rPr>
                <w:rFonts w:ascii="David" w:hAnsi="David"/>
                <w:b/>
              </w:rPr>
              <w:t>המבקשים:</w:t>
            </w:r>
          </w:p>
        </w:tc>
        <w:tc>
          <w:tcPr>
            <w:tcW w:type="dxa" w:w="4802"/>
          </w:tcPr>
          <w:p>
            <w:pPr>
              <w:bidi w:val="1"/>
              <w:jc w:val="right"/>
            </w:pPr>
            <w:r>
              <w:rPr>
                <w:rFonts w:ascii="David" w:hAnsi="David"/>
              </w:rPr>
              <w:t>1. יצחק רומנוב (ת.ז. 034177576)</w:t>
              <w:br/>
              <w:t>2. איריס רומנוב (ת.ז. 024483869)</w:t>
              <w:br/>
              <w:t>ע"י ב"כ עוה"ד לירון לוזון</w:t>
            </w:r>
          </w:p>
        </w:tc>
      </w:tr>
      <w:tr>
        <w:tc>
          <w:tcPr>
            <w:tcW w:type="dxa" w:w="4802"/>
          </w:tcPr>
          <w:p>
            <w:pPr>
              <w:bidi w:val="1"/>
              <w:jc w:val="right"/>
            </w:pPr>
            <w:r>
              <w:rPr>
                <w:rFonts w:ascii="David" w:hAnsi="David"/>
                <w:b/>
              </w:rPr>
              <w:t>נגד</w:t>
            </w:r>
          </w:p>
        </w:tc>
        <w:tc>
          <w:tcPr>
            <w:tcW w:type="dxa" w:w="4802"/>
          </w:tcPr>
          <w:p>
            <w:pPr>
              <w:bidi w:val="1"/>
              <w:jc w:val="right"/>
            </w:pPr>
            <w:r>
              <w:rPr>
                <w:rFonts w:ascii="David" w:hAnsi="David"/>
              </w:rPr>
            </w:r>
          </w:p>
        </w:tc>
      </w:tr>
      <w:tr>
        <w:tc>
          <w:tcPr>
            <w:tcW w:type="dxa" w:w="4802"/>
          </w:tcPr>
          <w:p>
            <w:pPr>
              <w:bidi w:val="1"/>
              <w:jc w:val="right"/>
            </w:pPr>
            <w:r>
              <w:rPr>
                <w:rFonts w:ascii="David" w:hAnsi="David"/>
                <w:b/>
              </w:rPr>
              <w:t>המשיבה:</w:t>
            </w:r>
          </w:p>
        </w:tc>
        <w:tc>
          <w:tcPr>
            <w:tcW w:type="dxa" w:w="4802"/>
          </w:tcPr>
          <w:p>
            <w:pPr>
              <w:bidi w:val="1"/>
              <w:jc w:val="right"/>
            </w:pPr>
            <w:r>
              <w:rPr>
                <w:rFonts w:ascii="David" w:hAnsi="David"/>
              </w:rPr>
              <w:t>טכניקה י. בוקשטיין אחזקות וניהול בע"מ (ח.פ. 514687391)</w:t>
              <w:br/>
              <w:t>ע"י ב"כ עוה"ד אליהו עמר ו/או מירב אהרון-חי</w:t>
              <w:br/>
              <w:t>מרח' הלל יפה 11, חדרה; טל': 04-6228899; פקס: 04-6228898</w:t>
            </w:r>
          </w:p>
        </w:tc>
      </w:tr>
      <w:tr>
        <w:tc>
          <w:tcPr>
            <w:tcW w:type="dxa" w:w="4802"/>
          </w:tcPr>
          <w:p>
            <w:pPr>
              <w:bidi w:val="1"/>
              <w:jc w:val="right"/>
            </w:pPr>
            <w:r>
              <w:rPr>
                <w:rFonts w:ascii="David" w:hAnsi="David"/>
                <w:b/>
              </w:rPr>
            </w:r>
          </w:p>
        </w:tc>
        <w:tc>
          <w:tcPr>
            <w:tcW w:type="dxa" w:w="4802"/>
          </w:tcPr>
          <w:p>
            <w:pPr>
              <w:bidi w:val="1"/>
              <w:jc w:val="right"/>
            </w:pPr>
            <w:r>
              <w:rPr>
                <w:rFonts w:ascii="David" w:hAnsi="David"/>
              </w:rPr>
            </w:r>
          </w:p>
        </w:tc>
      </w:tr>
      <w:tr>
        <w:tc>
          <w:tcPr>
            <w:tcW w:type="dxa" w:w="4802"/>
          </w:tcPr>
          <w:p>
            <w:pPr>
              <w:bidi w:val="1"/>
              <w:jc w:val="right"/>
            </w:pPr>
            <w:r>
              <w:rPr>
                <w:rFonts w:ascii="David" w:hAnsi="David"/>
                <w:b/>
              </w:rPr>
              <w:t>עניין:</w:t>
            </w:r>
          </w:p>
        </w:tc>
        <w:tc>
          <w:tcPr>
            <w:tcW w:type="dxa" w:w="4802"/>
          </w:tcPr>
          <w:p>
            <w:pPr>
              <w:bidi w:val="1"/>
              <w:jc w:val="right"/>
            </w:pPr>
            <w:r>
              <w:rPr>
                <w:rFonts w:ascii="David" w:hAnsi="David"/>
              </w:rPr>
              <w:t>תשובה לבקשת רשות ערעור (בסוגיית הפקדת ערובה להוצאות) בהתאם להחלטה מיום 10.9.2026</w:t>
            </w:r>
          </w:p>
        </w:tc>
      </w:tr>
    </w:tbl>
    <w:p/>
    <w:p>
      <w:pPr>
        <w:bidi w:val="1"/>
        <w:jc w:val="right"/>
      </w:pPr>
      <w:r>
        <w:rPr>
          <w:rFonts w:ascii="David" w:hAnsi="David"/>
          <w:b/>
          <w:color w:val="0E7490"/>
          <w:sz w:val="32"/>
        </w:rPr>
        <w:t>תשובה מטעם המשיבה לבקשת רשות ערעור</w:t>
        <w:br/>
        <w:t>(בעניין הפקדת ערובה לפי סעיף 353א לחוק החברות)</w:t>
      </w:r>
    </w:p>
    <w:p>
      <w:pPr>
        <w:bidi w:val="1"/>
        <w:jc w:val="right"/>
      </w:pPr>
      <w:r>
        <w:rPr>
          <w:rFonts w:ascii="David" w:hAnsi="David"/>
          <w:b/>
          <w:color w:val="1E293B"/>
          <w:sz w:val="26"/>
        </w:rPr>
        <w:t>מבוא ותמצית התשובה</w:t>
      </w:r>
    </w:p>
    <w:p>
      <w:pPr>
        <w:bidi w:val="1"/>
        <w:jc w:val="right"/>
      </w:pPr>
      <w:r>
        <w:rPr>
          <w:rFonts w:ascii="David" w:hAnsi="David"/>
          <w:sz w:val="23"/>
        </w:rPr>
        <w:t>1. המשיבה מתכבדת להגיש בזאת את תשובתה לבקשת רשות הערעור, בהתאם להחלטת כב' השופט אחסאן כנעאן מיום 10.9.2026, ומבקשת לדחות את בקשת רשות הערעור על הסף ולגופה, ולחייב את המבקשים בהוצאות משפט ושכ"ט עו"ד לדוגמה.</w:t>
      </w:r>
    </w:p>
    <w:p>
      <w:pPr>
        <w:bidi w:val="1"/>
        <w:jc w:val="right"/>
      </w:pPr>
      <w:r>
        <w:rPr>
          <w:rFonts w:ascii="David" w:hAnsi="David"/>
          <w:sz w:val="23"/>
        </w:rPr>
        <w:t>2. בפתח הדברים יצוין, כי בדין ובצדק נדחתה כבר בהחלטת כב' בית המשפט מיום 10.9.2026 השגתם של המבקשים בנוגע לכתב התשובה. באשר לסוגיית הערובה להוצאות – דין הבקשה להידחות מכל וכל, שכן החלטת בית משפט קמא מעוגנת היטב בהלכה הפסוקה, נשענת על מסד עובדתי וחשבונאי איתן, ואינה מצדיקה כל התערבות של ערכאת הערעור.</w:t>
      </w:r>
    </w:p>
    <w:p>
      <w:pPr>
        <w:bidi w:val="1"/>
        <w:jc w:val="right"/>
      </w:pPr>
      <w:r>
        <w:rPr>
          <w:rFonts w:ascii="David" w:hAnsi="David"/>
          <w:sz w:val="23"/>
        </w:rPr>
        <w:t>3. כפי שהוכח בערכאה הדיונית, המשיבה היא חברה פעילה, ותיקה, רווחית ובעלת כושר פירעון מוכח ונזילות גבוהה, אשר הציגה אישור רו"ח עדכני, מאזני בוחן מבוקרים ותדפיסי בנק ביתרת זכות ללא כל הגבלות. די בכך כדי להרים את הנטל לפי סעיף 353א לחוק החברות, התשנ"ט-1999 ולהצדיק את דחיית הדרישה להפקדת ערובה.</w:t>
      </w:r>
    </w:p>
    <w:p>
      <w:pPr>
        <w:bidi w:val="1"/>
        <w:jc w:val="right"/>
      </w:pPr>
      <w:r>
        <w:rPr>
          <w:rFonts w:ascii="David" w:hAnsi="David"/>
          <w:sz w:val="23"/>
        </w:rPr>
        <w:t>4. יתרה מכך, סיכויי התביעה של המשיבה נגד המבקשים הם מובהקים ומבוססים על ראיות חפציות חיצוניות של לקוחות צד ג' (אלביט/סאיקלון, סקופ, גרין פט ומי שמש) המעידות על מעשי מעילה, גזל ומרמה שיטתיים שביצעו המבקשים בתקופת העסקתם כמנהלים במשיבה.</w:t>
      </w:r>
    </w:p>
    <w:p>
      <w:pPr>
        <w:bidi w:val="1"/>
        <w:jc w:val="right"/>
      </w:pPr>
      <w:r>
        <w:rPr>
          <w:rFonts w:ascii="David" w:hAnsi="David"/>
          <w:sz w:val="23"/>
        </w:rPr>
        <w:t>5. בהתייחס להוראת כב' בית המשפט מיום 10.9.2026 לעניין תקנה 149(2) לתקנות סדר הדין האזרחי, התשע"ט-2018 – המשיבה מודיעה כי היא מסכימה כי בית המשפט ידון בבקשה כבערעור, ובלבד שהערעור יידחה לגופו תוך חיוב המבקשים בהוצאות הולמות.</w:t>
      </w:r>
    </w:p>
    <w:p>
      <w:pPr>
        <w:bidi w:val="1"/>
        <w:jc w:val="right"/>
      </w:pPr>
      <w:r>
        <w:rPr>
          <w:rFonts w:ascii="David" w:hAnsi="David"/>
          <w:b/>
          <w:color w:val="1E293B"/>
          <w:sz w:val="26"/>
        </w:rPr>
        <w:t>פרק א': איתנות פיננסית מוכחת של המשיבה (הרמת הנטל לפי סעיף 353א לחוק החברות)</w:t>
      </w:r>
    </w:p>
    <w:p>
      <w:pPr>
        <w:bidi w:val="1"/>
        <w:jc w:val="right"/>
      </w:pPr>
      <w:r>
        <w:rPr>
          <w:rFonts w:ascii="David" w:hAnsi="David"/>
          <w:sz w:val="23"/>
        </w:rPr>
        <w:t>6. נקודת המוצא לפי סעיף 353א לחוק החברות ולהלכת רע"א 10376/07 ל.נ הנדסה ממוחשבת בע"מ נ' בנק הפועלים בע"מ (11.2.2009) הינה כי חזקת החיוב בערובה נסתרת אם הוכיחה החברה כי יהיה לאל ידה לשלם את הוצאות הנתבעים אם יזכו בדין.</w:t>
      </w:r>
    </w:p>
    <w:p>
      <w:pPr>
        <w:bidi w:val="1"/>
        <w:jc w:val="right"/>
      </w:pPr>
      <w:r>
        <w:rPr>
          <w:rFonts w:ascii="David" w:hAnsi="David"/>
          <w:sz w:val="23"/>
        </w:rPr>
        <w:t>7. בענייננו, המשיבה הרימה נטל זה במלואו והציגה בפני בית משפט קמא תשתית ראייתית וחשבונאית מלאה:</w:t>
      </w:r>
    </w:p>
    <w:p>
      <w:pPr>
        <w:bidi w:val="1"/>
        <w:jc w:val="right"/>
      </w:pPr>
      <w:r>
        <w:rPr>
          <w:rFonts w:ascii="David" w:hAnsi="David"/>
          <w:sz w:val="23"/>
        </w:rPr>
        <w:t xml:space="preserve">   א. אישור רואה חשבון רשמי ובלתי נסתר המאשר כי המשיבה פעילה, כושר פירעונה מלא, וברשותה נכסים ונזילות בהיקף של כחצי מיליון ₪ (נספח 1 לתגובה בבימ"ש קמא).</w:t>
      </w:r>
    </w:p>
    <w:p>
      <w:pPr>
        <w:bidi w:val="1"/>
        <w:jc w:val="right"/>
      </w:pPr>
      <w:r>
        <w:rPr>
          <w:rFonts w:ascii="David" w:hAnsi="David"/>
          <w:sz w:val="23"/>
        </w:rPr>
        <w:t xml:space="preserve">   ב. מאזני בוחן מבוקרים המצביעים על מחזור הכנסות משמעותי, רווחיות תפעולית עקבית וצבירת הון עצמי חיובי לאורך שנים (נספח 2 לתגובה בבימ"ש קמא).</w:t>
      </w:r>
    </w:p>
    <w:p>
      <w:pPr>
        <w:bidi w:val="1"/>
        <w:jc w:val="right"/>
      </w:pPr>
      <w:r>
        <w:rPr>
          <w:rFonts w:ascii="David" w:hAnsi="David"/>
          <w:sz w:val="23"/>
        </w:rPr>
        <w:t xml:space="preserve">   ג. תדפיסי חשבון בנק של המשיבה בבנק לאומי לישראל ובבנק הפועלים המצויים ביתרת זכות שוטפת ופעילה, ללא כל עיקולים, הגבלות או חריגות ממסגרת האשראי (נספח 3 לתגובה בבימ"ש קמא).</w:t>
      </w:r>
    </w:p>
    <w:p>
      <w:pPr>
        <w:bidi w:val="1"/>
        <w:jc w:val="right"/>
      </w:pPr>
      <w:r>
        <w:rPr>
          <w:rFonts w:ascii="David" w:hAnsi="David"/>
          <w:sz w:val="23"/>
        </w:rPr>
        <w:t>8. על פי ההלכה הפסוקה (רע"א 10905/07 נאות אואזיס מלונות בע"מ נ' מרדכי), די בהצגת אישור רו"ח ותדפיסי בנק חיוביים כדי לעמוד בנטל ההוכחה הראשוני של כושר פירעון. המבקשים לא הציגו שום ראיה לסתור נתונים אלו, וכל טענותיהם נטענו בעלמא.</w:t>
      </w:r>
    </w:p>
    <w:p>
      <w:pPr>
        <w:bidi w:val="1"/>
        <w:jc w:val="right"/>
      </w:pPr>
      <w:r>
        <w:rPr>
          <w:rFonts w:ascii="David" w:hAnsi="David"/>
          <w:b/>
          <w:color w:val="1E293B"/>
          <w:sz w:val="26"/>
        </w:rPr>
        <w:t>פרק ב': סיכויי תביעה מובהקים והגנת בדים של המבקשים</w:t>
      </w:r>
    </w:p>
    <w:p>
      <w:pPr>
        <w:bidi w:val="1"/>
        <w:jc w:val="right"/>
      </w:pPr>
      <w:r>
        <w:rPr>
          <w:rFonts w:ascii="David" w:hAnsi="David"/>
          <w:sz w:val="23"/>
        </w:rPr>
        <w:t>9. כידוע, גם בשלב הבדיקה השני לפי הלכת ל.נ הנדסה, נסיבות העניין וסיכויי התביעה מהווים שיקול מרכזי המטה את הכף כנגד חסימת דרכו של תובע לערכאות.</w:t>
      </w:r>
    </w:p>
    <w:p>
      <w:pPr>
        <w:bidi w:val="1"/>
        <w:jc w:val="right"/>
      </w:pPr>
      <w:r>
        <w:rPr>
          <w:rFonts w:ascii="David" w:hAnsi="David"/>
          <w:sz w:val="23"/>
        </w:rPr>
        <w:t>10. כתב התביעה נשען על מסכת ראיות חפציות אובייקטיביות שאינן ניתנות להפרכה, ביניהן הזמנות רכש, תעודות משלוח, כרטסות הנהלת חשבונות ותכתובות דוא"ל מלקוחותיה של המשיבה, המלמדות בבירור כי המבקש 1 (איציק רומנוב), בעודו משמש כמנכ"ל המשיבה ונהנה משכר גבוה, הסיט עבודות, לקוחות ותשלומים בהיקף של מאות אלפי שקלים לחשבונו הפרטי ולעסקה של רעייתו (המבקשת 2).</w:t>
      </w:r>
    </w:p>
    <w:p>
      <w:pPr>
        <w:bidi w:val="1"/>
        <w:jc w:val="right"/>
      </w:pPr>
      <w:r>
        <w:rPr>
          <w:rFonts w:ascii="David" w:hAnsi="David"/>
          <w:sz w:val="23"/>
        </w:rPr>
        <w:t>11. מנגד, כתב הגנתם של המבקשים הינו בבחינת 'הגנת בדים' דלה ולקונית, שאינה מתמודדת כלל עם הראיות החיצוניות ואינה מציגה כל מסמך המפריך את גזילת הפרויקטים.</w:t>
      </w:r>
    </w:p>
    <w:p>
      <w:pPr>
        <w:bidi w:val="1"/>
        <w:jc w:val="right"/>
      </w:pPr>
      <w:r>
        <w:rPr>
          <w:rFonts w:ascii="David" w:hAnsi="David"/>
          <w:sz w:val="23"/>
        </w:rPr>
        <w:t>12. הלכה מושרשת היא כי אין לחייב תובע בערובה מקום בו הנתבע מעלה טענות הגנה קלושות ומנסה להשתמש בסעיף 353א כקרדום דיוני לחפור בו וכמחסום בלתי עביר לבירור האמת.</w:t>
      </w:r>
    </w:p>
    <w:p>
      <w:pPr>
        <w:bidi w:val="1"/>
        <w:jc w:val="right"/>
      </w:pPr>
      <w:r>
        <w:rPr>
          <w:rFonts w:ascii="David" w:hAnsi="David"/>
          <w:b/>
          <w:color w:val="1E293B"/>
          <w:sz w:val="26"/>
        </w:rPr>
        <w:t>פרק ג': הלכת אי-התערבות ערכאת הערעור בהחלטות ביניים ושיקול דעת הערכאה הדיונית</w:t>
      </w:r>
    </w:p>
    <w:p>
      <w:pPr>
        <w:bidi w:val="1"/>
        <w:jc w:val="right"/>
      </w:pPr>
      <w:r>
        <w:rPr>
          <w:rFonts w:ascii="David" w:hAnsi="David"/>
          <w:sz w:val="23"/>
        </w:rPr>
        <w:t>13. הלכה פסוקה ומושרשת היא כי ערכאת הערעור אינה נוהגת להתערב בשיקול דעתה של הערכאה הדיונית בסוגיות של סעדים זמניים והפקדת ערובה להוצאות, אלא במקרים חריגים ויוצאי דופן שבהם נפלה טעות משפטית מהותית או שנגרם עיוות דין קיצוני (רע"א 759/20 בנק לאומי לישראל בע"מ נ' פלוני (2020); רע"א 6353/19 אבן עזרא נ' סופר (2019)).</w:t>
      </w:r>
    </w:p>
    <w:p>
      <w:pPr>
        <w:bidi w:val="1"/>
        <w:jc w:val="right"/>
      </w:pPr>
      <w:r>
        <w:rPr>
          <w:rFonts w:ascii="David" w:hAnsi="David"/>
          <w:sz w:val="23"/>
        </w:rPr>
        <w:t>14. במקרה דנן, החלטת בית משפט קמא סבירה, מאוזנת ומושתתת על בדיקה מדוקדקת של מצבה הכלכלי של המשיבה וסיכויי ההליך. המבקשים לא הצביעו על כל פגם או שגגה המצדיקים סטייה מכלל אי-ההתערבות.</w:t>
      </w:r>
    </w:p>
    <w:p>
      <w:pPr>
        <w:bidi w:val="1"/>
        <w:jc w:val="right"/>
      </w:pPr>
      <w:r>
        <w:rPr>
          <w:rFonts w:ascii="David" w:hAnsi="David"/>
          <w:b/>
          <w:color w:val="1E293B"/>
          <w:sz w:val="26"/>
        </w:rPr>
        <w:t>פרק ד': עמדת המשיבה לגבי דיון בבקשה כבערעור (תקנה 149(2))</w:t>
      </w:r>
    </w:p>
    <w:p>
      <w:pPr>
        <w:bidi w:val="1"/>
        <w:jc w:val="right"/>
      </w:pPr>
      <w:r>
        <w:rPr>
          <w:rFonts w:ascii="David" w:hAnsi="David"/>
          <w:sz w:val="23"/>
        </w:rPr>
        <w:t>15. בהתאם להוראת כב' בית המשפט מיום 10.9.2026, המשיבה מביעה את הסכמתה כי כב' בית המשפט ידון בבקשת רשות הערעור כאילו ניתנה רשות והוגש ערעור לפי הרשות שניתנה, בהתאם לסמכותו לפי תקנה 149(2) לתקנות סדר הדין האזרחי, התשע"ט-2018.</w:t>
      </w:r>
    </w:p>
    <w:p>
      <w:pPr>
        <w:bidi w:val="1"/>
        <w:jc w:val="right"/>
      </w:pPr>
      <w:r>
        <w:rPr>
          <w:rFonts w:ascii="David" w:hAnsi="David"/>
          <w:sz w:val="23"/>
        </w:rPr>
        <w:t>16. לגופו של הערעור – מבוקש להורות על דחיית הערעור במלואו, מכל הנימוקים שפורטו לעיל, תוך חיוב המבקשים בהוצאות משפט ושכ"ט עו"ד הולמים לטובת המשיבה.</w:t>
      </w:r>
    </w:p>
    <w:p>
      <w:pPr>
        <w:bidi w:val="1"/>
        <w:jc w:val="right"/>
      </w:pPr>
      <w:r>
        <w:rPr>
          <w:rFonts w:ascii="David" w:hAnsi="David"/>
          <w:b/>
          <w:color w:val="1E293B"/>
          <w:sz w:val="26"/>
        </w:rPr>
        <w:t>סוף דבר</w:t>
      </w:r>
    </w:p>
    <w:p>
      <w:pPr>
        <w:bidi w:val="1"/>
        <w:jc w:val="right"/>
      </w:pPr>
      <w:r>
        <w:rPr>
          <w:rFonts w:ascii="David" w:hAnsi="David"/>
          <w:sz w:val="23"/>
        </w:rPr>
        <w:t>17. אשר על כן, מתבקש בית המשפט המחוזי הנכבד:</w:t>
      </w:r>
    </w:p>
    <w:p>
      <w:pPr>
        <w:bidi w:val="1"/>
        <w:jc w:val="right"/>
      </w:pPr>
      <w:r>
        <w:rPr>
          <w:rFonts w:ascii="David" w:hAnsi="David"/>
          <w:sz w:val="23"/>
        </w:rPr>
        <w:t xml:space="preserve">   א. לדחות את בקשת רשות הערעור על הסף ולגופה (או לדחות את הערעור לגופו ככל שיידון לפי תקנה 149(2)).</w:t>
      </w:r>
    </w:p>
    <w:p>
      <w:pPr>
        <w:bidi w:val="1"/>
        <w:jc w:val="right"/>
      </w:pPr>
      <w:r>
        <w:rPr>
          <w:rFonts w:ascii="David" w:hAnsi="David"/>
          <w:sz w:val="23"/>
        </w:rPr>
        <w:t xml:space="preserve">   ב. להותיר את החלטת בית משפט השלום בחדרה על כנה.</w:t>
      </w:r>
    </w:p>
    <w:p>
      <w:pPr>
        <w:bidi w:val="1"/>
        <w:jc w:val="right"/>
      </w:pPr>
      <w:r>
        <w:rPr>
          <w:rFonts w:ascii="David" w:hAnsi="David"/>
          <w:sz w:val="23"/>
        </w:rPr>
        <w:t xml:space="preserve">   ג. לחייב את המבקשים, ביחד ולחוד, בהוצאות המשיבה ובשכ"ט עו"ד בצירוף מע"מ כדין.</w:t>
      </w:r>
    </w:p>
    <w:p>
      <w:pPr>
        <w:bidi w:val="1"/>
        <w:jc w:val="right"/>
      </w:pPr>
      <w:r>
        <w:rPr>
          <w:rFonts w:ascii="David" w:hAnsi="David"/>
          <w:b/>
          <w:sz w:val="24"/>
        </w:rPr>
        <w:br/>
        <w:br/>
        <w:t>_________________________</w:t>
        <w:br/>
        <w:t>אליהו עמר, משרד עורכי דין</w:t>
        <w:br/>
        <w:t>ב"כ המשיבה</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