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b/>
          <w:color w:val="0E7490"/>
          <w:sz w:val="36"/>
        </w:rPr>
        <w:t>דוח חדר מלחמה, מיפוי חולשות ותוכנית פעולה לניצחון — תיק שומרוני נ' משרד הביטחון</w:t>
      </w:r>
    </w:p>
    <w:p>
      <w:pPr>
        <w:bidi w:val="1"/>
        <w:jc w:val="right"/>
      </w:pPr>
      <w:r>
        <w:rPr>
          <w:rFonts w:ascii="David" w:hAnsi="David"/>
          <w:i/>
          <w:color w:val="475569"/>
          <w:sz w:val="24"/>
        </w:rPr>
        <w:t>ת"א 48220-09-23 י. שומרוני חברה להשקעות ובניה בע"מ נ' מדינת ישראל — משרד הביטחון (תביעה 10M ₪ מול תביעה שכנגד 9M ₪)</w:t>
      </w:r>
    </w:p>
    <w:p>
      <w:pPr>
        <w:bidi w:val="1"/>
        <w:jc w:val="right"/>
      </w:pPr>
      <w:r>
        <w:rPr>
          <w:rFonts w:ascii="David" w:hAnsi="David"/>
          <w:b/>
          <w:sz w:val="28"/>
        </w:rPr>
        <w:t>1. תעודת זהות של התיק והמסגרת הכספית</w:t>
      </w:r>
    </w:p>
    <w:tbl>
      <w:tblPr>
        <w:tblW w:type="auto" w:w="0"/>
        <w:jc w:val="center"/>
        <w:tblLook w:firstColumn="1" w:firstRow="1" w:lastColumn="0" w:lastRow="0" w:noHBand="0" w:noVBand="1" w:val="04A0"/>
        <w:bidiVisual w:val="1"/>
      </w:tblPr>
      <w:tblGrid>
        <w:gridCol w:w="4802"/>
        <w:gridCol w:w="4802"/>
      </w:tblGrid>
      <w:tr>
        <w:tc>
          <w:tcPr>
            <w:tcW w:type="dxa" w:w="4802"/>
          </w:tcPr>
          <w:p>
            <w:pPr>
              <w:bidi w:val="1"/>
              <w:jc w:val="right"/>
            </w:pPr>
            <w:r>
              <w:rPr>
                <w:rFonts w:ascii="David" w:hAnsi="David"/>
                <w:b/>
              </w:rPr>
              <w:t>שם ההליך ובית המשפט</w:t>
            </w:r>
          </w:p>
        </w:tc>
        <w:tc>
          <w:tcPr>
            <w:tcW w:type="dxa" w:w="4802"/>
          </w:tcPr>
          <w:p>
            <w:pPr>
              <w:bidi w:val="1"/>
              <w:jc w:val="right"/>
            </w:pPr>
            <w:r>
              <w:rPr>
                <w:rFonts w:ascii="David" w:hAnsi="David"/>
              </w:rPr>
              <w:t>ת"א 48220-09-23 י. שומרוני נ' משרד הביטחון (בית משפט מחוזי)</w:t>
            </w:r>
          </w:p>
        </w:tc>
      </w:tr>
      <w:tr>
        <w:tc>
          <w:tcPr>
            <w:tcW w:type="dxa" w:w="4802"/>
          </w:tcPr>
          <w:p>
            <w:pPr>
              <w:bidi w:val="1"/>
              <w:jc w:val="right"/>
            </w:pPr>
            <w:r>
              <w:rPr>
                <w:rFonts w:ascii="David" w:hAnsi="David"/>
                <w:b/>
              </w:rPr>
              <w:t>התובעת / נתבעת שכנגד (הלקוחה)</w:t>
            </w:r>
          </w:p>
        </w:tc>
        <w:tc>
          <w:tcPr>
            <w:tcW w:type="dxa" w:w="4802"/>
          </w:tcPr>
          <w:p>
            <w:pPr>
              <w:bidi w:val="1"/>
              <w:jc w:val="right"/>
            </w:pPr>
            <w:r>
              <w:rPr>
                <w:rFonts w:ascii="David" w:hAnsi="David"/>
              </w:rPr>
              <w:t>י. שומרוני חברה להשקעות ובניה בע"מ (סיווג ג'5 כוכבית, תשתיות 200, בנייה 100, ביוב 260)</w:t>
            </w:r>
          </w:p>
        </w:tc>
      </w:tr>
      <w:tr>
        <w:tc>
          <w:tcPr>
            <w:tcW w:type="dxa" w:w="4802"/>
          </w:tcPr>
          <w:p>
            <w:pPr>
              <w:bidi w:val="1"/>
              <w:jc w:val="right"/>
            </w:pPr>
            <w:r>
              <w:rPr>
                <w:rFonts w:ascii="David" w:hAnsi="David"/>
                <w:b/>
              </w:rPr>
              <w:t>הנתבעת / תובעת שכנגד</w:t>
            </w:r>
          </w:p>
        </w:tc>
        <w:tc>
          <w:tcPr>
            <w:tcW w:type="dxa" w:w="4802"/>
          </w:tcPr>
          <w:p>
            <w:pPr>
              <w:bidi w:val="1"/>
              <w:jc w:val="right"/>
            </w:pPr>
            <w:r>
              <w:rPr>
                <w:rFonts w:ascii="David" w:hAnsi="David"/>
              </w:rPr>
              <w:t>מדינת ישראל — משרד הביטחון (ע"י פרקליטות מחוז ת"א / אזרחי)</w:t>
            </w:r>
          </w:p>
        </w:tc>
      </w:tr>
      <w:tr>
        <w:tc>
          <w:tcPr>
            <w:tcW w:type="dxa" w:w="4802"/>
          </w:tcPr>
          <w:p>
            <w:pPr>
              <w:bidi w:val="1"/>
              <w:jc w:val="right"/>
            </w:pPr>
            <w:r>
              <w:rPr>
                <w:rFonts w:ascii="David" w:hAnsi="David"/>
                <w:b/>
              </w:rPr>
              <w:t>סכום התביעה העיקרית</w:t>
            </w:r>
          </w:p>
        </w:tc>
        <w:tc>
          <w:tcPr>
            <w:tcW w:type="dxa" w:w="4802"/>
          </w:tcPr>
          <w:p>
            <w:pPr>
              <w:bidi w:val="1"/>
              <w:jc w:val="right"/>
            </w:pPr>
            <w:r>
              <w:rPr>
                <w:rFonts w:ascii="David" w:hAnsi="David"/>
              </w:rPr>
              <w:t>15,000,000 ₪ (הועמדה ע"ס 10,000,000 ₪ משיקולי אגרה: 3M עבודות חוזיות + 7M חריגים ושינויים)</w:t>
            </w:r>
          </w:p>
        </w:tc>
      </w:tr>
      <w:tr>
        <w:tc>
          <w:tcPr>
            <w:tcW w:type="dxa" w:w="4802"/>
          </w:tcPr>
          <w:p>
            <w:pPr>
              <w:bidi w:val="1"/>
              <w:jc w:val="right"/>
            </w:pPr>
            <w:r>
              <w:rPr>
                <w:rFonts w:ascii="David" w:hAnsi="David"/>
                <w:b/>
              </w:rPr>
              <w:t>סכום התביעה שכנגד (משהב"ט)</w:t>
            </w:r>
          </w:p>
        </w:tc>
        <w:tc>
          <w:tcPr>
            <w:tcW w:type="dxa" w:w="4802"/>
          </w:tcPr>
          <w:p>
            <w:pPr>
              <w:bidi w:val="1"/>
              <w:jc w:val="right"/>
            </w:pPr>
            <w:r>
              <w:rPr>
                <w:rFonts w:ascii="David" w:hAnsi="David"/>
              </w:rPr>
              <w:t>כ-9,000,000 ₪ (קנסות פיגורים ופיצויים מוסכמים בגין איחור במסירה)</w:t>
            </w:r>
          </w:p>
        </w:tc>
      </w:tr>
      <w:tr>
        <w:tc>
          <w:tcPr>
            <w:tcW w:type="dxa" w:w="4802"/>
          </w:tcPr>
          <w:p>
            <w:pPr>
              <w:bidi w:val="1"/>
              <w:jc w:val="right"/>
            </w:pPr>
            <w:r>
              <w:rPr>
                <w:rFonts w:ascii="David" w:hAnsi="David"/>
                <w:b/>
              </w:rPr>
              <w:t>דמויות מפתח שהועלו בפענוח</w:t>
            </w:r>
          </w:p>
        </w:tc>
        <w:tc>
          <w:tcPr>
            <w:tcW w:type="dxa" w:w="4802"/>
          </w:tcPr>
          <w:p>
            <w:pPr>
              <w:bidi w:val="1"/>
              <w:jc w:val="right"/>
            </w:pPr>
            <w:r>
              <w:rPr>
                <w:rFonts w:ascii="David" w:hAnsi="David"/>
              </w:rPr>
              <w:t>יוסי שומרוני (מנהל החברה), אבי שומרוני, אורנה (סמנכ"לית משהב"ט), המהנדס נימי (ערך חו"ד נגדית)</w:t>
            </w:r>
          </w:p>
        </w:tc>
      </w:tr>
      <w:tr>
        <w:tc>
          <w:tcPr>
            <w:tcW w:type="dxa" w:w="4802"/>
          </w:tcPr>
          <w:p>
            <w:pPr>
              <w:bidi w:val="1"/>
              <w:jc w:val="right"/>
            </w:pPr>
            <w:r>
              <w:rPr>
                <w:rFonts w:ascii="David" w:hAnsi="David"/>
                <w:b/>
              </w:rPr>
              <w:t>שלב דיוני נוכחי</w:t>
            </w:r>
          </w:p>
        </w:tc>
        <w:tc>
          <w:tcPr>
            <w:tcW w:type="dxa" w:w="4802"/>
          </w:tcPr>
          <w:p>
            <w:pPr>
              <w:bidi w:val="1"/>
              <w:jc w:val="right"/>
            </w:pPr>
            <w:r>
              <w:rPr>
                <w:rFonts w:ascii="David" w:hAnsi="David"/>
              </w:rPr>
              <w:t>הוגשו תצהירי שומרוני; איחור משהב"ט בהגשת תצהירי נגד; לקראת קדם משפט מסכם למינוי מומחה</w:t>
            </w:r>
          </w:p>
        </w:tc>
      </w:tr>
    </w:tbl>
    <w:p>
      <w:pPr>
        <w:bidi w:val="1"/>
        <w:jc w:val="right"/>
      </w:pPr>
      <w:r>
        <w:rPr>
          <w:rFonts w:ascii="David" w:hAnsi="David"/>
          <w:b/>
          <w:sz w:val="28"/>
        </w:rPr>
        <w:br/>
        <w:t>2. מיפוי כירורגי של 5 נקודות התורפה והחולשה של שומרוני בתיק</w:t>
      </w:r>
    </w:p>
    <w:p>
      <w:pPr>
        <w:bidi w:val="1"/>
        <w:jc w:val="right"/>
      </w:pPr>
      <w:r>
        <w:rPr>
          <w:rFonts w:ascii="David" w:hAnsi="David"/>
          <w:b/>
          <w:sz w:val="23"/>
        </w:rPr>
        <w:t>• חולשה 1: היעדר אישורים בכתב מראש לעבודות החריגות (תנאי החוזה הממשלתי):</w:t>
        <w:br/>
      </w:r>
      <w:r>
        <w:rPr>
          <w:rFonts w:ascii="David" w:hAnsi="David"/>
          <w:sz w:val="22"/>
        </w:rPr>
        <w:t>בחוזי משרד הביטחון קיים תנאי מקדמי הקובע כי אין לבצע עבודה חריגה ללא הוראת שינויים חתומה מראש ע"י מורשה חתימה. שומרוני ביצע חלק ניכר מהחריגים על סמך סיכומים והנחיות בעל פה בשטח ללא אישור תקציבי חתום מראש.</w:t>
      </w:r>
    </w:p>
    <w:p>
      <w:pPr>
        <w:bidi w:val="1"/>
        <w:jc w:val="right"/>
      </w:pPr>
      <w:r>
        <w:rPr>
          <w:rFonts w:ascii="David" w:hAnsi="David"/>
          <w:b/>
          <w:sz w:val="23"/>
        </w:rPr>
        <w:t>• חולשה 2: היעדר חשבון סופי מאושר וקיזוז קנסות מתמשך בחשבונות החלקיים:</w:t>
        <w:br/>
      </w:r>
      <w:r>
        <w:rPr>
          <w:rFonts w:ascii="David" w:hAnsi="David"/>
          <w:sz w:val="22"/>
        </w:rPr>
        <w:t>משרד הביטחון קיזז קנסות איחורים כבר בחשבונות החלקיים (200k ➔ 800k ➔ 3M ➔ 9M). משהב"ט יטען כי שומרוני ידע על טענות הפיגורים לאורך כל הפרויקט ולא עצר את העבודה.</w:t>
      </w:r>
    </w:p>
    <w:p>
      <w:pPr>
        <w:bidi w:val="1"/>
        <w:jc w:val="right"/>
      </w:pPr>
      <w:r>
        <w:rPr>
          <w:rFonts w:ascii="David" w:hAnsi="David"/>
          <w:b/>
          <w:sz w:val="23"/>
        </w:rPr>
        <w:t>• חולשה 3: קושי בהוכחה הנדסית של נתיב קריטי (Critical Path Analysis):</w:t>
        <w:br/>
      </w:r>
      <w:r>
        <w:rPr>
          <w:rFonts w:ascii="David" w:hAnsi="David"/>
          <w:sz w:val="22"/>
        </w:rPr>
        <w:t>בתביעות התארכות תקופת ביצוע (Prolongation), בתי המשפט דורשים חוות דעת מומחה לוחות זמנים המוכיחה שעיכובי משהב"ט (כגון אישור שולחנות או צבע) ישבו על הנתיב הקריטי של הפרויקט ולא רצו במקביל לעיכובי ביצוע עצמיים.</w:t>
      </w:r>
    </w:p>
    <w:p>
      <w:pPr>
        <w:bidi w:val="1"/>
        <w:jc w:val="right"/>
      </w:pPr>
      <w:r>
        <w:rPr>
          <w:rFonts w:ascii="David" w:hAnsi="David"/>
          <w:b/>
          <w:sz w:val="23"/>
        </w:rPr>
        <w:t>• חולשה 4: שאיפת הלקוח (יוסי שומרוני) לנהל את החקירות הנגדיות בעצמו:</w:t>
        <w:br/>
      </w:r>
      <w:r>
        <w:rPr>
          <w:rFonts w:ascii="David" w:hAnsi="David"/>
          <w:sz w:val="22"/>
        </w:rPr>
        <w:t>יוסי שומרוני מעוניין לחקור בעצמו את עדי משרד הביטחון (אורנה והמהנדס נימי). חקירה של בעל דין עלולה להיראות אמוציונלית, לגלוש לעימותים אישיים, ולהחמיץ מלכודות סדרי דין ודיני ראיות שהשופט מקפיד עליהן.</w:t>
      </w:r>
    </w:p>
    <w:p>
      <w:pPr>
        <w:bidi w:val="1"/>
        <w:jc w:val="right"/>
      </w:pPr>
      <w:r>
        <w:rPr>
          <w:rFonts w:ascii="David" w:hAnsi="David"/>
          <w:b/>
          <w:sz w:val="23"/>
        </w:rPr>
        <w:t>• חולשה 5: ביצוע באמצעות קבלני משנה מול תנאי המכרז וסיווג ג'5:</w:t>
        <w:br/>
      </w:r>
      <w:r>
        <w:rPr>
          <w:rFonts w:ascii="David" w:hAnsi="David"/>
          <w:sz w:val="22"/>
        </w:rPr>
        <w:t>שומרוני ביצע את הפרויקט בעיקר באמצעות קבלני משנה. משרד הביטחון עלול לנסות לטעון לחריגה מכללי המכרז או לזמן קבלני משנה שיעידו על קשיי תזרים או עיכובים מצד שומרוני.</w:t>
      </w:r>
    </w:p>
    <w:p>
      <w:pPr>
        <w:bidi w:val="1"/>
        <w:jc w:val="right"/>
      </w:pPr>
      <w:r>
        <w:rPr>
          <w:rFonts w:ascii="David" w:hAnsi="David"/>
          <w:b/>
          <w:sz w:val="28"/>
        </w:rPr>
        <w:br/>
        <w:t>3. תוכנית הפעולה והאסטרטגיה המנצחת (איך מנצחים את התיק ומרסקים את התביעה שכנגד)</w:t>
      </w:r>
    </w:p>
    <w:p>
      <w:pPr>
        <w:bidi w:val="1"/>
        <w:jc w:val="right"/>
      </w:pPr>
      <w:r>
        <w:rPr>
          <w:rFonts w:ascii="David" w:hAnsi="David"/>
          <w:b/>
          <w:sz w:val="23"/>
        </w:rPr>
        <w:t>• מהלך 1: הבאת התיק למינוי מומחה הנדסי מטעם בית המשפט (מהלך שובר שוויון):</w:t>
        <w:br/>
      </w:r>
      <w:r>
        <w:rPr>
          <w:rFonts w:ascii="David" w:hAnsi="David"/>
          <w:sz w:val="22"/>
        </w:rPr>
        <w:t>השופטת אינה מהנדסת וטובעת ב-17 קלסרים. המטרה הראשית בקדם המשפט היא להביא למינוי מומחה הנדסי מטעם ביהמ"ש. מומחה הנדסי ימדוד את כמויות החריגים שבוצעו בפועל בשטח ויבין שאיחורי משהב"ט והפסקת התשלומים הם שעיכבו את הפרויקט.</w:t>
      </w:r>
    </w:p>
    <w:p>
      <w:pPr>
        <w:bidi w:val="1"/>
        <w:jc w:val="right"/>
      </w:pPr>
      <w:r>
        <w:rPr>
          <w:rFonts w:ascii="David" w:hAnsi="David"/>
          <w:b/>
          <w:sz w:val="23"/>
        </w:rPr>
        <w:t>• מהלך 2: ביסוס טענת 'הפרה הדדית וסיכול' בגין אי-תשלום במשך 14 חודשים:</w:t>
        <w:br/>
      </w:r>
      <w:r>
        <w:rPr>
          <w:rFonts w:ascii="David" w:hAnsi="David"/>
          <w:sz w:val="22"/>
        </w:rPr>
        <w:t>משרד הביטחון עצר תשלומים שוטפים למשך 14 חודשים רצופים בניגוד לחוזה! ההלכה הפסוקה (ע"א 4999/06 מילאנו נ' מושב חרות; ע"א 368/83 מפי נ' אשכנזי) קובעת כי מזמין שלא שילם לקבלן בזמן מושתק מלתבוע פיצויים מוסכמים וקנסות בגין איחור במסירה.</w:t>
      </w:r>
    </w:p>
    <w:p>
      <w:pPr>
        <w:bidi w:val="1"/>
        <w:jc w:val="right"/>
      </w:pPr>
      <w:r>
        <w:rPr>
          <w:rFonts w:ascii="David" w:hAnsi="David"/>
          <w:b/>
          <w:sz w:val="23"/>
        </w:rPr>
        <w:t>• מהלך 3: חשיפת מנגנון הקנסות המלאכותי והמניע האישי של המהנדס נימי:</w:t>
        <w:br/>
      </w:r>
      <w:r>
        <w:rPr>
          <w:rFonts w:ascii="David" w:hAnsi="David"/>
          <w:sz w:val="22"/>
        </w:rPr>
        <w:t>להציג לשופטת כיצד הקנסות צמחו באופן שרירותי (200k ➔ 800k ➔ 3M ➔ 9M) רק לאחר ששומרוני עמד על קבלת כספו, ולחשוף את היריבות העסקית המוקדמת של המהנדס נימי מול שומרוני מפרויקטים ברכבת כדי לשלול את אמינות חוות דעתו הנגדית.</w:t>
      </w:r>
    </w:p>
    <w:p>
      <w:pPr>
        <w:bidi w:val="1"/>
        <w:jc w:val="right"/>
      </w:pPr>
      <w:r>
        <w:rPr>
          <w:rFonts w:ascii="David" w:hAnsi="David"/>
          <w:b/>
          <w:sz w:val="23"/>
        </w:rPr>
        <w:t>• מהלך 4: סריקת 'מסרקות ברזל' ב-Mega-Case על 17 הקלסרים:</w:t>
        <w:br/>
      </w:r>
      <w:r>
        <w:rPr>
          <w:rFonts w:ascii="David" w:hAnsi="David"/>
          <w:sz w:val="22"/>
        </w:rPr>
        <w:t>לאתר ב-OCR את 3 מכתבי מנהל האתר של משהב"ט המאשרים במפורש דחיית מועד סיום הפרויקט ל-20 באוגוסט, ולהצליב את כל תעודות המשלוח והיומנים ישירות מול טבלת החריגים.</w:t>
      </w:r>
    </w:p>
    <w:p>
      <w:pPr>
        <w:bidi w:val="1"/>
        <w:jc w:val="right"/>
      </w:pPr>
      <w:r>
        <w:rPr>
          <w:rFonts w:ascii="David" w:hAnsi="David"/>
          <w:b/>
          <w:sz w:val="23"/>
        </w:rPr>
        <w:t>• מהלך 5: שילוב כוחות מושלם בדיון (עו"ד אלי עמר בנעילה משפטית, שומרוני בהנדסה):</w:t>
        <w:br/>
      </w:r>
      <w:r>
        <w:rPr>
          <w:rFonts w:ascii="David" w:hAnsi="David"/>
          <w:sz w:val="22"/>
        </w:rPr>
        <w:t>עו"ד אלי עמר מוביל את החזית המשפטית מול השופטת, נועל את דיני הראיות וההלכות הפסוקות, בעוד שיוסי שומרוני מכין את התשתית העובדתית ומלווה את החקירה בתיאום מלא.</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